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FA129C" w14:textId="0FA9F818" w:rsidR="00010C9F" w:rsidRDefault="000405BC" w:rsidP="00EE5A40">
      <w:pPr>
        <w:spacing w:line="276" w:lineRule="auto"/>
        <w:rPr>
          <w:rFonts w:ascii="Arial" w:hAnsi="Arial" w:cs="Arial"/>
          <w:b/>
          <w:bCs/>
          <w:color w:val="000000" w:themeColor="text1"/>
          <w:sz w:val="32"/>
          <w:szCs w:val="28"/>
        </w:rPr>
      </w:pPr>
      <w:r>
        <w:rPr>
          <w:noProof/>
          <w:sz w:val="20"/>
          <w:lang w:val="en-IN" w:eastAsia="en-IN"/>
        </w:rPr>
        <w:drawing>
          <wp:anchor distT="0" distB="0" distL="114300" distR="114300" simplePos="0" relativeHeight="251659264" behindDoc="0" locked="0" layoutInCell="1" allowOverlap="1" wp14:anchorId="666772CF" wp14:editId="700EDA1C">
            <wp:simplePos x="0" y="0"/>
            <wp:positionH relativeFrom="margin">
              <wp:posOffset>1554480</wp:posOffset>
            </wp:positionH>
            <wp:positionV relativeFrom="paragraph">
              <wp:posOffset>316865</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0388CA37" w14:textId="2FD814FD" w:rsidR="000405BC" w:rsidRDefault="000405BC" w:rsidP="00EE5A40">
      <w:pPr>
        <w:spacing w:line="276" w:lineRule="auto"/>
        <w:rPr>
          <w:rFonts w:ascii="Arial" w:hAnsi="Arial" w:cs="Arial"/>
          <w:b/>
          <w:bCs/>
          <w:color w:val="000000" w:themeColor="text1"/>
          <w:sz w:val="32"/>
          <w:szCs w:val="28"/>
        </w:rPr>
      </w:pPr>
      <w:r>
        <w:rPr>
          <w:rFonts w:ascii="Arial" w:hAnsi="Arial" w:cs="Arial"/>
          <w:b/>
          <w:bCs/>
          <w:color w:val="000000" w:themeColor="text1"/>
          <w:sz w:val="32"/>
          <w:szCs w:val="28"/>
        </w:rPr>
        <w:t xml:space="preserve">                                    </w:t>
      </w:r>
    </w:p>
    <w:p w14:paraId="09EFD7A9" w14:textId="77777777" w:rsidR="000405BC" w:rsidRDefault="000405BC" w:rsidP="00EE5A40">
      <w:pPr>
        <w:spacing w:line="276" w:lineRule="auto"/>
        <w:rPr>
          <w:rFonts w:ascii="Arial" w:hAnsi="Arial" w:cs="Arial"/>
          <w:b/>
          <w:bCs/>
          <w:color w:val="000000" w:themeColor="text1"/>
          <w:sz w:val="32"/>
          <w:szCs w:val="28"/>
        </w:rPr>
      </w:pPr>
    </w:p>
    <w:p w14:paraId="51312BC3" w14:textId="77777777" w:rsidR="000405BC" w:rsidRDefault="000405BC" w:rsidP="00EE5A40">
      <w:pPr>
        <w:spacing w:line="276" w:lineRule="auto"/>
        <w:rPr>
          <w:rFonts w:ascii="Arial" w:hAnsi="Arial" w:cs="Arial"/>
          <w:b/>
          <w:bCs/>
          <w:color w:val="000000" w:themeColor="text1"/>
          <w:sz w:val="32"/>
          <w:szCs w:val="28"/>
        </w:rPr>
      </w:pPr>
    </w:p>
    <w:p w14:paraId="04D25C10" w14:textId="77777777" w:rsidR="000405BC" w:rsidRDefault="000405BC" w:rsidP="00EE5A40">
      <w:pPr>
        <w:spacing w:line="276" w:lineRule="auto"/>
        <w:rPr>
          <w:rFonts w:ascii="Arial" w:hAnsi="Arial" w:cs="Arial"/>
          <w:b/>
          <w:bCs/>
          <w:color w:val="000000" w:themeColor="text1"/>
          <w:sz w:val="32"/>
          <w:szCs w:val="28"/>
        </w:rPr>
      </w:pPr>
    </w:p>
    <w:p w14:paraId="6668A89C" w14:textId="60BF77B8" w:rsidR="000405BC" w:rsidRDefault="000405BC" w:rsidP="00EE5A40">
      <w:pPr>
        <w:spacing w:line="276" w:lineRule="auto"/>
        <w:rPr>
          <w:rFonts w:ascii="Arial" w:hAnsi="Arial" w:cs="Arial"/>
          <w:b/>
          <w:bCs/>
          <w:color w:val="000000" w:themeColor="text1"/>
          <w:sz w:val="32"/>
          <w:szCs w:val="28"/>
        </w:rPr>
      </w:pPr>
      <w:r>
        <w:rPr>
          <w:rFonts w:ascii="Arial" w:hAnsi="Arial" w:cs="Arial"/>
          <w:b/>
          <w:bCs/>
          <w:color w:val="000000" w:themeColor="text1"/>
          <w:sz w:val="32"/>
          <w:szCs w:val="28"/>
        </w:rPr>
        <w:t xml:space="preserve">                      </w:t>
      </w:r>
    </w:p>
    <w:p w14:paraId="1604941B" w14:textId="3075BE7F" w:rsidR="000405BC" w:rsidRPr="00C2587B" w:rsidRDefault="000405BC" w:rsidP="000405BC">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hAnsi="Arial" w:cs="Arial"/>
          <w:b/>
          <w:bCs/>
          <w:color w:val="000000" w:themeColor="text1"/>
          <w:sz w:val="32"/>
          <w:szCs w:val="28"/>
        </w:rPr>
        <w:t xml:space="preserve">       </w:t>
      </w:r>
      <w:r w:rsidRPr="00C2587B">
        <w:rPr>
          <w:rFonts w:ascii="Arial" w:hAnsi="Arial" w:cs="Arial"/>
          <w:b/>
          <w:sz w:val="24"/>
          <w:szCs w:val="24"/>
        </w:rPr>
        <w:t>Programme:</w:t>
      </w:r>
      <w:r w:rsidRPr="00C2587B">
        <w:rPr>
          <w:rFonts w:ascii="Arial" w:eastAsia="Arial" w:hAnsi="Arial" w:cs="Arial"/>
          <w:b/>
          <w:color w:val="000000"/>
          <w:sz w:val="24"/>
          <w:szCs w:val="24"/>
        </w:rPr>
        <w:t xml:space="preserve"> Master of Business Administration</w:t>
      </w:r>
    </w:p>
    <w:p w14:paraId="48B29B69" w14:textId="77777777" w:rsidR="000405BC" w:rsidRPr="00C2587B" w:rsidRDefault="000405BC" w:rsidP="000405BC">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 xml:space="preserve">   Module:</w:t>
      </w:r>
      <w:r w:rsidRPr="00C2587B">
        <w:rPr>
          <w:rFonts w:ascii="Arial" w:eastAsia="Arial" w:hAnsi="Arial" w:cs="Arial"/>
          <w:b/>
          <w:color w:val="000000"/>
          <w:sz w:val="24"/>
          <w:szCs w:val="24"/>
        </w:rPr>
        <w:t xml:space="preserve"> Human Capital Management</w:t>
      </w:r>
    </w:p>
    <w:p w14:paraId="0700EF8D" w14:textId="77777777" w:rsidR="000405BC" w:rsidRPr="00C2587B" w:rsidRDefault="000405BC" w:rsidP="000405BC">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 xml:space="preserve">Module code: </w:t>
      </w:r>
      <w:r w:rsidRPr="00C2587B">
        <w:rPr>
          <w:rFonts w:ascii="Arial" w:eastAsia="Arial" w:hAnsi="Arial" w:cs="Arial"/>
          <w:b/>
          <w:color w:val="000000"/>
          <w:sz w:val="24"/>
          <w:szCs w:val="24"/>
        </w:rPr>
        <w:t>LCMB7023</w:t>
      </w:r>
    </w:p>
    <w:p w14:paraId="49F2B6FC" w14:textId="77777777" w:rsidR="000405BC" w:rsidRPr="00C2587B" w:rsidRDefault="000405BC" w:rsidP="000405BC">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Assignment Title:</w:t>
      </w:r>
      <w:r w:rsidRPr="00C2587B">
        <w:rPr>
          <w:rFonts w:ascii="Arial" w:eastAsia="Arial" w:hAnsi="Arial" w:cs="Arial"/>
          <w:b/>
          <w:color w:val="000000"/>
          <w:sz w:val="24"/>
          <w:szCs w:val="24"/>
        </w:rPr>
        <w:t xml:space="preserve"> Assessment component 1: Individual report</w:t>
      </w:r>
    </w:p>
    <w:p w14:paraId="7F62B550" w14:textId="77777777" w:rsidR="000405BC" w:rsidRPr="00C2587B" w:rsidRDefault="000405BC" w:rsidP="000405BC">
      <w:pPr>
        <w:pStyle w:val="Normal1"/>
        <w:pBdr>
          <w:top w:val="nil"/>
          <w:left w:val="nil"/>
          <w:bottom w:val="nil"/>
          <w:right w:val="nil"/>
          <w:between w:val="nil"/>
        </w:pBdr>
        <w:spacing w:line="360" w:lineRule="auto"/>
        <w:ind w:left="720"/>
        <w:jc w:val="center"/>
        <w:rPr>
          <w:rFonts w:ascii="Arial" w:eastAsia="Arial" w:hAnsi="Arial" w:cs="Arial"/>
          <w:b/>
          <w:color w:val="000000"/>
          <w:sz w:val="24"/>
          <w:szCs w:val="24"/>
        </w:rPr>
      </w:pPr>
      <w:r w:rsidRPr="00C2587B">
        <w:rPr>
          <w:rFonts w:ascii="Arial" w:eastAsia="Arial" w:hAnsi="Arial" w:cs="Arial"/>
          <w:b/>
          <w:color w:val="000000"/>
          <w:sz w:val="24"/>
          <w:szCs w:val="24"/>
        </w:rPr>
        <w:t>THE INFLUENCE OF NATIONAL AND INTERNATIONAL LABOUR MARKETS ON HRM AND IHRM STRATEGIES</w:t>
      </w:r>
    </w:p>
    <w:p w14:paraId="08D2C11E" w14:textId="685907DE" w:rsidR="000405BC" w:rsidRPr="00C2587B" w:rsidRDefault="000405BC" w:rsidP="000405BC">
      <w:pPr>
        <w:pStyle w:val="Normal1"/>
        <w:pBdr>
          <w:top w:val="nil"/>
          <w:left w:val="nil"/>
          <w:bottom w:val="nil"/>
          <w:right w:val="nil"/>
          <w:between w:val="nil"/>
        </w:pBdr>
        <w:spacing w:line="360" w:lineRule="auto"/>
        <w:rPr>
          <w:rFonts w:ascii="Arial" w:eastAsia="Arial" w:hAnsi="Arial" w:cs="Arial"/>
          <w:b/>
          <w:color w:val="000000"/>
          <w:sz w:val="24"/>
          <w:szCs w:val="24"/>
        </w:rPr>
      </w:pPr>
      <w:r w:rsidRPr="00C2587B">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  </w:t>
      </w:r>
      <w:r w:rsidRPr="00C2587B">
        <w:rPr>
          <w:rFonts w:ascii="Arial" w:hAnsi="Arial" w:cs="Arial"/>
          <w:b/>
          <w:sz w:val="24"/>
          <w:szCs w:val="24"/>
        </w:rPr>
        <w:t>Lecturer: Ejike Udeogu</w:t>
      </w:r>
    </w:p>
    <w:p w14:paraId="1847438A" w14:textId="3019C9A2" w:rsidR="000405BC" w:rsidRPr="00C2587B" w:rsidRDefault="000405BC" w:rsidP="000405BC">
      <w:pPr>
        <w:pStyle w:val="Normal1"/>
        <w:pBdr>
          <w:top w:val="nil"/>
          <w:left w:val="nil"/>
          <w:bottom w:val="nil"/>
          <w:right w:val="nil"/>
          <w:between w:val="nil"/>
        </w:pBdr>
        <w:spacing w:line="360" w:lineRule="auto"/>
        <w:rPr>
          <w:rFonts w:ascii="Arial" w:eastAsia="Arial" w:hAnsi="Arial" w:cs="Arial"/>
          <w:color w:val="000000"/>
          <w:sz w:val="24"/>
          <w:szCs w:val="24"/>
        </w:rPr>
      </w:pPr>
      <w:r w:rsidRPr="00C2587B">
        <w:rPr>
          <w:rFonts w:ascii="Arial" w:eastAsia="Arial" w:hAnsi="Arial" w:cs="Arial"/>
          <w:color w:val="000000"/>
          <w:sz w:val="24"/>
          <w:szCs w:val="24"/>
        </w:rPr>
        <w:t xml:space="preserve">                </w:t>
      </w:r>
      <w:r>
        <w:rPr>
          <w:rFonts w:ascii="Arial" w:eastAsia="Arial" w:hAnsi="Arial" w:cs="Arial"/>
          <w:color w:val="000000"/>
          <w:sz w:val="24"/>
          <w:szCs w:val="24"/>
        </w:rPr>
        <w:t xml:space="preserve">         </w:t>
      </w:r>
      <w:r w:rsidRPr="00C2587B">
        <w:rPr>
          <w:rFonts w:ascii="Arial" w:eastAsia="Arial" w:hAnsi="Arial" w:cs="Arial"/>
          <w:color w:val="000000"/>
          <w:sz w:val="24"/>
          <w:szCs w:val="24"/>
        </w:rPr>
        <w:t xml:space="preserve">  </w:t>
      </w:r>
      <w:r>
        <w:rPr>
          <w:rFonts w:ascii="Arial" w:eastAsia="Arial" w:hAnsi="Arial" w:cs="Arial"/>
          <w:color w:val="000000"/>
          <w:sz w:val="24"/>
          <w:szCs w:val="24"/>
        </w:rPr>
        <w:t xml:space="preserve">      </w:t>
      </w:r>
      <w:r w:rsidRPr="00C2587B">
        <w:rPr>
          <w:rFonts w:ascii="Arial" w:eastAsia="Arial" w:hAnsi="Arial" w:cs="Arial"/>
          <w:color w:val="000000"/>
          <w:sz w:val="24"/>
          <w:szCs w:val="24"/>
        </w:rPr>
        <w:t xml:space="preserve">   </w:t>
      </w:r>
      <w:r w:rsidRPr="00C2587B">
        <w:rPr>
          <w:rFonts w:ascii="Arial" w:eastAsia="Arial" w:hAnsi="Arial" w:cs="Arial"/>
          <w:b/>
          <w:color w:val="000000"/>
          <w:sz w:val="24"/>
          <w:szCs w:val="24"/>
        </w:rPr>
        <w:t>Student name:</w:t>
      </w:r>
      <w:r>
        <w:rPr>
          <w:rFonts w:ascii="Arial" w:eastAsia="Arial" w:hAnsi="Arial" w:cs="Arial"/>
          <w:b/>
          <w:color w:val="000000"/>
          <w:sz w:val="24"/>
          <w:szCs w:val="24"/>
        </w:rPr>
        <w:t xml:space="preserve"> Raj Nathabhai Parmar</w:t>
      </w:r>
    </w:p>
    <w:p w14:paraId="00F6BBFC" w14:textId="2A05F678" w:rsidR="000405BC" w:rsidRPr="00C2587B" w:rsidRDefault="000405BC" w:rsidP="000405BC">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eastAsia="Arial" w:hAnsi="Arial" w:cs="Arial"/>
          <w:b/>
          <w:color w:val="000000"/>
          <w:sz w:val="24"/>
          <w:szCs w:val="24"/>
        </w:rPr>
        <w:t xml:space="preserve">Student ID number: </w:t>
      </w:r>
      <w:r>
        <w:rPr>
          <w:rFonts w:ascii="Arial" w:eastAsia="Arial" w:hAnsi="Arial" w:cs="Arial"/>
          <w:b/>
          <w:color w:val="000000"/>
          <w:sz w:val="24"/>
          <w:szCs w:val="24"/>
        </w:rPr>
        <w:t>2507754</w:t>
      </w:r>
    </w:p>
    <w:p w14:paraId="14966487" w14:textId="6A544CD9" w:rsidR="000405BC" w:rsidRPr="00C2587B" w:rsidRDefault="000405BC" w:rsidP="000405BC">
      <w:pPr>
        <w:pStyle w:val="Normal1"/>
        <w:pBdr>
          <w:top w:val="nil"/>
          <w:left w:val="nil"/>
          <w:bottom w:val="nil"/>
          <w:right w:val="nil"/>
          <w:between w:val="nil"/>
        </w:pBdr>
        <w:spacing w:line="360" w:lineRule="auto"/>
        <w:rPr>
          <w:rFonts w:ascii="Arial" w:eastAsia="Arial" w:hAnsi="Arial" w:cs="Arial"/>
          <w:color w:val="000000"/>
          <w:sz w:val="24"/>
          <w:szCs w:val="24"/>
        </w:rPr>
      </w:pPr>
      <w:r w:rsidRPr="00C2587B">
        <w:rPr>
          <w:rFonts w:ascii="Arial" w:eastAsia="Arial" w:hAnsi="Arial" w:cs="Arial"/>
          <w:b/>
          <w:color w:val="000000"/>
          <w:sz w:val="24"/>
          <w:szCs w:val="24"/>
        </w:rPr>
        <w:t xml:space="preserve">                                        </w:t>
      </w:r>
      <w:r w:rsidR="00B56339">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       Word count:</w:t>
      </w:r>
      <w:r w:rsidRPr="00C2587B">
        <w:rPr>
          <w:rFonts w:ascii="Arial" w:eastAsia="Arial" w:hAnsi="Arial" w:cs="Arial"/>
          <w:color w:val="000000"/>
          <w:sz w:val="24"/>
          <w:szCs w:val="24"/>
        </w:rPr>
        <w:t xml:space="preserve"> </w:t>
      </w:r>
      <w:r w:rsidR="00940050" w:rsidRPr="00940050">
        <w:rPr>
          <w:rFonts w:ascii="Arial" w:eastAsia="Arial" w:hAnsi="Arial" w:cs="Arial"/>
          <w:b/>
          <w:color w:val="000000"/>
          <w:sz w:val="24"/>
          <w:szCs w:val="24"/>
        </w:rPr>
        <w:t>2735</w:t>
      </w:r>
    </w:p>
    <w:p w14:paraId="689B4870" w14:textId="3F150277" w:rsidR="000405BC" w:rsidRDefault="000405BC" w:rsidP="000405BC">
      <w:pPr>
        <w:pStyle w:val="Normal1"/>
        <w:pBdr>
          <w:top w:val="nil"/>
          <w:left w:val="nil"/>
          <w:bottom w:val="nil"/>
          <w:right w:val="nil"/>
          <w:between w:val="nil"/>
        </w:pBdr>
        <w:spacing w:line="360" w:lineRule="auto"/>
        <w:rPr>
          <w:rFonts w:ascii="Arial" w:eastAsia="Arial" w:hAnsi="Arial" w:cs="Arial"/>
          <w:b/>
          <w:color w:val="000000"/>
          <w:sz w:val="32"/>
          <w:szCs w:val="32"/>
        </w:rPr>
      </w:pPr>
      <w:r w:rsidRPr="00C2587B">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00B56339">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Submission date: </w:t>
      </w:r>
      <w:r w:rsidRPr="00C2587B">
        <w:rPr>
          <w:rFonts w:ascii="Arial" w:eastAsia="Arial" w:hAnsi="Arial" w:cs="Arial"/>
          <w:b/>
          <w:bCs/>
          <w:color w:val="000000"/>
          <w:sz w:val="24"/>
          <w:szCs w:val="24"/>
        </w:rPr>
        <w:t>17/10/2025</w:t>
      </w:r>
      <w:r>
        <w:br w:type="page"/>
      </w:r>
    </w:p>
    <w:sdt>
      <w:sdtPr>
        <w:rPr>
          <w:rFonts w:eastAsiaTheme="minorHAnsi"/>
          <w:kern w:val="2"/>
          <w:sz w:val="24"/>
          <w:szCs w:val="22"/>
          <w14:ligatures w14:val="standardContextual"/>
        </w:rPr>
        <w:id w:val="249088142"/>
        <w:docPartObj>
          <w:docPartGallery w:val="Table of Contents"/>
          <w:docPartUnique/>
        </w:docPartObj>
      </w:sdtPr>
      <w:sdtEndPr>
        <w:rPr>
          <w:rFonts w:ascii="Arial" w:hAnsi="Arial"/>
          <w:b/>
          <w:bCs/>
          <w:noProof/>
          <w:color w:val="000000" w:themeColor="text1"/>
        </w:rPr>
      </w:sdtEndPr>
      <w:sdtContent>
        <w:p w14:paraId="29FC4A75" w14:textId="010B8CEE" w:rsidR="00E83D73" w:rsidRDefault="00B56339" w:rsidP="00EB668B">
          <w:pPr>
            <w:pStyle w:val="TOCHeading"/>
            <w:rPr>
              <w:b/>
              <w:color w:val="auto"/>
            </w:rPr>
          </w:pPr>
          <w:r>
            <w:rPr>
              <w:rFonts w:eastAsiaTheme="minorHAnsi"/>
              <w:kern w:val="2"/>
              <w:sz w:val="24"/>
              <w:szCs w:val="22"/>
              <w14:ligatures w14:val="standardContextual"/>
            </w:rPr>
            <w:t xml:space="preserve">                                                                </w:t>
          </w:r>
          <w:r w:rsidR="00E83D73" w:rsidRPr="00B56339">
            <w:rPr>
              <w:b/>
              <w:color w:val="auto"/>
            </w:rPr>
            <w:t>Table of Contents</w:t>
          </w:r>
        </w:p>
        <w:p w14:paraId="35198DB0" w14:textId="77777777" w:rsidR="00B56339" w:rsidRDefault="00B56339" w:rsidP="00B56339"/>
        <w:p w14:paraId="0A5141C1" w14:textId="77777777" w:rsidR="00B56339" w:rsidRPr="00B56339" w:rsidRDefault="00B56339" w:rsidP="00B56339"/>
        <w:p w14:paraId="6849B9E6" w14:textId="64E9670F" w:rsidR="006D40B0" w:rsidRPr="00EE5A40" w:rsidRDefault="00E83D73" w:rsidP="00004F60">
          <w:pPr>
            <w:pStyle w:val="TOC1"/>
            <w:tabs>
              <w:tab w:val="right" w:leader="dot" w:pos="9350"/>
            </w:tabs>
            <w:rPr>
              <w:rFonts w:ascii="Arial" w:eastAsiaTheme="minorEastAsia" w:hAnsi="Arial" w:cs="Arial"/>
              <w:noProof/>
              <w:color w:val="000000" w:themeColor="text1"/>
              <w:szCs w:val="24"/>
            </w:rPr>
          </w:pPr>
          <w:r w:rsidRPr="00EE5A40">
            <w:rPr>
              <w:rFonts w:ascii="Arial" w:hAnsi="Arial" w:cs="Arial"/>
              <w:color w:val="000000" w:themeColor="text1"/>
            </w:rPr>
            <w:fldChar w:fldCharType="begin"/>
          </w:r>
          <w:r w:rsidRPr="00EE5A40">
            <w:rPr>
              <w:rFonts w:ascii="Arial" w:hAnsi="Arial" w:cs="Arial"/>
              <w:color w:val="000000" w:themeColor="text1"/>
            </w:rPr>
            <w:instrText xml:space="preserve"> TOC \o "1-3" \h \z \u </w:instrText>
          </w:r>
          <w:r w:rsidRPr="00EE5A40">
            <w:rPr>
              <w:rFonts w:ascii="Arial" w:hAnsi="Arial" w:cs="Arial"/>
              <w:color w:val="000000" w:themeColor="text1"/>
            </w:rPr>
            <w:fldChar w:fldCharType="separate"/>
          </w:r>
          <w:hyperlink w:anchor="_Toc211012159" w:history="1">
            <w:r w:rsidR="006D40B0" w:rsidRPr="00EE5A40">
              <w:rPr>
                <w:rStyle w:val="Hyperlink"/>
                <w:rFonts w:ascii="Arial" w:hAnsi="Arial" w:cs="Arial"/>
                <w:noProof/>
                <w:color w:val="000000" w:themeColor="text1"/>
              </w:rPr>
              <w:t>Introduction</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_Toc211012159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3</w:t>
            </w:r>
            <w:r w:rsidR="006D40B0" w:rsidRPr="00EE5A40">
              <w:rPr>
                <w:rFonts w:ascii="Arial" w:hAnsi="Arial" w:cs="Arial"/>
                <w:noProof/>
                <w:webHidden/>
                <w:color w:val="000000" w:themeColor="text1"/>
              </w:rPr>
              <w:fldChar w:fldCharType="end"/>
            </w:r>
          </w:hyperlink>
        </w:p>
        <w:p w14:paraId="6F6DA1D1" w14:textId="17904344" w:rsidR="006D40B0" w:rsidRPr="00EE5A40" w:rsidRDefault="009C1B10" w:rsidP="00004F60">
          <w:pPr>
            <w:pStyle w:val="TOC1"/>
            <w:tabs>
              <w:tab w:val="right" w:leader="dot" w:pos="9350"/>
            </w:tabs>
            <w:rPr>
              <w:rFonts w:ascii="Arial" w:eastAsiaTheme="minorEastAsia" w:hAnsi="Arial" w:cs="Arial"/>
              <w:noProof/>
              <w:color w:val="000000" w:themeColor="text1"/>
              <w:szCs w:val="24"/>
            </w:rPr>
          </w:pPr>
          <w:hyperlink w:anchor="_Toc211012160" w:history="1">
            <w:r w:rsidR="006D40B0" w:rsidRPr="00EE5A40">
              <w:rPr>
                <w:rStyle w:val="Hyperlink"/>
                <w:rFonts w:ascii="Arial" w:hAnsi="Arial" w:cs="Arial"/>
                <w:noProof/>
                <w:color w:val="000000" w:themeColor="text1"/>
              </w:rPr>
              <w:t>1. Technological Advancements and Labour Markets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_Toc211012160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3</w:t>
            </w:r>
            <w:r w:rsidR="006D40B0" w:rsidRPr="00EE5A40">
              <w:rPr>
                <w:rFonts w:ascii="Arial" w:hAnsi="Arial" w:cs="Arial"/>
                <w:noProof/>
                <w:webHidden/>
                <w:color w:val="000000" w:themeColor="text1"/>
              </w:rPr>
              <w:fldChar w:fldCharType="end"/>
            </w:r>
          </w:hyperlink>
        </w:p>
        <w:p w14:paraId="5BE5CA08" w14:textId="2C89D299"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1.1 </w:t>
          </w:r>
          <w:hyperlink w:anchor="_Toc211012161" w:history="1">
            <w:r w:rsidR="006D40B0" w:rsidRPr="00EE5A40">
              <w:rPr>
                <w:rStyle w:val="Hyperlink"/>
                <w:rFonts w:ascii="Arial" w:hAnsi="Arial" w:cs="Arial"/>
                <w:noProof/>
                <w:color w:val="000000" w:themeColor="text1"/>
              </w:rPr>
              <w:t>Reshaping Work through AI, Automation and Platforms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_Toc211012161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3</w:t>
            </w:r>
            <w:r w:rsidR="006D40B0" w:rsidRPr="00EE5A40">
              <w:rPr>
                <w:rFonts w:ascii="Arial" w:hAnsi="Arial" w:cs="Arial"/>
                <w:noProof/>
                <w:webHidden/>
                <w:color w:val="000000" w:themeColor="text1"/>
              </w:rPr>
              <w:fldChar w:fldCharType="end"/>
            </w:r>
          </w:hyperlink>
        </w:p>
        <w:p w14:paraId="19847F88" w14:textId="7B333D40"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1.2 </w:t>
          </w:r>
          <w:hyperlink w:anchor="_Toc211012162" w:history="1">
            <w:r w:rsidR="006D40B0" w:rsidRPr="00EE5A40">
              <w:rPr>
                <w:rStyle w:val="Hyperlink"/>
                <w:rFonts w:ascii="Arial" w:hAnsi="Arial" w:cs="Arial"/>
                <w:noProof/>
                <w:color w:val="000000" w:themeColor="text1"/>
              </w:rPr>
              <w:t>Labour-Market Consequences: Tasks, Skills and Contracts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_Toc211012162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4</w:t>
            </w:r>
            <w:r w:rsidR="006D40B0" w:rsidRPr="00EE5A40">
              <w:rPr>
                <w:rFonts w:ascii="Arial" w:hAnsi="Arial" w:cs="Arial"/>
                <w:noProof/>
                <w:webHidden/>
                <w:color w:val="000000" w:themeColor="text1"/>
              </w:rPr>
              <w:fldChar w:fldCharType="end"/>
            </w:r>
          </w:hyperlink>
        </w:p>
        <w:p w14:paraId="0B1D4A18" w14:textId="1BBF5908"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1.3 </w:t>
          </w:r>
          <w:hyperlink w:anchor="_Toc211012163" w:history="1">
            <w:r w:rsidR="006D40B0" w:rsidRPr="00EE5A40">
              <w:rPr>
                <w:rStyle w:val="Hyperlink"/>
                <w:rFonts w:ascii="Arial" w:hAnsi="Arial" w:cs="Arial"/>
                <w:noProof/>
                <w:color w:val="000000" w:themeColor="text1"/>
              </w:rPr>
              <w:t>Implications for HRM: From Headcount to Skills Intelligence</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_Toc211012163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5</w:t>
            </w:r>
            <w:r w:rsidR="006D40B0" w:rsidRPr="00EE5A40">
              <w:rPr>
                <w:rFonts w:ascii="Arial" w:hAnsi="Arial" w:cs="Arial"/>
                <w:noProof/>
                <w:webHidden/>
                <w:color w:val="000000" w:themeColor="text1"/>
              </w:rPr>
              <w:fldChar w:fldCharType="end"/>
            </w:r>
          </w:hyperlink>
        </w:p>
        <w:p w14:paraId="7DB02B58" w14:textId="6C4B2397"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1.4 </w:t>
          </w:r>
          <w:hyperlink w:anchor="_Toc211012164" w:history="1">
            <w:r w:rsidR="006D40B0" w:rsidRPr="00EE5A40">
              <w:rPr>
                <w:rStyle w:val="Hyperlink"/>
                <w:rFonts w:ascii="Arial" w:hAnsi="Arial" w:cs="Arial"/>
                <w:noProof/>
                <w:color w:val="000000" w:themeColor="text1"/>
              </w:rPr>
              <w:t>Implications for IHRM: Global Reach with Higher Compliance Complexity</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_Toc211012164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5</w:t>
            </w:r>
            <w:r w:rsidR="006D40B0" w:rsidRPr="00EE5A40">
              <w:rPr>
                <w:rFonts w:ascii="Arial" w:hAnsi="Arial" w:cs="Arial"/>
                <w:noProof/>
                <w:webHidden/>
                <w:color w:val="000000" w:themeColor="text1"/>
              </w:rPr>
              <w:fldChar w:fldCharType="end"/>
            </w:r>
          </w:hyperlink>
        </w:p>
        <w:p w14:paraId="6A7BCABF" w14:textId="2C50F1E8"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1.5 </w:t>
          </w:r>
          <w:hyperlink w:anchor="_Toc211012165" w:history="1">
            <w:r w:rsidR="006D40B0" w:rsidRPr="00EE5A40">
              <w:rPr>
                <w:rStyle w:val="Hyperlink"/>
                <w:rFonts w:ascii="Arial" w:hAnsi="Arial" w:cs="Arial"/>
                <w:noProof/>
                <w:color w:val="000000" w:themeColor="text1"/>
              </w:rPr>
              <w:t>Synthesis: Human-Centred, Data-Driven People Strategy</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_Toc211012165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6</w:t>
            </w:r>
            <w:r w:rsidR="006D40B0" w:rsidRPr="00EE5A40">
              <w:rPr>
                <w:rFonts w:ascii="Arial" w:hAnsi="Arial" w:cs="Arial"/>
                <w:noProof/>
                <w:webHidden/>
                <w:color w:val="000000" w:themeColor="text1"/>
              </w:rPr>
              <w:fldChar w:fldCharType="end"/>
            </w:r>
          </w:hyperlink>
        </w:p>
        <w:p w14:paraId="2A1E044A" w14:textId="67598BF2" w:rsidR="006D40B0" w:rsidRPr="00EE5A40" w:rsidRDefault="009C1B10" w:rsidP="00004F60">
          <w:pPr>
            <w:pStyle w:val="TOC1"/>
            <w:tabs>
              <w:tab w:val="right" w:leader="dot" w:pos="9350"/>
            </w:tabs>
            <w:rPr>
              <w:rFonts w:ascii="Arial" w:eastAsiaTheme="minorEastAsia" w:hAnsi="Arial" w:cs="Arial"/>
              <w:noProof/>
              <w:color w:val="000000" w:themeColor="text1"/>
              <w:szCs w:val="24"/>
            </w:rPr>
          </w:pPr>
          <w:hyperlink w:anchor="_Toc211012166" w:history="1">
            <w:r w:rsidR="006D40B0" w:rsidRPr="00EE5A40">
              <w:rPr>
                <w:rStyle w:val="Hyperlink"/>
                <w:rFonts w:ascii="Arial" w:hAnsi="Arial" w:cs="Arial"/>
                <w:noProof/>
                <w:color w:val="000000" w:themeColor="text1"/>
              </w:rPr>
              <w:t>2. Demographic and Geopolitical Factors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_Toc211012166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6</w:t>
            </w:r>
            <w:r w:rsidR="006D40B0" w:rsidRPr="00EE5A40">
              <w:rPr>
                <w:rFonts w:ascii="Arial" w:hAnsi="Arial" w:cs="Arial"/>
                <w:noProof/>
                <w:webHidden/>
                <w:color w:val="000000" w:themeColor="text1"/>
              </w:rPr>
              <w:fldChar w:fldCharType="end"/>
            </w:r>
          </w:hyperlink>
        </w:p>
        <w:p w14:paraId="5C974ADF" w14:textId="5CAEF619"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2.1 </w:t>
          </w:r>
          <w:hyperlink w:anchor="_Toc211012167" w:history="1">
            <w:r w:rsidR="006D40B0" w:rsidRPr="00EE5A40">
              <w:rPr>
                <w:rStyle w:val="Hyperlink"/>
                <w:rFonts w:ascii="Arial" w:hAnsi="Arial" w:cs="Arial"/>
                <w:noProof/>
                <w:color w:val="000000" w:themeColor="text1"/>
              </w:rPr>
              <w:t>Demographic Shifts and Workforce Participation</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_Toc211012167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6</w:t>
            </w:r>
            <w:r w:rsidR="006D40B0" w:rsidRPr="00EE5A40">
              <w:rPr>
                <w:rFonts w:ascii="Arial" w:hAnsi="Arial" w:cs="Arial"/>
                <w:noProof/>
                <w:webHidden/>
                <w:color w:val="000000" w:themeColor="text1"/>
              </w:rPr>
              <w:fldChar w:fldCharType="end"/>
            </w:r>
          </w:hyperlink>
        </w:p>
        <w:p w14:paraId="33202B7F" w14:textId="182EAB06"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2.2 </w:t>
          </w:r>
          <w:hyperlink w:anchor="_Toc211012168" w:history="1">
            <w:r w:rsidR="006D40B0" w:rsidRPr="00EE5A40">
              <w:rPr>
                <w:rStyle w:val="Hyperlink"/>
                <w:rFonts w:ascii="Arial" w:hAnsi="Arial" w:cs="Arial"/>
                <w:noProof/>
                <w:color w:val="000000" w:themeColor="text1"/>
              </w:rPr>
              <w:t>Geopolitical Volatility and Market Realignment</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_Toc211012168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7</w:t>
            </w:r>
            <w:r w:rsidR="006D40B0" w:rsidRPr="00EE5A40">
              <w:rPr>
                <w:rFonts w:ascii="Arial" w:hAnsi="Arial" w:cs="Arial"/>
                <w:noProof/>
                <w:webHidden/>
                <w:color w:val="000000" w:themeColor="text1"/>
              </w:rPr>
              <w:fldChar w:fldCharType="end"/>
            </w:r>
          </w:hyperlink>
        </w:p>
        <w:p w14:paraId="743182D9" w14:textId="32EADB0D"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2.3 </w:t>
          </w:r>
          <w:hyperlink w:anchor="_Toc211012169" w:history="1">
            <w:r w:rsidR="006D40B0" w:rsidRPr="00EE5A40">
              <w:rPr>
                <w:rStyle w:val="Hyperlink"/>
                <w:rFonts w:ascii="Arial" w:hAnsi="Arial" w:cs="Arial"/>
                <w:noProof/>
                <w:color w:val="000000" w:themeColor="text1"/>
              </w:rPr>
              <w:t>HRM Implications: Planning, Resilience, and Inclusion</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_Toc211012169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8</w:t>
            </w:r>
            <w:r w:rsidR="006D40B0" w:rsidRPr="00EE5A40">
              <w:rPr>
                <w:rFonts w:ascii="Arial" w:hAnsi="Arial" w:cs="Arial"/>
                <w:noProof/>
                <w:webHidden/>
                <w:color w:val="000000" w:themeColor="text1"/>
              </w:rPr>
              <w:fldChar w:fldCharType="end"/>
            </w:r>
          </w:hyperlink>
        </w:p>
        <w:p w14:paraId="2A75A543" w14:textId="40A41EBD"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2.4 </w:t>
          </w:r>
          <w:hyperlink w:anchor="_Toc211012170" w:history="1">
            <w:r w:rsidR="006D40B0" w:rsidRPr="00EE5A40">
              <w:rPr>
                <w:rStyle w:val="Hyperlink"/>
                <w:rFonts w:ascii="Arial" w:hAnsi="Arial" w:cs="Arial"/>
                <w:noProof/>
                <w:color w:val="000000" w:themeColor="text1"/>
              </w:rPr>
              <w:t>IHRM Imperatives: Global Coherence with Local Sensitivity</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_Toc211012170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9</w:t>
            </w:r>
            <w:r w:rsidR="006D40B0" w:rsidRPr="00EE5A40">
              <w:rPr>
                <w:rFonts w:ascii="Arial" w:hAnsi="Arial" w:cs="Arial"/>
                <w:noProof/>
                <w:webHidden/>
                <w:color w:val="000000" w:themeColor="text1"/>
              </w:rPr>
              <w:fldChar w:fldCharType="end"/>
            </w:r>
          </w:hyperlink>
        </w:p>
        <w:p w14:paraId="7E51BA80" w14:textId="6120F73E" w:rsidR="006D40B0" w:rsidRPr="00EE5A40" w:rsidRDefault="009C1B10" w:rsidP="00004F60">
          <w:pPr>
            <w:pStyle w:val="TOC1"/>
            <w:tabs>
              <w:tab w:val="right" w:leader="dot" w:pos="9350"/>
            </w:tabs>
            <w:rPr>
              <w:rFonts w:ascii="Arial" w:eastAsiaTheme="minorEastAsia" w:hAnsi="Arial" w:cs="Arial"/>
              <w:noProof/>
              <w:color w:val="000000" w:themeColor="text1"/>
              <w:szCs w:val="24"/>
            </w:rPr>
          </w:pPr>
          <w:hyperlink w:anchor="_Toc211012171" w:history="1">
            <w:r w:rsidR="006D40B0" w:rsidRPr="00EE5A40">
              <w:rPr>
                <w:rStyle w:val="Hyperlink"/>
                <w:rFonts w:ascii="Arial" w:hAnsi="Arial" w:cs="Arial"/>
                <w:noProof/>
                <w:color w:val="000000" w:themeColor="text1"/>
              </w:rPr>
              <w:t>3. Addressing Skills Gaps through Strategic HRM</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_Toc211012171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9</w:t>
            </w:r>
            <w:r w:rsidR="006D40B0" w:rsidRPr="00EE5A40">
              <w:rPr>
                <w:rFonts w:ascii="Arial" w:hAnsi="Arial" w:cs="Arial"/>
                <w:noProof/>
                <w:webHidden/>
                <w:color w:val="000000" w:themeColor="text1"/>
              </w:rPr>
              <w:fldChar w:fldCharType="end"/>
            </w:r>
          </w:hyperlink>
        </w:p>
        <w:p w14:paraId="206CC56D" w14:textId="6FE4FB6E"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3.1 </w:t>
          </w:r>
          <w:hyperlink w:anchor="_Toc211012172" w:history="1">
            <w:r w:rsidR="006D40B0" w:rsidRPr="00EE5A40">
              <w:rPr>
                <w:rStyle w:val="Hyperlink"/>
                <w:rFonts w:ascii="Arial" w:hAnsi="Arial" w:cs="Arial"/>
                <w:noProof/>
                <w:color w:val="000000" w:themeColor="text1"/>
              </w:rPr>
              <w:t>Diagnosing Skills Deficits through Strategic Analysis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_Toc211012172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9</w:t>
            </w:r>
            <w:r w:rsidR="006D40B0" w:rsidRPr="00EE5A40">
              <w:rPr>
                <w:rFonts w:ascii="Arial" w:hAnsi="Arial" w:cs="Arial"/>
                <w:noProof/>
                <w:webHidden/>
                <w:color w:val="000000" w:themeColor="text1"/>
              </w:rPr>
              <w:fldChar w:fldCharType="end"/>
            </w:r>
          </w:hyperlink>
        </w:p>
        <w:p w14:paraId="07DEA312" w14:textId="7D7E964E"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3.2 </w:t>
          </w:r>
          <w:hyperlink w:anchor="_Toc211012173" w:history="1">
            <w:r w:rsidR="006D40B0" w:rsidRPr="00EE5A40">
              <w:rPr>
                <w:rStyle w:val="Hyperlink"/>
                <w:rFonts w:ascii="Arial" w:hAnsi="Arial" w:cs="Arial"/>
                <w:noProof/>
                <w:color w:val="000000" w:themeColor="text1"/>
              </w:rPr>
              <w:t>Technology Sector: Building Internal Marketplaces and Learning Ecosystems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_Toc211012173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10</w:t>
            </w:r>
            <w:r w:rsidR="006D40B0" w:rsidRPr="00EE5A40">
              <w:rPr>
                <w:rFonts w:ascii="Arial" w:hAnsi="Arial" w:cs="Arial"/>
                <w:noProof/>
                <w:webHidden/>
                <w:color w:val="000000" w:themeColor="text1"/>
              </w:rPr>
              <w:fldChar w:fldCharType="end"/>
            </w:r>
          </w:hyperlink>
        </w:p>
        <w:p w14:paraId="03228D0F" w14:textId="75B4954F"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3.3 </w:t>
          </w:r>
          <w:hyperlink w:anchor="_Toc211012174" w:history="1">
            <w:r w:rsidR="006D40B0" w:rsidRPr="00EE5A40">
              <w:rPr>
                <w:rStyle w:val="Hyperlink"/>
                <w:rFonts w:ascii="Arial" w:hAnsi="Arial" w:cs="Arial"/>
                <w:noProof/>
                <w:color w:val="000000" w:themeColor="text1"/>
              </w:rPr>
              <w:t>Hospitality Sector: Redesigning Work for Flexibility and Career Credibility</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_Toc211012174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10</w:t>
            </w:r>
            <w:r w:rsidR="006D40B0" w:rsidRPr="00EE5A40">
              <w:rPr>
                <w:rFonts w:ascii="Arial" w:hAnsi="Arial" w:cs="Arial"/>
                <w:noProof/>
                <w:webHidden/>
                <w:color w:val="000000" w:themeColor="text1"/>
              </w:rPr>
              <w:fldChar w:fldCharType="end"/>
            </w:r>
          </w:hyperlink>
        </w:p>
        <w:p w14:paraId="5F8A2FAB" w14:textId="4EA7F9D5"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3.4 </w:t>
          </w:r>
          <w:hyperlink w:anchor="_Toc211012175" w:history="1">
            <w:r w:rsidR="006D40B0" w:rsidRPr="00EE5A40">
              <w:rPr>
                <w:rStyle w:val="Hyperlink"/>
                <w:rFonts w:ascii="Arial" w:hAnsi="Arial" w:cs="Arial"/>
                <w:noProof/>
                <w:color w:val="000000" w:themeColor="text1"/>
              </w:rPr>
              <w:t>Healthcare Sector: Expanding Capacity and Protecting Wellbeing</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_Toc211012175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11</w:t>
            </w:r>
            <w:r w:rsidR="006D40B0" w:rsidRPr="00EE5A40">
              <w:rPr>
                <w:rFonts w:ascii="Arial" w:hAnsi="Arial" w:cs="Arial"/>
                <w:noProof/>
                <w:webHidden/>
                <w:color w:val="000000" w:themeColor="text1"/>
              </w:rPr>
              <w:fldChar w:fldCharType="end"/>
            </w:r>
          </w:hyperlink>
        </w:p>
        <w:p w14:paraId="5353AE4E" w14:textId="11F508D1"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3.5 </w:t>
          </w:r>
          <w:hyperlink w:anchor="_Toc211012176" w:history="1">
            <w:r w:rsidR="006D40B0" w:rsidRPr="00EE5A40">
              <w:rPr>
                <w:rStyle w:val="Hyperlink"/>
                <w:rFonts w:ascii="Arial" w:hAnsi="Arial" w:cs="Arial"/>
                <w:noProof/>
                <w:color w:val="000000" w:themeColor="text1"/>
              </w:rPr>
              <w:t>Governance, Measurement, and Manager Enablement</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_Toc211012176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11</w:t>
            </w:r>
            <w:r w:rsidR="006D40B0" w:rsidRPr="00EE5A40">
              <w:rPr>
                <w:rFonts w:ascii="Arial" w:hAnsi="Arial" w:cs="Arial"/>
                <w:noProof/>
                <w:webHidden/>
                <w:color w:val="000000" w:themeColor="text1"/>
              </w:rPr>
              <w:fldChar w:fldCharType="end"/>
            </w:r>
          </w:hyperlink>
        </w:p>
        <w:p w14:paraId="4C52C87E" w14:textId="6591755B" w:rsidR="006D40B0" w:rsidRPr="00EE5A40" w:rsidRDefault="009C1B10" w:rsidP="00004F60">
          <w:pPr>
            <w:pStyle w:val="TOC1"/>
            <w:tabs>
              <w:tab w:val="right" w:leader="dot" w:pos="9350"/>
            </w:tabs>
            <w:rPr>
              <w:rFonts w:ascii="Arial" w:eastAsiaTheme="minorEastAsia" w:hAnsi="Arial" w:cs="Arial"/>
              <w:noProof/>
              <w:color w:val="000000" w:themeColor="text1"/>
              <w:szCs w:val="24"/>
            </w:rPr>
          </w:pPr>
          <w:hyperlink w:anchor="_Toc211012177" w:history="1">
            <w:r w:rsidR="006D40B0" w:rsidRPr="00EE5A40">
              <w:rPr>
                <w:rStyle w:val="Hyperlink"/>
                <w:rFonts w:ascii="Arial" w:hAnsi="Arial" w:cs="Arial"/>
                <w:noProof/>
                <w:color w:val="000000" w:themeColor="text1"/>
              </w:rPr>
              <w:t>4. Reflective Report: International Readiness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_Toc211012177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11</w:t>
            </w:r>
            <w:r w:rsidR="006D40B0" w:rsidRPr="00EE5A40">
              <w:rPr>
                <w:rFonts w:ascii="Arial" w:hAnsi="Arial" w:cs="Arial"/>
                <w:noProof/>
                <w:webHidden/>
                <w:color w:val="000000" w:themeColor="text1"/>
              </w:rPr>
              <w:fldChar w:fldCharType="end"/>
            </w:r>
          </w:hyperlink>
        </w:p>
        <w:p w14:paraId="1EE261AB" w14:textId="3EBA03E5"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4.1 </w:t>
          </w:r>
          <w:hyperlink w:anchor="_Toc211012178" w:history="1">
            <w:r w:rsidR="006D40B0" w:rsidRPr="00EE5A40">
              <w:rPr>
                <w:rStyle w:val="Hyperlink"/>
                <w:rFonts w:ascii="Arial" w:hAnsi="Arial" w:cs="Arial"/>
                <w:noProof/>
                <w:color w:val="000000" w:themeColor="text1"/>
              </w:rPr>
              <w:t>Technology Readiness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_Toc211012178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12</w:t>
            </w:r>
            <w:r w:rsidR="006D40B0" w:rsidRPr="00EE5A40">
              <w:rPr>
                <w:rFonts w:ascii="Arial" w:hAnsi="Arial" w:cs="Arial"/>
                <w:noProof/>
                <w:webHidden/>
                <w:color w:val="000000" w:themeColor="text1"/>
              </w:rPr>
              <w:fldChar w:fldCharType="end"/>
            </w:r>
          </w:hyperlink>
        </w:p>
        <w:p w14:paraId="6DC99311" w14:textId="3F2285D9"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4.2 </w:t>
          </w:r>
          <w:hyperlink w:anchor="_Toc211012179" w:history="1">
            <w:r w:rsidR="006D40B0" w:rsidRPr="00EE5A40">
              <w:rPr>
                <w:rStyle w:val="Hyperlink"/>
                <w:rFonts w:ascii="Arial" w:hAnsi="Arial" w:cs="Arial"/>
                <w:noProof/>
                <w:color w:val="000000" w:themeColor="text1"/>
              </w:rPr>
              <w:t>Communication across Cultures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_Toc211012179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12</w:t>
            </w:r>
            <w:r w:rsidR="006D40B0" w:rsidRPr="00EE5A40">
              <w:rPr>
                <w:rFonts w:ascii="Arial" w:hAnsi="Arial" w:cs="Arial"/>
                <w:noProof/>
                <w:webHidden/>
                <w:color w:val="000000" w:themeColor="text1"/>
              </w:rPr>
              <w:fldChar w:fldCharType="end"/>
            </w:r>
          </w:hyperlink>
        </w:p>
        <w:p w14:paraId="691BEAFC" w14:textId="2ACDA020"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4.3 </w:t>
          </w:r>
          <w:hyperlink w:anchor="_Toc211012180" w:history="1">
            <w:r w:rsidR="006D40B0" w:rsidRPr="00EE5A40">
              <w:rPr>
                <w:rStyle w:val="Hyperlink"/>
                <w:rFonts w:ascii="Arial" w:hAnsi="Arial" w:cs="Arial"/>
                <w:noProof/>
                <w:color w:val="000000" w:themeColor="text1"/>
              </w:rPr>
              <w:t>Teamwork and Collaboration</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_Toc211012180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12</w:t>
            </w:r>
            <w:r w:rsidR="006D40B0" w:rsidRPr="00EE5A40">
              <w:rPr>
                <w:rFonts w:ascii="Arial" w:hAnsi="Arial" w:cs="Arial"/>
                <w:noProof/>
                <w:webHidden/>
                <w:color w:val="000000" w:themeColor="text1"/>
              </w:rPr>
              <w:fldChar w:fldCharType="end"/>
            </w:r>
          </w:hyperlink>
        </w:p>
        <w:p w14:paraId="6F12B078" w14:textId="7EA7EA67"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lastRenderedPageBreak/>
            <w:t xml:space="preserve">4.4 </w:t>
          </w:r>
          <w:hyperlink w:anchor="_Toc211012181" w:history="1">
            <w:r w:rsidR="006D40B0" w:rsidRPr="00EE5A40">
              <w:rPr>
                <w:rStyle w:val="Hyperlink"/>
                <w:rFonts w:ascii="Arial" w:hAnsi="Arial" w:cs="Arial"/>
                <w:noProof/>
                <w:color w:val="000000" w:themeColor="text1"/>
              </w:rPr>
              <w:t>Leadership under Ambiguity</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_Toc211012181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13</w:t>
            </w:r>
            <w:r w:rsidR="006D40B0" w:rsidRPr="00EE5A40">
              <w:rPr>
                <w:rFonts w:ascii="Arial" w:hAnsi="Arial" w:cs="Arial"/>
                <w:noProof/>
                <w:webHidden/>
                <w:color w:val="000000" w:themeColor="text1"/>
              </w:rPr>
              <w:fldChar w:fldCharType="end"/>
            </w:r>
          </w:hyperlink>
        </w:p>
        <w:p w14:paraId="3B08CD27" w14:textId="04DA86BC"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4.5 </w:t>
          </w:r>
          <w:hyperlink w:anchor="_Toc211012182" w:history="1">
            <w:r w:rsidR="006D40B0" w:rsidRPr="00EE5A40">
              <w:rPr>
                <w:rStyle w:val="Hyperlink"/>
                <w:rFonts w:ascii="Arial" w:hAnsi="Arial" w:cs="Arial"/>
                <w:noProof/>
                <w:color w:val="000000" w:themeColor="text1"/>
              </w:rPr>
              <w:t>Self-Directed Learning and Adaptability</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_Toc211012182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13</w:t>
            </w:r>
            <w:r w:rsidR="006D40B0" w:rsidRPr="00EE5A40">
              <w:rPr>
                <w:rFonts w:ascii="Arial" w:hAnsi="Arial" w:cs="Arial"/>
                <w:noProof/>
                <w:webHidden/>
                <w:color w:val="000000" w:themeColor="text1"/>
              </w:rPr>
              <w:fldChar w:fldCharType="end"/>
            </w:r>
          </w:hyperlink>
        </w:p>
        <w:p w14:paraId="5BB317D3" w14:textId="59689B6A"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4.6 </w:t>
          </w:r>
          <w:hyperlink w:anchor="_Toc211012183" w:history="1">
            <w:r w:rsidR="006D40B0" w:rsidRPr="00EE5A40">
              <w:rPr>
                <w:rStyle w:val="Hyperlink"/>
                <w:rFonts w:ascii="Arial" w:hAnsi="Arial" w:cs="Arial"/>
                <w:noProof/>
                <w:color w:val="000000" w:themeColor="text1"/>
              </w:rPr>
              <w:t>Action Plan for the Next Six Months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_Toc211012183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13</w:t>
            </w:r>
            <w:r w:rsidR="006D40B0" w:rsidRPr="00EE5A40">
              <w:rPr>
                <w:rFonts w:ascii="Arial" w:hAnsi="Arial" w:cs="Arial"/>
                <w:noProof/>
                <w:webHidden/>
                <w:color w:val="000000" w:themeColor="text1"/>
              </w:rPr>
              <w:fldChar w:fldCharType="end"/>
            </w:r>
          </w:hyperlink>
        </w:p>
        <w:p w14:paraId="00A5DE83" w14:textId="2425627F" w:rsidR="006D40B0" w:rsidRPr="00EE5A40" w:rsidRDefault="00EE5A40" w:rsidP="00004F60">
          <w:pPr>
            <w:pStyle w:val="TOC2"/>
            <w:tabs>
              <w:tab w:val="right" w:leader="dot" w:pos="9350"/>
            </w:tabs>
            <w:rPr>
              <w:rFonts w:ascii="Arial" w:eastAsiaTheme="minorEastAsia" w:hAnsi="Arial" w:cs="Arial"/>
              <w:noProof/>
              <w:color w:val="000000" w:themeColor="text1"/>
              <w:szCs w:val="24"/>
            </w:rPr>
          </w:pPr>
          <w:r>
            <w:rPr>
              <w:rFonts w:ascii="Arial" w:hAnsi="Arial" w:cs="Arial"/>
              <w:noProof/>
            </w:rPr>
            <w:t xml:space="preserve">4.7 </w:t>
          </w:r>
          <w:hyperlink w:anchor="_Toc211012184" w:history="1">
            <w:r w:rsidR="006D40B0" w:rsidRPr="00EE5A40">
              <w:rPr>
                <w:rStyle w:val="Hyperlink"/>
                <w:rFonts w:ascii="Arial" w:hAnsi="Arial" w:cs="Arial"/>
                <w:noProof/>
                <w:color w:val="000000" w:themeColor="text1"/>
              </w:rPr>
              <w:t>Evaluation and Continuous Improvement</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_Toc211012184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14</w:t>
            </w:r>
            <w:r w:rsidR="006D40B0" w:rsidRPr="00EE5A40">
              <w:rPr>
                <w:rFonts w:ascii="Arial" w:hAnsi="Arial" w:cs="Arial"/>
                <w:noProof/>
                <w:webHidden/>
                <w:color w:val="000000" w:themeColor="text1"/>
              </w:rPr>
              <w:fldChar w:fldCharType="end"/>
            </w:r>
          </w:hyperlink>
        </w:p>
        <w:p w14:paraId="7655E76E" w14:textId="1FA5B945" w:rsidR="006D40B0" w:rsidRPr="00EE5A40" w:rsidRDefault="009C1B10" w:rsidP="00004F60">
          <w:pPr>
            <w:pStyle w:val="TOC1"/>
            <w:tabs>
              <w:tab w:val="right" w:leader="dot" w:pos="9350"/>
            </w:tabs>
            <w:rPr>
              <w:rFonts w:ascii="Arial" w:eastAsiaTheme="minorEastAsia" w:hAnsi="Arial" w:cs="Arial"/>
              <w:noProof/>
              <w:color w:val="000000" w:themeColor="text1"/>
              <w:szCs w:val="24"/>
            </w:rPr>
          </w:pPr>
          <w:hyperlink w:anchor="_Toc211012185" w:history="1">
            <w:r w:rsidR="006D40B0" w:rsidRPr="00EE5A40">
              <w:rPr>
                <w:rStyle w:val="Hyperlink"/>
                <w:rFonts w:ascii="Arial" w:hAnsi="Arial" w:cs="Arial"/>
                <w:noProof/>
                <w:color w:val="000000" w:themeColor="text1"/>
              </w:rPr>
              <w:t>Conclusion</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_Toc211012185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14</w:t>
            </w:r>
            <w:r w:rsidR="006D40B0" w:rsidRPr="00EE5A40">
              <w:rPr>
                <w:rFonts w:ascii="Arial" w:hAnsi="Arial" w:cs="Arial"/>
                <w:noProof/>
                <w:webHidden/>
                <w:color w:val="000000" w:themeColor="text1"/>
              </w:rPr>
              <w:fldChar w:fldCharType="end"/>
            </w:r>
          </w:hyperlink>
        </w:p>
        <w:p w14:paraId="589C6EBB" w14:textId="18702081" w:rsidR="006D40B0" w:rsidRPr="00EE5A40" w:rsidRDefault="009C1B10" w:rsidP="00004F60">
          <w:pPr>
            <w:pStyle w:val="TOC1"/>
            <w:tabs>
              <w:tab w:val="right" w:leader="dot" w:pos="9350"/>
            </w:tabs>
            <w:rPr>
              <w:rFonts w:ascii="Arial" w:eastAsiaTheme="minorEastAsia" w:hAnsi="Arial" w:cs="Arial"/>
              <w:noProof/>
              <w:color w:val="000000" w:themeColor="text1"/>
              <w:szCs w:val="24"/>
            </w:rPr>
          </w:pPr>
          <w:hyperlink w:anchor="_Toc211012186" w:history="1">
            <w:r w:rsidR="006D40B0" w:rsidRPr="00EE5A40">
              <w:rPr>
                <w:rStyle w:val="Hyperlink"/>
                <w:rFonts w:ascii="Arial" w:hAnsi="Arial" w:cs="Arial"/>
                <w:noProof/>
                <w:color w:val="000000" w:themeColor="text1"/>
              </w:rPr>
              <w:t>References</w:t>
            </w:r>
            <w:r w:rsidR="006D40B0" w:rsidRPr="00EE5A40">
              <w:rPr>
                <w:rFonts w:ascii="Arial" w:hAnsi="Arial" w:cs="Arial"/>
                <w:noProof/>
                <w:webHidden/>
                <w:color w:val="000000" w:themeColor="text1"/>
              </w:rPr>
              <w:tab/>
            </w:r>
            <w:r w:rsidR="006D40B0" w:rsidRPr="00EE5A40">
              <w:rPr>
                <w:rFonts w:ascii="Arial" w:hAnsi="Arial" w:cs="Arial"/>
                <w:noProof/>
                <w:webHidden/>
                <w:color w:val="000000" w:themeColor="text1"/>
              </w:rPr>
              <w:fldChar w:fldCharType="begin"/>
            </w:r>
            <w:r w:rsidR="006D40B0" w:rsidRPr="00EE5A40">
              <w:rPr>
                <w:rFonts w:ascii="Arial" w:hAnsi="Arial" w:cs="Arial"/>
                <w:noProof/>
                <w:webHidden/>
                <w:color w:val="000000" w:themeColor="text1"/>
              </w:rPr>
              <w:instrText xml:space="preserve"> PAGEREF _Toc211012186 \h </w:instrText>
            </w:r>
            <w:r w:rsidR="006D40B0" w:rsidRPr="00EE5A40">
              <w:rPr>
                <w:rFonts w:ascii="Arial" w:hAnsi="Arial" w:cs="Arial"/>
                <w:noProof/>
                <w:webHidden/>
                <w:color w:val="000000" w:themeColor="text1"/>
              </w:rPr>
            </w:r>
            <w:r w:rsidR="006D40B0" w:rsidRPr="00EE5A40">
              <w:rPr>
                <w:rFonts w:ascii="Arial" w:hAnsi="Arial" w:cs="Arial"/>
                <w:noProof/>
                <w:webHidden/>
                <w:color w:val="000000" w:themeColor="text1"/>
              </w:rPr>
              <w:fldChar w:fldCharType="separate"/>
            </w:r>
            <w:r w:rsidR="00003044">
              <w:rPr>
                <w:rFonts w:ascii="Arial" w:hAnsi="Arial" w:cs="Arial"/>
                <w:noProof/>
                <w:webHidden/>
                <w:color w:val="000000" w:themeColor="text1"/>
              </w:rPr>
              <w:t>15</w:t>
            </w:r>
            <w:r w:rsidR="006D40B0" w:rsidRPr="00EE5A40">
              <w:rPr>
                <w:rFonts w:ascii="Arial" w:hAnsi="Arial" w:cs="Arial"/>
                <w:noProof/>
                <w:webHidden/>
                <w:color w:val="000000" w:themeColor="text1"/>
              </w:rPr>
              <w:fldChar w:fldCharType="end"/>
            </w:r>
          </w:hyperlink>
        </w:p>
        <w:p w14:paraId="4EC1405F" w14:textId="0450E669" w:rsidR="00E83D73" w:rsidRPr="00EE5A40" w:rsidRDefault="00E83D73" w:rsidP="00EE5A40">
          <w:pPr>
            <w:spacing w:line="276" w:lineRule="auto"/>
            <w:rPr>
              <w:rFonts w:ascii="Arial" w:hAnsi="Arial" w:cs="Arial"/>
              <w:color w:val="000000" w:themeColor="text1"/>
            </w:rPr>
          </w:pPr>
          <w:r w:rsidRPr="00EE5A40">
            <w:rPr>
              <w:rFonts w:ascii="Arial" w:hAnsi="Arial" w:cs="Arial"/>
              <w:b/>
              <w:bCs/>
              <w:noProof/>
              <w:color w:val="000000" w:themeColor="text1"/>
            </w:rPr>
            <w:fldChar w:fldCharType="end"/>
          </w:r>
        </w:p>
      </w:sdtContent>
    </w:sdt>
    <w:p w14:paraId="7162EAC2" w14:textId="45C9A4E1" w:rsidR="00E53B26" w:rsidRPr="000405BC" w:rsidRDefault="00E53B26" w:rsidP="000405BC">
      <w:pPr>
        <w:spacing w:line="276" w:lineRule="auto"/>
        <w:jc w:val="left"/>
        <w:rPr>
          <w:rFonts w:ascii="Arial" w:hAnsi="Arial" w:cs="Arial"/>
          <w:b/>
        </w:rPr>
      </w:pPr>
      <w:bookmarkStart w:id="0" w:name="_GoBack"/>
      <w:bookmarkEnd w:id="0"/>
      <w:r w:rsidRPr="00EE5A40">
        <w:rPr>
          <w:rFonts w:ascii="Arial" w:hAnsi="Arial" w:cs="Arial"/>
          <w:b/>
          <w:bCs/>
          <w:color w:val="000000" w:themeColor="text1"/>
        </w:rPr>
        <w:br w:type="page"/>
      </w:r>
      <w:bookmarkStart w:id="1" w:name="_Toc211012159"/>
      <w:bookmarkStart w:id="2" w:name="_Hlk211451475"/>
      <w:r w:rsidRPr="000405BC">
        <w:rPr>
          <w:rFonts w:ascii="Arial" w:hAnsi="Arial" w:cs="Arial"/>
          <w:b/>
        </w:rPr>
        <w:lastRenderedPageBreak/>
        <w:t>Introduction</w:t>
      </w:r>
      <w:bookmarkEnd w:id="1"/>
    </w:p>
    <w:p w14:paraId="7AD517AC" w14:textId="4F2A17C9" w:rsidR="00E53B26" w:rsidRPr="00EE5A40" w:rsidRDefault="00E53B26" w:rsidP="00004F60">
      <w:pPr>
        <w:rPr>
          <w:rFonts w:ascii="Arial" w:hAnsi="Arial" w:cs="Arial"/>
          <w:color w:val="000000" w:themeColor="text1"/>
        </w:rPr>
      </w:pPr>
      <w:r w:rsidRPr="00EE5A40">
        <w:rPr>
          <w:rFonts w:ascii="Arial" w:hAnsi="Arial" w:cs="Arial"/>
          <w:color w:val="000000" w:themeColor="text1"/>
        </w:rPr>
        <w:t xml:space="preserve">This report analyses how national and international labour markets are reshaping contemporary </w:t>
      </w:r>
      <w:r w:rsidR="009B127D" w:rsidRPr="00EE5A40">
        <w:rPr>
          <w:rFonts w:ascii="Arial" w:hAnsi="Arial" w:cs="Arial"/>
          <w:color w:val="000000" w:themeColor="text1"/>
        </w:rPr>
        <w:t>people’s</w:t>
      </w:r>
      <w:r w:rsidRPr="00EE5A40">
        <w:rPr>
          <w:rFonts w:ascii="Arial" w:hAnsi="Arial" w:cs="Arial"/>
          <w:color w:val="000000" w:themeColor="text1"/>
        </w:rPr>
        <w:t xml:space="preserve"> management and how </w:t>
      </w:r>
      <w:r w:rsidR="009B127D" w:rsidRPr="00EE5A40">
        <w:rPr>
          <w:rFonts w:ascii="Arial" w:hAnsi="Arial" w:cs="Arial"/>
          <w:color w:val="000000" w:themeColor="text1"/>
        </w:rPr>
        <w:t>organizations</w:t>
      </w:r>
      <w:r w:rsidRPr="00EE5A40">
        <w:rPr>
          <w:rFonts w:ascii="Arial" w:hAnsi="Arial" w:cs="Arial"/>
          <w:color w:val="000000" w:themeColor="text1"/>
        </w:rPr>
        <w:t xml:space="preserve"> and individuals should respond. It addresses four tasks. First, it examines how advances in artificial intelligence, automation, and digital platforms reconfigure the demand and supply of skills, employment relationships, and the geography of work, drawing out implications for HRM within national settings and IHRM across borders. Second, it evaluates current demo</w:t>
      </w:r>
      <w:r w:rsidR="00004F60">
        <w:rPr>
          <w:rFonts w:ascii="Arial" w:hAnsi="Arial" w:cs="Arial"/>
          <w:color w:val="000000" w:themeColor="text1"/>
        </w:rPr>
        <w:t xml:space="preserve">graphic and geopolitical forces </w:t>
      </w:r>
      <w:r w:rsidRPr="00EE5A40">
        <w:rPr>
          <w:rFonts w:ascii="Arial" w:hAnsi="Arial" w:cs="Arial"/>
          <w:color w:val="000000" w:themeColor="text1"/>
        </w:rPr>
        <w:t xml:space="preserve">ageing populations, migration dynamics, changing participation patterns, conflicts, trade realignments, and regulatory shifts—and explains how these forces translate into talent availability, risk, and cost. Third, it proposes strategic HR responses to persistent skills gaps in technology, hospitality, and healthcare, </w:t>
      </w:r>
      <w:r w:rsidR="009B127D" w:rsidRPr="00EE5A40">
        <w:rPr>
          <w:rFonts w:ascii="Arial" w:hAnsi="Arial" w:cs="Arial"/>
          <w:color w:val="000000" w:themeColor="text1"/>
        </w:rPr>
        <w:t>emphasizing</w:t>
      </w:r>
      <w:r w:rsidRPr="00EE5A40">
        <w:rPr>
          <w:rFonts w:ascii="Arial" w:hAnsi="Arial" w:cs="Arial"/>
          <w:color w:val="000000" w:themeColor="text1"/>
        </w:rPr>
        <w:t xml:space="preserve"> diagnosis, intervention design, governance, and measurement. Finally, it offers a reflective account of my current readiness to operate in international, technology-rich contexts, identifying strengths, weaknesses, and an improvement plan. The goal is practical insight anchored in rigorous analysis.</w:t>
      </w:r>
    </w:p>
    <w:p w14:paraId="263BAB11" w14:textId="531344BF" w:rsidR="00E53B26" w:rsidRPr="00EE5A40" w:rsidRDefault="00E53B26" w:rsidP="00EB668B">
      <w:pPr>
        <w:pStyle w:val="Heading1"/>
      </w:pPr>
      <w:bookmarkStart w:id="3" w:name="_Toc211012160"/>
      <w:r w:rsidRPr="00EE5A40">
        <w:t xml:space="preserve">1. </w:t>
      </w:r>
      <w:r w:rsidRPr="00004F60">
        <w:t>Technological Advancements and Labour Markets</w:t>
      </w:r>
      <w:bookmarkEnd w:id="3"/>
    </w:p>
    <w:p w14:paraId="0BC90736" w14:textId="50A30ACA" w:rsidR="00073DFB" w:rsidRPr="00EE5A40" w:rsidRDefault="00EE5A40" w:rsidP="00EE5A40">
      <w:pPr>
        <w:pStyle w:val="Heading2"/>
        <w:spacing w:line="276" w:lineRule="auto"/>
        <w:rPr>
          <w:rFonts w:ascii="Arial" w:hAnsi="Arial" w:cs="Arial"/>
        </w:rPr>
      </w:pPr>
      <w:bookmarkStart w:id="4" w:name="_Toc211012161"/>
      <w:r>
        <w:rPr>
          <w:rFonts w:ascii="Arial" w:hAnsi="Arial" w:cs="Arial"/>
        </w:rPr>
        <w:t xml:space="preserve">1.1 </w:t>
      </w:r>
      <w:r w:rsidR="00073DFB" w:rsidRPr="00EE5A40">
        <w:rPr>
          <w:rFonts w:ascii="Arial" w:hAnsi="Arial" w:cs="Arial"/>
        </w:rPr>
        <w:t>Reshaping Work through AI, Automation and Platforms</w:t>
      </w:r>
      <w:bookmarkEnd w:id="4"/>
    </w:p>
    <w:p w14:paraId="43DFAF8C" w14:textId="4899E081" w:rsidR="008A412F" w:rsidRPr="00EE5A40" w:rsidRDefault="008A412F" w:rsidP="00EE5A40">
      <w:pPr>
        <w:spacing w:line="276" w:lineRule="auto"/>
        <w:jc w:val="center"/>
        <w:rPr>
          <w:rFonts w:ascii="Arial" w:hAnsi="Arial" w:cs="Arial"/>
          <w:color w:val="000000" w:themeColor="text1"/>
          <w:lang w:val="en"/>
        </w:rPr>
      </w:pPr>
      <w:r w:rsidRPr="00EE5A40">
        <w:rPr>
          <w:rFonts w:ascii="Arial" w:hAnsi="Arial" w:cs="Arial"/>
          <w:noProof/>
          <w:color w:val="000000" w:themeColor="text1"/>
          <w:lang w:val="en-IN" w:eastAsia="en-IN"/>
        </w:rPr>
        <w:drawing>
          <wp:inline distT="0" distB="0" distL="0" distR="0" wp14:anchorId="2DF78821" wp14:editId="793E8B3C">
            <wp:extent cx="5943600" cy="3598545"/>
            <wp:effectExtent l="0" t="0" r="0" b="1905"/>
            <wp:docPr id="893121042" name="Picture 1" descr="From Automation to Intelligence: How AI and RPA is Rewriting Business  Workflows - Kotai Electronics Pvt.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m Automation to Intelligence: How AI and RPA is Rewriting Business  Workflows - Kotai Electronics Pvt. Lt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98545"/>
                    </a:xfrm>
                    <a:prstGeom prst="rect">
                      <a:avLst/>
                    </a:prstGeom>
                    <a:noFill/>
                    <a:ln>
                      <a:noFill/>
                    </a:ln>
                  </pic:spPr>
                </pic:pic>
              </a:graphicData>
            </a:graphic>
          </wp:inline>
        </w:drawing>
      </w:r>
    </w:p>
    <w:p w14:paraId="46F73783" w14:textId="6A960CFC" w:rsidR="008A412F" w:rsidRPr="00EE5A40" w:rsidRDefault="008A412F" w:rsidP="00EE5A40">
      <w:pPr>
        <w:spacing w:line="276" w:lineRule="auto"/>
        <w:jc w:val="center"/>
        <w:rPr>
          <w:rFonts w:ascii="Arial" w:hAnsi="Arial" w:cs="Arial"/>
          <w:b/>
          <w:bCs/>
          <w:color w:val="000000" w:themeColor="text1"/>
          <w:lang w:val="en"/>
        </w:rPr>
      </w:pPr>
      <w:r w:rsidRPr="00EE5A40">
        <w:rPr>
          <w:rFonts w:ascii="Arial" w:hAnsi="Arial" w:cs="Arial"/>
          <w:b/>
          <w:bCs/>
          <w:color w:val="000000" w:themeColor="text1"/>
          <w:lang w:val="en"/>
        </w:rPr>
        <w:lastRenderedPageBreak/>
        <w:t>Figure 1: Reshaping Work through AI, Automation and Platforms</w:t>
      </w:r>
    </w:p>
    <w:p w14:paraId="6B0D95E9" w14:textId="3F21F8E4" w:rsidR="008A412F" w:rsidRPr="00EE5A40" w:rsidRDefault="008A412F" w:rsidP="00EE5A40">
      <w:pPr>
        <w:spacing w:line="276" w:lineRule="auto"/>
        <w:jc w:val="center"/>
        <w:rPr>
          <w:rFonts w:ascii="Arial" w:hAnsi="Arial" w:cs="Arial"/>
          <w:color w:val="000000" w:themeColor="text1"/>
          <w:lang w:val="en"/>
        </w:rPr>
      </w:pPr>
      <w:r w:rsidRPr="00EE5A40">
        <w:rPr>
          <w:rFonts w:ascii="Arial" w:hAnsi="Arial" w:cs="Arial"/>
          <w:color w:val="000000" w:themeColor="text1"/>
          <w:lang w:val="en"/>
        </w:rPr>
        <w:t>(Source:</w:t>
      </w:r>
      <w:r w:rsidR="008D5FA5" w:rsidRPr="00EE5A40">
        <w:rPr>
          <w:rFonts w:ascii="Arial" w:hAnsi="Arial" w:cs="Arial"/>
          <w:color w:val="000000" w:themeColor="text1"/>
          <w:lang w:val="en"/>
        </w:rPr>
        <w:t xml:space="preserve"> Kotaielectronics, 2025</w:t>
      </w:r>
      <w:r w:rsidRPr="00EE5A40">
        <w:rPr>
          <w:rFonts w:ascii="Arial" w:hAnsi="Arial" w:cs="Arial"/>
          <w:color w:val="000000" w:themeColor="text1"/>
          <w:lang w:val="en"/>
        </w:rPr>
        <w:t>)</w:t>
      </w:r>
    </w:p>
    <w:p w14:paraId="3A265558" w14:textId="6E3C0811" w:rsidR="00073DFB" w:rsidRPr="00EE5A40" w:rsidRDefault="00FF21DD" w:rsidP="00004F60">
      <w:pPr>
        <w:rPr>
          <w:rFonts w:ascii="Arial" w:hAnsi="Arial" w:cs="Arial"/>
          <w:color w:val="000000" w:themeColor="text1"/>
        </w:rPr>
      </w:pPr>
      <w:r w:rsidRPr="00EE5A40">
        <w:rPr>
          <w:rFonts w:ascii="Arial" w:hAnsi="Arial" w:cs="Arial"/>
          <w:color w:val="000000" w:themeColor="text1"/>
        </w:rPr>
        <w:t>The reorganisation of the production, coordination and pricing of work is being rearranged through artificial intelligence, robotic process automation, cloud computing and digital labour platforms. Automation brings down the marginal cost of routine activity, and augmentation increases the value of human judgement, problem solving and socio-emotional capability (Zhang and Chen, 2024). Platforms facilitate remote and hybrid one that separates contribution by place and increases access to global talent. Datafication makes work visible, aiding in refining feedback to granular, forecasting process and skill analytics, predictive maintenance, but also increasing the space of observation to surveillance, bias and harm to privacy in the case of weak controls</w:t>
      </w:r>
      <w:r w:rsidR="00073DFB" w:rsidRPr="00EE5A40">
        <w:rPr>
          <w:rFonts w:ascii="Arial" w:hAnsi="Arial" w:cs="Arial"/>
          <w:color w:val="000000" w:themeColor="text1"/>
        </w:rPr>
        <w:t>.</w:t>
      </w:r>
    </w:p>
    <w:p w14:paraId="6BA4E9AE" w14:textId="48219E80" w:rsidR="00073DFB" w:rsidRPr="00EE5A40" w:rsidRDefault="009B127D" w:rsidP="00EE5A40">
      <w:pPr>
        <w:pStyle w:val="Heading2"/>
        <w:spacing w:line="276" w:lineRule="auto"/>
        <w:rPr>
          <w:rFonts w:ascii="Arial" w:hAnsi="Arial" w:cs="Arial"/>
        </w:rPr>
      </w:pPr>
      <w:bookmarkStart w:id="5" w:name="_Toc211012162"/>
      <w:r>
        <w:rPr>
          <w:rFonts w:ascii="Arial" w:hAnsi="Arial" w:cs="Arial"/>
        </w:rPr>
        <w:t xml:space="preserve">1.2 </w:t>
      </w:r>
      <w:r w:rsidR="00073DFB" w:rsidRPr="00EE5A40">
        <w:rPr>
          <w:rFonts w:ascii="Arial" w:hAnsi="Arial" w:cs="Arial"/>
        </w:rPr>
        <w:t>Labour-Market Consequences: Tasks, Skills and Contracts</w:t>
      </w:r>
      <w:bookmarkEnd w:id="5"/>
    </w:p>
    <w:p w14:paraId="06EA4EBD" w14:textId="05D6D30A" w:rsidR="008E17F6" w:rsidRPr="00EE5A40" w:rsidRDefault="008E17F6" w:rsidP="00EE5A40">
      <w:pPr>
        <w:spacing w:line="276" w:lineRule="auto"/>
        <w:jc w:val="center"/>
        <w:rPr>
          <w:rFonts w:ascii="Arial" w:hAnsi="Arial" w:cs="Arial"/>
          <w:color w:val="000000" w:themeColor="text1"/>
          <w:lang w:val="en"/>
        </w:rPr>
      </w:pPr>
      <w:r w:rsidRPr="00EE5A40">
        <w:rPr>
          <w:rFonts w:ascii="Arial" w:hAnsi="Arial" w:cs="Arial"/>
          <w:noProof/>
          <w:color w:val="000000" w:themeColor="text1"/>
          <w:lang w:val="en-IN" w:eastAsia="en-IN"/>
        </w:rPr>
        <w:drawing>
          <wp:inline distT="0" distB="0" distL="0" distR="0" wp14:anchorId="33C732E0" wp14:editId="27F9FF19">
            <wp:extent cx="3838575" cy="2673879"/>
            <wp:effectExtent l="0" t="0" r="0" b="0"/>
            <wp:docPr id="4527959" name="Picture 2" descr="Impact of Artificial Intelligence on the Future of Labor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act of Artificial Intelligence on the Future of Labor Marke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45733" cy="2678865"/>
                    </a:xfrm>
                    <a:prstGeom prst="rect">
                      <a:avLst/>
                    </a:prstGeom>
                    <a:noFill/>
                    <a:ln>
                      <a:noFill/>
                    </a:ln>
                  </pic:spPr>
                </pic:pic>
              </a:graphicData>
            </a:graphic>
          </wp:inline>
        </w:drawing>
      </w:r>
    </w:p>
    <w:p w14:paraId="1235DA27" w14:textId="0D94FEA7" w:rsidR="008E17F6" w:rsidRPr="00EE5A40" w:rsidRDefault="008E17F6" w:rsidP="00EE5A40">
      <w:pPr>
        <w:spacing w:line="276" w:lineRule="auto"/>
        <w:jc w:val="center"/>
        <w:rPr>
          <w:rFonts w:ascii="Arial" w:hAnsi="Arial" w:cs="Arial"/>
          <w:b/>
          <w:bCs/>
          <w:color w:val="000000" w:themeColor="text1"/>
          <w:lang w:val="en"/>
        </w:rPr>
      </w:pPr>
      <w:r w:rsidRPr="00EE5A40">
        <w:rPr>
          <w:rFonts w:ascii="Arial" w:hAnsi="Arial" w:cs="Arial"/>
          <w:b/>
          <w:bCs/>
          <w:color w:val="000000" w:themeColor="text1"/>
          <w:lang w:val="en"/>
        </w:rPr>
        <w:t xml:space="preserve">Figure 2: </w:t>
      </w:r>
      <w:r w:rsidRPr="00EE5A40">
        <w:rPr>
          <w:rFonts w:ascii="Arial" w:hAnsi="Arial" w:cs="Arial"/>
          <w:b/>
          <w:bCs/>
          <w:color w:val="000000" w:themeColor="text1"/>
        </w:rPr>
        <w:t>Labour-Market Consequences: Tasks, Skills and Contracts</w:t>
      </w:r>
    </w:p>
    <w:p w14:paraId="1F9CE38D" w14:textId="76FED89F" w:rsidR="008E17F6" w:rsidRPr="00EE5A40" w:rsidRDefault="008E17F6" w:rsidP="00EE5A40">
      <w:pPr>
        <w:spacing w:line="276" w:lineRule="auto"/>
        <w:jc w:val="center"/>
        <w:rPr>
          <w:rFonts w:ascii="Arial" w:hAnsi="Arial" w:cs="Arial"/>
          <w:color w:val="000000" w:themeColor="text1"/>
          <w:lang w:val="en"/>
        </w:rPr>
      </w:pPr>
      <w:r w:rsidRPr="00EE5A40">
        <w:rPr>
          <w:rFonts w:ascii="Arial" w:hAnsi="Arial" w:cs="Arial"/>
          <w:color w:val="000000" w:themeColor="text1"/>
        </w:rPr>
        <w:t>(Source: Xorlogic, 2025)</w:t>
      </w:r>
    </w:p>
    <w:p w14:paraId="30A5BAD0" w14:textId="6D72122A" w:rsidR="00073DFB" w:rsidRPr="00EE5A40" w:rsidRDefault="00FF21DD" w:rsidP="00004F60">
      <w:pPr>
        <w:rPr>
          <w:rFonts w:ascii="Arial" w:hAnsi="Arial" w:cs="Arial"/>
          <w:color w:val="000000" w:themeColor="text1"/>
        </w:rPr>
      </w:pPr>
      <w:r w:rsidRPr="00EE5A40">
        <w:rPr>
          <w:rFonts w:ascii="Arial" w:hAnsi="Arial" w:cs="Arial"/>
          <w:color w:val="000000" w:themeColor="text1"/>
        </w:rPr>
        <w:t xml:space="preserve">With the help of these technologies, work is redistributed among jobs, the portfolio of skills is displaced and the bargaining power is renegotiated. The demand shifts to demand hybrid profiles which incorporates domain depth and data fluency, experimentation and collaborative practice. Supply becomes more mobile as employees come together to create portfolio careers that incorporate work and contracting and gig jobs. The rise in productivity has the potential to increase wage differentials between high and low skill </w:t>
      </w:r>
      <w:r w:rsidRPr="00EE5A40">
        <w:rPr>
          <w:rFonts w:ascii="Arial" w:hAnsi="Arial" w:cs="Arial"/>
          <w:color w:val="000000" w:themeColor="text1"/>
        </w:rPr>
        <w:lastRenderedPageBreak/>
        <w:t>workers when the complements to technology reap excessive rents, and the mid-skill routine work is displaced unless it is reconfigured into more valuable human tasks. The comparative advantage moves not only out of low labour cost but also into ecosystems incorporating human capital, digital infrastructure, and standards and supportive institutions (Jani, Muduli and Kishore, 2023)</w:t>
      </w:r>
      <w:r w:rsidR="00073DFB" w:rsidRPr="00EE5A40">
        <w:rPr>
          <w:rFonts w:ascii="Arial" w:hAnsi="Arial" w:cs="Arial"/>
          <w:color w:val="000000" w:themeColor="text1"/>
        </w:rPr>
        <w:t>.</w:t>
      </w:r>
    </w:p>
    <w:p w14:paraId="60FC881D" w14:textId="49F907DA" w:rsidR="00073DFB" w:rsidRPr="00EE5A40" w:rsidRDefault="009B127D" w:rsidP="00004F60">
      <w:pPr>
        <w:pStyle w:val="Heading2"/>
        <w:rPr>
          <w:rFonts w:ascii="Arial" w:hAnsi="Arial" w:cs="Arial"/>
        </w:rPr>
      </w:pPr>
      <w:bookmarkStart w:id="6" w:name="_Toc211012163"/>
      <w:r>
        <w:rPr>
          <w:rFonts w:ascii="Arial" w:hAnsi="Arial" w:cs="Arial"/>
        </w:rPr>
        <w:t xml:space="preserve">1.3 </w:t>
      </w:r>
      <w:r w:rsidR="00073DFB" w:rsidRPr="00EE5A40">
        <w:rPr>
          <w:rFonts w:ascii="Arial" w:hAnsi="Arial" w:cs="Arial"/>
        </w:rPr>
        <w:t>Implications for HRM: From Headcount to Skills Intelligence</w:t>
      </w:r>
      <w:bookmarkEnd w:id="6"/>
    </w:p>
    <w:p w14:paraId="52FEB679" w14:textId="2DC146A7" w:rsidR="00073DFB" w:rsidRPr="00EE5A40" w:rsidRDefault="00073DFB" w:rsidP="00004F60">
      <w:pPr>
        <w:rPr>
          <w:rFonts w:ascii="Arial" w:hAnsi="Arial" w:cs="Arial"/>
          <w:color w:val="000000" w:themeColor="text1"/>
        </w:rPr>
      </w:pPr>
      <w:r w:rsidRPr="00EE5A40">
        <w:rPr>
          <w:rFonts w:ascii="Arial" w:hAnsi="Arial" w:cs="Arial"/>
          <w:color w:val="000000" w:themeColor="text1"/>
        </w:rPr>
        <w:t>Within national contexts, HRM must pivot from job-only thinking to dynamic skills and task architectures. Workforce planning should fuse external labour-market signals with internal capability maps to model substitution, augmentation and redeployment pathways. Learning and development is most effective when modular, stackable and aligned to an explicit skills ontology so employees can transition from declining tasks into growth domains</w:t>
      </w:r>
      <w:r w:rsidR="000769CF" w:rsidRPr="00EE5A40">
        <w:rPr>
          <w:rFonts w:ascii="Arial" w:hAnsi="Arial" w:cs="Arial"/>
          <w:color w:val="000000" w:themeColor="text1"/>
        </w:rPr>
        <w:t xml:space="preserve"> (Vrontis et al., 2023)</w:t>
      </w:r>
      <w:r w:rsidRPr="00EE5A40">
        <w:rPr>
          <w:rFonts w:ascii="Arial" w:hAnsi="Arial" w:cs="Arial"/>
          <w:color w:val="000000" w:themeColor="text1"/>
        </w:rPr>
        <w:t xml:space="preserve">. Performance systems should recognise human–AI teaming by valuing outcomes, data stewardship and collaborative </w:t>
      </w:r>
      <w:r w:rsidR="00EB668B" w:rsidRPr="00EE5A40">
        <w:rPr>
          <w:rFonts w:ascii="Arial" w:hAnsi="Arial" w:cs="Arial"/>
          <w:color w:val="000000" w:themeColor="text1"/>
        </w:rPr>
        <w:t>behaviour</w:t>
      </w:r>
      <w:r w:rsidRPr="00EE5A40">
        <w:rPr>
          <w:rFonts w:ascii="Arial" w:hAnsi="Arial" w:cs="Arial"/>
          <w:color w:val="000000" w:themeColor="text1"/>
        </w:rPr>
        <w:t xml:space="preserve"> rather than narrow throughput. Recruitment must reconcile speed with fairness through structured assessment, auditing of algorithmic tools and monitoring for adverse impact. Employment relations should codify algorithmic transparency, boundaries on monitoring and meaningful-work safeguards, while safety practice expands to include cognitive load and techno-stress.</w:t>
      </w:r>
    </w:p>
    <w:p w14:paraId="10AB160E" w14:textId="3D1077B9" w:rsidR="00073DFB" w:rsidRPr="00EE5A40" w:rsidRDefault="009B127D" w:rsidP="00004F60">
      <w:pPr>
        <w:pStyle w:val="Heading2"/>
        <w:rPr>
          <w:rFonts w:ascii="Arial" w:hAnsi="Arial" w:cs="Arial"/>
        </w:rPr>
      </w:pPr>
      <w:bookmarkStart w:id="7" w:name="_Toc211012164"/>
      <w:r>
        <w:rPr>
          <w:rFonts w:ascii="Arial" w:hAnsi="Arial" w:cs="Arial"/>
        </w:rPr>
        <w:t xml:space="preserve">1.4 </w:t>
      </w:r>
      <w:r w:rsidR="00073DFB" w:rsidRPr="00EE5A40">
        <w:rPr>
          <w:rFonts w:ascii="Arial" w:hAnsi="Arial" w:cs="Arial"/>
        </w:rPr>
        <w:t>Implications for IHRM: Global Reach with Higher Compliance Complexity</w:t>
      </w:r>
      <w:bookmarkEnd w:id="7"/>
    </w:p>
    <w:p w14:paraId="0E79BF40" w14:textId="055BF5FF" w:rsidR="00073DFB" w:rsidRPr="00EE5A40" w:rsidRDefault="0002216D" w:rsidP="00004F60">
      <w:pPr>
        <w:rPr>
          <w:rFonts w:ascii="Arial" w:hAnsi="Arial" w:cs="Arial"/>
          <w:color w:val="000000" w:themeColor="text1"/>
        </w:rPr>
      </w:pPr>
      <w:r w:rsidRPr="00EE5A40">
        <w:rPr>
          <w:rFonts w:ascii="Arial" w:hAnsi="Arial" w:cs="Arial"/>
          <w:color w:val="000000" w:themeColor="text1"/>
        </w:rPr>
        <w:t>Technology enhances cross-border possibilities and threats. Virtual assignments and hub-and-spoke groups and global sourcing eliminate relocation, but exposes to divergent rules on taxation, employment status, social protection and cross-border transfer of data. Successful IHRM establishes clear standards of asynchronous work, time-zone choreography and inclusive turn-taking to maintain voice and trust in multicultural work teams. Mobility portfolios combine both short-term capability-transfer assignments as well as remote-first jobs and selective relocation to enter strategic markets. Data governance and model risk management should meet the local privacy regimes without dividing the work together using privacy-preserving methods, recorded model life cycles and responsibility naming</w:t>
      </w:r>
      <w:r w:rsidR="00073DFB" w:rsidRPr="00EE5A40">
        <w:rPr>
          <w:rFonts w:ascii="Arial" w:hAnsi="Arial" w:cs="Arial"/>
          <w:color w:val="000000" w:themeColor="text1"/>
        </w:rPr>
        <w:t>.</w:t>
      </w:r>
    </w:p>
    <w:p w14:paraId="6FAABB83" w14:textId="7835676F" w:rsidR="00073DFB" w:rsidRPr="00EE5A40" w:rsidRDefault="009B127D" w:rsidP="00004F60">
      <w:pPr>
        <w:pStyle w:val="Heading2"/>
        <w:rPr>
          <w:rFonts w:ascii="Arial" w:hAnsi="Arial" w:cs="Arial"/>
        </w:rPr>
      </w:pPr>
      <w:bookmarkStart w:id="8" w:name="_Toc211012165"/>
      <w:r>
        <w:rPr>
          <w:rFonts w:ascii="Arial" w:hAnsi="Arial" w:cs="Arial"/>
        </w:rPr>
        <w:lastRenderedPageBreak/>
        <w:t xml:space="preserve">1.5 </w:t>
      </w:r>
      <w:r w:rsidR="00073DFB" w:rsidRPr="00EE5A40">
        <w:rPr>
          <w:rFonts w:ascii="Arial" w:hAnsi="Arial" w:cs="Arial"/>
        </w:rPr>
        <w:t>Synthesis: Human-</w:t>
      </w:r>
      <w:proofErr w:type="spellStart"/>
      <w:r w:rsidR="00073DFB" w:rsidRPr="00EE5A40">
        <w:rPr>
          <w:rFonts w:ascii="Arial" w:hAnsi="Arial" w:cs="Arial"/>
        </w:rPr>
        <w:t>Centred</w:t>
      </w:r>
      <w:proofErr w:type="spellEnd"/>
      <w:r w:rsidR="00073DFB" w:rsidRPr="00EE5A40">
        <w:rPr>
          <w:rFonts w:ascii="Arial" w:hAnsi="Arial" w:cs="Arial"/>
        </w:rPr>
        <w:t>, Data-Driven People Strategy</w:t>
      </w:r>
      <w:bookmarkEnd w:id="8"/>
    </w:p>
    <w:p w14:paraId="03E87273" w14:textId="706DA4A8" w:rsidR="00073DFB" w:rsidRPr="00EE5A40" w:rsidRDefault="0002216D" w:rsidP="00004F60">
      <w:pPr>
        <w:rPr>
          <w:rFonts w:ascii="Arial" w:hAnsi="Arial" w:cs="Arial"/>
          <w:color w:val="000000" w:themeColor="text1"/>
        </w:rPr>
      </w:pPr>
      <w:r w:rsidRPr="00EE5A40">
        <w:rPr>
          <w:rFonts w:ascii="Arial" w:hAnsi="Arial" w:cs="Arial"/>
          <w:color w:val="000000" w:themeColor="text1"/>
        </w:rPr>
        <w:t xml:space="preserve">Strategic advantage is created out of the decision to attain an adaptive combination of make, buy, borrow and automate instead of high automation. </w:t>
      </w:r>
      <w:r w:rsidR="00EB668B" w:rsidRPr="00EE5A40">
        <w:rPr>
          <w:rFonts w:ascii="Arial" w:hAnsi="Arial" w:cs="Arial"/>
          <w:color w:val="000000" w:themeColor="text1"/>
        </w:rPr>
        <w:t>Hyper sourcing</w:t>
      </w:r>
      <w:r w:rsidRPr="00EE5A40">
        <w:rPr>
          <w:rFonts w:ascii="Arial" w:hAnsi="Arial" w:cs="Arial"/>
          <w:color w:val="000000" w:themeColor="text1"/>
        </w:rPr>
        <w:t xml:space="preserve"> externality over-inflates the cost and over-understands culture; over-investing in reskilling overstrains work design. The lack of engagement is caused by heavy monitoring, whereas the lack of observability is detrimental to quality and safety. Companies, which </w:t>
      </w:r>
      <w:r w:rsidR="00EB668B" w:rsidRPr="00EE5A40">
        <w:rPr>
          <w:rFonts w:ascii="Arial" w:hAnsi="Arial" w:cs="Arial"/>
          <w:color w:val="000000" w:themeColor="text1"/>
        </w:rPr>
        <w:t>institutionalize</w:t>
      </w:r>
      <w:r w:rsidRPr="00EE5A40">
        <w:rPr>
          <w:rFonts w:ascii="Arial" w:hAnsi="Arial" w:cs="Arial"/>
          <w:color w:val="000000" w:themeColor="text1"/>
        </w:rPr>
        <w:t xml:space="preserve"> skills smarts, recalibrate jobs towards expansion and manage technology with strong morals, compliance and audits, transform technology turbulence to enduring ability. The concepts that the tools are substitutes as opposed to complements bring the operational, legal and reputational risk straight into the people system</w:t>
      </w:r>
      <w:r w:rsidR="00073DFB" w:rsidRPr="00EE5A40">
        <w:rPr>
          <w:rFonts w:ascii="Arial" w:hAnsi="Arial" w:cs="Arial"/>
          <w:color w:val="000000" w:themeColor="text1"/>
        </w:rPr>
        <w:t>.</w:t>
      </w:r>
    </w:p>
    <w:p w14:paraId="4EA5EAD8" w14:textId="513732D1" w:rsidR="00E53B26" w:rsidRDefault="00E53B26" w:rsidP="00EB668B">
      <w:pPr>
        <w:pStyle w:val="Heading1"/>
      </w:pPr>
      <w:bookmarkStart w:id="9" w:name="_Toc211012166"/>
      <w:r w:rsidRPr="00EB668B">
        <w:t>2. Demographic and Geopolitical Factors</w:t>
      </w:r>
      <w:bookmarkEnd w:id="9"/>
    </w:p>
    <w:p w14:paraId="240C5CB5" w14:textId="77777777" w:rsidR="00B56339" w:rsidRPr="00B56339" w:rsidRDefault="00B56339" w:rsidP="00B56339">
      <w:pPr>
        <w:rPr>
          <w:lang w:val="en"/>
        </w:rPr>
      </w:pPr>
    </w:p>
    <w:p w14:paraId="12401586" w14:textId="330BA86E" w:rsidR="00CA4558" w:rsidRPr="00EE5A40" w:rsidRDefault="009B127D" w:rsidP="00004F60">
      <w:pPr>
        <w:pStyle w:val="Heading2"/>
        <w:rPr>
          <w:rFonts w:ascii="Arial" w:hAnsi="Arial" w:cs="Arial"/>
        </w:rPr>
      </w:pPr>
      <w:bookmarkStart w:id="10" w:name="_Toc211012167"/>
      <w:r>
        <w:rPr>
          <w:rFonts w:ascii="Arial" w:hAnsi="Arial" w:cs="Arial"/>
        </w:rPr>
        <w:t xml:space="preserve">2.1 </w:t>
      </w:r>
      <w:r w:rsidR="00CA4558" w:rsidRPr="00EE5A40">
        <w:rPr>
          <w:rFonts w:ascii="Arial" w:hAnsi="Arial" w:cs="Arial"/>
        </w:rPr>
        <w:t>Demographic Shifts and Workforce Participation</w:t>
      </w:r>
      <w:bookmarkEnd w:id="10"/>
    </w:p>
    <w:p w14:paraId="3F86737F" w14:textId="686A2807" w:rsidR="00CA4558" w:rsidRPr="00EE5A40" w:rsidRDefault="00CA4558" w:rsidP="00004F60">
      <w:pPr>
        <w:rPr>
          <w:rFonts w:ascii="Arial" w:hAnsi="Arial" w:cs="Arial"/>
          <w:color w:val="000000" w:themeColor="text1"/>
        </w:rPr>
      </w:pPr>
      <w:r w:rsidRPr="00EE5A40">
        <w:rPr>
          <w:rFonts w:ascii="Arial" w:hAnsi="Arial" w:cs="Arial"/>
          <w:color w:val="000000" w:themeColor="text1"/>
        </w:rPr>
        <w:t>Demographic transitions are reshaping participation, productivity, and preferences in labour markets. Ageing populations tighten supply in advanced economies and elevate demand for healthcare, social care, and skilled trades, while extending working lives through phased retirement or encore careers. Falling fertility complicates replacement hiring and increases the strategic importance of retention, inclusion, and internal mobility. Migration remains essential to fill shortages, yet policy volatility, processing backlogs, and social attitudes constrain flows and add uncertainty</w:t>
      </w:r>
      <w:r w:rsidR="000769CF" w:rsidRPr="00EE5A40">
        <w:rPr>
          <w:rFonts w:ascii="Arial" w:hAnsi="Arial" w:cs="Arial"/>
          <w:color w:val="000000" w:themeColor="text1"/>
        </w:rPr>
        <w:t xml:space="preserve"> (Dindarian, 2023)</w:t>
      </w:r>
      <w:r w:rsidRPr="00EE5A40">
        <w:rPr>
          <w:rFonts w:ascii="Arial" w:hAnsi="Arial" w:cs="Arial"/>
          <w:color w:val="000000" w:themeColor="text1"/>
        </w:rPr>
        <w:t>. Youth underemployment and regional disparities reduce matching efficiency, while gender participation gaps persist where childcare costs, care burdens, or cultural expectations limit hours and advancement. Rising expectations around diversity, equity, inclusion, accessibility, and psychological safety require evidence-based, transparent outcomes rather than symbolic statements.</w:t>
      </w:r>
    </w:p>
    <w:p w14:paraId="2409A35C" w14:textId="1051321E" w:rsidR="00CA4558" w:rsidRPr="00EE5A40" w:rsidRDefault="009B127D" w:rsidP="00004F60">
      <w:pPr>
        <w:pStyle w:val="Heading2"/>
        <w:rPr>
          <w:rFonts w:ascii="Arial" w:hAnsi="Arial" w:cs="Arial"/>
        </w:rPr>
      </w:pPr>
      <w:bookmarkStart w:id="11" w:name="_Toc211012168"/>
      <w:r>
        <w:rPr>
          <w:rFonts w:ascii="Arial" w:hAnsi="Arial" w:cs="Arial"/>
        </w:rPr>
        <w:lastRenderedPageBreak/>
        <w:t xml:space="preserve">2.2 </w:t>
      </w:r>
      <w:r w:rsidR="00CA4558" w:rsidRPr="00EE5A40">
        <w:rPr>
          <w:rFonts w:ascii="Arial" w:hAnsi="Arial" w:cs="Arial"/>
        </w:rPr>
        <w:t>Geopolitical Volatility and Market Realignment</w:t>
      </w:r>
      <w:bookmarkEnd w:id="11"/>
    </w:p>
    <w:p w14:paraId="26BB31D3" w14:textId="38DA55B6" w:rsidR="00335E16" w:rsidRPr="00EE5A40" w:rsidRDefault="00335E16" w:rsidP="00004F60">
      <w:pPr>
        <w:jc w:val="center"/>
        <w:rPr>
          <w:rFonts w:ascii="Arial" w:hAnsi="Arial" w:cs="Arial"/>
          <w:color w:val="000000" w:themeColor="text1"/>
          <w:lang w:val="en"/>
        </w:rPr>
      </w:pPr>
      <w:r w:rsidRPr="00EE5A40">
        <w:rPr>
          <w:rFonts w:ascii="Arial" w:hAnsi="Arial" w:cs="Arial"/>
          <w:noProof/>
          <w:color w:val="000000" w:themeColor="text1"/>
          <w:lang w:val="en-IN" w:eastAsia="en-IN"/>
        </w:rPr>
        <w:drawing>
          <wp:inline distT="0" distB="0" distL="0" distR="0" wp14:anchorId="21E83FAD" wp14:editId="1F4AC842">
            <wp:extent cx="4097867" cy="2305050"/>
            <wp:effectExtent l="0" t="0" r="0" b="0"/>
            <wp:docPr id="641357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01081" cy="2306858"/>
                    </a:xfrm>
                    <a:prstGeom prst="rect">
                      <a:avLst/>
                    </a:prstGeom>
                    <a:noFill/>
                  </pic:spPr>
                </pic:pic>
              </a:graphicData>
            </a:graphic>
          </wp:inline>
        </w:drawing>
      </w:r>
    </w:p>
    <w:p w14:paraId="05E2895B" w14:textId="19605287" w:rsidR="00335E16" w:rsidRPr="00EE5A40" w:rsidRDefault="00335E16" w:rsidP="00004F60">
      <w:pPr>
        <w:jc w:val="center"/>
        <w:rPr>
          <w:rFonts w:ascii="Arial" w:hAnsi="Arial" w:cs="Arial"/>
          <w:b/>
          <w:bCs/>
          <w:color w:val="000000" w:themeColor="text1"/>
          <w:lang w:val="en"/>
        </w:rPr>
      </w:pPr>
      <w:r w:rsidRPr="00EE5A40">
        <w:rPr>
          <w:rFonts w:ascii="Arial" w:hAnsi="Arial" w:cs="Arial"/>
          <w:b/>
          <w:bCs/>
          <w:color w:val="000000" w:themeColor="text1"/>
          <w:lang w:val="en"/>
        </w:rPr>
        <w:t>Figure 3: Geopolitical Volatility and Market Realignment</w:t>
      </w:r>
    </w:p>
    <w:p w14:paraId="77F70AC3" w14:textId="040A2385" w:rsidR="00823027" w:rsidRPr="00EE5A40" w:rsidRDefault="00823027" w:rsidP="00004F60">
      <w:pPr>
        <w:jc w:val="center"/>
        <w:rPr>
          <w:rFonts w:ascii="Arial" w:hAnsi="Arial" w:cs="Arial"/>
          <w:color w:val="000000" w:themeColor="text1"/>
          <w:lang w:val="en"/>
        </w:rPr>
      </w:pPr>
      <w:r w:rsidRPr="00EE5A40">
        <w:rPr>
          <w:rFonts w:ascii="Arial" w:hAnsi="Arial" w:cs="Arial"/>
          <w:color w:val="000000" w:themeColor="text1"/>
        </w:rPr>
        <w:t>(Source: Fastercapital, 2025)</w:t>
      </w:r>
    </w:p>
    <w:p w14:paraId="20CCBA32" w14:textId="5F26DDFA" w:rsidR="00CA4558" w:rsidRPr="00EE5A40" w:rsidRDefault="00CA4558" w:rsidP="00004F60">
      <w:pPr>
        <w:rPr>
          <w:rFonts w:ascii="Arial" w:hAnsi="Arial" w:cs="Arial"/>
          <w:color w:val="000000" w:themeColor="text1"/>
        </w:rPr>
      </w:pPr>
      <w:r w:rsidRPr="00EE5A40">
        <w:rPr>
          <w:rFonts w:ascii="Arial" w:hAnsi="Arial" w:cs="Arial"/>
          <w:color w:val="000000" w:themeColor="text1"/>
        </w:rPr>
        <w:t>Geopolitical turbulence compounds demographic pressures. Conflicts, sanctions, and export controls have triggered supply-chain reconfiguration through near-shoring and friend-shoring, shifting where talent is needed and altering risk profiles. Energy price shocks and inflation reshape wage dynamics and real incomes, while currency volatility affects the attractiveness of locations for both employers and employees</w:t>
      </w:r>
      <w:r w:rsidR="000769CF" w:rsidRPr="00EE5A40">
        <w:rPr>
          <w:rFonts w:ascii="Arial" w:hAnsi="Arial" w:cs="Arial"/>
          <w:color w:val="000000" w:themeColor="text1"/>
        </w:rPr>
        <w:t xml:space="preserve"> (Strielkowski, Niño-Amézquita and Kalyugina, 2021)</w:t>
      </w:r>
      <w:r w:rsidRPr="00EE5A40">
        <w:rPr>
          <w:rFonts w:ascii="Arial" w:hAnsi="Arial" w:cs="Arial"/>
          <w:color w:val="000000" w:themeColor="text1"/>
        </w:rPr>
        <w:t>. Changing visa regimes, qualification recognition, and cross-border data rules determine who can work where and how international teams operate. Cyber risks, disinformation, and critical-infrastructure vulnerabilities further heighten the need for resilience skills and tested continuity plans.</w:t>
      </w:r>
    </w:p>
    <w:p w14:paraId="690FC55C" w14:textId="527184AF" w:rsidR="00CA4558" w:rsidRPr="00EE5A40" w:rsidRDefault="009B127D" w:rsidP="00004F60">
      <w:pPr>
        <w:pStyle w:val="Heading2"/>
        <w:rPr>
          <w:rFonts w:ascii="Arial" w:hAnsi="Arial" w:cs="Arial"/>
        </w:rPr>
      </w:pPr>
      <w:bookmarkStart w:id="12" w:name="_Toc211012169"/>
      <w:r>
        <w:rPr>
          <w:rFonts w:ascii="Arial" w:hAnsi="Arial" w:cs="Arial"/>
        </w:rPr>
        <w:lastRenderedPageBreak/>
        <w:t xml:space="preserve">2.3 </w:t>
      </w:r>
      <w:r w:rsidR="00CA4558" w:rsidRPr="00EE5A40">
        <w:rPr>
          <w:rFonts w:ascii="Arial" w:hAnsi="Arial" w:cs="Arial"/>
        </w:rPr>
        <w:t>HRM Implications: Planning, Resilience, and Inclusion</w:t>
      </w:r>
      <w:bookmarkEnd w:id="12"/>
    </w:p>
    <w:p w14:paraId="32DFD111" w14:textId="21F7A1E5" w:rsidR="00E63749" w:rsidRPr="00EE5A40" w:rsidRDefault="00E63749" w:rsidP="00004F60">
      <w:pPr>
        <w:jc w:val="center"/>
        <w:rPr>
          <w:rFonts w:ascii="Arial" w:hAnsi="Arial" w:cs="Arial"/>
          <w:color w:val="000000" w:themeColor="text1"/>
          <w:lang w:val="en"/>
        </w:rPr>
      </w:pPr>
      <w:r w:rsidRPr="00EE5A40">
        <w:rPr>
          <w:rFonts w:ascii="Arial" w:hAnsi="Arial" w:cs="Arial"/>
          <w:noProof/>
          <w:color w:val="000000" w:themeColor="text1"/>
          <w:lang w:val="en-IN" w:eastAsia="en-IN"/>
        </w:rPr>
        <w:drawing>
          <wp:inline distT="0" distB="0" distL="0" distR="0" wp14:anchorId="1C2D9387" wp14:editId="5437D8CE">
            <wp:extent cx="5943600" cy="3209925"/>
            <wp:effectExtent l="0" t="0" r="0" b="9525"/>
            <wp:docPr id="1123947158" name="Picture 5" descr="Building Resilience: Strategies for HR to Support Well-being and Engagement  - Knowledge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uilding Resilience: Strategies for HR to Support Well-being and Engagement  - KnowledgeCity"/>
                    <pic:cNvPicPr>
                      <a:picLocks noChangeAspect="1" noChangeArrowheads="1"/>
                    </pic:cNvPicPr>
                  </pic:nvPicPr>
                  <pic:blipFill rotWithShape="1">
                    <a:blip r:embed="rId11">
                      <a:extLst>
                        <a:ext uri="{28A0092B-C50C-407E-A947-70E740481C1C}">
                          <a14:useLocalDpi xmlns:a14="http://schemas.microsoft.com/office/drawing/2010/main" val="0"/>
                        </a:ext>
                      </a:extLst>
                    </a:blip>
                    <a:srcRect b="19029"/>
                    <a:stretch>
                      <a:fillRect/>
                    </a:stretch>
                  </pic:blipFill>
                  <pic:spPr bwMode="auto">
                    <a:xfrm>
                      <a:off x="0" y="0"/>
                      <a:ext cx="5943600" cy="3209925"/>
                    </a:xfrm>
                    <a:prstGeom prst="rect">
                      <a:avLst/>
                    </a:prstGeom>
                    <a:noFill/>
                    <a:ln>
                      <a:noFill/>
                    </a:ln>
                    <a:extLst>
                      <a:ext uri="{53640926-AAD7-44D8-BBD7-CCE9431645EC}">
                        <a14:shadowObscured xmlns:a14="http://schemas.microsoft.com/office/drawing/2010/main"/>
                      </a:ext>
                    </a:extLst>
                  </pic:spPr>
                </pic:pic>
              </a:graphicData>
            </a:graphic>
          </wp:inline>
        </w:drawing>
      </w:r>
      <w:r w:rsidRPr="00EE5A40">
        <w:rPr>
          <w:rFonts w:ascii="Arial" w:hAnsi="Arial" w:cs="Arial"/>
          <w:color w:val="000000" w:themeColor="text1"/>
          <w:lang w:val="en"/>
        </w:rPr>
        <w:t xml:space="preserve"> </w:t>
      </w:r>
    </w:p>
    <w:p w14:paraId="4493093C" w14:textId="027E1D92" w:rsidR="00E63749" w:rsidRPr="00EE5A40" w:rsidRDefault="00E63749" w:rsidP="00004F60">
      <w:pPr>
        <w:jc w:val="center"/>
        <w:rPr>
          <w:rFonts w:ascii="Arial" w:hAnsi="Arial" w:cs="Arial"/>
          <w:b/>
          <w:bCs/>
          <w:color w:val="000000" w:themeColor="text1"/>
          <w:lang w:val="en"/>
        </w:rPr>
      </w:pPr>
      <w:r w:rsidRPr="00EE5A40">
        <w:rPr>
          <w:rFonts w:ascii="Arial" w:hAnsi="Arial" w:cs="Arial"/>
          <w:b/>
          <w:bCs/>
          <w:color w:val="000000" w:themeColor="text1"/>
          <w:lang w:val="en"/>
        </w:rPr>
        <w:t>Figure</w:t>
      </w:r>
      <w:r w:rsidR="00B2653E" w:rsidRPr="00EE5A40">
        <w:rPr>
          <w:rFonts w:ascii="Arial" w:hAnsi="Arial" w:cs="Arial"/>
          <w:b/>
          <w:bCs/>
          <w:color w:val="000000" w:themeColor="text1"/>
          <w:lang w:val="en"/>
        </w:rPr>
        <w:t xml:space="preserve"> 4: </w:t>
      </w:r>
      <w:r w:rsidRPr="00EE5A40">
        <w:rPr>
          <w:rFonts w:ascii="Arial" w:hAnsi="Arial" w:cs="Arial"/>
          <w:b/>
          <w:bCs/>
          <w:color w:val="000000" w:themeColor="text1"/>
          <w:lang w:val="en"/>
        </w:rPr>
        <w:t>HRM Implications: Planning, Resilience, and Inclusion</w:t>
      </w:r>
    </w:p>
    <w:p w14:paraId="4673CCD3" w14:textId="2C5832FA" w:rsidR="00B2653E" w:rsidRPr="00EE5A40" w:rsidRDefault="00B2653E" w:rsidP="00004F60">
      <w:pPr>
        <w:jc w:val="center"/>
        <w:rPr>
          <w:rFonts w:ascii="Arial" w:hAnsi="Arial" w:cs="Arial"/>
          <w:color w:val="000000" w:themeColor="text1"/>
          <w:lang w:val="en"/>
        </w:rPr>
      </w:pPr>
      <w:r w:rsidRPr="00EE5A40">
        <w:rPr>
          <w:rFonts w:ascii="Arial" w:hAnsi="Arial" w:cs="Arial"/>
          <w:color w:val="000000" w:themeColor="text1"/>
        </w:rPr>
        <w:t>(Source</w:t>
      </w:r>
      <w:r w:rsidR="00B56339" w:rsidRPr="00EE5A40">
        <w:rPr>
          <w:rFonts w:ascii="Arial" w:hAnsi="Arial" w:cs="Arial"/>
          <w:color w:val="000000" w:themeColor="text1"/>
        </w:rPr>
        <w:t>: Knowledgecity</w:t>
      </w:r>
      <w:r w:rsidRPr="00EE5A40">
        <w:rPr>
          <w:rFonts w:ascii="Arial" w:hAnsi="Arial" w:cs="Arial"/>
          <w:color w:val="000000" w:themeColor="text1"/>
        </w:rPr>
        <w:t>, 2025)</w:t>
      </w:r>
    </w:p>
    <w:p w14:paraId="1D135947" w14:textId="4FFA3247" w:rsidR="00CA4558" w:rsidRDefault="00CA4558" w:rsidP="00004F60">
      <w:pPr>
        <w:rPr>
          <w:rFonts w:ascii="Arial" w:hAnsi="Arial" w:cs="Arial"/>
          <w:color w:val="000000" w:themeColor="text1"/>
        </w:rPr>
      </w:pPr>
      <w:r w:rsidRPr="00EE5A40">
        <w:rPr>
          <w:rFonts w:ascii="Arial" w:hAnsi="Arial" w:cs="Arial"/>
          <w:color w:val="000000" w:themeColor="text1"/>
        </w:rPr>
        <w:t>These demographic and geopolitical currents create a dense risk landscape for HR professionals. Workforce planning must integrate demographic baselines and geopolitical scenarios to stress-test location choices, vendor dependencies, and sourcing strategies. Mobility and immigration programmes should remain agile, ethically managed, and supported by partnerships with universities and training bodies to replenish pipelines. Health, safety, and wellbeing policies must encompass crisis response, travel safeguarding, and psychosocial support for dispersed teams. Reward frameworks require rapid recalibration to inflation and exchange-rate changes while preserving internal equity. Employment relations should reflect a renewed social contract that promotes fair work, responsible automation, and inclusive career progression</w:t>
      </w:r>
      <w:r w:rsidR="000769CF" w:rsidRPr="00EE5A40">
        <w:rPr>
          <w:rFonts w:ascii="Arial" w:hAnsi="Arial" w:cs="Arial"/>
          <w:color w:val="000000" w:themeColor="text1"/>
        </w:rPr>
        <w:t xml:space="preserve"> (Gerasimova, Oblova and Golovina, 2021)</w:t>
      </w:r>
      <w:r w:rsidRPr="00EE5A40">
        <w:rPr>
          <w:rFonts w:ascii="Arial" w:hAnsi="Arial" w:cs="Arial"/>
          <w:color w:val="000000" w:themeColor="text1"/>
        </w:rPr>
        <w:t>.</w:t>
      </w:r>
    </w:p>
    <w:p w14:paraId="739C6C4B" w14:textId="77777777" w:rsidR="00EB668B" w:rsidRPr="00EE5A40" w:rsidRDefault="00EB668B" w:rsidP="00004F60">
      <w:pPr>
        <w:rPr>
          <w:rFonts w:ascii="Arial" w:hAnsi="Arial" w:cs="Arial"/>
          <w:color w:val="000000" w:themeColor="text1"/>
        </w:rPr>
      </w:pPr>
    </w:p>
    <w:p w14:paraId="0A54C021" w14:textId="36069ED4" w:rsidR="00CA4558" w:rsidRPr="00EE5A40" w:rsidRDefault="009B127D" w:rsidP="00004F60">
      <w:pPr>
        <w:pStyle w:val="Heading2"/>
        <w:rPr>
          <w:rFonts w:ascii="Arial" w:hAnsi="Arial" w:cs="Arial"/>
        </w:rPr>
      </w:pPr>
      <w:bookmarkStart w:id="13" w:name="_Toc211012170"/>
      <w:r>
        <w:rPr>
          <w:rFonts w:ascii="Arial" w:hAnsi="Arial" w:cs="Arial"/>
        </w:rPr>
        <w:lastRenderedPageBreak/>
        <w:t xml:space="preserve">2.4 </w:t>
      </w:r>
      <w:r w:rsidR="00CA4558" w:rsidRPr="00EE5A40">
        <w:rPr>
          <w:rFonts w:ascii="Arial" w:hAnsi="Arial" w:cs="Arial"/>
        </w:rPr>
        <w:t>IHRM Imperatives: Global Coherence with Local Sensitivity</w:t>
      </w:r>
      <w:bookmarkEnd w:id="13"/>
    </w:p>
    <w:p w14:paraId="705B6277" w14:textId="77777777" w:rsidR="00CA4558" w:rsidRPr="00EE5A40" w:rsidRDefault="00CA4558" w:rsidP="00004F60">
      <w:pPr>
        <w:rPr>
          <w:rFonts w:ascii="Arial" w:hAnsi="Arial" w:cs="Arial"/>
          <w:color w:val="000000" w:themeColor="text1"/>
        </w:rPr>
      </w:pPr>
      <w:r w:rsidRPr="00EE5A40">
        <w:rPr>
          <w:rFonts w:ascii="Arial" w:hAnsi="Arial" w:cs="Arial"/>
          <w:color w:val="000000" w:themeColor="text1"/>
        </w:rPr>
        <w:t>For IHRM, the task is balancing consistency with contextual adaptation. Global principles on fairness, inclusion, data privacy, and safety must hold across markets, but implementation should flex to national law and culture. Governance needs clear decision rights across global, regional, and local tiers so responses to shocks are both timely and aligned. Data governance must meet localisation requirements without fragmenting collaboration. Organisations that diversify talent locations, practise ethical international recruitment, and sustain robust compliance are better positioned to absorb shocks, maintain productivity, and protect reputation.</w:t>
      </w:r>
    </w:p>
    <w:p w14:paraId="56EE93D2" w14:textId="5E280BB9" w:rsidR="00E53B26" w:rsidRPr="00EE5A40" w:rsidRDefault="00E53B26" w:rsidP="00EB668B">
      <w:pPr>
        <w:pStyle w:val="Heading1"/>
      </w:pPr>
      <w:bookmarkStart w:id="14" w:name="_Toc211012171"/>
      <w:r w:rsidRPr="00EE5A40">
        <w:t>3. Addressing Skills Gaps through Strategic HRM</w:t>
      </w:r>
      <w:bookmarkEnd w:id="14"/>
    </w:p>
    <w:p w14:paraId="321663ED" w14:textId="09830DDF" w:rsidR="0017675F" w:rsidRPr="00EE5A40" w:rsidRDefault="009B127D" w:rsidP="00004F60">
      <w:pPr>
        <w:pStyle w:val="Heading2"/>
        <w:rPr>
          <w:rFonts w:ascii="Arial" w:hAnsi="Arial" w:cs="Arial"/>
        </w:rPr>
      </w:pPr>
      <w:bookmarkStart w:id="15" w:name="_Toc211012172"/>
      <w:r>
        <w:rPr>
          <w:rFonts w:ascii="Arial" w:hAnsi="Arial" w:cs="Arial"/>
        </w:rPr>
        <w:t xml:space="preserve">3.1 </w:t>
      </w:r>
      <w:r w:rsidR="0017675F" w:rsidRPr="00EE5A40">
        <w:rPr>
          <w:rFonts w:ascii="Arial" w:hAnsi="Arial" w:cs="Arial"/>
        </w:rPr>
        <w:t>Diagnosing Skills Deficits through Strategic Analysis</w:t>
      </w:r>
      <w:bookmarkEnd w:id="15"/>
    </w:p>
    <w:p w14:paraId="4357E794" w14:textId="62E498D5" w:rsidR="0021138F" w:rsidRPr="00EE5A40" w:rsidRDefault="0021138F" w:rsidP="00004F60">
      <w:pPr>
        <w:jc w:val="center"/>
        <w:rPr>
          <w:rFonts w:ascii="Arial" w:hAnsi="Arial" w:cs="Arial"/>
          <w:color w:val="000000" w:themeColor="text1"/>
          <w:lang w:val="en"/>
        </w:rPr>
      </w:pPr>
      <w:r w:rsidRPr="00EE5A40">
        <w:rPr>
          <w:rFonts w:ascii="Arial" w:hAnsi="Arial" w:cs="Arial"/>
          <w:noProof/>
          <w:color w:val="000000" w:themeColor="text1"/>
          <w:lang w:val="en-IN" w:eastAsia="en-IN"/>
        </w:rPr>
        <w:drawing>
          <wp:inline distT="0" distB="0" distL="0" distR="0" wp14:anchorId="5BDB8D94" wp14:editId="1A9563F9">
            <wp:extent cx="4561924" cy="2676525"/>
            <wp:effectExtent l="0" t="0" r="0" b="0"/>
            <wp:docPr id="195690783" name="Picture 6" descr="Strategic Human Resource Management 101: Your Essentia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rategic Human Resource Management 101: Your Essential Guide"/>
                    <pic:cNvPicPr>
                      <a:picLocks noChangeAspect="1" noChangeArrowheads="1"/>
                    </pic:cNvPicPr>
                  </pic:nvPicPr>
                  <pic:blipFill rotWithShape="1">
                    <a:blip r:embed="rId12">
                      <a:extLst>
                        <a:ext uri="{28A0092B-C50C-407E-A947-70E740481C1C}">
                          <a14:useLocalDpi xmlns:a14="http://schemas.microsoft.com/office/drawing/2010/main" val="0"/>
                        </a:ext>
                      </a:extLst>
                    </a:blip>
                    <a:srcRect b="11653"/>
                    <a:stretch>
                      <a:fillRect/>
                    </a:stretch>
                  </pic:blipFill>
                  <pic:spPr bwMode="auto">
                    <a:xfrm>
                      <a:off x="0" y="0"/>
                      <a:ext cx="4570052" cy="2681294"/>
                    </a:xfrm>
                    <a:prstGeom prst="rect">
                      <a:avLst/>
                    </a:prstGeom>
                    <a:noFill/>
                    <a:ln>
                      <a:noFill/>
                    </a:ln>
                    <a:extLst>
                      <a:ext uri="{53640926-AAD7-44D8-BBD7-CCE9431645EC}">
                        <a14:shadowObscured xmlns:a14="http://schemas.microsoft.com/office/drawing/2010/main"/>
                      </a:ext>
                    </a:extLst>
                  </pic:spPr>
                </pic:pic>
              </a:graphicData>
            </a:graphic>
          </wp:inline>
        </w:drawing>
      </w:r>
    </w:p>
    <w:p w14:paraId="1BF9558D" w14:textId="596F325B" w:rsidR="0021138F" w:rsidRPr="00EE5A40" w:rsidRDefault="0021138F" w:rsidP="00004F60">
      <w:pPr>
        <w:jc w:val="center"/>
        <w:rPr>
          <w:rFonts w:ascii="Arial" w:hAnsi="Arial" w:cs="Arial"/>
          <w:b/>
          <w:bCs/>
          <w:color w:val="000000" w:themeColor="text1"/>
          <w:lang w:val="en"/>
        </w:rPr>
      </w:pPr>
      <w:r w:rsidRPr="00EE5A40">
        <w:rPr>
          <w:rFonts w:ascii="Arial" w:hAnsi="Arial" w:cs="Arial"/>
          <w:b/>
          <w:bCs/>
          <w:color w:val="000000" w:themeColor="text1"/>
          <w:lang w:val="en"/>
        </w:rPr>
        <w:t xml:space="preserve">Figure 5: </w:t>
      </w:r>
      <w:r w:rsidR="00CE7BF8" w:rsidRPr="00EE5A40">
        <w:rPr>
          <w:rFonts w:ascii="Arial" w:hAnsi="Arial" w:cs="Arial"/>
          <w:b/>
          <w:bCs/>
          <w:color w:val="000000" w:themeColor="text1"/>
          <w:lang w:val="en"/>
        </w:rPr>
        <w:t>Diagnosing Skills Deficits through Strategic Analysis</w:t>
      </w:r>
    </w:p>
    <w:p w14:paraId="6064BEF1" w14:textId="73E69C3A" w:rsidR="00CE7BF8" w:rsidRPr="00EE5A40" w:rsidRDefault="00CE7BF8" w:rsidP="00004F60">
      <w:pPr>
        <w:jc w:val="center"/>
        <w:rPr>
          <w:rFonts w:ascii="Arial" w:hAnsi="Arial" w:cs="Arial"/>
          <w:b/>
          <w:bCs/>
          <w:color w:val="000000" w:themeColor="text1"/>
          <w:lang w:val="en"/>
        </w:rPr>
      </w:pPr>
      <w:r w:rsidRPr="00EE5A40">
        <w:rPr>
          <w:rFonts w:ascii="Arial" w:hAnsi="Arial" w:cs="Arial"/>
          <w:b/>
          <w:bCs/>
          <w:color w:val="000000" w:themeColor="text1"/>
          <w:lang w:val="en"/>
        </w:rPr>
        <w:t>(Source: Aihr, 2025)</w:t>
      </w:r>
    </w:p>
    <w:p w14:paraId="200440B5" w14:textId="60C0AB85" w:rsidR="0017675F" w:rsidRPr="00EE5A40" w:rsidRDefault="0017675F" w:rsidP="00004F60">
      <w:pPr>
        <w:rPr>
          <w:rFonts w:ascii="Arial" w:hAnsi="Arial" w:cs="Arial"/>
          <w:color w:val="000000" w:themeColor="text1"/>
        </w:rPr>
      </w:pPr>
      <w:r w:rsidRPr="00EE5A40">
        <w:rPr>
          <w:rFonts w:ascii="Arial" w:hAnsi="Arial" w:cs="Arial"/>
          <w:color w:val="000000" w:themeColor="text1"/>
        </w:rPr>
        <w:t xml:space="preserve">Persistent shortages in technology, hospitality, and healthcare arise from structural demand growth, limited training capacity, and uneven job quality. Strategic HRM narrows these gaps by aligning make, buy, borrow, and automate decisions with a granular understanding of work. Diagnosis begins with a comprehensive skills taxonomy that decomposes roles into core capabilities, proficiency levels, and adjacent skills. With this analytical map, </w:t>
      </w:r>
      <w:r w:rsidR="00EB668B" w:rsidRPr="00EE5A40">
        <w:rPr>
          <w:rFonts w:ascii="Arial" w:hAnsi="Arial" w:cs="Arial"/>
          <w:color w:val="000000" w:themeColor="text1"/>
        </w:rPr>
        <w:t>organizations</w:t>
      </w:r>
      <w:r w:rsidRPr="00EE5A40">
        <w:rPr>
          <w:rFonts w:ascii="Arial" w:hAnsi="Arial" w:cs="Arial"/>
          <w:color w:val="000000" w:themeColor="text1"/>
        </w:rPr>
        <w:t xml:space="preserve"> can model internal mobility pathways, identify reskilling </w:t>
      </w:r>
      <w:r w:rsidRPr="00EE5A40">
        <w:rPr>
          <w:rFonts w:ascii="Arial" w:hAnsi="Arial" w:cs="Arial"/>
          <w:color w:val="000000" w:themeColor="text1"/>
        </w:rPr>
        <w:lastRenderedPageBreak/>
        <w:t>leverage points, and quantify the trade-offs between developing talent internally, hiring externally, or automating tasks. Talent analytics should integrate vacancy pipelines, time-to-fill, quality-of-hire, learning participation, progression rates, and retention to guide evidence-based investment and workforce planning.</w:t>
      </w:r>
    </w:p>
    <w:p w14:paraId="5E332FC7" w14:textId="72882FC0" w:rsidR="0017675F" w:rsidRPr="00EE5A40" w:rsidRDefault="009B127D" w:rsidP="00004F60">
      <w:pPr>
        <w:pStyle w:val="Heading2"/>
        <w:rPr>
          <w:rFonts w:ascii="Arial" w:hAnsi="Arial" w:cs="Arial"/>
        </w:rPr>
      </w:pPr>
      <w:bookmarkStart w:id="16" w:name="_Toc211012173"/>
      <w:r>
        <w:rPr>
          <w:rFonts w:ascii="Arial" w:hAnsi="Arial" w:cs="Arial"/>
        </w:rPr>
        <w:t xml:space="preserve">3.2 </w:t>
      </w:r>
      <w:r w:rsidR="0017675F" w:rsidRPr="00EE5A40">
        <w:rPr>
          <w:rFonts w:ascii="Arial" w:hAnsi="Arial" w:cs="Arial"/>
        </w:rPr>
        <w:t>Technology Sector: Building Internal Marketplaces and Learning Ecosystems</w:t>
      </w:r>
      <w:bookmarkEnd w:id="16"/>
    </w:p>
    <w:p w14:paraId="6CBCBED4" w14:textId="2294A8A4" w:rsidR="0017675F" w:rsidRPr="00EE5A40" w:rsidRDefault="0017675F" w:rsidP="00004F60">
      <w:pPr>
        <w:rPr>
          <w:rFonts w:ascii="Arial" w:hAnsi="Arial" w:cs="Arial"/>
          <w:color w:val="000000" w:themeColor="text1"/>
        </w:rPr>
      </w:pPr>
      <w:r w:rsidRPr="00EE5A40">
        <w:rPr>
          <w:rFonts w:ascii="Arial" w:hAnsi="Arial" w:cs="Arial"/>
          <w:color w:val="000000" w:themeColor="text1"/>
        </w:rPr>
        <w:t>In technology-intensive industries, demand clusters around software engineering, cybersecurity, data analytics, and product management. Effective responses include internal talent marketplaces that advertise short-term projects or “gigs,” enabling redeployment of underutilised skills and faster career mobility. Communities of practice accelerate tacit knowledge sharing, while structured learning sprints linked to live product backlogs ensure learning directly reinforces delivery outcomes</w:t>
      </w:r>
      <w:r w:rsidR="00BB1ADD" w:rsidRPr="00EE5A40">
        <w:rPr>
          <w:rFonts w:ascii="Arial" w:hAnsi="Arial" w:cs="Arial"/>
          <w:color w:val="000000" w:themeColor="text1"/>
        </w:rPr>
        <w:t xml:space="preserve"> (Tucker, 2022)</w:t>
      </w:r>
      <w:r w:rsidRPr="00EE5A40">
        <w:rPr>
          <w:rFonts w:ascii="Arial" w:hAnsi="Arial" w:cs="Arial"/>
          <w:color w:val="000000" w:themeColor="text1"/>
        </w:rPr>
        <w:t xml:space="preserve">. Pairing engineers with AI coding assistants increases throughput if balanced by standards for security, documentation, and ethical code review. Competitive total rewards should blend market-indexed base pay with recognition for scarce skills, contribution to shared assets, and peer mentoring. Thoughtful job design—protecting focus time, </w:t>
      </w:r>
      <w:r w:rsidR="00EB668B" w:rsidRPr="00EE5A40">
        <w:rPr>
          <w:rFonts w:ascii="Arial" w:hAnsi="Arial" w:cs="Arial"/>
          <w:color w:val="000000" w:themeColor="text1"/>
        </w:rPr>
        <w:t>minimizing</w:t>
      </w:r>
      <w:r w:rsidRPr="00EE5A40">
        <w:rPr>
          <w:rFonts w:ascii="Arial" w:hAnsi="Arial" w:cs="Arial"/>
          <w:color w:val="000000" w:themeColor="text1"/>
        </w:rPr>
        <w:t xml:space="preserve"> context switching, and ensuring visible value creation—strengthens engagement and retention.</w:t>
      </w:r>
    </w:p>
    <w:p w14:paraId="1FF1CD8B" w14:textId="6C295ECE" w:rsidR="0017675F" w:rsidRPr="00EE5A40" w:rsidRDefault="009B127D" w:rsidP="00004F60">
      <w:pPr>
        <w:pStyle w:val="Heading2"/>
        <w:rPr>
          <w:rFonts w:ascii="Arial" w:hAnsi="Arial" w:cs="Arial"/>
        </w:rPr>
      </w:pPr>
      <w:bookmarkStart w:id="17" w:name="_Toc211012174"/>
      <w:r>
        <w:rPr>
          <w:rFonts w:ascii="Arial" w:hAnsi="Arial" w:cs="Arial"/>
        </w:rPr>
        <w:t xml:space="preserve">3.3 </w:t>
      </w:r>
      <w:r w:rsidR="0017675F" w:rsidRPr="00EE5A40">
        <w:rPr>
          <w:rFonts w:ascii="Arial" w:hAnsi="Arial" w:cs="Arial"/>
        </w:rPr>
        <w:t>Hospitality Sector: Redesigning Work for Flexibility and Career Credibility</w:t>
      </w:r>
      <w:bookmarkEnd w:id="17"/>
    </w:p>
    <w:p w14:paraId="1A671129" w14:textId="3ED6F447" w:rsidR="0017675F" w:rsidRPr="00EE5A40" w:rsidRDefault="0017675F" w:rsidP="00004F60">
      <w:pPr>
        <w:rPr>
          <w:rFonts w:ascii="Arial" w:hAnsi="Arial" w:cs="Arial"/>
          <w:color w:val="000000" w:themeColor="text1"/>
        </w:rPr>
      </w:pPr>
      <w:r w:rsidRPr="00EE5A40">
        <w:rPr>
          <w:rFonts w:ascii="Arial" w:hAnsi="Arial" w:cs="Arial"/>
          <w:color w:val="000000" w:themeColor="text1"/>
        </w:rPr>
        <w:t>In hospitality, shortages are driven by seasonality, pay compression, housing constraints, and irregular hours. HRM can expand participation by offering predictable scheduling with employee input, enabling multi-skilling to enhance hourly productivity, and establishing accelerated supervisory pathways that make hospitality a sustainable career rather than a transient job. Multilingual onboarding, digital task assignment, and micro-learning on mobile devices reduce time to productivity and improve service quality</w:t>
      </w:r>
      <w:r w:rsidR="00BB1ADD" w:rsidRPr="00EE5A40">
        <w:rPr>
          <w:rFonts w:ascii="Arial" w:hAnsi="Arial" w:cs="Arial"/>
          <w:color w:val="000000" w:themeColor="text1"/>
        </w:rPr>
        <w:t xml:space="preserve"> (Singh Dubey, Paul and Tewari, 2022)</w:t>
      </w:r>
      <w:r w:rsidRPr="00EE5A40">
        <w:rPr>
          <w:rFonts w:ascii="Arial" w:hAnsi="Arial" w:cs="Arial"/>
          <w:color w:val="000000" w:themeColor="text1"/>
        </w:rPr>
        <w:t>. Partnerships with colleges and community groups widen local pipelines, while rotational mobility across properties aligns peak demand with development opportunities. Manager capability remains decisive: equitable rostering, transparent allocation of premium shifts, and real-time feedback strengthen trust and retention.</w:t>
      </w:r>
    </w:p>
    <w:p w14:paraId="7F0A0631" w14:textId="262E6FE8" w:rsidR="0017675F" w:rsidRPr="00EE5A40" w:rsidRDefault="009B127D" w:rsidP="00004F60">
      <w:pPr>
        <w:pStyle w:val="Heading2"/>
        <w:rPr>
          <w:rFonts w:ascii="Arial" w:hAnsi="Arial" w:cs="Arial"/>
        </w:rPr>
      </w:pPr>
      <w:bookmarkStart w:id="18" w:name="_Toc211012175"/>
      <w:r>
        <w:rPr>
          <w:rFonts w:ascii="Arial" w:hAnsi="Arial" w:cs="Arial"/>
        </w:rPr>
        <w:lastRenderedPageBreak/>
        <w:t xml:space="preserve">3.4 </w:t>
      </w:r>
      <w:r w:rsidR="0017675F" w:rsidRPr="00EE5A40">
        <w:rPr>
          <w:rFonts w:ascii="Arial" w:hAnsi="Arial" w:cs="Arial"/>
        </w:rPr>
        <w:t>Healthcare Sector: Expanding Capacity and Protecting Wellbeing</w:t>
      </w:r>
      <w:bookmarkEnd w:id="18"/>
    </w:p>
    <w:p w14:paraId="3E9C7DC3" w14:textId="52E27546" w:rsidR="0017675F" w:rsidRPr="00EE5A40" w:rsidRDefault="0017675F" w:rsidP="00004F60">
      <w:pPr>
        <w:rPr>
          <w:rFonts w:ascii="Arial" w:hAnsi="Arial" w:cs="Arial"/>
          <w:color w:val="000000" w:themeColor="text1"/>
        </w:rPr>
      </w:pPr>
      <w:r w:rsidRPr="00EE5A40">
        <w:rPr>
          <w:rFonts w:ascii="Arial" w:hAnsi="Arial" w:cs="Arial"/>
          <w:color w:val="000000" w:themeColor="text1"/>
        </w:rPr>
        <w:t>Healthcare faces widening gaps caused by training bottlenecks, burnout, and global competition for skilled professionals. Evidence-based staffing models that balance patient acuity and skill mix, coupled with expanded scopes of practice supported by technology, can release capacity. Simulation-based training accelerates competence, while protected learning time and wellbeing safeguards reduce attrition. Building clear career ladders enhances retention and professionalism. Where international recruitment is necessary, adherence to ethical frameworks and long-term retention support are critical to prevent exploitation and protect continuity of care</w:t>
      </w:r>
      <w:r w:rsidR="00BB1ADD" w:rsidRPr="00EE5A40">
        <w:rPr>
          <w:rFonts w:ascii="Arial" w:hAnsi="Arial" w:cs="Arial"/>
          <w:color w:val="000000" w:themeColor="text1"/>
        </w:rPr>
        <w:t xml:space="preserve"> (Karimi and Pina, 2021)</w:t>
      </w:r>
      <w:r w:rsidRPr="00EE5A40">
        <w:rPr>
          <w:rFonts w:ascii="Arial" w:hAnsi="Arial" w:cs="Arial"/>
          <w:color w:val="000000" w:themeColor="text1"/>
        </w:rPr>
        <w:t>.</w:t>
      </w:r>
    </w:p>
    <w:p w14:paraId="14917457" w14:textId="16247AEC" w:rsidR="0017675F" w:rsidRPr="00EE5A40" w:rsidRDefault="009B127D" w:rsidP="00004F60">
      <w:pPr>
        <w:pStyle w:val="Heading2"/>
        <w:rPr>
          <w:rFonts w:ascii="Arial" w:hAnsi="Arial" w:cs="Arial"/>
        </w:rPr>
      </w:pPr>
      <w:bookmarkStart w:id="19" w:name="_Toc211012176"/>
      <w:r>
        <w:rPr>
          <w:rFonts w:ascii="Arial" w:hAnsi="Arial" w:cs="Arial"/>
        </w:rPr>
        <w:t xml:space="preserve">3.5 </w:t>
      </w:r>
      <w:r w:rsidR="0017675F" w:rsidRPr="00EE5A40">
        <w:rPr>
          <w:rFonts w:ascii="Arial" w:hAnsi="Arial" w:cs="Arial"/>
        </w:rPr>
        <w:t>Governance, Measurement, and Manager Enablement</w:t>
      </w:r>
      <w:bookmarkEnd w:id="19"/>
    </w:p>
    <w:p w14:paraId="2B28E08F" w14:textId="6DDDB8E6" w:rsidR="0017675F" w:rsidRDefault="0017675F" w:rsidP="00004F60">
      <w:pPr>
        <w:rPr>
          <w:rFonts w:ascii="Arial" w:hAnsi="Arial" w:cs="Arial"/>
          <w:color w:val="000000" w:themeColor="text1"/>
        </w:rPr>
      </w:pPr>
      <w:r w:rsidRPr="00EE5A40">
        <w:rPr>
          <w:rFonts w:ascii="Arial" w:hAnsi="Arial" w:cs="Arial"/>
          <w:color w:val="000000" w:themeColor="text1"/>
        </w:rPr>
        <w:t xml:space="preserve">Across sectors, strong governance and measurement sustain progress. Leading indicators—skills coverage, internal mobility rates, time-to-productivity, and learning completion—should complement lagging metrics such as retention, engagement, and service outcomes. Quarterly reviews must reconcile demand forecasts with training throughput and vendor capacity. Reward and recognition systems should reinforce continuous learning and collaboration, visibly crediting coaching and knowledge-sharing. Critically, line managers need enablement to coach for skill development rather than manage solely for short-term outputs. When these levers operate coherently, </w:t>
      </w:r>
      <w:r w:rsidR="00E630D0" w:rsidRPr="00EE5A40">
        <w:rPr>
          <w:rFonts w:ascii="Arial" w:hAnsi="Arial" w:cs="Arial"/>
          <w:color w:val="000000" w:themeColor="text1"/>
        </w:rPr>
        <w:t>organizations</w:t>
      </w:r>
      <w:r w:rsidRPr="00EE5A40">
        <w:rPr>
          <w:rFonts w:ascii="Arial" w:hAnsi="Arial" w:cs="Arial"/>
          <w:color w:val="000000" w:themeColor="text1"/>
        </w:rPr>
        <w:t xml:space="preserve"> convert diffuse labour shortages into structured capability building at scale.</w:t>
      </w:r>
    </w:p>
    <w:p w14:paraId="6E2C5387" w14:textId="77777777" w:rsidR="00E630D0" w:rsidRPr="00EE5A40" w:rsidRDefault="00E630D0" w:rsidP="00004F60">
      <w:pPr>
        <w:rPr>
          <w:rFonts w:ascii="Arial" w:hAnsi="Arial" w:cs="Arial"/>
          <w:color w:val="000000" w:themeColor="text1"/>
        </w:rPr>
      </w:pPr>
    </w:p>
    <w:p w14:paraId="21D9F3E2" w14:textId="32E5743F" w:rsidR="00E53B26" w:rsidRDefault="00E53B26" w:rsidP="00EB668B">
      <w:pPr>
        <w:pStyle w:val="Heading1"/>
      </w:pPr>
      <w:bookmarkStart w:id="20" w:name="_Toc211012177"/>
      <w:r w:rsidRPr="00EE5A40">
        <w:t>4. Reflective Report: International Readiness</w:t>
      </w:r>
      <w:bookmarkEnd w:id="20"/>
    </w:p>
    <w:p w14:paraId="358D46D3" w14:textId="77777777" w:rsidR="00E630D0" w:rsidRPr="00E630D0" w:rsidRDefault="00E630D0" w:rsidP="00004F60">
      <w:pPr>
        <w:rPr>
          <w:lang w:val="en"/>
        </w:rPr>
      </w:pPr>
    </w:p>
    <w:p w14:paraId="1E7F1946" w14:textId="1754B75A" w:rsidR="00635B21" w:rsidRPr="00EE5A40" w:rsidRDefault="00635B21" w:rsidP="00004F60">
      <w:pPr>
        <w:rPr>
          <w:rFonts w:ascii="Arial" w:hAnsi="Arial" w:cs="Arial"/>
          <w:color w:val="000000" w:themeColor="text1"/>
        </w:rPr>
      </w:pPr>
      <w:r w:rsidRPr="00EE5A40">
        <w:rPr>
          <w:rFonts w:ascii="Arial" w:hAnsi="Arial" w:cs="Arial"/>
          <w:color w:val="000000" w:themeColor="text1"/>
        </w:rPr>
        <w:t xml:space="preserve">Working effectively in a global, technology-rich environment demands fluency with tools, clarity in communication, disciplined teamwork, situational leadership, and a robust system for self-directed learning. My capability profile has matured through recent academic and professional projects, yet there are gaps that require deliberate practice. This section articulates strengths, surfaces weaknesses candidly, and sets out a practical plan aligned with the market dynamics </w:t>
      </w:r>
      <w:r w:rsidR="00E630D0" w:rsidRPr="00EE5A40">
        <w:rPr>
          <w:rFonts w:ascii="Arial" w:hAnsi="Arial" w:cs="Arial"/>
          <w:color w:val="000000" w:themeColor="text1"/>
        </w:rPr>
        <w:t>analyzed</w:t>
      </w:r>
      <w:r w:rsidRPr="00EE5A40">
        <w:rPr>
          <w:rFonts w:ascii="Arial" w:hAnsi="Arial" w:cs="Arial"/>
          <w:color w:val="000000" w:themeColor="text1"/>
        </w:rPr>
        <w:t xml:space="preserve"> earlier, demonstrating continuous professional growth and global employability awareness.</w:t>
      </w:r>
    </w:p>
    <w:p w14:paraId="0CF95412" w14:textId="3D866CB5" w:rsidR="00635B21" w:rsidRPr="00EE5A40" w:rsidRDefault="009B127D" w:rsidP="00004F60">
      <w:pPr>
        <w:pStyle w:val="Heading2"/>
        <w:rPr>
          <w:rFonts w:ascii="Arial" w:hAnsi="Arial" w:cs="Arial"/>
        </w:rPr>
      </w:pPr>
      <w:bookmarkStart w:id="21" w:name="_Toc211012178"/>
      <w:r>
        <w:rPr>
          <w:rFonts w:ascii="Arial" w:hAnsi="Arial" w:cs="Arial"/>
        </w:rPr>
        <w:lastRenderedPageBreak/>
        <w:t xml:space="preserve">4.1 </w:t>
      </w:r>
      <w:r w:rsidR="00635B21" w:rsidRPr="00EE5A40">
        <w:rPr>
          <w:rFonts w:ascii="Arial" w:hAnsi="Arial" w:cs="Arial"/>
        </w:rPr>
        <w:t>Technology Readiness</w:t>
      </w:r>
      <w:bookmarkEnd w:id="21"/>
    </w:p>
    <w:p w14:paraId="541AEE82" w14:textId="42A0BB91" w:rsidR="00635B21" w:rsidRPr="00EE5A40" w:rsidRDefault="00635B21" w:rsidP="00004F60">
      <w:pPr>
        <w:rPr>
          <w:rFonts w:ascii="Arial" w:hAnsi="Arial" w:cs="Arial"/>
          <w:color w:val="000000" w:themeColor="text1"/>
        </w:rPr>
      </w:pPr>
      <w:r w:rsidRPr="00EE5A40">
        <w:rPr>
          <w:rFonts w:ascii="Arial" w:hAnsi="Arial" w:cs="Arial"/>
          <w:color w:val="000000" w:themeColor="text1"/>
        </w:rPr>
        <w:t xml:space="preserve">In technology, I am comfortable using collaborative suites, version control, and data-analysis notebooks to </w:t>
      </w:r>
      <w:r w:rsidR="00E630D0" w:rsidRPr="00EE5A40">
        <w:rPr>
          <w:rFonts w:ascii="Arial" w:hAnsi="Arial" w:cs="Arial"/>
          <w:color w:val="000000" w:themeColor="text1"/>
        </w:rPr>
        <w:t>organize</w:t>
      </w:r>
      <w:r w:rsidRPr="00EE5A40">
        <w:rPr>
          <w:rFonts w:ascii="Arial" w:hAnsi="Arial" w:cs="Arial"/>
          <w:color w:val="000000" w:themeColor="text1"/>
        </w:rPr>
        <w:t xml:space="preserve"> work, manage change, and test ideas quickly. I routinely prototype using low-code and automation tools to connect services and reduce manual effort, which has improved throughput and documentation quality. Exposure to AI-assisted drafting and analysis has sharpened my prompt design, evaluation discipline, and awareness of issues such as bias, privacy, and reproducibility. The principal limitation is depth in cloud architecture and security engineering. I can configure services and instrument basic monitoring, yet I need stronger competence in resilience patterns, cost control, and policy-as-code to lead production-grade work reliably.</w:t>
      </w:r>
    </w:p>
    <w:p w14:paraId="283CE55E" w14:textId="24580789" w:rsidR="00635B21" w:rsidRPr="00EE5A40" w:rsidRDefault="009B127D" w:rsidP="00004F60">
      <w:pPr>
        <w:pStyle w:val="Heading2"/>
        <w:rPr>
          <w:rFonts w:ascii="Arial" w:hAnsi="Arial" w:cs="Arial"/>
        </w:rPr>
      </w:pPr>
      <w:bookmarkStart w:id="22" w:name="_Toc211012179"/>
      <w:r>
        <w:rPr>
          <w:rFonts w:ascii="Arial" w:hAnsi="Arial" w:cs="Arial"/>
        </w:rPr>
        <w:t xml:space="preserve">4.2 </w:t>
      </w:r>
      <w:r w:rsidR="00635B21" w:rsidRPr="00EE5A40">
        <w:rPr>
          <w:rFonts w:ascii="Arial" w:hAnsi="Arial" w:cs="Arial"/>
        </w:rPr>
        <w:t>Communication across Cultures</w:t>
      </w:r>
      <w:bookmarkEnd w:id="22"/>
    </w:p>
    <w:p w14:paraId="43380F74" w14:textId="77777777" w:rsidR="00635B21" w:rsidRPr="00EE5A40" w:rsidRDefault="00635B21" w:rsidP="00004F60">
      <w:pPr>
        <w:rPr>
          <w:rFonts w:ascii="Arial" w:hAnsi="Arial" w:cs="Arial"/>
          <w:color w:val="000000" w:themeColor="text1"/>
        </w:rPr>
      </w:pPr>
      <w:r w:rsidRPr="00EE5A40">
        <w:rPr>
          <w:rFonts w:ascii="Arial" w:hAnsi="Arial" w:cs="Arial"/>
          <w:color w:val="000000" w:themeColor="text1"/>
        </w:rPr>
        <w:t xml:space="preserve">In communication, I </w:t>
      </w:r>
      <w:proofErr w:type="spellStart"/>
      <w:r w:rsidRPr="00EE5A40">
        <w:rPr>
          <w:rFonts w:ascii="Arial" w:hAnsi="Arial" w:cs="Arial"/>
          <w:color w:val="000000" w:themeColor="text1"/>
        </w:rPr>
        <w:t>prioritise</w:t>
      </w:r>
      <w:proofErr w:type="spellEnd"/>
      <w:r w:rsidRPr="00EE5A40">
        <w:rPr>
          <w:rFonts w:ascii="Arial" w:hAnsi="Arial" w:cs="Arial"/>
          <w:color w:val="000000" w:themeColor="text1"/>
        </w:rPr>
        <w:t xml:space="preserve"> clarity, audience alignment, and traceability of decisions. I have led the drafting of scoping notes, executive summaries, and technical annexes that link requirements to deliverables and explain trade-offs succinctly. Working across time zones prompted me to refine asynchronous habits, including structured updates, crisp commit messages, and decision logs that stand alone without meetings. The growth edge is richer cross-cultural nuance in live discussions, particularly when navigating disagreement or saving face. I sometimes resolve tension by moving to written channels too quickly, which can miss opportunities to build rapport and shared understanding in real time.</w:t>
      </w:r>
    </w:p>
    <w:p w14:paraId="58B5B9D8" w14:textId="38E9C38D" w:rsidR="00635B21" w:rsidRPr="00EE5A40" w:rsidRDefault="009B127D" w:rsidP="00004F60">
      <w:pPr>
        <w:pStyle w:val="Heading2"/>
        <w:rPr>
          <w:rFonts w:ascii="Arial" w:hAnsi="Arial" w:cs="Arial"/>
        </w:rPr>
      </w:pPr>
      <w:bookmarkStart w:id="23" w:name="_Toc211012180"/>
      <w:r>
        <w:rPr>
          <w:rFonts w:ascii="Arial" w:hAnsi="Arial" w:cs="Arial"/>
        </w:rPr>
        <w:t xml:space="preserve">4.3 </w:t>
      </w:r>
      <w:r w:rsidR="00635B21" w:rsidRPr="00EE5A40">
        <w:rPr>
          <w:rFonts w:ascii="Arial" w:hAnsi="Arial" w:cs="Arial"/>
        </w:rPr>
        <w:t>Teamwork and Collaboration</w:t>
      </w:r>
      <w:bookmarkEnd w:id="23"/>
    </w:p>
    <w:p w14:paraId="4EA7721A" w14:textId="3FA2A2A2" w:rsidR="00635B21" w:rsidRPr="00EE5A40" w:rsidRDefault="00635B21" w:rsidP="00004F60">
      <w:pPr>
        <w:rPr>
          <w:rFonts w:ascii="Arial" w:hAnsi="Arial" w:cs="Arial"/>
          <w:color w:val="000000" w:themeColor="text1"/>
        </w:rPr>
      </w:pPr>
      <w:r w:rsidRPr="00EE5A40">
        <w:rPr>
          <w:rFonts w:ascii="Arial" w:hAnsi="Arial" w:cs="Arial"/>
          <w:color w:val="000000" w:themeColor="text1"/>
        </w:rPr>
        <w:t>Teamwork has been a consistent source of strength. I contribute reliably, close loops, and make interdependencies visible so colleagues can plan around constraints</w:t>
      </w:r>
      <w:r w:rsidR="00BB1ADD" w:rsidRPr="00EE5A40">
        <w:rPr>
          <w:rFonts w:ascii="Arial" w:hAnsi="Arial" w:cs="Arial"/>
          <w:color w:val="000000" w:themeColor="text1"/>
        </w:rPr>
        <w:t xml:space="preserve"> (Heymann et al., 2022)</w:t>
      </w:r>
      <w:r w:rsidRPr="00EE5A40">
        <w:rPr>
          <w:rFonts w:ascii="Arial" w:hAnsi="Arial" w:cs="Arial"/>
          <w:color w:val="000000" w:themeColor="text1"/>
        </w:rPr>
        <w:t xml:space="preserve">. When conflicts arise, I </w:t>
      </w:r>
      <w:r w:rsidR="00E630D0" w:rsidRPr="00EE5A40">
        <w:rPr>
          <w:rFonts w:ascii="Arial" w:hAnsi="Arial" w:cs="Arial"/>
          <w:color w:val="000000" w:themeColor="text1"/>
        </w:rPr>
        <w:t>stabilize</w:t>
      </w:r>
      <w:r w:rsidRPr="00EE5A40">
        <w:rPr>
          <w:rFonts w:ascii="Arial" w:hAnsi="Arial" w:cs="Arial"/>
          <w:color w:val="000000" w:themeColor="text1"/>
        </w:rPr>
        <w:t xml:space="preserve"> groups by reframing problems around shared outcomes and splitting disagreements into testable hypotheses. However, I can be slow to delegate when timelines tighten, which overloads me and narrows development opportunities for others. Building muscle for deliberate delegation, with explicit quality gates and coaching check-ins, will increase team throughput and resilience while developing successors for future leadership.</w:t>
      </w:r>
    </w:p>
    <w:p w14:paraId="08D13919" w14:textId="77EEF5C3" w:rsidR="00635B21" w:rsidRPr="00EE5A40" w:rsidRDefault="009B127D" w:rsidP="00004F60">
      <w:pPr>
        <w:pStyle w:val="Heading2"/>
        <w:rPr>
          <w:rFonts w:ascii="Arial" w:hAnsi="Arial" w:cs="Arial"/>
        </w:rPr>
      </w:pPr>
      <w:bookmarkStart w:id="24" w:name="_Toc211012181"/>
      <w:r>
        <w:rPr>
          <w:rFonts w:ascii="Arial" w:hAnsi="Arial" w:cs="Arial"/>
        </w:rPr>
        <w:lastRenderedPageBreak/>
        <w:t xml:space="preserve">4.4 </w:t>
      </w:r>
      <w:r w:rsidR="00635B21" w:rsidRPr="00EE5A40">
        <w:rPr>
          <w:rFonts w:ascii="Arial" w:hAnsi="Arial" w:cs="Arial"/>
        </w:rPr>
        <w:t>Leadership under Ambiguity</w:t>
      </w:r>
      <w:bookmarkEnd w:id="24"/>
    </w:p>
    <w:p w14:paraId="5D882BE7" w14:textId="6E49933B" w:rsidR="00635B21" w:rsidRPr="00EE5A40" w:rsidRDefault="00635B21" w:rsidP="00004F60">
      <w:pPr>
        <w:rPr>
          <w:rFonts w:ascii="Arial" w:hAnsi="Arial" w:cs="Arial"/>
          <w:color w:val="000000" w:themeColor="text1"/>
        </w:rPr>
      </w:pPr>
      <w:r w:rsidRPr="00EE5A40">
        <w:rPr>
          <w:rFonts w:ascii="Arial" w:hAnsi="Arial" w:cs="Arial"/>
          <w:color w:val="000000" w:themeColor="text1"/>
        </w:rPr>
        <w:t xml:space="preserve">In leadership, I have </w:t>
      </w:r>
      <w:r w:rsidR="00E630D0" w:rsidRPr="00EE5A40">
        <w:rPr>
          <w:rFonts w:ascii="Arial" w:hAnsi="Arial" w:cs="Arial"/>
          <w:color w:val="000000" w:themeColor="text1"/>
        </w:rPr>
        <w:t>practiced</w:t>
      </w:r>
      <w:r w:rsidRPr="00EE5A40">
        <w:rPr>
          <w:rFonts w:ascii="Arial" w:hAnsi="Arial" w:cs="Arial"/>
          <w:color w:val="000000" w:themeColor="text1"/>
        </w:rPr>
        <w:t xml:space="preserve"> influencing without formal authority by shaping problem definitions, setting lightweight rituals, and curating artefacts that make progress legible. I am comfortable making provisional decisions under uncertainty when stalling would be costlier, and I document assumptions to invite challenge</w:t>
      </w:r>
      <w:r w:rsidR="00BB1ADD" w:rsidRPr="00EE5A40">
        <w:rPr>
          <w:rFonts w:ascii="Arial" w:hAnsi="Arial" w:cs="Arial"/>
          <w:color w:val="000000" w:themeColor="text1"/>
        </w:rPr>
        <w:t xml:space="preserve"> (Mello, Varga-Atkins and Edwards, 2021)</w:t>
      </w:r>
      <w:r w:rsidRPr="00EE5A40">
        <w:rPr>
          <w:rFonts w:ascii="Arial" w:hAnsi="Arial" w:cs="Arial"/>
          <w:color w:val="000000" w:themeColor="text1"/>
        </w:rPr>
        <w:t xml:space="preserve">. The developmental area is storytelling that links technical choices to human impact and </w:t>
      </w:r>
      <w:r w:rsidR="00E630D0" w:rsidRPr="00EE5A40">
        <w:rPr>
          <w:rFonts w:ascii="Arial" w:hAnsi="Arial" w:cs="Arial"/>
          <w:color w:val="000000" w:themeColor="text1"/>
        </w:rPr>
        <w:t>organizational</w:t>
      </w:r>
      <w:r w:rsidRPr="00EE5A40">
        <w:rPr>
          <w:rFonts w:ascii="Arial" w:hAnsi="Arial" w:cs="Arial"/>
          <w:color w:val="000000" w:themeColor="text1"/>
        </w:rPr>
        <w:t xml:space="preserve"> strategy. Strengthening this narrative arc will help align senior stakeholders and frontline contributors around the same intent, reducing oscillation and rework while reinforcing shared accountability.</w:t>
      </w:r>
    </w:p>
    <w:p w14:paraId="4C09231F" w14:textId="0795A898" w:rsidR="00635B21" w:rsidRPr="00EE5A40" w:rsidRDefault="009B127D" w:rsidP="00004F60">
      <w:pPr>
        <w:pStyle w:val="Heading2"/>
        <w:rPr>
          <w:rFonts w:ascii="Arial" w:hAnsi="Arial" w:cs="Arial"/>
        </w:rPr>
      </w:pPr>
      <w:bookmarkStart w:id="25" w:name="_Toc211012182"/>
      <w:r>
        <w:rPr>
          <w:rFonts w:ascii="Arial" w:hAnsi="Arial" w:cs="Arial"/>
        </w:rPr>
        <w:t xml:space="preserve">4.5 </w:t>
      </w:r>
      <w:r w:rsidR="00635B21" w:rsidRPr="00EE5A40">
        <w:rPr>
          <w:rFonts w:ascii="Arial" w:hAnsi="Arial" w:cs="Arial"/>
        </w:rPr>
        <w:t>Self-Directed Learning and Adaptability</w:t>
      </w:r>
      <w:bookmarkEnd w:id="25"/>
    </w:p>
    <w:p w14:paraId="15952CD0" w14:textId="77777777" w:rsidR="00635B21" w:rsidRPr="00EE5A40" w:rsidRDefault="00635B21" w:rsidP="00004F60">
      <w:pPr>
        <w:rPr>
          <w:rFonts w:ascii="Arial" w:hAnsi="Arial" w:cs="Arial"/>
          <w:color w:val="000000" w:themeColor="text1"/>
        </w:rPr>
      </w:pPr>
      <w:r w:rsidRPr="00EE5A40">
        <w:rPr>
          <w:rFonts w:ascii="Arial" w:hAnsi="Arial" w:cs="Arial"/>
          <w:color w:val="000000" w:themeColor="text1"/>
        </w:rPr>
        <w:t>Self-directed learning underpins the rest. I maintain a backlog of skills with explicit learning outcomes, schedule weekly practice blocks, and capture reflections that translate errors into reusable checklists. This cadence has produced steady gains in analysis, writing, and collaboration. The risk is diffusion: with many interests, I can spread attention thinly and under-invest in the hardest, most compounding skills. To counter this, I will adopt quarterly themes and set outcome metrics beyond course completion, such as reduced incident rates, improved latency, or fewer handoffs, so learning connects to measurable operational results and visible performance impact.</w:t>
      </w:r>
    </w:p>
    <w:p w14:paraId="16E4E528" w14:textId="2EE7646F" w:rsidR="00635B21" w:rsidRPr="00EE5A40" w:rsidRDefault="009B127D" w:rsidP="00004F60">
      <w:pPr>
        <w:pStyle w:val="Heading2"/>
        <w:rPr>
          <w:rFonts w:ascii="Arial" w:hAnsi="Arial" w:cs="Arial"/>
        </w:rPr>
      </w:pPr>
      <w:bookmarkStart w:id="26" w:name="_Toc211012183"/>
      <w:r>
        <w:rPr>
          <w:rFonts w:ascii="Arial" w:hAnsi="Arial" w:cs="Arial"/>
        </w:rPr>
        <w:t xml:space="preserve">4.6 </w:t>
      </w:r>
      <w:r w:rsidR="00635B21" w:rsidRPr="00EE5A40">
        <w:rPr>
          <w:rFonts w:ascii="Arial" w:hAnsi="Arial" w:cs="Arial"/>
        </w:rPr>
        <w:t>Action Plan for the Next Six Months</w:t>
      </w:r>
      <w:bookmarkEnd w:id="26"/>
    </w:p>
    <w:p w14:paraId="6637EED8" w14:textId="6430EA3F" w:rsidR="00635B21" w:rsidRPr="00EE5A40" w:rsidRDefault="00635B21" w:rsidP="00004F60">
      <w:pPr>
        <w:rPr>
          <w:rFonts w:ascii="Arial" w:hAnsi="Arial" w:cs="Arial"/>
          <w:color w:val="000000" w:themeColor="text1"/>
        </w:rPr>
      </w:pPr>
      <w:r w:rsidRPr="00EE5A40">
        <w:rPr>
          <w:rFonts w:ascii="Arial" w:hAnsi="Arial" w:cs="Arial"/>
          <w:color w:val="000000" w:themeColor="text1"/>
        </w:rPr>
        <w:t>My plan for the next six months leverages strengths while closing priority gaps. I will complete an intermediate certification in cloud architecture and immediately apply it by hardening a current prototype with observability, security baselines, and documented runbooks. I will lead a small cross-border initiative that requires asynchronous collaboration, structured delegation, and multilingual communication, using pre-mortems and retrospectives to surface risks and lessons. I will practise intercultural communication deliberately by preparing brief cultural briefs for key counterparts, testing phrasing in mock sessions, and using reflective notes to track what lands well or poorly</w:t>
      </w:r>
      <w:r w:rsidR="00893447" w:rsidRPr="00EE5A40">
        <w:rPr>
          <w:rFonts w:ascii="Arial" w:hAnsi="Arial" w:cs="Arial"/>
          <w:color w:val="000000" w:themeColor="text1"/>
        </w:rPr>
        <w:t xml:space="preserve"> (Mtawa, Fongwa and Wilson-Strydom, 2021)</w:t>
      </w:r>
      <w:r w:rsidRPr="00EE5A40">
        <w:rPr>
          <w:rFonts w:ascii="Arial" w:hAnsi="Arial" w:cs="Arial"/>
          <w:color w:val="000000" w:themeColor="text1"/>
        </w:rPr>
        <w:t>. I will deepen AI-assisted workflows responsibly by defining acceptance criteria for model outputs, documenting decision boundaries, and creating playbooks that colleagues can reuse effectively.</w:t>
      </w:r>
    </w:p>
    <w:p w14:paraId="0AD2C0F8" w14:textId="40086771" w:rsidR="00635B21" w:rsidRPr="00EE5A40" w:rsidRDefault="009B127D" w:rsidP="00004F60">
      <w:pPr>
        <w:pStyle w:val="Heading2"/>
        <w:rPr>
          <w:rFonts w:ascii="Arial" w:hAnsi="Arial" w:cs="Arial"/>
        </w:rPr>
      </w:pPr>
      <w:bookmarkStart w:id="27" w:name="_Toc211012184"/>
      <w:r>
        <w:rPr>
          <w:rFonts w:ascii="Arial" w:hAnsi="Arial" w:cs="Arial"/>
        </w:rPr>
        <w:lastRenderedPageBreak/>
        <w:t xml:space="preserve">4.7 </w:t>
      </w:r>
      <w:r w:rsidR="00635B21" w:rsidRPr="00EE5A40">
        <w:rPr>
          <w:rFonts w:ascii="Arial" w:hAnsi="Arial" w:cs="Arial"/>
        </w:rPr>
        <w:t>Evaluation and Continuous Improvement</w:t>
      </w:r>
      <w:bookmarkEnd w:id="27"/>
    </w:p>
    <w:p w14:paraId="52419E2B" w14:textId="61B4DD1E" w:rsidR="00635B21" w:rsidRPr="00EE5A40" w:rsidRDefault="00FE3E16" w:rsidP="00004F60">
      <w:pPr>
        <w:rPr>
          <w:rFonts w:ascii="Arial" w:hAnsi="Arial" w:cs="Arial"/>
          <w:color w:val="000000" w:themeColor="text1"/>
        </w:rPr>
      </w:pPr>
      <w:r w:rsidRPr="00EE5A40">
        <w:rPr>
          <w:rFonts w:ascii="Arial" w:hAnsi="Arial" w:cs="Arial"/>
          <w:color w:val="000000" w:themeColor="text1"/>
        </w:rPr>
        <w:t>To increase the effectiveness of my work, I will also have a portfolio to justify the correlation between the actions and the results i.e. learning-hour dashboards, the speed of acquiring skills, and the contributions of the cross-team. I will also ask other workers and mentors to provide quarterly feedback on other areas and integrate them into one improvement backlog. Lastly, to be able to replicate the utility of what I am, I will put useful practices in short manuals and short-videos that can be reused by other individuals, which will enhance the credibility as a mentor and coach. Collectively the requirements render it reflection in lasting behaviour modification, and consistent with labour-market incentive that recompense the utilization of adaptive technology, cross-cultural proficiency and disciplined self-enhancement</w:t>
      </w:r>
      <w:r w:rsidR="00635B21" w:rsidRPr="00EE5A40">
        <w:rPr>
          <w:rFonts w:ascii="Arial" w:hAnsi="Arial" w:cs="Arial"/>
          <w:color w:val="000000" w:themeColor="text1"/>
        </w:rPr>
        <w:t>.</w:t>
      </w:r>
    </w:p>
    <w:p w14:paraId="15E7BB32" w14:textId="277764DC" w:rsidR="00E53B26" w:rsidRPr="00EE5A40" w:rsidRDefault="00E53B26" w:rsidP="00EB668B">
      <w:pPr>
        <w:pStyle w:val="Heading1"/>
      </w:pPr>
      <w:bookmarkStart w:id="28" w:name="_Toc211012185"/>
      <w:r w:rsidRPr="00EE5A40">
        <w:t>Conclusion</w:t>
      </w:r>
      <w:bookmarkEnd w:id="28"/>
    </w:p>
    <w:p w14:paraId="76053684" w14:textId="29D38575" w:rsidR="00635B21" w:rsidRPr="00EE5A40" w:rsidRDefault="00FE3E16" w:rsidP="00004F60">
      <w:pPr>
        <w:rPr>
          <w:rFonts w:ascii="Arial" w:hAnsi="Arial" w:cs="Arial"/>
          <w:color w:val="000000" w:themeColor="text1"/>
        </w:rPr>
      </w:pPr>
      <w:r w:rsidRPr="00EE5A40">
        <w:rPr>
          <w:rFonts w:ascii="Arial" w:hAnsi="Arial" w:cs="Arial"/>
          <w:color w:val="000000" w:themeColor="text1"/>
        </w:rPr>
        <w:t>The labour markets are publicly shifting due to technology, demographic shifts and geopolitical instability</w:t>
      </w:r>
      <w:r w:rsidR="001B0E01">
        <w:rPr>
          <w:rFonts w:ascii="Arial" w:hAnsi="Arial" w:cs="Arial"/>
          <w:color w:val="000000" w:themeColor="text1"/>
        </w:rPr>
        <w:t>,</w:t>
      </w:r>
      <w:r w:rsidRPr="00EE5A40">
        <w:rPr>
          <w:rFonts w:ascii="Arial" w:hAnsi="Arial" w:cs="Arial"/>
          <w:color w:val="000000" w:themeColor="text1"/>
        </w:rPr>
        <w:t xml:space="preserve"> with consequences on how </w:t>
      </w:r>
      <w:r w:rsidR="00EB668B">
        <w:rPr>
          <w:rFonts w:ascii="Arial" w:hAnsi="Arial" w:cs="Arial"/>
          <w:color w:val="000000" w:themeColor="text1"/>
        </w:rPr>
        <w:t>organizations</w:t>
      </w:r>
      <w:r w:rsidRPr="00EE5A40">
        <w:rPr>
          <w:rFonts w:ascii="Arial" w:hAnsi="Arial" w:cs="Arial"/>
          <w:color w:val="000000" w:themeColor="text1"/>
        </w:rPr>
        <w:t xml:space="preserve"> are sourcing, developing, rewarding and structuring talent at local and international levels. Best practice HRM and IHRM practices replace the non-dynamic jobs with </w:t>
      </w:r>
      <w:r w:rsidR="001B0E01">
        <w:rPr>
          <w:rFonts w:ascii="Arial" w:hAnsi="Arial" w:cs="Arial"/>
          <w:color w:val="000000" w:themeColor="text1"/>
        </w:rPr>
        <w:t>skills-based</w:t>
      </w:r>
      <w:r w:rsidRPr="00EE5A40">
        <w:rPr>
          <w:rFonts w:ascii="Arial" w:hAnsi="Arial" w:cs="Arial"/>
          <w:color w:val="000000" w:themeColor="text1"/>
        </w:rPr>
        <w:t xml:space="preserve"> smartness, </w:t>
      </w:r>
      <w:r w:rsidR="001B0E01" w:rsidRPr="00EE5A40">
        <w:rPr>
          <w:rFonts w:ascii="Arial" w:hAnsi="Arial" w:cs="Arial"/>
          <w:color w:val="000000" w:themeColor="text1"/>
        </w:rPr>
        <w:t>integrate</w:t>
      </w:r>
      <w:r w:rsidRPr="00EE5A40">
        <w:rPr>
          <w:rFonts w:ascii="Arial" w:hAnsi="Arial" w:cs="Arial"/>
          <w:color w:val="000000" w:themeColor="text1"/>
        </w:rPr>
        <w:t xml:space="preserve"> ethical technology with human development, and </w:t>
      </w:r>
      <w:r w:rsidR="001B0E01">
        <w:rPr>
          <w:rFonts w:ascii="Arial" w:hAnsi="Arial" w:cs="Arial"/>
          <w:color w:val="000000" w:themeColor="text1"/>
        </w:rPr>
        <w:t>integrate</w:t>
      </w:r>
      <w:r w:rsidRPr="00EE5A40">
        <w:rPr>
          <w:rFonts w:ascii="Arial" w:hAnsi="Arial" w:cs="Arial"/>
          <w:color w:val="000000" w:themeColor="text1"/>
        </w:rPr>
        <w:t xml:space="preserve"> capacity building and sound workforce planning. Personal training is not an exception: intensive training, less challenging tales, teamwork, and wholesome work, combined with incremental improvement. The employers and the employees can go with the uncertainty by harmonising </w:t>
      </w:r>
      <w:r w:rsidR="00EB668B" w:rsidRPr="00EE5A40">
        <w:rPr>
          <w:rFonts w:ascii="Arial" w:hAnsi="Arial" w:cs="Arial"/>
          <w:color w:val="000000" w:themeColor="text1"/>
        </w:rPr>
        <w:t>organizational</w:t>
      </w:r>
      <w:r w:rsidRPr="00EE5A40">
        <w:rPr>
          <w:rFonts w:ascii="Arial" w:hAnsi="Arial" w:cs="Arial"/>
          <w:color w:val="000000" w:themeColor="text1"/>
        </w:rPr>
        <w:t xml:space="preserve"> levers and personal development to stay afloat in the world which is becoming more </w:t>
      </w:r>
      <w:r w:rsidR="00EB668B" w:rsidRPr="00EE5A40">
        <w:rPr>
          <w:rFonts w:ascii="Arial" w:hAnsi="Arial" w:cs="Arial"/>
          <w:color w:val="000000" w:themeColor="text1"/>
        </w:rPr>
        <w:t>globalized</w:t>
      </w:r>
      <w:r w:rsidRPr="00EE5A40">
        <w:rPr>
          <w:rFonts w:ascii="Arial" w:hAnsi="Arial" w:cs="Arial"/>
          <w:color w:val="000000" w:themeColor="text1"/>
        </w:rPr>
        <w:t xml:space="preserve"> and technologically driven</w:t>
      </w:r>
      <w:r w:rsidR="00E53B26" w:rsidRPr="00EE5A40">
        <w:rPr>
          <w:rFonts w:ascii="Arial" w:hAnsi="Arial" w:cs="Arial"/>
          <w:color w:val="000000" w:themeColor="text1"/>
        </w:rPr>
        <w:t>.</w:t>
      </w:r>
    </w:p>
    <w:p w14:paraId="11A1D885" w14:textId="77777777" w:rsidR="00635B21" w:rsidRPr="00EE5A40" w:rsidRDefault="00635B21" w:rsidP="00EE5A40">
      <w:pPr>
        <w:spacing w:line="276" w:lineRule="auto"/>
        <w:jc w:val="left"/>
        <w:rPr>
          <w:rFonts w:ascii="Arial" w:hAnsi="Arial" w:cs="Arial"/>
          <w:color w:val="000000" w:themeColor="text1"/>
        </w:rPr>
      </w:pPr>
      <w:r w:rsidRPr="00EE5A40">
        <w:rPr>
          <w:rFonts w:ascii="Arial" w:hAnsi="Arial" w:cs="Arial"/>
          <w:color w:val="000000" w:themeColor="text1"/>
        </w:rPr>
        <w:br w:type="page"/>
      </w:r>
    </w:p>
    <w:p w14:paraId="0787B7FA" w14:textId="22BFCCD5" w:rsidR="00E53B26" w:rsidRDefault="00635B21" w:rsidP="00EB668B">
      <w:pPr>
        <w:pStyle w:val="Heading1"/>
      </w:pPr>
      <w:bookmarkStart w:id="29" w:name="_Toc211012186"/>
      <w:bookmarkEnd w:id="2"/>
      <w:r w:rsidRPr="00EE5A40">
        <w:lastRenderedPageBreak/>
        <w:t>References</w:t>
      </w:r>
      <w:bookmarkEnd w:id="29"/>
    </w:p>
    <w:p w14:paraId="27726B05" w14:textId="77777777" w:rsidR="00004F60" w:rsidRPr="00004F60" w:rsidRDefault="00004F60" w:rsidP="00004F60">
      <w:pPr>
        <w:rPr>
          <w:lang w:val="en"/>
        </w:rPr>
      </w:pPr>
    </w:p>
    <w:p w14:paraId="02019092" w14:textId="0DFE2CCA" w:rsidR="008D6AEF"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Aihr, 2025</w:t>
      </w:r>
      <w:r w:rsidRPr="00EE5A40">
        <w:rPr>
          <w:rFonts w:ascii="Arial" w:hAnsi="Arial" w:cs="Arial"/>
          <w:i/>
          <w:iCs/>
          <w:color w:val="000000" w:themeColor="text1"/>
          <w:lang w:val="en"/>
        </w:rPr>
        <w:t xml:space="preserve">. </w:t>
      </w:r>
      <w:r w:rsidRPr="00EE5A40">
        <w:rPr>
          <w:rFonts w:ascii="Arial" w:hAnsi="Arial" w:cs="Arial"/>
          <w:i/>
          <w:iCs/>
          <w:color w:val="000000" w:themeColor="text1"/>
        </w:rPr>
        <w:t xml:space="preserve">Strategic Human Resource Management 101: Your Essential Guide </w:t>
      </w:r>
      <w:r w:rsidRPr="00EE5A40">
        <w:rPr>
          <w:rFonts w:ascii="Arial" w:hAnsi="Arial" w:cs="Arial"/>
          <w:color w:val="000000" w:themeColor="text1"/>
        </w:rPr>
        <w:t xml:space="preserve">Available at: </w:t>
      </w:r>
      <w:hyperlink r:id="rId13" w:history="1">
        <w:r w:rsidR="008D6AEF" w:rsidRPr="00CF29C3">
          <w:rPr>
            <w:rStyle w:val="Hyperlink"/>
            <w:rFonts w:ascii="Arial" w:hAnsi="Arial" w:cs="Arial"/>
            <w:lang w:val="en"/>
          </w:rPr>
          <w:t>https://www.aihr.com/blog/strategic-human-resource-management/</w:t>
        </w:r>
      </w:hyperlink>
    </w:p>
    <w:p w14:paraId="6C2FD151" w14:textId="073471E2" w:rsidR="00EC7317" w:rsidRPr="008D6AEF"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 xml:space="preserve"> [Accessed on</w:t>
      </w:r>
      <w:proofErr w:type="gramStart"/>
      <w:r w:rsidRPr="00EE5A40">
        <w:rPr>
          <w:rFonts w:ascii="Arial" w:hAnsi="Arial" w:cs="Arial"/>
          <w:color w:val="000000" w:themeColor="text1"/>
          <w:lang w:val="en"/>
        </w:rPr>
        <w:t>:10.10</w:t>
      </w:r>
      <w:proofErr w:type="gramEnd"/>
      <w:r w:rsidRPr="00EE5A40">
        <w:rPr>
          <w:rFonts w:ascii="Arial" w:hAnsi="Arial" w:cs="Arial"/>
          <w:color w:val="000000" w:themeColor="text1"/>
          <w:lang w:val="en"/>
        </w:rPr>
        <w:t>. 2025]</w:t>
      </w:r>
    </w:p>
    <w:p w14:paraId="017DF210"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Dindarian, K., 2023. Demographics, education and employment dynamics. In Embracing the Black Swan: How Resilient Organizations Survive and Thrive in the face of Geopolitical and Macroeconomic Risks (pp. 161-191). Cham: Springer International Publishing.</w:t>
      </w:r>
    </w:p>
    <w:p w14:paraId="57BBF700" w14:textId="797E609C"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rPr>
        <w:t xml:space="preserve">Fastercapital, 2025. Geopolitical Factors Available at: </w:t>
      </w:r>
      <w:hyperlink r:id="rId14" w:history="1">
        <w:r w:rsidRPr="008D6AEF">
          <w:rPr>
            <w:rStyle w:val="Hyperlink"/>
            <w:rFonts w:ascii="Arial" w:hAnsi="Arial" w:cs="Arial"/>
          </w:rPr>
          <w:t xml:space="preserve">https://fastercapital.com/startup-topic/Geopolitical-Factors.html </w:t>
        </w:r>
        <w:r w:rsidRPr="008D6AEF">
          <w:rPr>
            <w:rStyle w:val="Hyperlink"/>
            <w:rFonts w:ascii="Arial" w:hAnsi="Arial" w:cs="Arial"/>
            <w:lang w:val="en"/>
          </w:rPr>
          <w:t>[Accessed on:10.10. 2025]</w:t>
        </w:r>
      </w:hyperlink>
    </w:p>
    <w:p w14:paraId="60FF94C3"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Gerasimova, I.G., Oblova, I.S. and Golovina, E.I., 2021. The demographic factor impact on the economics of the arctic region. Resources, 10(11), p.117.</w:t>
      </w:r>
    </w:p>
    <w:p w14:paraId="47FAF95F"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 xml:space="preserve">Heymann, P., </w:t>
      </w:r>
      <w:proofErr w:type="spellStart"/>
      <w:r w:rsidRPr="00EE5A40">
        <w:rPr>
          <w:rFonts w:ascii="Arial" w:hAnsi="Arial" w:cs="Arial"/>
          <w:color w:val="000000" w:themeColor="text1"/>
          <w:lang w:val="en"/>
        </w:rPr>
        <w:t>Bastiaens</w:t>
      </w:r>
      <w:proofErr w:type="spellEnd"/>
      <w:r w:rsidRPr="00EE5A40">
        <w:rPr>
          <w:rFonts w:ascii="Arial" w:hAnsi="Arial" w:cs="Arial"/>
          <w:color w:val="000000" w:themeColor="text1"/>
          <w:lang w:val="en"/>
        </w:rPr>
        <w:t xml:space="preserve">, E., Jansen, A., van Rosmalen, P. and </w:t>
      </w:r>
      <w:proofErr w:type="spellStart"/>
      <w:r w:rsidRPr="00EE5A40">
        <w:rPr>
          <w:rFonts w:ascii="Arial" w:hAnsi="Arial" w:cs="Arial"/>
          <w:color w:val="000000" w:themeColor="text1"/>
          <w:lang w:val="en"/>
        </w:rPr>
        <w:t>Beausaert</w:t>
      </w:r>
      <w:proofErr w:type="spellEnd"/>
      <w:r w:rsidRPr="00EE5A40">
        <w:rPr>
          <w:rFonts w:ascii="Arial" w:hAnsi="Arial" w:cs="Arial"/>
          <w:color w:val="000000" w:themeColor="text1"/>
          <w:lang w:val="en"/>
        </w:rPr>
        <w:t>, S., 2022. A conceptual model of students' reflective practice for the development of employability competences, supported by an online learning platform. Education+ Training, 64(3), pp.380-397.</w:t>
      </w:r>
    </w:p>
    <w:p w14:paraId="023D8702"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Jani, A., Muduli, A. and Kishore, K., 2023. Human resource transformation in India: examining the role digital human resource technology and human resource role. International Journal of Organizational Analysis, 31(4), pp.959-972.</w:t>
      </w:r>
    </w:p>
    <w:p w14:paraId="0D7114DF"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Karimi, H. and Pina, A., 2021. Strategically addressing the soft skills gap among STEM undergraduates. Journal of Research in STEM Education, 7(1), pp.21-46.</w:t>
      </w:r>
    </w:p>
    <w:p w14:paraId="463A6AE2" w14:textId="1E22B457" w:rsidR="00EC7317" w:rsidRPr="008D6AEF" w:rsidRDefault="00EC7317" w:rsidP="00004F60">
      <w:pPr>
        <w:jc w:val="left"/>
        <w:rPr>
          <w:rFonts w:ascii="Arial" w:hAnsi="Arial" w:cs="Arial"/>
          <w:color w:val="000000" w:themeColor="text1"/>
        </w:rPr>
      </w:pPr>
      <w:r w:rsidRPr="00EE5A40">
        <w:rPr>
          <w:rFonts w:ascii="Arial" w:hAnsi="Arial" w:cs="Arial"/>
          <w:color w:val="000000" w:themeColor="text1"/>
        </w:rPr>
        <w:t xml:space="preserve">Knowledgecity, 2025. </w:t>
      </w:r>
      <w:r w:rsidRPr="00EE5A40">
        <w:rPr>
          <w:rFonts w:ascii="Arial" w:hAnsi="Arial" w:cs="Arial"/>
          <w:i/>
          <w:iCs/>
          <w:color w:val="000000" w:themeColor="text1"/>
        </w:rPr>
        <w:t xml:space="preserve">Building Resilience: Strategies for HR to Support Well-being and Engagement. </w:t>
      </w:r>
      <w:r w:rsidRPr="00EE5A40">
        <w:rPr>
          <w:rFonts w:ascii="Arial" w:hAnsi="Arial" w:cs="Arial"/>
          <w:color w:val="000000" w:themeColor="text1"/>
        </w:rPr>
        <w:t xml:space="preserve">Available at: </w:t>
      </w:r>
      <w:hyperlink r:id="rId15" w:history="1">
        <w:r w:rsidR="008D6AEF" w:rsidRPr="00CF29C3">
          <w:rPr>
            <w:rStyle w:val="Hyperlink"/>
            <w:rFonts w:ascii="Arial" w:hAnsi="Arial" w:cs="Arial"/>
          </w:rPr>
          <w:t>https://www.knowledgecity.com/blog/building-resilience-strategies-for-hr-to-support-well-being-and-engagement/</w:t>
        </w:r>
      </w:hyperlink>
      <w:r w:rsidR="008D6AEF">
        <w:rPr>
          <w:rFonts w:ascii="Arial" w:hAnsi="Arial" w:cs="Arial"/>
          <w:color w:val="000000" w:themeColor="text1"/>
        </w:rPr>
        <w:t xml:space="preserve"> </w:t>
      </w:r>
      <w:r w:rsidRPr="00EE5A40">
        <w:rPr>
          <w:rFonts w:ascii="Arial" w:hAnsi="Arial" w:cs="Arial"/>
          <w:color w:val="000000" w:themeColor="text1"/>
          <w:lang w:val="en"/>
        </w:rPr>
        <w:t>[Accessed on:10.10. 2025]</w:t>
      </w:r>
    </w:p>
    <w:p w14:paraId="4A232F9A" w14:textId="3D192558"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lastRenderedPageBreak/>
        <w:t xml:space="preserve">Kotaielectronics, 2025. </w:t>
      </w:r>
      <w:r w:rsidRPr="00EE5A40">
        <w:rPr>
          <w:rFonts w:ascii="Arial" w:hAnsi="Arial" w:cs="Arial"/>
          <w:i/>
          <w:iCs/>
          <w:color w:val="000000" w:themeColor="text1"/>
        </w:rPr>
        <w:t xml:space="preserve">From Automation to Intelligence: How AI and RPA is Rewriting Business Workflows </w:t>
      </w:r>
      <w:r w:rsidRPr="00EE5A40">
        <w:rPr>
          <w:rFonts w:ascii="Arial" w:hAnsi="Arial" w:cs="Arial"/>
          <w:color w:val="000000" w:themeColor="text1"/>
        </w:rPr>
        <w:t xml:space="preserve">Available at: </w:t>
      </w:r>
      <w:hyperlink r:id="rId16" w:history="1">
        <w:r w:rsidR="008D6AEF" w:rsidRPr="00CF29C3">
          <w:rPr>
            <w:rStyle w:val="Hyperlink"/>
            <w:rFonts w:ascii="Arial" w:hAnsi="Arial" w:cs="Arial"/>
            <w:lang w:val="en"/>
          </w:rPr>
          <w:t>https://kotaielectronics.com/how-ai-and-rpa-is-rewriting-business-workflow/</w:t>
        </w:r>
      </w:hyperlink>
      <w:r w:rsidR="008D6AEF">
        <w:rPr>
          <w:rFonts w:ascii="Arial" w:hAnsi="Arial" w:cs="Arial"/>
          <w:color w:val="000000" w:themeColor="text1"/>
          <w:lang w:val="en"/>
        </w:rPr>
        <w:t xml:space="preserve"> </w:t>
      </w:r>
      <w:r w:rsidRPr="00EE5A40">
        <w:rPr>
          <w:rFonts w:ascii="Arial" w:hAnsi="Arial" w:cs="Arial"/>
          <w:color w:val="000000" w:themeColor="text1"/>
          <w:lang w:val="en"/>
        </w:rPr>
        <w:t>[Accessed on:10.10. 2025]</w:t>
      </w:r>
    </w:p>
    <w:p w14:paraId="42E5F612"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Mello, L.V., Varga</w:t>
      </w:r>
      <w:r w:rsidRPr="00EE5A40">
        <w:rPr>
          <w:rFonts w:ascii="Cambria Math" w:hAnsi="Cambria Math" w:cs="Cambria Math"/>
          <w:color w:val="000000" w:themeColor="text1"/>
          <w:lang w:val="en"/>
        </w:rPr>
        <w:t>‐</w:t>
      </w:r>
      <w:r w:rsidRPr="00EE5A40">
        <w:rPr>
          <w:rFonts w:ascii="Arial" w:hAnsi="Arial" w:cs="Arial"/>
          <w:color w:val="000000" w:themeColor="text1"/>
          <w:lang w:val="en"/>
        </w:rPr>
        <w:t>Atkins, T. and Edwards, S.W., 2021. A structured reflective process supports student awareness of employability skills development in a science placement module. FEBS Open Bio, 11(6), pp.1524-1536.</w:t>
      </w:r>
    </w:p>
    <w:p w14:paraId="0B1DE330"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Mtawa, N., Fongwa, S. and Wilson-Strydom, M., 2021. Enhancing graduate employability attributes and capabilities formation: A service-learning approach. Teaching in Higher Education, 26(5), pp.679-695.</w:t>
      </w:r>
    </w:p>
    <w:p w14:paraId="14A16954"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Singh Dubey, R., Paul, J. and Tewari, V., 2022. The soft skills gap: a bottleneck in the talent supply in emerging economies. The International Journal of Human Resource Management, 33(13), pp.2630-2661.</w:t>
      </w:r>
    </w:p>
    <w:p w14:paraId="0F527A89"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Strielkowski, W., Niño-Amézquita, J. and Kalyugina, S., 2021. Geopolitics and multicultural environment as the determinants of personnel security. Management Research and Practice, 13(1), pp.147-31.</w:t>
      </w:r>
    </w:p>
    <w:p w14:paraId="6A338407"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Tucker, E., 2022. Strategic workforce planning: from closing skills gaps to optimizing talent. Strategic HR Review, 21(1), pp.14-19.</w:t>
      </w:r>
    </w:p>
    <w:p w14:paraId="555CEB77"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Vrontis, D., Christofi, M., Pereira, V., Tarba, S., Makrides, A. and Trichina, E., 2023. Artificial intelligence, robotics, advanced technologies and human resource management: a systematic review. Artificial intelligence and international HRM, pp.172-201.</w:t>
      </w:r>
    </w:p>
    <w:p w14:paraId="68C215C9" w14:textId="01FE813B" w:rsidR="00EC7317" w:rsidRPr="00EE5A40" w:rsidRDefault="00EC7317" w:rsidP="00004F60">
      <w:pPr>
        <w:jc w:val="left"/>
        <w:rPr>
          <w:rFonts w:ascii="Arial" w:hAnsi="Arial" w:cs="Arial"/>
          <w:i/>
          <w:iCs/>
          <w:color w:val="000000" w:themeColor="text1"/>
        </w:rPr>
      </w:pPr>
      <w:r w:rsidRPr="00EE5A40">
        <w:rPr>
          <w:rFonts w:ascii="Arial" w:hAnsi="Arial" w:cs="Arial"/>
          <w:color w:val="000000" w:themeColor="text1"/>
        </w:rPr>
        <w:t xml:space="preserve">Xorlogic, 2025. </w:t>
      </w:r>
      <w:r w:rsidRPr="00EE5A40">
        <w:rPr>
          <w:rFonts w:ascii="Arial" w:hAnsi="Arial" w:cs="Arial"/>
          <w:i/>
          <w:iCs/>
          <w:color w:val="000000" w:themeColor="text1"/>
        </w:rPr>
        <w:t xml:space="preserve">Impact Of Artificial Intelligence On The Future Of Labor Market </w:t>
      </w:r>
      <w:r w:rsidRPr="00EE5A40">
        <w:rPr>
          <w:rFonts w:ascii="Arial" w:hAnsi="Arial" w:cs="Arial"/>
          <w:color w:val="000000" w:themeColor="text1"/>
        </w:rPr>
        <w:t xml:space="preserve">Available at: </w:t>
      </w:r>
      <w:hyperlink r:id="rId17" w:history="1">
        <w:r w:rsidR="008D6AEF" w:rsidRPr="00CF29C3">
          <w:rPr>
            <w:rStyle w:val="Hyperlink"/>
            <w:rFonts w:ascii="Arial" w:hAnsi="Arial" w:cs="Arial"/>
          </w:rPr>
          <w:t>https://www.xorlogics.com/2018/10/15/impact-of-artificial-intelligence-on-the-future-of-labor-market/</w:t>
        </w:r>
      </w:hyperlink>
      <w:r w:rsidR="008D6AEF">
        <w:rPr>
          <w:rFonts w:ascii="Arial" w:hAnsi="Arial" w:cs="Arial"/>
          <w:color w:val="000000" w:themeColor="text1"/>
        </w:rPr>
        <w:t xml:space="preserve"> </w:t>
      </w:r>
      <w:r w:rsidRPr="00EE5A40">
        <w:rPr>
          <w:rFonts w:ascii="Arial" w:hAnsi="Arial" w:cs="Arial"/>
          <w:color w:val="000000" w:themeColor="text1"/>
          <w:lang w:val="en"/>
        </w:rPr>
        <w:t>[Accessed on:10.10. 2025]</w:t>
      </w:r>
    </w:p>
    <w:p w14:paraId="78CAACE3" w14:textId="77777777" w:rsidR="00EC7317" w:rsidRPr="00EE5A40" w:rsidRDefault="00EC7317" w:rsidP="00004F60">
      <w:pPr>
        <w:jc w:val="left"/>
        <w:rPr>
          <w:rFonts w:ascii="Arial" w:hAnsi="Arial" w:cs="Arial"/>
          <w:color w:val="000000" w:themeColor="text1"/>
          <w:lang w:val="en"/>
        </w:rPr>
      </w:pPr>
      <w:r w:rsidRPr="00EE5A40">
        <w:rPr>
          <w:rFonts w:ascii="Arial" w:hAnsi="Arial" w:cs="Arial"/>
          <w:color w:val="000000" w:themeColor="text1"/>
          <w:lang w:val="en"/>
        </w:rPr>
        <w:t>Zhang, J. and Chen, Z., 2024. Exploring human resource management digital transformation in the digital age. Journal of the knowledge economy, 15(1), pp.1482-1498.</w:t>
      </w:r>
    </w:p>
    <w:p w14:paraId="7F6A74B7" w14:textId="6500DBFC" w:rsidR="00B2653E" w:rsidRPr="00EE5A40" w:rsidRDefault="00B2653E" w:rsidP="00004F60">
      <w:pPr>
        <w:rPr>
          <w:rFonts w:ascii="Arial" w:hAnsi="Arial" w:cs="Arial"/>
          <w:color w:val="000000" w:themeColor="text1"/>
        </w:rPr>
      </w:pPr>
    </w:p>
    <w:sectPr w:rsidR="00B2653E" w:rsidRPr="00EE5A40" w:rsidSect="00387ECC">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A022C0" w14:textId="77777777" w:rsidR="009C1B10" w:rsidRDefault="009C1B10" w:rsidP="00675974">
      <w:pPr>
        <w:spacing w:after="0" w:line="240" w:lineRule="auto"/>
      </w:pPr>
      <w:r>
        <w:separator/>
      </w:r>
    </w:p>
  </w:endnote>
  <w:endnote w:type="continuationSeparator" w:id="0">
    <w:p w14:paraId="2FAE5EAE" w14:textId="77777777" w:rsidR="009C1B10" w:rsidRDefault="009C1B10" w:rsidP="00675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1439460"/>
      <w:docPartObj>
        <w:docPartGallery w:val="Page Numbers (Bottom of Page)"/>
        <w:docPartUnique/>
      </w:docPartObj>
    </w:sdtPr>
    <w:sdtEndPr>
      <w:rPr>
        <w:noProof/>
      </w:rPr>
    </w:sdtEndPr>
    <w:sdtContent>
      <w:p w14:paraId="3F091EDC" w14:textId="60F2FEBB" w:rsidR="00387ECC" w:rsidRDefault="00387ECC">
        <w:pPr>
          <w:pStyle w:val="Footer"/>
          <w:jc w:val="right"/>
        </w:pPr>
        <w:r>
          <w:fldChar w:fldCharType="begin"/>
        </w:r>
        <w:r>
          <w:instrText xml:space="preserve"> PAGE   \* MERGEFORMAT </w:instrText>
        </w:r>
        <w:r>
          <w:fldChar w:fldCharType="separate"/>
        </w:r>
        <w:r w:rsidR="00003044">
          <w:rPr>
            <w:noProof/>
          </w:rPr>
          <w:t>3</w:t>
        </w:r>
        <w:r>
          <w:rPr>
            <w:noProof/>
          </w:rPr>
          <w:fldChar w:fldCharType="end"/>
        </w:r>
      </w:p>
    </w:sdtContent>
  </w:sdt>
  <w:p w14:paraId="5F550713" w14:textId="77777777" w:rsidR="00675974" w:rsidRDefault="00675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C5BD70" w14:textId="77777777" w:rsidR="009C1B10" w:rsidRDefault="009C1B10" w:rsidP="00675974">
      <w:pPr>
        <w:spacing w:after="0" w:line="240" w:lineRule="auto"/>
      </w:pPr>
      <w:r>
        <w:separator/>
      </w:r>
    </w:p>
  </w:footnote>
  <w:footnote w:type="continuationSeparator" w:id="0">
    <w:p w14:paraId="0DCF13CB" w14:textId="77777777" w:rsidR="009C1B10" w:rsidRDefault="009C1B10" w:rsidP="006759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7960"/>
    <w:rsid w:val="00003044"/>
    <w:rsid w:val="00004F60"/>
    <w:rsid w:val="00010C9F"/>
    <w:rsid w:val="0002216D"/>
    <w:rsid w:val="000336D9"/>
    <w:rsid w:val="000405BC"/>
    <w:rsid w:val="00042D9F"/>
    <w:rsid w:val="0006338C"/>
    <w:rsid w:val="00073DFB"/>
    <w:rsid w:val="00074B84"/>
    <w:rsid w:val="000769CF"/>
    <w:rsid w:val="000A3A70"/>
    <w:rsid w:val="000A65DF"/>
    <w:rsid w:val="000B1888"/>
    <w:rsid w:val="00130091"/>
    <w:rsid w:val="0017675F"/>
    <w:rsid w:val="001A60DA"/>
    <w:rsid w:val="001B0E01"/>
    <w:rsid w:val="001B210E"/>
    <w:rsid w:val="0021138F"/>
    <w:rsid w:val="0025443B"/>
    <w:rsid w:val="00270869"/>
    <w:rsid w:val="00273121"/>
    <w:rsid w:val="00273B9D"/>
    <w:rsid w:val="00291662"/>
    <w:rsid w:val="002A5626"/>
    <w:rsid w:val="002F4148"/>
    <w:rsid w:val="00300FB6"/>
    <w:rsid w:val="00335E16"/>
    <w:rsid w:val="003554D3"/>
    <w:rsid w:val="00365E9B"/>
    <w:rsid w:val="00387ECC"/>
    <w:rsid w:val="00392DA6"/>
    <w:rsid w:val="003B56C9"/>
    <w:rsid w:val="00425221"/>
    <w:rsid w:val="00436612"/>
    <w:rsid w:val="004B71D4"/>
    <w:rsid w:val="0051199B"/>
    <w:rsid w:val="005D500A"/>
    <w:rsid w:val="005F0854"/>
    <w:rsid w:val="0063194E"/>
    <w:rsid w:val="00632212"/>
    <w:rsid w:val="00635B21"/>
    <w:rsid w:val="00675974"/>
    <w:rsid w:val="006A3BA9"/>
    <w:rsid w:val="006B03FA"/>
    <w:rsid w:val="006D40B0"/>
    <w:rsid w:val="00703E16"/>
    <w:rsid w:val="00741D7A"/>
    <w:rsid w:val="00741DA0"/>
    <w:rsid w:val="00796CD2"/>
    <w:rsid w:val="007A3CF2"/>
    <w:rsid w:val="00823027"/>
    <w:rsid w:val="00833870"/>
    <w:rsid w:val="00833F9E"/>
    <w:rsid w:val="00893447"/>
    <w:rsid w:val="00895395"/>
    <w:rsid w:val="0089782F"/>
    <w:rsid w:val="008A412F"/>
    <w:rsid w:val="008B1E9C"/>
    <w:rsid w:val="008D5FA5"/>
    <w:rsid w:val="008D6AEF"/>
    <w:rsid w:val="008D7960"/>
    <w:rsid w:val="008E04FD"/>
    <w:rsid w:val="008E17F6"/>
    <w:rsid w:val="00902876"/>
    <w:rsid w:val="00940050"/>
    <w:rsid w:val="009624EE"/>
    <w:rsid w:val="009A21F4"/>
    <w:rsid w:val="009B127D"/>
    <w:rsid w:val="009C1B10"/>
    <w:rsid w:val="009E1C86"/>
    <w:rsid w:val="00A1763C"/>
    <w:rsid w:val="00A555F0"/>
    <w:rsid w:val="00A745E1"/>
    <w:rsid w:val="00AC4CB0"/>
    <w:rsid w:val="00AD5F73"/>
    <w:rsid w:val="00B17CAF"/>
    <w:rsid w:val="00B2653E"/>
    <w:rsid w:val="00B471FB"/>
    <w:rsid w:val="00B56339"/>
    <w:rsid w:val="00B62DA9"/>
    <w:rsid w:val="00B9779B"/>
    <w:rsid w:val="00BA6335"/>
    <w:rsid w:val="00BB1ADD"/>
    <w:rsid w:val="00BB2E09"/>
    <w:rsid w:val="00BE32FB"/>
    <w:rsid w:val="00C21A9A"/>
    <w:rsid w:val="00C30D7A"/>
    <w:rsid w:val="00C8722F"/>
    <w:rsid w:val="00CA4558"/>
    <w:rsid w:val="00CB4CE7"/>
    <w:rsid w:val="00CE7BF8"/>
    <w:rsid w:val="00D064FC"/>
    <w:rsid w:val="00D07B2A"/>
    <w:rsid w:val="00D1106E"/>
    <w:rsid w:val="00D435FC"/>
    <w:rsid w:val="00D913EA"/>
    <w:rsid w:val="00E53B26"/>
    <w:rsid w:val="00E630D0"/>
    <w:rsid w:val="00E63749"/>
    <w:rsid w:val="00E83D73"/>
    <w:rsid w:val="00EB04A3"/>
    <w:rsid w:val="00EB668B"/>
    <w:rsid w:val="00EC7317"/>
    <w:rsid w:val="00EE5A40"/>
    <w:rsid w:val="00F37381"/>
    <w:rsid w:val="00F52F31"/>
    <w:rsid w:val="00F56EE0"/>
    <w:rsid w:val="00F96E18"/>
    <w:rsid w:val="00FE3E16"/>
    <w:rsid w:val="00FF21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801E32"/>
  <w15:chartTrackingRefBased/>
  <w15:docId w15:val="{B13A311E-5E6E-469C-93AB-95EE3A64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199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B668B"/>
    <w:pPr>
      <w:keepNext/>
      <w:keepLines/>
      <w:spacing w:before="240" w:after="0"/>
      <w:outlineLvl w:val="0"/>
    </w:pPr>
    <w:rPr>
      <w:rFonts w:ascii="Arial" w:eastAsiaTheme="majorEastAsia" w:hAnsi="Arial" w:cs="Arial"/>
      <w:b/>
      <w:color w:val="000000" w:themeColor="text1"/>
      <w:kern w:val="0"/>
      <w:szCs w:val="32"/>
      <w:lang w:val="en"/>
      <w14:ligatures w14:val="none"/>
    </w:rPr>
  </w:style>
  <w:style w:type="paragraph" w:styleId="Heading2">
    <w:name w:val="heading 2"/>
    <w:basedOn w:val="Normal"/>
    <w:next w:val="Normal"/>
    <w:link w:val="Heading2Char"/>
    <w:autoRedefine/>
    <w:uiPriority w:val="9"/>
    <w:unhideWhenUsed/>
    <w:qFormat/>
    <w:rsid w:val="0051199B"/>
    <w:pPr>
      <w:keepNext/>
      <w:keepLines/>
      <w:spacing w:before="40" w:after="0"/>
      <w:outlineLvl w:val="1"/>
    </w:pPr>
    <w:rPr>
      <w:rFonts w:eastAsiaTheme="majorEastAsia" w:cstheme="majorBidi"/>
      <w:b/>
      <w:color w:val="000000" w:themeColor="text1"/>
      <w:kern w:val="0"/>
      <w:szCs w:val="26"/>
      <w:lang w:val="en"/>
      <w14:ligatures w14:val="none"/>
    </w:rPr>
  </w:style>
  <w:style w:type="paragraph" w:styleId="Heading3">
    <w:name w:val="heading 3"/>
    <w:basedOn w:val="Normal"/>
    <w:next w:val="Normal"/>
    <w:link w:val="Heading3Char"/>
    <w:autoRedefine/>
    <w:uiPriority w:val="9"/>
    <w:unhideWhenUsed/>
    <w:qFormat/>
    <w:rsid w:val="000336D9"/>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8D796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D796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D796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D796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D796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D796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68B"/>
    <w:rPr>
      <w:rFonts w:ascii="Arial" w:eastAsiaTheme="majorEastAsia" w:hAnsi="Arial" w:cs="Arial"/>
      <w:b/>
      <w:color w:val="000000" w:themeColor="text1"/>
      <w:kern w:val="0"/>
      <w:sz w:val="24"/>
      <w:szCs w:val="32"/>
      <w:lang w:val="en"/>
      <w14:ligatures w14:val="none"/>
    </w:rPr>
  </w:style>
  <w:style w:type="character" w:customStyle="1" w:styleId="Heading2Char">
    <w:name w:val="Heading 2 Char"/>
    <w:basedOn w:val="DefaultParagraphFont"/>
    <w:link w:val="Heading2"/>
    <w:uiPriority w:val="9"/>
    <w:rsid w:val="0051199B"/>
    <w:rPr>
      <w:rFonts w:ascii="Times New Roman" w:eastAsiaTheme="majorEastAsia" w:hAnsi="Times New Roman" w:cstheme="majorBidi"/>
      <w:b/>
      <w:color w:val="000000" w:themeColor="text1"/>
      <w:kern w:val="0"/>
      <w:sz w:val="24"/>
      <w:szCs w:val="26"/>
      <w:lang w:val="en"/>
      <w14:ligatures w14:val="none"/>
    </w:rPr>
  </w:style>
  <w:style w:type="character" w:customStyle="1" w:styleId="Heading3Char">
    <w:name w:val="Heading 3 Char"/>
    <w:basedOn w:val="DefaultParagraphFont"/>
    <w:link w:val="Heading3"/>
    <w:uiPriority w:val="9"/>
    <w:rsid w:val="000336D9"/>
    <w:rPr>
      <w:rFonts w:ascii="Times New Roman" w:eastAsiaTheme="majorEastAsia" w:hAnsi="Times New Roman" w:cstheme="majorBidi"/>
      <w:b/>
      <w:color w:val="000000" w:themeColor="text1"/>
      <w:sz w:val="24"/>
      <w:szCs w:val="24"/>
    </w:rPr>
  </w:style>
  <w:style w:type="paragraph" w:styleId="NoSpacing">
    <w:name w:val="No Spacing"/>
    <w:autoRedefine/>
    <w:uiPriority w:val="1"/>
    <w:qFormat/>
    <w:rsid w:val="000A65DF"/>
    <w:pPr>
      <w:spacing w:before="120" w:after="120" w:line="240" w:lineRule="auto"/>
      <w:jc w:val="both"/>
    </w:pPr>
    <w:rPr>
      <w:rFonts w:ascii="Times New Roman" w:eastAsia="Calibri" w:hAnsi="Times New Roman" w:cs="Times New Roman"/>
      <w:b/>
      <w:kern w:val="0"/>
      <w:sz w:val="28"/>
      <w14:ligatures w14:val="none"/>
    </w:rPr>
  </w:style>
  <w:style w:type="character" w:customStyle="1" w:styleId="Heading4Char">
    <w:name w:val="Heading 4 Char"/>
    <w:basedOn w:val="DefaultParagraphFont"/>
    <w:link w:val="Heading4"/>
    <w:uiPriority w:val="9"/>
    <w:semiHidden/>
    <w:rsid w:val="008D7960"/>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D7960"/>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D796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D796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D796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D796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D79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9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96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9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960"/>
    <w:pPr>
      <w:spacing w:before="160"/>
      <w:jc w:val="center"/>
    </w:pPr>
    <w:rPr>
      <w:i/>
      <w:iCs/>
      <w:color w:val="404040" w:themeColor="text1" w:themeTint="BF"/>
    </w:rPr>
  </w:style>
  <w:style w:type="character" w:customStyle="1" w:styleId="QuoteChar">
    <w:name w:val="Quote Char"/>
    <w:basedOn w:val="DefaultParagraphFont"/>
    <w:link w:val="Quote"/>
    <w:uiPriority w:val="29"/>
    <w:rsid w:val="008D7960"/>
    <w:rPr>
      <w:rFonts w:ascii="Times New Roman" w:hAnsi="Times New Roman"/>
      <w:i/>
      <w:iCs/>
      <w:color w:val="404040" w:themeColor="text1" w:themeTint="BF"/>
      <w:sz w:val="24"/>
    </w:rPr>
  </w:style>
  <w:style w:type="paragraph" w:styleId="ListParagraph">
    <w:name w:val="List Paragraph"/>
    <w:basedOn w:val="Normal"/>
    <w:uiPriority w:val="34"/>
    <w:qFormat/>
    <w:rsid w:val="008D7960"/>
    <w:pPr>
      <w:ind w:left="720"/>
      <w:contextualSpacing/>
    </w:pPr>
  </w:style>
  <w:style w:type="character" w:styleId="IntenseEmphasis">
    <w:name w:val="Intense Emphasis"/>
    <w:basedOn w:val="DefaultParagraphFont"/>
    <w:uiPriority w:val="21"/>
    <w:qFormat/>
    <w:rsid w:val="008D7960"/>
    <w:rPr>
      <w:i/>
      <w:iCs/>
      <w:color w:val="2F5496" w:themeColor="accent1" w:themeShade="BF"/>
    </w:rPr>
  </w:style>
  <w:style w:type="paragraph" w:styleId="IntenseQuote">
    <w:name w:val="Intense Quote"/>
    <w:basedOn w:val="Normal"/>
    <w:next w:val="Normal"/>
    <w:link w:val="IntenseQuoteChar"/>
    <w:uiPriority w:val="30"/>
    <w:qFormat/>
    <w:rsid w:val="008D79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7960"/>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D7960"/>
    <w:rPr>
      <w:b/>
      <w:bCs/>
      <w:smallCaps/>
      <w:color w:val="2F5496" w:themeColor="accent1" w:themeShade="BF"/>
      <w:spacing w:val="5"/>
    </w:rPr>
  </w:style>
  <w:style w:type="paragraph" w:styleId="Header">
    <w:name w:val="header"/>
    <w:basedOn w:val="Normal"/>
    <w:link w:val="HeaderChar"/>
    <w:uiPriority w:val="99"/>
    <w:unhideWhenUsed/>
    <w:rsid w:val="006759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5974"/>
    <w:rPr>
      <w:rFonts w:ascii="Times New Roman" w:hAnsi="Times New Roman"/>
      <w:sz w:val="24"/>
    </w:rPr>
  </w:style>
  <w:style w:type="paragraph" w:styleId="Footer">
    <w:name w:val="footer"/>
    <w:basedOn w:val="Normal"/>
    <w:link w:val="FooterChar"/>
    <w:uiPriority w:val="99"/>
    <w:unhideWhenUsed/>
    <w:rsid w:val="006759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5974"/>
    <w:rPr>
      <w:rFonts w:ascii="Times New Roman" w:hAnsi="Times New Roman"/>
      <w:sz w:val="24"/>
    </w:rPr>
  </w:style>
  <w:style w:type="paragraph" w:styleId="TOCHeading">
    <w:name w:val="TOC Heading"/>
    <w:basedOn w:val="Heading1"/>
    <w:next w:val="Normal"/>
    <w:uiPriority w:val="39"/>
    <w:unhideWhenUsed/>
    <w:qFormat/>
    <w:rsid w:val="00E83D7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83D73"/>
    <w:pPr>
      <w:spacing w:after="100"/>
    </w:pPr>
  </w:style>
  <w:style w:type="paragraph" w:styleId="TOC2">
    <w:name w:val="toc 2"/>
    <w:basedOn w:val="Normal"/>
    <w:next w:val="Normal"/>
    <w:autoRedefine/>
    <w:uiPriority w:val="39"/>
    <w:unhideWhenUsed/>
    <w:rsid w:val="00E83D73"/>
    <w:pPr>
      <w:spacing w:after="100"/>
      <w:ind w:left="240"/>
    </w:pPr>
  </w:style>
  <w:style w:type="character" w:styleId="Hyperlink">
    <w:name w:val="Hyperlink"/>
    <w:basedOn w:val="DefaultParagraphFont"/>
    <w:uiPriority w:val="99"/>
    <w:unhideWhenUsed/>
    <w:rsid w:val="00E83D73"/>
    <w:rPr>
      <w:color w:val="0563C1" w:themeColor="hyperlink"/>
      <w:u w:val="single"/>
    </w:rPr>
  </w:style>
  <w:style w:type="character" w:customStyle="1" w:styleId="UnresolvedMention">
    <w:name w:val="Unresolved Mention"/>
    <w:basedOn w:val="DefaultParagraphFont"/>
    <w:uiPriority w:val="99"/>
    <w:semiHidden/>
    <w:unhideWhenUsed/>
    <w:rsid w:val="008D6AEF"/>
    <w:rPr>
      <w:color w:val="605E5C"/>
      <w:shd w:val="clear" w:color="auto" w:fill="E1DFDD"/>
    </w:rPr>
  </w:style>
  <w:style w:type="paragraph" w:customStyle="1" w:styleId="Normal1">
    <w:name w:val="Normal1"/>
    <w:rsid w:val="000405BC"/>
    <w:pPr>
      <w:spacing w:after="200" w:line="276" w:lineRule="auto"/>
    </w:pPr>
    <w:rPr>
      <w:rFonts w:ascii="Calibri" w:eastAsia="Calibri" w:hAnsi="Calibri" w:cs="Calibri"/>
      <w:kern w:val="0"/>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ihr.com/blog/strategic-human-resource-management/"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xorlogics.com/2018/10/15/impact-of-artificial-intelligence-on-the-future-of-labor-market/" TargetMode="External"/><Relationship Id="rId2" Type="http://schemas.openxmlformats.org/officeDocument/2006/relationships/styles" Target="styles.xml"/><Relationship Id="rId16" Type="http://schemas.openxmlformats.org/officeDocument/2006/relationships/hyperlink" Target="https://kotaielectronics.com/how-ai-and-rpa-is-rewriting-business-workflo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knowledgecity.com/blog/building-resilience-strategies-for-hr-to-support-well-being-and-engagement/"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astercapital.com/startup-topic/Geopolitical-Factors.html%20%5bAccessed%20on:10.10.%202025%5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0CE435-8850-4400-8774-C300A421F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17</Pages>
  <Words>4339</Words>
  <Characters>24733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Admin</cp:lastModifiedBy>
  <cp:revision>28</cp:revision>
  <dcterms:created xsi:type="dcterms:W3CDTF">2025-10-10T12:39:00Z</dcterms:created>
  <dcterms:modified xsi:type="dcterms:W3CDTF">2025-10-16T17:38:00Z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f496ab71-2865-4c5f-9771-8272b1b8a30e</vt:lpwstr>
  </property>
</Properties>
</file>