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000001">
      <w:pPr>
        <w:rPr>
          <w:rFonts w:ascii="Aptos" w:hAnsi="Aptos" w:eastAsia="Aptos" w:cs="Aptos"/>
          <w:b/>
          <w:sz w:val="36"/>
          <w:szCs w:val="36"/>
        </w:rPr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66675</wp:posOffset>
            </wp:positionH>
            <wp:positionV relativeFrom="paragraph">
              <wp:posOffset>403860</wp:posOffset>
            </wp:positionV>
            <wp:extent cx="1828800" cy="619125"/>
            <wp:effectExtent l="0" t="0" r="0" b="0"/>
            <wp:wrapSquare wrapText="bothSides"/>
            <wp:docPr id="1" name="image1.png" descr="SCVO | Sandwell Council of Voluntary Organisations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 descr="SCVO | Sandwell Council of Voluntary Organisations."/>
                    <pic:cNvPicPr preferRelativeResize="0"/>
                  </pic:nvPicPr>
                  <pic:blipFill>
                    <a:blip r:embed="rId8"/>
                    <a:srcRect r="23642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619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0000002">
      <w:pPr>
        <w:rPr>
          <w:rFonts w:ascii="Aptos" w:hAnsi="Aptos" w:eastAsia="Aptos" w:cs="Aptos"/>
          <w:b/>
          <w:sz w:val="36"/>
          <w:szCs w:val="36"/>
        </w:rPr>
      </w:pPr>
      <w:r>
        <w:rPr>
          <w:rFonts w:ascii="Aptos" w:hAnsi="Aptos" w:eastAsia="Aptos" w:cs="Aptos"/>
          <w:b/>
          <w:sz w:val="36"/>
          <w:szCs w:val="36"/>
          <w:rtl w:val="0"/>
        </w:rPr>
        <w:t xml:space="preserve">                                                                                                      </w:t>
      </w:r>
    </w:p>
    <w:p w14:paraId="00000003">
      <w:pPr>
        <w:rPr>
          <w:rFonts w:ascii="Aptos" w:hAnsi="Aptos" w:eastAsia="Aptos" w:cs="Aptos"/>
          <w:b/>
          <w:sz w:val="36"/>
          <w:szCs w:val="36"/>
        </w:rPr>
      </w:pPr>
    </w:p>
    <w:p w14:paraId="00000004">
      <w:pPr>
        <w:rPr>
          <w:rFonts w:ascii="Aptos" w:hAnsi="Aptos" w:eastAsia="Aptos" w:cs="Aptos"/>
          <w:b/>
          <w:sz w:val="36"/>
          <w:szCs w:val="36"/>
        </w:rPr>
      </w:pPr>
    </w:p>
    <w:p w14:paraId="00000005">
      <w:pPr>
        <w:jc w:val="center"/>
        <w:rPr>
          <w:rFonts w:ascii="Arial" w:hAnsi="Arial" w:eastAsia="Arial" w:cs="Arial"/>
        </w:rPr>
      </w:pPr>
      <w:r>
        <w:rPr>
          <w:rFonts w:ascii="Aptos" w:hAnsi="Aptos" w:eastAsia="Aptos" w:cs="Aptos"/>
          <w:b/>
          <w:sz w:val="36"/>
          <w:szCs w:val="36"/>
          <w:rtl w:val="0"/>
        </w:rPr>
        <w:t>Methods and Search Strategy Academic Poster</w:t>
      </w:r>
    </w:p>
    <w:p w14:paraId="00000006">
      <w:pPr>
        <w:tabs>
          <w:tab w:val="left" w:pos="6540"/>
        </w:tabs>
        <w:spacing w:after="220" w:line="360" w:lineRule="auto"/>
        <w:ind w:left="426" w:firstLine="0"/>
        <w:jc w:val="center"/>
        <w:rPr>
          <w:rFonts w:ascii="Aptos" w:hAnsi="Aptos" w:eastAsia="Aptos" w:cs="Aptos"/>
          <w:sz w:val="28"/>
          <w:szCs w:val="28"/>
          <w:rtl w:val="0"/>
        </w:rPr>
      </w:pPr>
      <w:r>
        <w:rPr>
          <w:rFonts w:ascii="Aptos" w:hAnsi="Aptos" w:eastAsia="Aptos" w:cs="Aptos"/>
          <w:b/>
          <w:sz w:val="28"/>
          <w:szCs w:val="28"/>
          <w:rtl w:val="0"/>
        </w:rPr>
        <w:t>Module name</w:t>
      </w:r>
      <w:r>
        <w:rPr>
          <w:rFonts w:ascii="Aptos" w:hAnsi="Aptos" w:eastAsia="Aptos" w:cs="Aptos"/>
          <w:sz w:val="28"/>
          <w:szCs w:val="28"/>
          <w:rtl w:val="0"/>
        </w:rPr>
        <w:t>:</w:t>
      </w:r>
    </w:p>
    <w:p w14:paraId="6F07C4A8">
      <w:pPr>
        <w:tabs>
          <w:tab w:val="left" w:pos="6540"/>
        </w:tabs>
        <w:spacing w:after="220" w:line="360" w:lineRule="auto"/>
        <w:ind w:left="426" w:firstLine="0"/>
        <w:jc w:val="center"/>
        <w:rPr>
          <w:rFonts w:hint="default" w:ascii="Aptos" w:hAnsi="Aptos" w:eastAsia="Aptos" w:cs="Aptos"/>
          <w:sz w:val="28"/>
          <w:szCs w:val="28"/>
          <w:rtl w:val="0"/>
          <w:lang w:val="en-GB"/>
        </w:rPr>
      </w:pPr>
      <w:r>
        <w:rPr>
          <w:rFonts w:hint="default" w:ascii="Aptos" w:hAnsi="Aptos" w:eastAsia="Aptos" w:cs="Aptos"/>
          <w:sz w:val="28"/>
          <w:szCs w:val="28"/>
          <w:rtl w:val="0"/>
          <w:lang w:val="en-GB"/>
        </w:rPr>
        <w:t>Independent Project</w:t>
      </w:r>
    </w:p>
    <w:p w14:paraId="00000007">
      <w:pPr>
        <w:tabs>
          <w:tab w:val="left" w:pos="6540"/>
        </w:tabs>
        <w:spacing w:after="220" w:line="360" w:lineRule="auto"/>
        <w:ind w:left="426" w:firstLine="0"/>
        <w:jc w:val="center"/>
        <w:rPr>
          <w:rFonts w:ascii="Aptos" w:hAnsi="Aptos" w:eastAsia="Aptos" w:cs="Aptos"/>
          <w:sz w:val="28"/>
          <w:szCs w:val="28"/>
        </w:rPr>
      </w:pPr>
      <w:r>
        <w:rPr>
          <w:rFonts w:ascii="Aptos" w:hAnsi="Aptos" w:eastAsia="Aptos" w:cs="Aptos"/>
          <w:b/>
          <w:sz w:val="28"/>
          <w:szCs w:val="28"/>
          <w:rtl w:val="0"/>
        </w:rPr>
        <w:t>Module code</w:t>
      </w:r>
      <w:r>
        <w:rPr>
          <w:rFonts w:ascii="Aptos" w:hAnsi="Aptos" w:eastAsia="Aptos" w:cs="Aptos"/>
          <w:sz w:val="28"/>
          <w:szCs w:val="28"/>
          <w:rtl w:val="0"/>
        </w:rPr>
        <w:t>:</w:t>
      </w:r>
    </w:p>
    <w:p w14:paraId="00000008">
      <w:pPr>
        <w:spacing w:after="220" w:line="240" w:lineRule="auto"/>
        <w:jc w:val="center"/>
        <w:rPr>
          <w:rFonts w:hint="default" w:ascii="Aptos" w:hAnsi="Aptos" w:eastAsia="Aptos" w:cs="Aptos"/>
          <w:b/>
          <w:sz w:val="36"/>
          <w:szCs w:val="36"/>
          <w:lang w:val="en-GB"/>
        </w:rPr>
      </w:pPr>
      <w:r>
        <w:rPr>
          <w:rFonts w:hint="default" w:ascii="Aptos" w:hAnsi="Aptos" w:eastAsia="Aptos" w:cs="Aptos"/>
          <w:b/>
          <w:sz w:val="36"/>
          <w:szCs w:val="36"/>
          <w:lang w:val="en-GB"/>
        </w:rPr>
        <w:t>BMHP6020</w:t>
      </w:r>
    </w:p>
    <w:p w14:paraId="00000009">
      <w:pPr>
        <w:tabs>
          <w:tab w:val="left" w:pos="6540"/>
        </w:tabs>
        <w:spacing w:after="220" w:line="360" w:lineRule="auto"/>
        <w:ind w:left="426" w:firstLine="0"/>
        <w:rPr>
          <w:rFonts w:ascii="Aptos" w:hAnsi="Aptos" w:eastAsia="Aptos" w:cs="Aptos"/>
          <w:b/>
          <w:sz w:val="28"/>
          <w:szCs w:val="28"/>
        </w:rPr>
      </w:pPr>
    </w:p>
    <w:p w14:paraId="0000000A">
      <w:pPr>
        <w:tabs>
          <w:tab w:val="left" w:pos="6540"/>
        </w:tabs>
        <w:spacing w:after="220" w:line="360" w:lineRule="auto"/>
        <w:rPr>
          <w:rFonts w:ascii="Aptos" w:hAnsi="Aptos" w:eastAsia="Aptos" w:cs="Aptos"/>
          <w:b/>
          <w:sz w:val="28"/>
          <w:szCs w:val="28"/>
        </w:rPr>
      </w:pPr>
    </w:p>
    <w:p w14:paraId="0000000B">
      <w:pPr>
        <w:tabs>
          <w:tab w:val="left" w:pos="6540"/>
        </w:tabs>
        <w:spacing w:after="220" w:line="360" w:lineRule="auto"/>
        <w:ind w:left="426" w:firstLine="0"/>
        <w:rPr>
          <w:rFonts w:hint="default" w:ascii="Aptos" w:hAnsi="Aptos" w:eastAsia="Aptos" w:cs="Aptos"/>
          <w:sz w:val="28"/>
          <w:szCs w:val="28"/>
          <w:lang w:val="en-GB"/>
        </w:rPr>
      </w:pPr>
      <w:r>
        <w:rPr>
          <w:rFonts w:ascii="Aptos" w:hAnsi="Aptos" w:eastAsia="Aptos" w:cs="Aptos"/>
          <w:b/>
          <w:sz w:val="28"/>
          <w:szCs w:val="28"/>
          <w:rtl w:val="0"/>
        </w:rPr>
        <w:t>Student name</w:t>
      </w:r>
      <w:r>
        <w:rPr>
          <w:rFonts w:ascii="Aptos" w:hAnsi="Aptos" w:eastAsia="Aptos" w:cs="Aptos"/>
          <w:sz w:val="28"/>
          <w:szCs w:val="28"/>
          <w:rtl w:val="0"/>
        </w:rPr>
        <w:t>:</w:t>
      </w:r>
      <w:r>
        <w:rPr>
          <w:rFonts w:hint="default" w:ascii="Aptos" w:hAnsi="Aptos" w:eastAsia="Aptos" w:cs="Aptos"/>
          <w:sz w:val="28"/>
          <w:szCs w:val="28"/>
          <w:rtl w:val="0"/>
          <w:lang w:val="en-GB"/>
        </w:rPr>
        <w:t xml:space="preserve">   Fahmida Rahman</w:t>
      </w:r>
    </w:p>
    <w:p w14:paraId="0000000D">
      <w:pPr>
        <w:tabs>
          <w:tab w:val="left" w:pos="6540"/>
        </w:tabs>
        <w:spacing w:after="220" w:line="360" w:lineRule="auto"/>
        <w:ind w:left="426" w:firstLine="0"/>
        <w:rPr>
          <w:rFonts w:hint="default" w:ascii="Aptos" w:hAnsi="Aptos" w:eastAsia="Aptos" w:cs="Aptos"/>
          <w:sz w:val="28"/>
          <w:szCs w:val="28"/>
          <w:lang w:val="en-GB"/>
        </w:rPr>
        <w:sectPr>
          <w:headerReference r:id="rId6" w:type="first"/>
          <w:headerReference r:id="rId5" w:type="default"/>
          <w:pgSz w:w="12240" w:h="15840"/>
          <w:pgMar w:top="720" w:right="576" w:bottom="720" w:left="720" w:header="432" w:footer="288" w:gutter="0"/>
          <w:pgNumType w:start="1"/>
          <w:cols w:space="720" w:num="1"/>
          <w:titlePg/>
        </w:sectPr>
      </w:pPr>
      <w:r>
        <w:rPr>
          <w:rFonts w:ascii="Aptos" w:hAnsi="Aptos" w:eastAsia="Aptos" w:cs="Aptos"/>
          <w:b/>
          <w:sz w:val="28"/>
          <w:szCs w:val="28"/>
          <w:rtl w:val="0"/>
        </w:rPr>
        <w:t>Student ID</w:t>
      </w:r>
      <w:r>
        <w:rPr>
          <w:rFonts w:ascii="Aptos" w:hAnsi="Aptos" w:eastAsia="Aptos" w:cs="Aptos"/>
          <w:sz w:val="28"/>
          <w:szCs w:val="28"/>
          <w:rtl w:val="0"/>
        </w:rPr>
        <w:t>:</w:t>
      </w:r>
      <w:r>
        <w:rPr>
          <w:rFonts w:hint="default" w:ascii="Aptos" w:hAnsi="Aptos" w:eastAsia="Aptos" w:cs="Aptos"/>
          <w:sz w:val="28"/>
          <w:szCs w:val="28"/>
          <w:rtl w:val="0"/>
          <w:lang w:val="en-GB"/>
        </w:rPr>
        <w:t xml:space="preserve">  </w:t>
      </w:r>
      <w:r>
        <w:rPr>
          <w:rFonts w:hint="default" w:ascii="Aptos" w:hAnsi="Aptos" w:eastAsia="Aptos" w:cs="Aptos"/>
          <w:sz w:val="28"/>
          <w:szCs w:val="28"/>
          <w:lang w:val="en-GB"/>
        </w:rPr>
        <w:t>2235619</w:t>
      </w:r>
    </w:p>
    <w:p w14:paraId="0000000E">
      <w:pPr>
        <w:keepNext w:val="0"/>
        <w:keepLines w:val="0"/>
        <w:pageBreakBefore w:val="0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276" w:lineRule="auto"/>
        <w:ind w:left="0" w:right="0" w:firstLine="0"/>
        <w:jc w:val="left"/>
        <w:rPr>
          <w:rFonts w:ascii="Aptos" w:hAnsi="Aptos" w:eastAsia="Aptos" w:cs="Aptos"/>
          <w:sz w:val="28"/>
          <w:szCs w:val="28"/>
        </w:rPr>
      </w:pPr>
    </w:p>
    <w:tbl>
      <w:tblPr>
        <w:tblStyle w:val="13"/>
        <w:tblW w:w="14616" w:type="dxa"/>
        <w:tblInd w:w="0" w:type="dxa"/>
        <w:tblBorders>
          <w:top w:val="single" w:color="C9C9C9" w:sz="4" w:space="0"/>
          <w:left w:val="single" w:color="000000" w:sz="4" w:space="0"/>
          <w:bottom w:val="single" w:color="C9C9C9" w:sz="4" w:space="0"/>
          <w:right w:val="single" w:color="000000" w:sz="4" w:space="0"/>
          <w:insideH w:val="single" w:color="C9C9C9" w:sz="4" w:space="0"/>
          <w:insideV w:val="single" w:color="C9C9C9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616"/>
      </w:tblGrid>
      <w:tr w14:paraId="1BADFE73">
        <w:tblPrEx>
          <w:tblBorders>
            <w:top w:val="single" w:color="C9C9C9" w:sz="4" w:space="0"/>
            <w:left w:val="single" w:color="000000" w:sz="4" w:space="0"/>
            <w:bottom w:val="single" w:color="C9C9C9" w:sz="4" w:space="0"/>
            <w:right w:val="single" w:color="000000" w:sz="4" w:space="0"/>
            <w:insideH w:val="single" w:color="C9C9C9" w:sz="4" w:space="0"/>
            <w:insideV w:val="single" w:color="C9C9C9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6" w:hRule="atLeast"/>
        </w:trPr>
        <w:tc>
          <w:tcPr>
            <w:shd w:val="clear" w:color="auto" w:fill="9CC3E5"/>
            <w:vAlign w:val="center"/>
          </w:tcPr>
          <w:p w14:paraId="0000000F">
            <w:pPr>
              <w:spacing w:after="0" w:line="240" w:lineRule="auto"/>
              <w:jc w:val="center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b/>
                <w:rtl w:val="0"/>
              </w:rPr>
              <w:t>Project Title:</w:t>
            </w:r>
            <w:r>
              <w:rPr>
                <w:rFonts w:ascii="Arial" w:hAnsi="Arial" w:eastAsia="Arial" w:cs="Arial"/>
                <w:b/>
                <w:rtl w:val="0"/>
              </w:rPr>
              <w:br w:type="textWrapping"/>
            </w:r>
            <w:r>
              <w:rPr>
                <w:rFonts w:ascii="Arial" w:hAnsi="Arial" w:eastAsia="Arial" w:cs="Arial"/>
                <w:b/>
                <w:rtl w:val="0"/>
              </w:rPr>
              <w:t>Understanding NHS Workforce Pressures: Staff Perceptions of Burnout, Morale, and Retention – A Secondary Research Study</w:t>
            </w:r>
          </w:p>
        </w:tc>
      </w:tr>
    </w:tbl>
    <w:p w14:paraId="00000010">
      <w:pPr>
        <w:keepNext w:val="0"/>
        <w:keepLines w:val="0"/>
        <w:pageBreakBefore w:val="0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276" w:lineRule="auto"/>
        <w:ind w:left="0" w:right="0" w:firstLine="0"/>
        <w:jc w:val="left"/>
        <w:rPr>
          <w:rFonts w:ascii="Arial" w:hAnsi="Arial" w:eastAsia="Arial" w:cs="Arial"/>
        </w:rPr>
      </w:pPr>
    </w:p>
    <w:tbl>
      <w:tblPr>
        <w:tblStyle w:val="14"/>
        <w:tblW w:w="14601" w:type="dxa"/>
        <w:tblInd w:w="0" w:type="dxa"/>
        <w:tblLayout w:type="fixed"/>
        <w:tblCellMar>
          <w:top w:w="0" w:type="dxa"/>
          <w:left w:w="115" w:type="dxa"/>
          <w:bottom w:w="0" w:type="dxa"/>
          <w:right w:w="115" w:type="dxa"/>
        </w:tblCellMar>
      </w:tblPr>
      <w:tblGrid>
        <w:gridCol w:w="6946"/>
        <w:gridCol w:w="7655"/>
      </w:tblGrid>
      <w:tr w14:paraId="6F8A6A7D">
        <w:tblPrEx>
          <w:tblCellMar>
            <w:top w:w="0" w:type="dxa"/>
            <w:left w:w="115" w:type="dxa"/>
            <w:bottom w:w="0" w:type="dxa"/>
            <w:right w:w="115" w:type="dxa"/>
          </w:tblCellMar>
        </w:tblPrEx>
        <w:tc>
          <w:tcPr>
            <w:shd w:val="clear" w:color="auto" w:fill="1F4E79"/>
          </w:tcPr>
          <w:p w14:paraId="00000011">
            <w:r>
              <w:rPr>
                <w:rFonts w:ascii="Calibri" w:hAnsi="Calibri" w:eastAsia="Calibri" w:cs="Calibri"/>
                <w:b/>
                <w:color w:val="FFFFFF"/>
                <w:sz w:val="26"/>
                <w:szCs w:val="26"/>
                <w:rtl w:val="0"/>
              </w:rPr>
              <w:t>01 Introduction &amp; Research Aim</w:t>
            </w:r>
            <w:r>
              <w:rPr>
                <w:rFonts w:ascii="Calibri" w:hAnsi="Calibri" w:eastAsia="Calibri" w:cs="Calibri"/>
                <w:b/>
                <w:color w:val="FFFFFF"/>
                <w:sz w:val="26"/>
                <w:szCs w:val="26"/>
                <w:rtl w:val="0"/>
              </w:rPr>
              <w:br w:type="textWrapping"/>
            </w:r>
            <w:r>
              <w:rPr>
                <w:rFonts w:ascii="Calibri" w:hAnsi="Calibri" w:eastAsia="Calibri" w:cs="Calibri"/>
                <w:color w:val="FFFFFF"/>
                <w:rtl w:val="0"/>
              </w:rPr>
              <w:t>• Desk-based secondary research study examining NHS workforce pressures.</w:t>
            </w:r>
            <w:r>
              <w:rPr>
                <w:rFonts w:ascii="Calibri" w:hAnsi="Calibri" w:eastAsia="Calibri" w:cs="Calibri"/>
                <w:color w:val="FFFFFF"/>
                <w:rtl w:val="0"/>
              </w:rPr>
              <w:br w:type="textWrapping"/>
            </w:r>
            <w:r>
              <w:rPr>
                <w:rFonts w:ascii="Calibri" w:hAnsi="Calibri" w:eastAsia="Calibri" w:cs="Calibri"/>
                <w:color w:val="FFFFFF"/>
                <w:rtl w:val="0"/>
              </w:rPr>
              <w:t>• Focus on staff perceptions of burnout, morale and retention.</w:t>
            </w:r>
            <w:r>
              <w:rPr>
                <w:rFonts w:ascii="Calibri" w:hAnsi="Calibri" w:eastAsia="Calibri" w:cs="Calibri"/>
                <w:color w:val="FFFFFF"/>
                <w:rtl w:val="0"/>
              </w:rPr>
              <w:br w:type="textWrapping"/>
            </w:r>
            <w:r>
              <w:rPr>
                <w:rFonts w:ascii="Calibri" w:hAnsi="Calibri" w:eastAsia="Calibri" w:cs="Calibri"/>
                <w:color w:val="FFFFFF"/>
                <w:rtl w:val="0"/>
              </w:rPr>
              <w:t>• Aim: To analyse workforce pressures and identify evidence-based strategies for sustainability (Thomas and Harden, 2008).</w:t>
            </w:r>
            <w:r>
              <w:rPr>
                <w:rFonts w:ascii="Calibri" w:hAnsi="Calibri" w:eastAsia="Calibri" w:cs="Calibri"/>
                <w:color w:val="FFFFFF"/>
                <w:rtl w:val="0"/>
              </w:rPr>
              <w:br w:type="textWrapping"/>
            </w:r>
          </w:p>
        </w:tc>
        <w:tc>
          <w:tcPr>
            <w:shd w:val="clear" w:color="auto" w:fill="6A0DAD"/>
          </w:tcPr>
          <w:p w14:paraId="00000012">
            <w:r>
              <w:rPr>
                <w:rFonts w:ascii="Calibri" w:hAnsi="Calibri" w:eastAsia="Calibri" w:cs="Calibri"/>
                <w:b/>
                <w:color w:val="FFFFFF"/>
                <w:sz w:val="26"/>
                <w:szCs w:val="26"/>
                <w:rtl w:val="0"/>
              </w:rPr>
              <w:t>02 Search Strategy</w:t>
            </w:r>
            <w:r>
              <w:rPr>
                <w:rFonts w:ascii="Calibri" w:hAnsi="Calibri" w:eastAsia="Calibri" w:cs="Calibri"/>
                <w:b/>
                <w:color w:val="FFFFFF"/>
                <w:sz w:val="26"/>
                <w:szCs w:val="26"/>
                <w:rtl w:val="0"/>
              </w:rPr>
              <w:br w:type="textWrapping"/>
            </w:r>
            <w:r>
              <w:rPr>
                <w:rFonts w:ascii="Calibri" w:hAnsi="Calibri" w:eastAsia="Calibri" w:cs="Calibri"/>
                <w:color w:val="FFFFFF"/>
                <w:rtl w:val="0"/>
              </w:rPr>
              <w:t>• Structured and systematic keyword search approach.</w:t>
            </w:r>
            <w:r>
              <w:rPr>
                <w:rFonts w:ascii="Calibri" w:hAnsi="Calibri" w:eastAsia="Calibri" w:cs="Calibri"/>
                <w:color w:val="FFFFFF"/>
                <w:rtl w:val="0"/>
              </w:rPr>
              <w:br w:type="textWrapping"/>
            </w:r>
            <w:r>
              <w:rPr>
                <w:rFonts w:ascii="Calibri" w:hAnsi="Calibri" w:eastAsia="Calibri" w:cs="Calibri"/>
                <w:color w:val="FFFFFF"/>
                <w:rtl w:val="0"/>
              </w:rPr>
              <w:t>• Key terms: NHS workforce, burnout, morale, retention, wellbeing, organisational culture.</w:t>
            </w:r>
            <w:r>
              <w:rPr>
                <w:rFonts w:ascii="Calibri" w:hAnsi="Calibri" w:eastAsia="Calibri" w:cs="Calibri"/>
                <w:color w:val="FFFFFF"/>
                <w:rtl w:val="0"/>
              </w:rPr>
              <w:br w:type="textWrapping"/>
            </w:r>
            <w:r>
              <w:rPr>
                <w:rFonts w:ascii="Calibri" w:hAnsi="Calibri" w:eastAsia="Calibri" w:cs="Calibri"/>
                <w:color w:val="FFFFFF"/>
                <w:rtl w:val="0"/>
              </w:rPr>
              <w:t>• Boolean operators (AND/OR/NOT) applied for precision and replicability (Coughlan, Cronin and Ryan, 2017; Thomas and Harden, 2008).</w:t>
            </w:r>
            <w:r>
              <w:rPr>
                <w:rFonts w:ascii="Calibri" w:hAnsi="Calibri" w:eastAsia="Calibri" w:cs="Calibri"/>
                <w:color w:val="FFFFFF"/>
                <w:rtl w:val="0"/>
              </w:rPr>
              <w:br w:type="textWrapping"/>
            </w:r>
          </w:p>
        </w:tc>
      </w:tr>
      <w:tr w14:paraId="21B9C69A">
        <w:tblPrEx>
          <w:tblCellMar>
            <w:top w:w="0" w:type="dxa"/>
            <w:left w:w="115" w:type="dxa"/>
            <w:bottom w:w="0" w:type="dxa"/>
            <w:right w:w="115" w:type="dxa"/>
          </w:tblCellMar>
        </w:tblPrEx>
        <w:tc>
          <w:tcPr>
            <w:shd w:val="clear" w:color="auto" w:fill="008080"/>
          </w:tcPr>
          <w:p w14:paraId="00000013">
            <w:r>
              <w:rPr>
                <w:rFonts w:ascii="Calibri" w:hAnsi="Calibri" w:eastAsia="Calibri" w:cs="Calibri"/>
                <w:b/>
                <w:color w:val="FFFFFF"/>
                <w:sz w:val="26"/>
                <w:szCs w:val="26"/>
                <w:rtl w:val="0"/>
              </w:rPr>
              <w:t>03 Searching for Information</w:t>
            </w:r>
            <w:r>
              <w:rPr>
                <w:rFonts w:ascii="Calibri" w:hAnsi="Calibri" w:eastAsia="Calibri" w:cs="Calibri"/>
                <w:b/>
                <w:color w:val="FFFFFF"/>
                <w:sz w:val="26"/>
                <w:szCs w:val="26"/>
                <w:rtl w:val="0"/>
              </w:rPr>
              <w:br w:type="textWrapping"/>
            </w:r>
            <w:r>
              <w:rPr>
                <w:rFonts w:ascii="Calibri" w:hAnsi="Calibri" w:eastAsia="Calibri" w:cs="Calibri"/>
                <w:color w:val="FFFFFF"/>
                <w:rtl w:val="0"/>
              </w:rPr>
              <w:t>• Databases: PubMed, CINAHL, Scopus, UWTSD Library.</w:t>
            </w:r>
            <w:r>
              <w:rPr>
                <w:rFonts w:ascii="Calibri" w:hAnsi="Calibri" w:eastAsia="Calibri" w:cs="Calibri"/>
                <w:color w:val="FFFFFF"/>
                <w:rtl w:val="0"/>
              </w:rPr>
              <w:br w:type="textWrapping"/>
            </w:r>
            <w:r>
              <w:rPr>
                <w:rFonts w:ascii="Calibri" w:hAnsi="Calibri" w:eastAsia="Calibri" w:cs="Calibri"/>
                <w:color w:val="FFFFFF"/>
                <w:rtl w:val="0"/>
              </w:rPr>
              <w:t>• Supplementary sources: Google Scholar, NHS England, King’s Fund, NHS Employers.</w:t>
            </w:r>
            <w:r>
              <w:rPr>
                <w:rFonts w:ascii="Calibri" w:hAnsi="Calibri" w:eastAsia="Calibri" w:cs="Calibri"/>
                <w:color w:val="FFFFFF"/>
                <w:rtl w:val="0"/>
              </w:rPr>
              <w:br w:type="textWrapping"/>
            </w:r>
            <w:r>
              <w:rPr>
                <w:rFonts w:ascii="Calibri" w:hAnsi="Calibri" w:eastAsia="Calibri" w:cs="Calibri"/>
                <w:color w:val="FFFFFF"/>
                <w:rtl w:val="0"/>
              </w:rPr>
              <w:t>• Filters: 2015–2024; English; UK focus; peer-reviewed or official reports.</w:t>
            </w:r>
            <w:r>
              <w:rPr>
                <w:rFonts w:ascii="Calibri" w:hAnsi="Calibri" w:eastAsia="Calibri" w:cs="Calibri"/>
                <w:color w:val="FFFFFF"/>
                <w:rtl w:val="0"/>
              </w:rPr>
              <w:br w:type="textWrapping"/>
            </w:r>
            <w:r>
              <w:rPr>
                <w:rFonts w:ascii="Calibri" w:hAnsi="Calibri" w:eastAsia="Calibri" w:cs="Calibri"/>
                <w:color w:val="FFFFFF"/>
                <w:rtl w:val="0"/>
              </w:rPr>
              <w:t>• 300+ records reduced to 25 core studies after screening (Greenhalgh et al., 2018).</w:t>
            </w:r>
            <w:r>
              <w:rPr>
                <w:rFonts w:ascii="Calibri" w:hAnsi="Calibri" w:eastAsia="Calibri" w:cs="Calibri"/>
                <w:color w:val="FFFFFF"/>
                <w:rtl w:val="0"/>
              </w:rPr>
              <w:br w:type="textWrapping"/>
            </w:r>
          </w:p>
        </w:tc>
        <w:tc>
          <w:tcPr>
            <w:shd w:val="clear" w:color="auto" w:fill="E67E22"/>
          </w:tcPr>
          <w:p w14:paraId="00000014">
            <w:r>
              <w:rPr>
                <w:rFonts w:ascii="Calibri" w:hAnsi="Calibri" w:eastAsia="Calibri" w:cs="Calibri"/>
                <w:b/>
                <w:color w:val="FFFFFF"/>
                <w:sz w:val="26"/>
                <w:szCs w:val="26"/>
                <w:rtl w:val="0"/>
              </w:rPr>
              <w:t>04 Emerging Thematic Areas</w:t>
            </w:r>
            <w:r>
              <w:rPr>
                <w:rFonts w:ascii="Calibri" w:hAnsi="Calibri" w:eastAsia="Calibri" w:cs="Calibri"/>
                <w:b/>
                <w:color w:val="FFFFFF"/>
                <w:sz w:val="26"/>
                <w:szCs w:val="26"/>
                <w:rtl w:val="0"/>
              </w:rPr>
              <w:br w:type="textWrapping"/>
            </w:r>
            <w:r>
              <w:rPr>
                <w:rFonts w:ascii="Calibri" w:hAnsi="Calibri" w:eastAsia="Calibri" w:cs="Calibri"/>
                <w:color w:val="FFFFFF"/>
                <w:rtl w:val="0"/>
              </w:rPr>
              <w:t>• Burnout Drivers: High workload; staffing shortages; emotional exhaustion (Dall’Ora, 2020).</w:t>
            </w:r>
            <w:r>
              <w:rPr>
                <w:rFonts w:ascii="Calibri" w:hAnsi="Calibri" w:eastAsia="Calibri" w:cs="Calibri"/>
                <w:color w:val="FFFFFF"/>
                <w:rtl w:val="0"/>
              </w:rPr>
              <w:br w:type="textWrapping"/>
            </w:r>
            <w:r>
              <w:rPr>
                <w:rFonts w:ascii="Calibri" w:hAnsi="Calibri" w:eastAsia="Calibri" w:cs="Calibri"/>
                <w:color w:val="FFFFFF"/>
                <w:rtl w:val="0"/>
              </w:rPr>
              <w:t>• Organisational Culture: Leadership quality; engagement; psychological safety (West and Coia, 2019).</w:t>
            </w:r>
            <w:r>
              <w:rPr>
                <w:rFonts w:ascii="Calibri" w:hAnsi="Calibri" w:eastAsia="Calibri" w:cs="Calibri"/>
                <w:color w:val="FFFFFF"/>
                <w:rtl w:val="0"/>
              </w:rPr>
              <w:br w:type="textWrapping"/>
            </w:r>
            <w:r>
              <w:rPr>
                <w:rFonts w:ascii="Calibri" w:hAnsi="Calibri" w:eastAsia="Calibri" w:cs="Calibri"/>
                <w:color w:val="FFFFFF"/>
                <w:rtl w:val="0"/>
              </w:rPr>
              <w:t>• Retention Factors: Job satisfaction; work–life balance; career development.</w:t>
            </w:r>
            <w:r>
              <w:rPr>
                <w:rFonts w:ascii="Calibri" w:hAnsi="Calibri" w:eastAsia="Calibri" w:cs="Calibri"/>
                <w:color w:val="FFFFFF"/>
                <w:rtl w:val="0"/>
              </w:rPr>
              <w:br w:type="textWrapping"/>
            </w:r>
            <w:r>
              <w:rPr>
                <w:rFonts w:ascii="Calibri" w:hAnsi="Calibri" w:eastAsia="Calibri" w:cs="Calibri"/>
                <w:color w:val="FFFFFF"/>
                <w:rtl w:val="0"/>
              </w:rPr>
              <w:t>• Improvement Strategies: Wellbeing initiatives; resilience training; workforce reforms (NHS England, 2023; Bakker and Demerouti, 2017).</w:t>
            </w:r>
            <w:r>
              <w:rPr>
                <w:rFonts w:ascii="Calibri" w:hAnsi="Calibri" w:eastAsia="Calibri" w:cs="Calibri"/>
                <w:color w:val="FFFFFF"/>
                <w:rtl w:val="0"/>
              </w:rPr>
              <w:br w:type="textWrapping"/>
            </w:r>
          </w:p>
        </w:tc>
      </w:tr>
      <w:tr w14:paraId="67427BC5">
        <w:tblPrEx>
          <w:tblCellMar>
            <w:top w:w="0" w:type="dxa"/>
            <w:left w:w="115" w:type="dxa"/>
            <w:bottom w:w="0" w:type="dxa"/>
            <w:right w:w="115" w:type="dxa"/>
          </w:tblCellMar>
        </w:tblPrEx>
        <w:tc>
          <w:tcPr>
            <w:shd w:val="clear" w:color="auto" w:fill="2E8B57"/>
          </w:tcPr>
          <w:p w14:paraId="00000015">
            <w:r>
              <w:rPr>
                <w:rFonts w:ascii="Calibri" w:hAnsi="Calibri" w:eastAsia="Calibri" w:cs="Calibri"/>
                <w:b/>
                <w:color w:val="FFFFFF"/>
                <w:sz w:val="26"/>
                <w:szCs w:val="26"/>
                <w:rtl w:val="0"/>
              </w:rPr>
              <w:t>05 Research Validation</w:t>
            </w:r>
            <w:r>
              <w:rPr>
                <w:rFonts w:ascii="Calibri" w:hAnsi="Calibri" w:eastAsia="Calibri" w:cs="Calibri"/>
                <w:b/>
                <w:color w:val="FFFFFF"/>
                <w:sz w:val="26"/>
                <w:szCs w:val="26"/>
                <w:rtl w:val="0"/>
              </w:rPr>
              <w:br w:type="textWrapping"/>
            </w:r>
            <w:r>
              <w:rPr>
                <w:rFonts w:ascii="Calibri" w:hAnsi="Calibri" w:eastAsia="Calibri" w:cs="Calibri"/>
                <w:color w:val="FFFFFF"/>
                <w:rtl w:val="0"/>
              </w:rPr>
              <w:t>• CRAAP test applied: Currency, Relevance, Authority, Accuracy, Purpose (Blaxter, Hughes and Tight, 2019).</w:t>
            </w:r>
            <w:r>
              <w:rPr>
                <w:rFonts w:ascii="Calibri" w:hAnsi="Calibri" w:eastAsia="Calibri" w:cs="Calibri"/>
                <w:color w:val="FFFFFF"/>
                <w:rtl w:val="0"/>
              </w:rPr>
              <w:br w:type="textWrapping"/>
            </w:r>
            <w:r>
              <w:rPr>
                <w:rFonts w:ascii="Calibri" w:hAnsi="Calibri" w:eastAsia="Calibri" w:cs="Calibri"/>
                <w:color w:val="FFFFFF"/>
                <w:rtl w:val="0"/>
              </w:rPr>
              <w:t>• Ensured credible, up-to-date and NHS-specific evidence.</w:t>
            </w:r>
            <w:r>
              <w:rPr>
                <w:rFonts w:ascii="Calibri" w:hAnsi="Calibri" w:eastAsia="Calibri" w:cs="Calibri"/>
                <w:color w:val="FFFFFF"/>
                <w:rtl w:val="0"/>
              </w:rPr>
              <w:br w:type="textWrapping"/>
            </w:r>
            <w:r>
              <w:rPr>
                <w:rFonts w:ascii="Calibri" w:hAnsi="Calibri" w:eastAsia="Calibri" w:cs="Calibri"/>
                <w:color w:val="FFFFFF"/>
                <w:rtl w:val="0"/>
              </w:rPr>
              <w:t>• Strengthened transparency and methodological rigour.</w:t>
            </w:r>
            <w:r>
              <w:rPr>
                <w:rFonts w:ascii="Calibri" w:hAnsi="Calibri" w:eastAsia="Calibri" w:cs="Calibri"/>
                <w:color w:val="FFFFFF"/>
                <w:rtl w:val="0"/>
              </w:rPr>
              <w:br w:type="textWrapping"/>
            </w:r>
          </w:p>
        </w:tc>
        <w:tc>
          <w:tcPr>
            <w:shd w:val="clear" w:color="auto" w:fill="008080"/>
          </w:tcPr>
          <w:p w14:paraId="00000016">
            <w:r>
              <w:rPr>
                <w:rFonts w:ascii="Calibri" w:hAnsi="Calibri" w:eastAsia="Calibri" w:cs="Calibri"/>
                <w:b/>
                <w:color w:val="FFFFFF"/>
                <w:sz w:val="26"/>
                <w:szCs w:val="26"/>
                <w:rtl w:val="0"/>
              </w:rPr>
              <w:t>06 Data Analysis</w:t>
            </w:r>
            <w:r>
              <w:rPr>
                <w:rFonts w:ascii="Calibri" w:hAnsi="Calibri" w:eastAsia="Calibri" w:cs="Calibri"/>
                <w:b/>
                <w:color w:val="FFFFFF"/>
                <w:sz w:val="26"/>
                <w:szCs w:val="26"/>
                <w:rtl w:val="0"/>
              </w:rPr>
              <w:br w:type="textWrapping"/>
            </w:r>
            <w:r>
              <w:rPr>
                <w:rFonts w:ascii="Calibri" w:hAnsi="Calibri" w:eastAsia="Calibri" w:cs="Calibri"/>
                <w:color w:val="FFFFFF"/>
                <w:rtl w:val="0"/>
              </w:rPr>
              <w:t>• Thematic analysis conducted following Braun and Clarke (2019).</w:t>
            </w:r>
            <w:r>
              <w:rPr>
                <w:rFonts w:ascii="Calibri" w:hAnsi="Calibri" w:eastAsia="Calibri" w:cs="Calibri"/>
                <w:color w:val="FFFFFF"/>
                <w:rtl w:val="0"/>
              </w:rPr>
              <w:br w:type="textWrapping"/>
            </w:r>
            <w:r>
              <w:rPr>
                <w:rFonts w:ascii="Calibri" w:hAnsi="Calibri" w:eastAsia="Calibri" w:cs="Calibri"/>
                <w:color w:val="FFFFFF"/>
                <w:rtl w:val="0"/>
              </w:rPr>
              <w:t>• Stages: Initial coding → Descriptive themes → Analytical themes.</w:t>
            </w:r>
            <w:r>
              <w:rPr>
                <w:rFonts w:ascii="Calibri" w:hAnsi="Calibri" w:eastAsia="Calibri" w:cs="Calibri"/>
                <w:color w:val="FFFFFF"/>
                <w:rtl w:val="0"/>
              </w:rPr>
              <w:br w:type="textWrapping"/>
            </w:r>
            <w:r>
              <w:rPr>
                <w:rFonts w:ascii="Calibri" w:hAnsi="Calibri" w:eastAsia="Calibri" w:cs="Calibri"/>
                <w:color w:val="FFFFFF"/>
                <w:rtl w:val="0"/>
              </w:rPr>
              <w:t>• Enabled synthesis of findings across multiple studies (Thomas and Harden, 2008).</w:t>
            </w:r>
            <w:r>
              <w:rPr>
                <w:rFonts w:ascii="Calibri" w:hAnsi="Calibri" w:eastAsia="Calibri" w:cs="Calibri"/>
                <w:color w:val="FFFFFF"/>
                <w:rtl w:val="0"/>
              </w:rPr>
              <w:br w:type="textWrapping"/>
            </w:r>
          </w:p>
        </w:tc>
      </w:tr>
      <w:tr w14:paraId="6B393E4E">
        <w:tblPrEx>
          <w:tblCellMar>
            <w:top w:w="0" w:type="dxa"/>
            <w:left w:w="115" w:type="dxa"/>
            <w:bottom w:w="0" w:type="dxa"/>
            <w:right w:w="115" w:type="dxa"/>
          </w:tblCellMar>
        </w:tblPrEx>
        <w:tc>
          <w:tcPr>
            <w:shd w:val="clear" w:color="auto" w:fill="6A0DAD"/>
          </w:tcPr>
          <w:p w14:paraId="00000017">
            <w:r>
              <w:rPr>
                <w:rFonts w:ascii="Calibri" w:hAnsi="Calibri" w:eastAsia="Calibri" w:cs="Calibri"/>
                <w:b/>
                <w:color w:val="FFFFFF"/>
                <w:sz w:val="26"/>
                <w:szCs w:val="26"/>
                <w:rtl w:val="0"/>
              </w:rPr>
              <w:t>07 Inclusion &amp; Exclusion Criteria</w:t>
            </w:r>
            <w:r>
              <w:rPr>
                <w:rFonts w:ascii="Calibri" w:hAnsi="Calibri" w:eastAsia="Calibri" w:cs="Calibri"/>
                <w:b/>
                <w:color w:val="FFFFFF"/>
                <w:sz w:val="26"/>
                <w:szCs w:val="26"/>
                <w:rtl w:val="0"/>
              </w:rPr>
              <w:br w:type="textWrapping"/>
            </w:r>
            <w:r>
              <w:rPr>
                <w:rFonts w:ascii="Calibri" w:hAnsi="Calibri" w:eastAsia="Calibri" w:cs="Calibri"/>
                <w:color w:val="FFFFFF"/>
                <w:rtl w:val="0"/>
              </w:rPr>
              <w:t>• Inclusion: UK-based peer-reviewed/NHS reports (2015–2024); full-text access; relevance to burnout, morale, retention.</w:t>
            </w:r>
            <w:r>
              <w:rPr>
                <w:rFonts w:ascii="Calibri" w:hAnsi="Calibri" w:eastAsia="Calibri" w:cs="Calibri"/>
                <w:color w:val="FFFFFF"/>
                <w:rtl w:val="0"/>
              </w:rPr>
              <w:br w:type="textWrapping"/>
            </w:r>
            <w:r>
              <w:rPr>
                <w:rFonts w:ascii="Calibri" w:hAnsi="Calibri" w:eastAsia="Calibri" w:cs="Calibri"/>
                <w:color w:val="FFFFFF"/>
                <w:rtl w:val="0"/>
              </w:rPr>
              <w:t>• Exclusion: Pre-2015 studies; non-healthcare sectors; non-English texts; opinion-based sources.</w:t>
            </w:r>
            <w:r>
              <w:rPr>
                <w:rFonts w:ascii="Calibri" w:hAnsi="Calibri" w:eastAsia="Calibri" w:cs="Calibri"/>
                <w:color w:val="FFFFFF"/>
                <w:rtl w:val="0"/>
              </w:rPr>
              <w:br w:type="textWrapping"/>
            </w:r>
          </w:p>
        </w:tc>
        <w:tc>
          <w:tcPr>
            <w:shd w:val="clear" w:color="auto" w:fill="1F4E79"/>
          </w:tcPr>
          <w:p w14:paraId="00000018">
            <w:r>
              <w:rPr>
                <w:rFonts w:ascii="Calibri" w:hAnsi="Calibri" w:eastAsia="Calibri" w:cs="Calibri"/>
                <w:b/>
                <w:color w:val="FFFFFF"/>
                <w:sz w:val="26"/>
                <w:szCs w:val="26"/>
                <w:rtl w:val="0"/>
              </w:rPr>
              <w:t>08 Ethical Considerations</w:t>
            </w:r>
            <w:r>
              <w:rPr>
                <w:rFonts w:ascii="Calibri" w:hAnsi="Calibri" w:eastAsia="Calibri" w:cs="Calibri"/>
                <w:b/>
                <w:color w:val="FFFFFF"/>
                <w:sz w:val="26"/>
                <w:szCs w:val="26"/>
                <w:rtl w:val="0"/>
              </w:rPr>
              <w:br w:type="textWrapping"/>
            </w:r>
            <w:r>
              <w:rPr>
                <w:rFonts w:ascii="Calibri" w:hAnsi="Calibri" w:eastAsia="Calibri" w:cs="Calibri"/>
                <w:color w:val="FFFFFF"/>
                <w:rtl w:val="0"/>
              </w:rPr>
              <w:t>• No primary data collection or human participants involved.</w:t>
            </w:r>
            <w:r>
              <w:rPr>
                <w:rFonts w:ascii="Calibri" w:hAnsi="Calibri" w:eastAsia="Calibri" w:cs="Calibri"/>
                <w:color w:val="FFFFFF"/>
                <w:rtl w:val="0"/>
              </w:rPr>
              <w:br w:type="textWrapping"/>
            </w:r>
            <w:r>
              <w:rPr>
                <w:rFonts w:ascii="Calibri" w:hAnsi="Calibri" w:eastAsia="Calibri" w:cs="Calibri"/>
                <w:color w:val="FFFFFF"/>
                <w:rtl w:val="0"/>
              </w:rPr>
              <w:t>• Accurate representation and critical engagement with literature (West and Coia, 2019).</w:t>
            </w:r>
            <w:r>
              <w:rPr>
                <w:rFonts w:ascii="Calibri" w:hAnsi="Calibri" w:eastAsia="Calibri" w:cs="Calibri"/>
                <w:color w:val="FFFFFF"/>
                <w:rtl w:val="0"/>
              </w:rPr>
              <w:br w:type="textWrapping"/>
            </w:r>
            <w:r>
              <w:rPr>
                <w:rFonts w:ascii="Calibri" w:hAnsi="Calibri" w:eastAsia="Calibri" w:cs="Calibri"/>
                <w:color w:val="FFFFFF"/>
                <w:rtl w:val="0"/>
              </w:rPr>
              <w:t>• Harvard referencing applied in accordance with institutional guidance (UWTSD, 2024).</w:t>
            </w:r>
            <w:r>
              <w:rPr>
                <w:rFonts w:ascii="Calibri" w:hAnsi="Calibri" w:eastAsia="Calibri" w:cs="Calibri"/>
                <w:color w:val="FFFFFF"/>
                <w:rtl w:val="0"/>
              </w:rPr>
              <w:br w:type="textWrapping"/>
            </w:r>
            <w:r>
              <w:rPr>
                <w:rFonts w:ascii="Calibri" w:hAnsi="Calibri" w:eastAsia="Calibri" w:cs="Calibri"/>
                <w:color w:val="FFFFFF"/>
                <w:rtl w:val="0"/>
              </w:rPr>
              <w:t>• Transparency maintained to minimise bias and ensure academic integrity.</w:t>
            </w:r>
            <w:r>
              <w:rPr>
                <w:rFonts w:ascii="Calibri" w:hAnsi="Calibri" w:eastAsia="Calibri" w:cs="Calibri"/>
                <w:color w:val="FFFFFF"/>
                <w:rtl w:val="0"/>
              </w:rPr>
              <w:br w:type="textWrapping"/>
            </w:r>
          </w:p>
        </w:tc>
      </w:tr>
    </w:tbl>
    <w:p w14:paraId="00000019">
      <w:pPr>
        <w:pStyle w:val="3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ascii="Arial" w:hAnsi="Arial" w:eastAsia="Arial" w:cs="Arial"/>
          <w:color w:val="000000"/>
          <w:sz w:val="20"/>
          <w:szCs w:val="20"/>
          <w:rtl w:val="0"/>
        </w:rPr>
        <w:t>Table 1: Thematic Coding of 10 Key Sources</w:t>
      </w:r>
    </w:p>
    <w:tbl>
      <w:tblPr>
        <w:tblStyle w:val="15"/>
        <w:tblW w:w="14454" w:type="dxa"/>
        <w:tblInd w:w="0" w:type="dxa"/>
        <w:tblBorders>
          <w:top w:val="single" w:color="C9C9C9" w:sz="4" w:space="0"/>
          <w:left w:val="single" w:color="000000" w:sz="4" w:space="0"/>
          <w:bottom w:val="single" w:color="C9C9C9" w:sz="4" w:space="0"/>
          <w:right w:val="single" w:color="000000" w:sz="4" w:space="0"/>
          <w:insideH w:val="single" w:color="C9C9C9" w:sz="4" w:space="0"/>
          <w:insideV w:val="single" w:color="C9C9C9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29"/>
        <w:gridCol w:w="1663"/>
        <w:gridCol w:w="2236"/>
        <w:gridCol w:w="4256"/>
        <w:gridCol w:w="3041"/>
        <w:gridCol w:w="1829"/>
      </w:tblGrid>
      <w:tr w14:paraId="5A89F29F">
        <w:tblPrEx>
          <w:tblBorders>
            <w:top w:val="single" w:color="C9C9C9" w:sz="4" w:space="0"/>
            <w:left w:val="single" w:color="000000" w:sz="4" w:space="0"/>
            <w:bottom w:val="single" w:color="C9C9C9" w:sz="4" w:space="0"/>
            <w:right w:val="single" w:color="000000" w:sz="4" w:space="0"/>
            <w:insideH w:val="single" w:color="C9C9C9" w:sz="4" w:space="0"/>
            <w:insideV w:val="single" w:color="C9C9C9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p w14:paraId="0000001A">
            <w:pPr>
              <w:spacing w:after="0" w:line="240" w:lineRule="auto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Arial" w:cs="Arial"/>
                <w:sz w:val="20"/>
                <w:szCs w:val="20"/>
                <w:rtl w:val="0"/>
              </w:rPr>
              <w:t>Author/Year</w:t>
            </w:r>
          </w:p>
        </w:tc>
        <w:tc>
          <w:p w14:paraId="0000001B">
            <w:pPr>
              <w:spacing w:after="0" w:line="240" w:lineRule="auto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Arial" w:cs="Arial"/>
                <w:sz w:val="20"/>
                <w:szCs w:val="20"/>
                <w:rtl w:val="0"/>
              </w:rPr>
              <w:t>Study Type</w:t>
            </w:r>
          </w:p>
        </w:tc>
        <w:tc>
          <w:p w14:paraId="0000001C">
            <w:pPr>
              <w:spacing w:after="0" w:line="240" w:lineRule="auto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Arial" w:cs="Arial"/>
                <w:sz w:val="20"/>
                <w:szCs w:val="20"/>
                <w:rtl w:val="0"/>
              </w:rPr>
              <w:t>Focus Area</w:t>
            </w:r>
          </w:p>
        </w:tc>
        <w:tc>
          <w:p w14:paraId="0000001D">
            <w:pPr>
              <w:spacing w:after="0" w:line="240" w:lineRule="auto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Arial" w:cs="Arial"/>
                <w:sz w:val="20"/>
                <w:szCs w:val="20"/>
                <w:rtl w:val="0"/>
              </w:rPr>
              <w:t>Key Findings</w:t>
            </w:r>
          </w:p>
        </w:tc>
        <w:tc>
          <w:p w14:paraId="0000001E">
            <w:pPr>
              <w:spacing w:after="0" w:line="240" w:lineRule="auto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Arial" w:cs="Arial"/>
                <w:sz w:val="20"/>
                <w:szCs w:val="20"/>
                <w:rtl w:val="0"/>
              </w:rPr>
              <w:t>Codes Identified</w:t>
            </w:r>
          </w:p>
        </w:tc>
        <w:tc>
          <w:p w14:paraId="0000001F">
            <w:pPr>
              <w:spacing w:after="0" w:line="240" w:lineRule="auto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Arial" w:cs="Arial"/>
                <w:sz w:val="20"/>
                <w:szCs w:val="20"/>
                <w:rtl w:val="0"/>
              </w:rPr>
              <w:t>Theme</w:t>
            </w:r>
          </w:p>
        </w:tc>
      </w:tr>
      <w:tr w14:paraId="406764DE">
        <w:tblPrEx>
          <w:tblBorders>
            <w:top w:val="single" w:color="C9C9C9" w:sz="4" w:space="0"/>
            <w:left w:val="single" w:color="000000" w:sz="4" w:space="0"/>
            <w:bottom w:val="single" w:color="C9C9C9" w:sz="4" w:space="0"/>
            <w:right w:val="single" w:color="000000" w:sz="4" w:space="0"/>
            <w:insideH w:val="single" w:color="C9C9C9" w:sz="4" w:space="0"/>
            <w:insideV w:val="single" w:color="C9C9C9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p w14:paraId="00000020">
            <w:pPr>
              <w:spacing w:after="0" w:line="240" w:lineRule="auto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Arial" w:cs="Arial"/>
                <w:sz w:val="20"/>
                <w:szCs w:val="20"/>
                <w:rtl w:val="0"/>
              </w:rPr>
              <w:t>Gemine et al. (2022)</w:t>
            </w:r>
          </w:p>
        </w:tc>
        <w:tc>
          <w:p w14:paraId="00000021">
            <w:pPr>
              <w:spacing w:after="0" w:line="240" w:lineRule="auto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Arial" w:cs="Arial"/>
                <w:sz w:val="20"/>
                <w:szCs w:val="20"/>
                <w:rtl w:val="0"/>
              </w:rPr>
              <w:t>Mixed-methods (BMJ Open)</w:t>
            </w:r>
          </w:p>
        </w:tc>
        <w:tc>
          <w:p w14:paraId="00000022">
            <w:pPr>
              <w:spacing w:after="0" w:line="240" w:lineRule="auto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Arial" w:cs="Arial"/>
                <w:sz w:val="20"/>
                <w:szCs w:val="20"/>
                <w:rtl w:val="0"/>
              </w:rPr>
              <w:t>COVID-19 Burnout</w:t>
            </w:r>
          </w:p>
        </w:tc>
        <w:tc>
          <w:p w14:paraId="00000023">
            <w:pPr>
              <w:spacing w:after="0" w:line="240" w:lineRule="auto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Arial" w:cs="Arial"/>
                <w:sz w:val="20"/>
                <w:szCs w:val="20"/>
                <w:rtl w:val="0"/>
              </w:rPr>
              <w:t>High emotional exhaustion among NHS staff during pandemic peaks.</w:t>
            </w:r>
          </w:p>
        </w:tc>
        <w:tc>
          <w:p w14:paraId="00000024">
            <w:pPr>
              <w:spacing w:after="0" w:line="240" w:lineRule="auto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Arial" w:cs="Arial"/>
                <w:sz w:val="20"/>
                <w:szCs w:val="20"/>
                <w:rtl w:val="0"/>
              </w:rPr>
              <w:t>Emotional exhaustion; workload; stress</w:t>
            </w:r>
          </w:p>
        </w:tc>
        <w:tc>
          <w:p w14:paraId="00000025">
            <w:pPr>
              <w:spacing w:after="0" w:line="240" w:lineRule="auto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Arial" w:cs="Arial"/>
                <w:sz w:val="20"/>
                <w:szCs w:val="20"/>
                <w:rtl w:val="0"/>
              </w:rPr>
              <w:t>Burnout</w:t>
            </w:r>
          </w:p>
        </w:tc>
      </w:tr>
      <w:tr w14:paraId="4BE5FDE5">
        <w:tblPrEx>
          <w:tblBorders>
            <w:top w:val="single" w:color="C9C9C9" w:sz="4" w:space="0"/>
            <w:left w:val="single" w:color="000000" w:sz="4" w:space="0"/>
            <w:bottom w:val="single" w:color="C9C9C9" w:sz="4" w:space="0"/>
            <w:right w:val="single" w:color="000000" w:sz="4" w:space="0"/>
            <w:insideH w:val="single" w:color="C9C9C9" w:sz="4" w:space="0"/>
            <w:insideV w:val="single" w:color="C9C9C9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p w14:paraId="00000026">
            <w:pPr>
              <w:spacing w:after="0" w:line="240" w:lineRule="auto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Arial" w:cs="Arial"/>
                <w:sz w:val="20"/>
                <w:szCs w:val="20"/>
                <w:rtl w:val="0"/>
              </w:rPr>
              <w:t>NHS Staff Survey (2024)</w:t>
            </w:r>
          </w:p>
        </w:tc>
        <w:tc>
          <w:p w14:paraId="00000027">
            <w:pPr>
              <w:spacing w:after="0" w:line="240" w:lineRule="auto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Arial" w:cs="Arial"/>
                <w:sz w:val="20"/>
                <w:szCs w:val="20"/>
                <w:rtl w:val="0"/>
              </w:rPr>
              <w:t>National Survey</w:t>
            </w:r>
          </w:p>
        </w:tc>
        <w:tc>
          <w:p w14:paraId="00000028">
            <w:pPr>
              <w:spacing w:after="0" w:line="240" w:lineRule="auto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Arial" w:cs="Arial"/>
                <w:sz w:val="20"/>
                <w:szCs w:val="20"/>
                <w:rtl w:val="0"/>
              </w:rPr>
              <w:t>Work-related Stress</w:t>
            </w:r>
          </w:p>
        </w:tc>
        <w:tc>
          <w:p w14:paraId="00000029">
            <w:pPr>
              <w:spacing w:after="0" w:line="240" w:lineRule="auto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Arial" w:cs="Arial"/>
                <w:sz w:val="20"/>
                <w:szCs w:val="20"/>
                <w:rtl w:val="0"/>
              </w:rPr>
              <w:t>55% reported work-related stress; staffing dissatisfaction prevalent.</w:t>
            </w:r>
          </w:p>
        </w:tc>
        <w:tc>
          <w:p w14:paraId="0000002A">
            <w:pPr>
              <w:spacing w:after="0" w:line="240" w:lineRule="auto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Arial" w:cs="Arial"/>
                <w:sz w:val="20"/>
                <w:szCs w:val="20"/>
                <w:rtl w:val="0"/>
              </w:rPr>
              <w:t>Understaffing; morale decline; turnover intention</w:t>
            </w:r>
          </w:p>
        </w:tc>
        <w:tc>
          <w:p w14:paraId="0000002B">
            <w:pPr>
              <w:spacing w:after="0" w:line="240" w:lineRule="auto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Arial" w:cs="Arial"/>
                <w:sz w:val="20"/>
                <w:szCs w:val="20"/>
                <w:rtl w:val="0"/>
              </w:rPr>
              <w:t>Burnout/Retention</w:t>
            </w:r>
          </w:p>
        </w:tc>
      </w:tr>
      <w:tr w14:paraId="1B3EDE2F">
        <w:tblPrEx>
          <w:tblBorders>
            <w:top w:val="single" w:color="C9C9C9" w:sz="4" w:space="0"/>
            <w:left w:val="single" w:color="000000" w:sz="4" w:space="0"/>
            <w:bottom w:val="single" w:color="C9C9C9" w:sz="4" w:space="0"/>
            <w:right w:val="single" w:color="000000" w:sz="4" w:space="0"/>
            <w:insideH w:val="single" w:color="C9C9C9" w:sz="4" w:space="0"/>
            <w:insideV w:val="single" w:color="C9C9C9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p w14:paraId="0000002C">
            <w:pPr>
              <w:spacing w:after="0" w:line="240" w:lineRule="auto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Arial" w:cs="Arial"/>
                <w:sz w:val="20"/>
                <w:szCs w:val="20"/>
                <w:rtl w:val="0"/>
              </w:rPr>
              <w:t>West &amp; Coia (2019)</w:t>
            </w:r>
          </w:p>
        </w:tc>
        <w:tc>
          <w:p w14:paraId="0000002D">
            <w:pPr>
              <w:spacing w:after="0" w:line="240" w:lineRule="auto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Arial" w:cs="Arial"/>
                <w:sz w:val="20"/>
                <w:szCs w:val="20"/>
                <w:rtl w:val="0"/>
              </w:rPr>
              <w:t>Policy Review</w:t>
            </w:r>
          </w:p>
        </w:tc>
        <w:tc>
          <w:p w14:paraId="0000002E">
            <w:pPr>
              <w:spacing w:after="0" w:line="240" w:lineRule="auto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Arial" w:cs="Arial"/>
                <w:sz w:val="20"/>
                <w:szCs w:val="20"/>
                <w:rtl w:val="0"/>
              </w:rPr>
              <w:t>Compassionate Leadership</w:t>
            </w:r>
          </w:p>
        </w:tc>
        <w:tc>
          <w:p w14:paraId="0000002F">
            <w:pPr>
              <w:spacing w:after="0" w:line="240" w:lineRule="auto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Arial" w:cs="Arial"/>
                <w:sz w:val="20"/>
                <w:szCs w:val="20"/>
                <w:rtl w:val="0"/>
              </w:rPr>
              <w:t>Link between staff wellbeing and patient care quality.</w:t>
            </w:r>
          </w:p>
        </w:tc>
        <w:tc>
          <w:p w14:paraId="00000030">
            <w:pPr>
              <w:spacing w:after="0" w:line="240" w:lineRule="auto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Arial" w:cs="Arial"/>
                <w:sz w:val="20"/>
                <w:szCs w:val="20"/>
                <w:rtl w:val="0"/>
              </w:rPr>
              <w:t>Leadership; psychological safety; engagement</w:t>
            </w:r>
          </w:p>
        </w:tc>
        <w:tc>
          <w:p w14:paraId="00000031">
            <w:pPr>
              <w:spacing w:after="0" w:line="240" w:lineRule="auto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Arial" w:cs="Arial"/>
                <w:sz w:val="20"/>
                <w:szCs w:val="20"/>
                <w:rtl w:val="0"/>
              </w:rPr>
              <w:t>Organisational Culture</w:t>
            </w:r>
          </w:p>
        </w:tc>
      </w:tr>
      <w:tr w14:paraId="7A591607">
        <w:tblPrEx>
          <w:tblBorders>
            <w:top w:val="single" w:color="C9C9C9" w:sz="4" w:space="0"/>
            <w:left w:val="single" w:color="000000" w:sz="4" w:space="0"/>
            <w:bottom w:val="single" w:color="C9C9C9" w:sz="4" w:space="0"/>
            <w:right w:val="single" w:color="000000" w:sz="4" w:space="0"/>
            <w:insideH w:val="single" w:color="C9C9C9" w:sz="4" w:space="0"/>
            <w:insideV w:val="single" w:color="C9C9C9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p w14:paraId="00000032">
            <w:pPr>
              <w:spacing w:after="0" w:line="240" w:lineRule="auto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Arial" w:cs="Arial"/>
                <w:sz w:val="20"/>
                <w:szCs w:val="20"/>
                <w:rtl w:val="0"/>
              </w:rPr>
              <w:t>Kline (2022)</w:t>
            </w:r>
          </w:p>
        </w:tc>
        <w:tc>
          <w:p w14:paraId="00000033">
            <w:pPr>
              <w:spacing w:after="0" w:line="240" w:lineRule="auto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Arial" w:cs="Arial"/>
                <w:sz w:val="20"/>
                <w:szCs w:val="20"/>
                <w:rtl w:val="0"/>
              </w:rPr>
              <w:t>Workforce Equality Report</w:t>
            </w:r>
          </w:p>
        </w:tc>
        <w:tc>
          <w:p w14:paraId="00000034">
            <w:pPr>
              <w:spacing w:after="0" w:line="240" w:lineRule="auto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Arial" w:cs="Arial"/>
                <w:sz w:val="20"/>
                <w:szCs w:val="20"/>
                <w:rtl w:val="0"/>
              </w:rPr>
              <w:t>Race Inequality</w:t>
            </w:r>
          </w:p>
        </w:tc>
        <w:tc>
          <w:p w14:paraId="00000035">
            <w:pPr>
              <w:spacing w:after="0" w:line="240" w:lineRule="auto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Arial" w:cs="Arial"/>
                <w:sz w:val="20"/>
                <w:szCs w:val="20"/>
                <w:rtl w:val="0"/>
              </w:rPr>
              <w:t>Ethnic minority staff report discrimination and lower morale.</w:t>
            </w:r>
          </w:p>
        </w:tc>
        <w:tc>
          <w:p w14:paraId="00000036">
            <w:pPr>
              <w:spacing w:after="0" w:line="240" w:lineRule="auto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Arial" w:cs="Arial"/>
                <w:sz w:val="20"/>
                <w:szCs w:val="20"/>
                <w:rtl w:val="0"/>
              </w:rPr>
              <w:t>Inequality; discrimination; morale</w:t>
            </w:r>
          </w:p>
        </w:tc>
        <w:tc>
          <w:p w14:paraId="00000037">
            <w:pPr>
              <w:spacing w:after="0" w:line="240" w:lineRule="auto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Arial" w:cs="Arial"/>
                <w:sz w:val="20"/>
                <w:szCs w:val="20"/>
                <w:rtl w:val="0"/>
              </w:rPr>
              <w:t>Organisational Culture</w:t>
            </w:r>
          </w:p>
        </w:tc>
      </w:tr>
      <w:tr w14:paraId="2322D1C2">
        <w:tblPrEx>
          <w:tblBorders>
            <w:top w:val="single" w:color="C9C9C9" w:sz="4" w:space="0"/>
            <w:left w:val="single" w:color="000000" w:sz="4" w:space="0"/>
            <w:bottom w:val="single" w:color="C9C9C9" w:sz="4" w:space="0"/>
            <w:right w:val="single" w:color="000000" w:sz="4" w:space="0"/>
            <w:insideH w:val="single" w:color="C9C9C9" w:sz="4" w:space="0"/>
            <w:insideV w:val="single" w:color="C9C9C9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p w14:paraId="00000038">
            <w:pPr>
              <w:spacing w:after="0" w:line="240" w:lineRule="auto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Arial" w:cs="Arial"/>
                <w:sz w:val="20"/>
                <w:szCs w:val="20"/>
                <w:rtl w:val="0"/>
              </w:rPr>
              <w:t>NHS England (2023)</w:t>
            </w:r>
          </w:p>
        </w:tc>
        <w:tc>
          <w:p w14:paraId="00000039">
            <w:pPr>
              <w:spacing w:after="0" w:line="240" w:lineRule="auto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Arial" w:cs="Arial"/>
                <w:sz w:val="20"/>
                <w:szCs w:val="20"/>
                <w:rtl w:val="0"/>
              </w:rPr>
              <w:t>Policy Plan</w:t>
            </w:r>
          </w:p>
        </w:tc>
        <w:tc>
          <w:p w14:paraId="0000003A">
            <w:pPr>
              <w:spacing w:after="0" w:line="240" w:lineRule="auto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Arial" w:cs="Arial"/>
                <w:sz w:val="20"/>
                <w:szCs w:val="20"/>
                <w:rtl w:val="0"/>
              </w:rPr>
              <w:t>Workforce Sustainability</w:t>
            </w:r>
          </w:p>
        </w:tc>
        <w:tc>
          <w:p w14:paraId="0000003B">
            <w:pPr>
              <w:spacing w:after="0" w:line="240" w:lineRule="auto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Arial" w:cs="Arial"/>
                <w:sz w:val="20"/>
                <w:szCs w:val="20"/>
                <w:rtl w:val="0"/>
              </w:rPr>
              <w:t>Projected workforce shortfall of 260k–360k by 2036.</w:t>
            </w:r>
          </w:p>
        </w:tc>
        <w:tc>
          <w:p w14:paraId="0000003C">
            <w:pPr>
              <w:spacing w:after="0" w:line="240" w:lineRule="auto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Arial" w:cs="Arial"/>
                <w:sz w:val="20"/>
                <w:szCs w:val="20"/>
                <w:rtl w:val="0"/>
              </w:rPr>
              <w:t>Retention risk; recruitment; workforce gap</w:t>
            </w:r>
          </w:p>
        </w:tc>
        <w:tc>
          <w:p w14:paraId="0000003D">
            <w:pPr>
              <w:spacing w:after="0" w:line="240" w:lineRule="auto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Arial" w:cs="Arial"/>
                <w:sz w:val="20"/>
                <w:szCs w:val="20"/>
                <w:rtl w:val="0"/>
              </w:rPr>
              <w:t>Retention</w:t>
            </w:r>
          </w:p>
        </w:tc>
      </w:tr>
      <w:tr w14:paraId="63DB4361">
        <w:tblPrEx>
          <w:tblBorders>
            <w:top w:val="single" w:color="C9C9C9" w:sz="4" w:space="0"/>
            <w:left w:val="single" w:color="000000" w:sz="4" w:space="0"/>
            <w:bottom w:val="single" w:color="C9C9C9" w:sz="4" w:space="0"/>
            <w:right w:val="single" w:color="000000" w:sz="4" w:space="0"/>
            <w:insideH w:val="single" w:color="C9C9C9" w:sz="4" w:space="0"/>
            <w:insideV w:val="single" w:color="C9C9C9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p w14:paraId="0000003E">
            <w:pPr>
              <w:spacing w:after="0" w:line="240" w:lineRule="auto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Arial" w:cs="Arial"/>
                <w:sz w:val="20"/>
                <w:szCs w:val="20"/>
                <w:rtl w:val="0"/>
              </w:rPr>
              <w:t>Nagle et al. (2024)</w:t>
            </w:r>
          </w:p>
        </w:tc>
        <w:tc>
          <w:p w14:paraId="0000003F">
            <w:pPr>
              <w:spacing w:after="0" w:line="240" w:lineRule="auto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Arial" w:cs="Arial"/>
                <w:sz w:val="20"/>
                <w:szCs w:val="20"/>
                <w:rtl w:val="0"/>
              </w:rPr>
              <w:t>Scoping Review</w:t>
            </w:r>
          </w:p>
        </w:tc>
        <w:tc>
          <w:p w14:paraId="00000040">
            <w:pPr>
              <w:spacing w:after="0" w:line="240" w:lineRule="auto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Arial" w:cs="Arial"/>
                <w:sz w:val="20"/>
                <w:szCs w:val="20"/>
                <w:rtl w:val="0"/>
              </w:rPr>
              <w:t>Burnout Models</w:t>
            </w:r>
          </w:p>
        </w:tc>
        <w:tc>
          <w:p w14:paraId="00000041">
            <w:pPr>
              <w:spacing w:after="0" w:line="240" w:lineRule="auto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Arial" w:cs="Arial"/>
                <w:sz w:val="20"/>
                <w:szCs w:val="20"/>
                <w:rtl w:val="0"/>
              </w:rPr>
              <w:t>Moral distress and emotional strain key burnout drivers.</w:t>
            </w:r>
          </w:p>
        </w:tc>
        <w:tc>
          <w:p w14:paraId="00000042">
            <w:pPr>
              <w:spacing w:after="0" w:line="240" w:lineRule="auto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Arial" w:cs="Arial"/>
                <w:sz w:val="20"/>
                <w:szCs w:val="20"/>
                <w:rtl w:val="0"/>
              </w:rPr>
              <w:t>Moral injury; emotional labour; stressors</w:t>
            </w:r>
          </w:p>
        </w:tc>
        <w:tc>
          <w:p w14:paraId="00000043">
            <w:pPr>
              <w:spacing w:after="0" w:line="240" w:lineRule="auto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Arial" w:cs="Arial"/>
                <w:sz w:val="20"/>
                <w:szCs w:val="20"/>
                <w:rtl w:val="0"/>
              </w:rPr>
              <w:t>Burnout</w:t>
            </w:r>
          </w:p>
        </w:tc>
      </w:tr>
      <w:tr w14:paraId="28BDF2BE">
        <w:tblPrEx>
          <w:tblBorders>
            <w:top w:val="single" w:color="C9C9C9" w:sz="4" w:space="0"/>
            <w:left w:val="single" w:color="000000" w:sz="4" w:space="0"/>
            <w:bottom w:val="single" w:color="C9C9C9" w:sz="4" w:space="0"/>
            <w:right w:val="single" w:color="000000" w:sz="4" w:space="0"/>
            <w:insideH w:val="single" w:color="C9C9C9" w:sz="4" w:space="0"/>
            <w:insideV w:val="single" w:color="C9C9C9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p w14:paraId="00000044">
            <w:pPr>
              <w:spacing w:after="0" w:line="240" w:lineRule="auto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Arial" w:cs="Arial"/>
                <w:sz w:val="20"/>
                <w:szCs w:val="20"/>
                <w:rtl w:val="0"/>
              </w:rPr>
              <w:t>Myles Wellbeing (2024)</w:t>
            </w:r>
          </w:p>
        </w:tc>
        <w:tc>
          <w:p w14:paraId="00000045">
            <w:pPr>
              <w:spacing w:after="0" w:line="240" w:lineRule="auto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Arial" w:cs="Arial"/>
                <w:sz w:val="20"/>
                <w:szCs w:val="20"/>
                <w:rtl w:val="0"/>
              </w:rPr>
              <w:t>Survey Analysis</w:t>
            </w:r>
          </w:p>
        </w:tc>
        <w:tc>
          <w:p w14:paraId="00000046">
            <w:pPr>
              <w:spacing w:after="0" w:line="240" w:lineRule="auto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Arial" w:cs="Arial"/>
                <w:sz w:val="20"/>
                <w:szCs w:val="20"/>
                <w:rtl w:val="0"/>
              </w:rPr>
              <w:t>Early-career Burnout</w:t>
            </w:r>
          </w:p>
        </w:tc>
        <w:tc>
          <w:p w14:paraId="00000047">
            <w:pPr>
              <w:spacing w:after="0" w:line="240" w:lineRule="auto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Arial" w:cs="Arial"/>
                <w:sz w:val="20"/>
                <w:szCs w:val="20"/>
                <w:rtl w:val="0"/>
              </w:rPr>
              <w:t>Younger staff report higher exhaustion and exit intention.</w:t>
            </w:r>
          </w:p>
        </w:tc>
        <w:tc>
          <w:p w14:paraId="00000048">
            <w:pPr>
              <w:spacing w:after="0" w:line="240" w:lineRule="auto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Arial" w:cs="Arial"/>
                <w:sz w:val="20"/>
                <w:szCs w:val="20"/>
                <w:rtl w:val="0"/>
              </w:rPr>
              <w:t>Early-career stress; dissatisfaction; turnover</w:t>
            </w:r>
          </w:p>
        </w:tc>
        <w:tc>
          <w:p w14:paraId="00000049">
            <w:pPr>
              <w:spacing w:after="0" w:line="240" w:lineRule="auto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Arial" w:cs="Arial"/>
                <w:sz w:val="20"/>
                <w:szCs w:val="20"/>
                <w:rtl w:val="0"/>
              </w:rPr>
              <w:t>Retention</w:t>
            </w:r>
          </w:p>
        </w:tc>
      </w:tr>
      <w:tr w14:paraId="5F7A179C">
        <w:tblPrEx>
          <w:tblBorders>
            <w:top w:val="single" w:color="C9C9C9" w:sz="4" w:space="0"/>
            <w:left w:val="single" w:color="000000" w:sz="4" w:space="0"/>
            <w:bottom w:val="single" w:color="C9C9C9" w:sz="4" w:space="0"/>
            <w:right w:val="single" w:color="000000" w:sz="4" w:space="0"/>
            <w:insideH w:val="single" w:color="C9C9C9" w:sz="4" w:space="0"/>
            <w:insideV w:val="single" w:color="C9C9C9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p w14:paraId="0000004A">
            <w:pPr>
              <w:spacing w:after="0" w:line="240" w:lineRule="auto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Arial" w:cs="Arial"/>
                <w:sz w:val="20"/>
                <w:szCs w:val="20"/>
                <w:rtl w:val="0"/>
              </w:rPr>
              <w:t>RCPsych (2024)</w:t>
            </w:r>
          </w:p>
        </w:tc>
        <w:tc>
          <w:p w14:paraId="0000004B">
            <w:pPr>
              <w:spacing w:after="0" w:line="240" w:lineRule="auto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Arial" w:cs="Arial"/>
                <w:sz w:val="20"/>
                <w:szCs w:val="20"/>
                <w:rtl w:val="0"/>
              </w:rPr>
              <w:t>Professional Body Report</w:t>
            </w:r>
          </w:p>
        </w:tc>
        <w:tc>
          <w:p w14:paraId="0000004C">
            <w:pPr>
              <w:spacing w:after="0" w:line="240" w:lineRule="auto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Arial" w:cs="Arial"/>
                <w:sz w:val="20"/>
                <w:szCs w:val="20"/>
                <w:rtl w:val="0"/>
              </w:rPr>
              <w:t>Mental Health Impact</w:t>
            </w:r>
          </w:p>
        </w:tc>
        <w:tc>
          <w:p w14:paraId="0000004D">
            <w:pPr>
              <w:spacing w:after="0" w:line="240" w:lineRule="auto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Arial" w:cs="Arial"/>
                <w:sz w:val="20"/>
                <w:szCs w:val="20"/>
                <w:rtl w:val="0"/>
              </w:rPr>
              <w:t>One-third staff took mental health leave due to stress.</w:t>
            </w:r>
          </w:p>
        </w:tc>
        <w:tc>
          <w:p w14:paraId="0000004E">
            <w:pPr>
              <w:spacing w:after="0" w:line="240" w:lineRule="auto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Arial" w:cs="Arial"/>
                <w:sz w:val="20"/>
                <w:szCs w:val="20"/>
                <w:rtl w:val="0"/>
              </w:rPr>
              <w:t>Absenteeism; stress; burnout</w:t>
            </w:r>
          </w:p>
        </w:tc>
        <w:tc>
          <w:p w14:paraId="0000004F">
            <w:pPr>
              <w:spacing w:after="0" w:line="240" w:lineRule="auto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Arial" w:cs="Arial"/>
                <w:sz w:val="20"/>
                <w:szCs w:val="20"/>
                <w:rtl w:val="0"/>
              </w:rPr>
              <w:t>Burnout</w:t>
            </w:r>
          </w:p>
        </w:tc>
      </w:tr>
      <w:tr w14:paraId="4B52B0E4">
        <w:tblPrEx>
          <w:tblBorders>
            <w:top w:val="single" w:color="C9C9C9" w:sz="4" w:space="0"/>
            <w:left w:val="single" w:color="000000" w:sz="4" w:space="0"/>
            <w:bottom w:val="single" w:color="C9C9C9" w:sz="4" w:space="0"/>
            <w:right w:val="single" w:color="000000" w:sz="4" w:space="0"/>
            <w:insideH w:val="single" w:color="C9C9C9" w:sz="4" w:space="0"/>
            <w:insideV w:val="single" w:color="C9C9C9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p w14:paraId="00000050">
            <w:pPr>
              <w:spacing w:after="0" w:line="240" w:lineRule="auto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Arial" w:cs="Arial"/>
                <w:sz w:val="20"/>
                <w:szCs w:val="20"/>
                <w:rtl w:val="0"/>
              </w:rPr>
              <w:t>Ghasemi Kooktapeh et al. (2023)</w:t>
            </w:r>
          </w:p>
        </w:tc>
        <w:tc>
          <w:p w14:paraId="00000051">
            <w:pPr>
              <w:spacing w:after="0" w:line="240" w:lineRule="auto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Arial" w:cs="Arial"/>
                <w:sz w:val="20"/>
                <w:szCs w:val="20"/>
                <w:rtl w:val="0"/>
              </w:rPr>
              <w:t>Meta-analysis</w:t>
            </w:r>
          </w:p>
        </w:tc>
        <w:tc>
          <w:p w14:paraId="00000052">
            <w:pPr>
              <w:spacing w:after="0" w:line="240" w:lineRule="auto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Arial" w:cs="Arial"/>
                <w:sz w:val="20"/>
                <w:szCs w:val="20"/>
                <w:rtl w:val="0"/>
              </w:rPr>
              <w:t>Nurse Burnout</w:t>
            </w:r>
          </w:p>
        </w:tc>
        <w:tc>
          <w:p w14:paraId="00000053">
            <w:pPr>
              <w:spacing w:after="0" w:line="240" w:lineRule="auto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Arial" w:cs="Arial"/>
                <w:sz w:val="20"/>
                <w:szCs w:val="20"/>
                <w:rtl w:val="0"/>
              </w:rPr>
              <w:t>Over 40% nurses report moderate–severe burnout globally.</w:t>
            </w:r>
          </w:p>
        </w:tc>
        <w:tc>
          <w:p w14:paraId="00000054">
            <w:pPr>
              <w:spacing w:after="0" w:line="240" w:lineRule="auto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Arial" w:cs="Arial"/>
                <w:sz w:val="20"/>
                <w:szCs w:val="20"/>
                <w:rtl w:val="0"/>
              </w:rPr>
              <w:t>Emotional exhaustion; institutional support gap</w:t>
            </w:r>
          </w:p>
        </w:tc>
        <w:tc>
          <w:p w14:paraId="00000055">
            <w:pPr>
              <w:spacing w:after="0" w:line="240" w:lineRule="auto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Arial" w:cs="Arial"/>
                <w:sz w:val="20"/>
                <w:szCs w:val="20"/>
                <w:rtl w:val="0"/>
              </w:rPr>
              <w:t>Burnout</w:t>
            </w:r>
          </w:p>
        </w:tc>
      </w:tr>
      <w:tr w14:paraId="17134672">
        <w:tblPrEx>
          <w:tblBorders>
            <w:top w:val="single" w:color="C9C9C9" w:sz="4" w:space="0"/>
            <w:left w:val="single" w:color="000000" w:sz="4" w:space="0"/>
            <w:bottom w:val="single" w:color="C9C9C9" w:sz="4" w:space="0"/>
            <w:right w:val="single" w:color="000000" w:sz="4" w:space="0"/>
            <w:insideH w:val="single" w:color="C9C9C9" w:sz="4" w:space="0"/>
            <w:insideV w:val="single" w:color="C9C9C9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p w14:paraId="00000056">
            <w:pPr>
              <w:spacing w:after="0" w:line="240" w:lineRule="auto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Arial" w:cs="Arial"/>
                <w:sz w:val="20"/>
                <w:szCs w:val="20"/>
                <w:rtl w:val="0"/>
              </w:rPr>
              <w:t>NHS Employers (2024)</w:t>
            </w:r>
          </w:p>
        </w:tc>
        <w:tc>
          <w:p w14:paraId="00000057">
            <w:pPr>
              <w:spacing w:after="0" w:line="240" w:lineRule="auto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Arial" w:cs="Arial"/>
                <w:sz w:val="20"/>
                <w:szCs w:val="20"/>
                <w:rtl w:val="0"/>
              </w:rPr>
              <w:t>Wellbeing Overview</w:t>
            </w:r>
          </w:p>
        </w:tc>
        <w:tc>
          <w:p w14:paraId="00000058">
            <w:pPr>
              <w:spacing w:after="0" w:line="240" w:lineRule="auto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Arial" w:cs="Arial"/>
                <w:sz w:val="20"/>
                <w:szCs w:val="20"/>
                <w:rtl w:val="0"/>
              </w:rPr>
              <w:t>Staff Support Initiatives</w:t>
            </w:r>
          </w:p>
        </w:tc>
        <w:tc>
          <w:p w14:paraId="00000059">
            <w:pPr>
              <w:spacing w:after="0" w:line="240" w:lineRule="auto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Arial" w:cs="Arial"/>
                <w:sz w:val="20"/>
                <w:szCs w:val="20"/>
                <w:rtl w:val="0"/>
              </w:rPr>
              <w:t>Variation in wellbeing implementation across trusts.</w:t>
            </w:r>
          </w:p>
        </w:tc>
        <w:tc>
          <w:p w14:paraId="0000005A">
            <w:pPr>
              <w:spacing w:after="0" w:line="240" w:lineRule="auto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Arial" w:cs="Arial"/>
                <w:sz w:val="20"/>
                <w:szCs w:val="20"/>
                <w:rtl w:val="0"/>
              </w:rPr>
              <w:t>Support inconsistency; leadership gap; morale</w:t>
            </w:r>
          </w:p>
        </w:tc>
        <w:tc>
          <w:p w14:paraId="0000005B">
            <w:pPr>
              <w:spacing w:after="0" w:line="240" w:lineRule="auto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Arial" w:cs="Arial"/>
                <w:sz w:val="20"/>
                <w:szCs w:val="20"/>
                <w:rtl w:val="0"/>
              </w:rPr>
              <w:t>Organisational Culture</w:t>
            </w:r>
          </w:p>
        </w:tc>
      </w:tr>
    </w:tbl>
    <w:p w14:paraId="0000005C">
      <w:pPr>
        <w:pStyle w:val="3"/>
        <w:rPr>
          <w:rFonts w:ascii="Arial" w:hAnsi="Arial" w:eastAsia="Arial" w:cs="Arial"/>
          <w:sz w:val="16"/>
          <w:szCs w:val="16"/>
        </w:rPr>
      </w:pPr>
    </w:p>
    <w:p w14:paraId="0000005D">
      <w:pPr>
        <w:pStyle w:val="3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ascii="Arial" w:hAnsi="Arial" w:eastAsia="Arial" w:cs="Arial"/>
          <w:color w:val="000000"/>
          <w:sz w:val="20"/>
          <w:szCs w:val="20"/>
          <w:rtl w:val="0"/>
        </w:rPr>
        <w:t>Table 2: Summary of Key Thematic Results</w:t>
      </w:r>
    </w:p>
    <w:tbl>
      <w:tblPr>
        <w:tblStyle w:val="16"/>
        <w:tblW w:w="14454" w:type="dxa"/>
        <w:tblInd w:w="0" w:type="dxa"/>
        <w:tblBorders>
          <w:top w:val="single" w:color="C9C9C9" w:sz="4" w:space="0"/>
          <w:left w:val="single" w:color="000000" w:sz="4" w:space="0"/>
          <w:bottom w:val="single" w:color="C9C9C9" w:sz="4" w:space="0"/>
          <w:right w:val="single" w:color="000000" w:sz="4" w:space="0"/>
          <w:insideH w:val="single" w:color="C9C9C9" w:sz="4" w:space="0"/>
          <w:insideV w:val="single" w:color="C9C9C9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60"/>
        <w:gridCol w:w="3505"/>
        <w:gridCol w:w="5529"/>
        <w:gridCol w:w="3260"/>
      </w:tblGrid>
      <w:tr w14:paraId="42CACA64">
        <w:tblPrEx>
          <w:tblBorders>
            <w:top w:val="single" w:color="C9C9C9" w:sz="4" w:space="0"/>
            <w:left w:val="single" w:color="000000" w:sz="4" w:space="0"/>
            <w:bottom w:val="single" w:color="C9C9C9" w:sz="4" w:space="0"/>
            <w:right w:val="single" w:color="000000" w:sz="4" w:space="0"/>
            <w:insideH w:val="single" w:color="C9C9C9" w:sz="4" w:space="0"/>
            <w:insideV w:val="single" w:color="C9C9C9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p w14:paraId="0000005E">
            <w:pPr>
              <w:spacing w:after="0" w:line="240" w:lineRule="auto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Arial" w:cs="Arial"/>
                <w:sz w:val="20"/>
                <w:szCs w:val="20"/>
                <w:rtl w:val="0"/>
              </w:rPr>
              <w:t>Theme</w:t>
            </w:r>
          </w:p>
        </w:tc>
        <w:tc>
          <w:p w14:paraId="0000005F">
            <w:pPr>
              <w:spacing w:after="0" w:line="240" w:lineRule="auto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Arial" w:cs="Arial"/>
                <w:sz w:val="20"/>
                <w:szCs w:val="20"/>
                <w:rtl w:val="0"/>
              </w:rPr>
              <w:t>Main Findings</w:t>
            </w:r>
          </w:p>
        </w:tc>
        <w:tc>
          <w:p w14:paraId="00000060">
            <w:pPr>
              <w:spacing w:after="0" w:line="240" w:lineRule="auto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Arial" w:cs="Arial"/>
                <w:sz w:val="20"/>
                <w:szCs w:val="20"/>
                <w:rtl w:val="0"/>
              </w:rPr>
              <w:t>Impact on NHS</w:t>
            </w:r>
          </w:p>
        </w:tc>
        <w:tc>
          <w:p w14:paraId="00000061">
            <w:pPr>
              <w:spacing w:after="0" w:line="240" w:lineRule="auto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Arial" w:cs="Arial"/>
                <w:sz w:val="20"/>
                <w:szCs w:val="20"/>
                <w:rtl w:val="0"/>
              </w:rPr>
              <w:t>Supporting Sources</w:t>
            </w:r>
          </w:p>
        </w:tc>
      </w:tr>
      <w:tr w14:paraId="0645B3DA">
        <w:tblPrEx>
          <w:tblBorders>
            <w:top w:val="single" w:color="C9C9C9" w:sz="4" w:space="0"/>
            <w:left w:val="single" w:color="000000" w:sz="4" w:space="0"/>
            <w:bottom w:val="single" w:color="C9C9C9" w:sz="4" w:space="0"/>
            <w:right w:val="single" w:color="000000" w:sz="4" w:space="0"/>
            <w:insideH w:val="single" w:color="C9C9C9" w:sz="4" w:space="0"/>
            <w:insideV w:val="single" w:color="C9C9C9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p w14:paraId="00000062">
            <w:pPr>
              <w:spacing w:after="0" w:line="240" w:lineRule="auto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Arial" w:cs="Arial"/>
                <w:sz w:val="20"/>
                <w:szCs w:val="20"/>
                <w:rtl w:val="0"/>
              </w:rPr>
              <w:t>Burnout &amp; Emotional Exhaustion</w:t>
            </w:r>
          </w:p>
        </w:tc>
        <w:tc>
          <w:p w14:paraId="00000063">
            <w:pPr>
              <w:spacing w:after="0" w:line="240" w:lineRule="auto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Arial" w:cs="Arial"/>
                <w:sz w:val="20"/>
                <w:szCs w:val="20"/>
                <w:rtl w:val="0"/>
              </w:rPr>
              <w:t>Persistent high workload, emotional labour, and understaffing driving stress.</w:t>
            </w:r>
          </w:p>
        </w:tc>
        <w:tc>
          <w:p w14:paraId="00000064">
            <w:pPr>
              <w:spacing w:after="0" w:line="240" w:lineRule="auto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Arial" w:cs="Arial"/>
                <w:sz w:val="20"/>
                <w:szCs w:val="20"/>
                <w:rtl w:val="0"/>
              </w:rPr>
              <w:t>Increased sickness absence; reduced patient care quality.</w:t>
            </w:r>
          </w:p>
        </w:tc>
        <w:tc>
          <w:p w14:paraId="00000065">
            <w:pPr>
              <w:spacing w:after="0" w:line="240" w:lineRule="auto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Arial" w:cs="Arial"/>
                <w:sz w:val="20"/>
                <w:szCs w:val="20"/>
                <w:rtl w:val="0"/>
              </w:rPr>
              <w:t>Gemine et al. (2022); NHS Staff Survey (2024); RCPsych (2024)</w:t>
            </w:r>
          </w:p>
        </w:tc>
      </w:tr>
      <w:tr w14:paraId="747E7C0A">
        <w:tblPrEx>
          <w:tblBorders>
            <w:top w:val="single" w:color="C9C9C9" w:sz="4" w:space="0"/>
            <w:left w:val="single" w:color="000000" w:sz="4" w:space="0"/>
            <w:bottom w:val="single" w:color="C9C9C9" w:sz="4" w:space="0"/>
            <w:right w:val="single" w:color="000000" w:sz="4" w:space="0"/>
            <w:insideH w:val="single" w:color="C9C9C9" w:sz="4" w:space="0"/>
            <w:insideV w:val="single" w:color="C9C9C9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p w14:paraId="00000066">
            <w:pPr>
              <w:spacing w:after="0" w:line="240" w:lineRule="auto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Arial" w:cs="Arial"/>
                <w:sz w:val="20"/>
                <w:szCs w:val="20"/>
                <w:rtl w:val="0"/>
              </w:rPr>
              <w:t>Organisational Culture &amp; Leadership</w:t>
            </w:r>
          </w:p>
        </w:tc>
        <w:tc>
          <w:p w14:paraId="00000067">
            <w:pPr>
              <w:spacing w:after="0" w:line="240" w:lineRule="auto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Arial" w:cs="Arial"/>
                <w:sz w:val="20"/>
                <w:szCs w:val="20"/>
                <w:rtl w:val="0"/>
              </w:rPr>
              <w:t>Compassionate leadership linked to higher morale and engagement.</w:t>
            </w:r>
          </w:p>
        </w:tc>
        <w:tc>
          <w:p w14:paraId="00000068">
            <w:pPr>
              <w:spacing w:after="0" w:line="240" w:lineRule="auto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Arial" w:cs="Arial"/>
                <w:sz w:val="20"/>
                <w:szCs w:val="20"/>
                <w:rtl w:val="0"/>
              </w:rPr>
              <w:t>Improved staff satisfaction and reduced turnover intention.</w:t>
            </w:r>
          </w:p>
        </w:tc>
        <w:tc>
          <w:p w14:paraId="00000069">
            <w:pPr>
              <w:spacing w:after="0" w:line="240" w:lineRule="auto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Arial" w:cs="Arial"/>
                <w:sz w:val="20"/>
                <w:szCs w:val="20"/>
                <w:rtl w:val="0"/>
              </w:rPr>
              <w:t>West &amp; Coia (2019); NHS Employers (2024)</w:t>
            </w:r>
          </w:p>
        </w:tc>
      </w:tr>
      <w:tr w14:paraId="721B44CD">
        <w:tblPrEx>
          <w:tblBorders>
            <w:top w:val="single" w:color="C9C9C9" w:sz="4" w:space="0"/>
            <w:left w:val="single" w:color="000000" w:sz="4" w:space="0"/>
            <w:bottom w:val="single" w:color="C9C9C9" w:sz="4" w:space="0"/>
            <w:right w:val="single" w:color="000000" w:sz="4" w:space="0"/>
            <w:insideH w:val="single" w:color="C9C9C9" w:sz="4" w:space="0"/>
            <w:insideV w:val="single" w:color="C9C9C9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p w14:paraId="0000006A">
            <w:pPr>
              <w:spacing w:after="0" w:line="240" w:lineRule="auto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Arial" w:cs="Arial"/>
                <w:sz w:val="20"/>
                <w:szCs w:val="20"/>
                <w:rtl w:val="0"/>
              </w:rPr>
              <w:t>Workforce Inequality</w:t>
            </w:r>
          </w:p>
        </w:tc>
        <w:tc>
          <w:p w14:paraId="0000006B">
            <w:pPr>
              <w:spacing w:after="0" w:line="240" w:lineRule="auto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Arial" w:cs="Arial"/>
                <w:sz w:val="20"/>
                <w:szCs w:val="20"/>
                <w:rtl w:val="0"/>
              </w:rPr>
              <w:t>Ethnic minority staff experience lower morale and discrimination.</w:t>
            </w:r>
          </w:p>
        </w:tc>
        <w:tc>
          <w:p w14:paraId="0000006C">
            <w:pPr>
              <w:spacing w:after="0" w:line="240" w:lineRule="auto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Arial" w:cs="Arial"/>
                <w:sz w:val="20"/>
                <w:szCs w:val="20"/>
                <w:rtl w:val="0"/>
              </w:rPr>
              <w:t>Reduced engagement and higher attrition risk.</w:t>
            </w:r>
          </w:p>
        </w:tc>
        <w:tc>
          <w:p w14:paraId="0000006D">
            <w:pPr>
              <w:spacing w:after="0" w:line="240" w:lineRule="auto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Arial" w:cs="Arial"/>
                <w:sz w:val="20"/>
                <w:szCs w:val="20"/>
                <w:rtl w:val="0"/>
              </w:rPr>
              <w:t>Kline (2022); NHS Staff Survey (2024)</w:t>
            </w:r>
          </w:p>
        </w:tc>
      </w:tr>
      <w:tr w14:paraId="4EE15C66">
        <w:tblPrEx>
          <w:tblBorders>
            <w:top w:val="single" w:color="C9C9C9" w:sz="4" w:space="0"/>
            <w:left w:val="single" w:color="000000" w:sz="4" w:space="0"/>
            <w:bottom w:val="single" w:color="C9C9C9" w:sz="4" w:space="0"/>
            <w:right w:val="single" w:color="000000" w:sz="4" w:space="0"/>
            <w:insideH w:val="single" w:color="C9C9C9" w:sz="4" w:space="0"/>
            <w:insideV w:val="single" w:color="C9C9C9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p w14:paraId="0000006E">
            <w:pPr>
              <w:spacing w:after="0" w:line="240" w:lineRule="auto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Arial" w:cs="Arial"/>
                <w:sz w:val="20"/>
                <w:szCs w:val="20"/>
                <w:rtl w:val="0"/>
              </w:rPr>
              <w:t>Retention Challenges</w:t>
            </w:r>
          </w:p>
        </w:tc>
        <w:tc>
          <w:p w14:paraId="0000006F">
            <w:pPr>
              <w:spacing w:after="0" w:line="240" w:lineRule="auto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Arial" w:cs="Arial"/>
                <w:sz w:val="20"/>
                <w:szCs w:val="20"/>
                <w:rtl w:val="0"/>
              </w:rPr>
              <w:t>High turnover intentions among early-career staff and nurses.</w:t>
            </w:r>
          </w:p>
        </w:tc>
        <w:tc>
          <w:p w14:paraId="00000070">
            <w:pPr>
              <w:spacing w:after="0" w:line="240" w:lineRule="auto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Arial" w:cs="Arial"/>
                <w:sz w:val="20"/>
                <w:szCs w:val="20"/>
                <w:rtl w:val="0"/>
              </w:rPr>
              <w:t>Projected workforce shortages impacting sustainability.</w:t>
            </w:r>
          </w:p>
        </w:tc>
        <w:tc>
          <w:p w14:paraId="00000071">
            <w:pPr>
              <w:spacing w:after="0" w:line="240" w:lineRule="auto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Arial" w:cs="Arial"/>
                <w:sz w:val="20"/>
                <w:szCs w:val="20"/>
                <w:rtl w:val="0"/>
              </w:rPr>
              <w:t>NHS England (2023); Myles Wellbeing (2024)</w:t>
            </w:r>
          </w:p>
        </w:tc>
      </w:tr>
      <w:tr w14:paraId="2C103290">
        <w:tblPrEx>
          <w:tblBorders>
            <w:top w:val="single" w:color="C9C9C9" w:sz="4" w:space="0"/>
            <w:left w:val="single" w:color="000000" w:sz="4" w:space="0"/>
            <w:bottom w:val="single" w:color="C9C9C9" w:sz="4" w:space="0"/>
            <w:right w:val="single" w:color="000000" w:sz="4" w:space="0"/>
            <w:insideH w:val="single" w:color="C9C9C9" w:sz="4" w:space="0"/>
            <w:insideV w:val="single" w:color="C9C9C9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p w14:paraId="00000072">
            <w:pPr>
              <w:spacing w:after="0" w:line="240" w:lineRule="auto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Arial" w:cs="Arial"/>
                <w:sz w:val="20"/>
                <w:szCs w:val="20"/>
                <w:rtl w:val="0"/>
              </w:rPr>
              <w:t>Wellbeing Interventions</w:t>
            </w:r>
          </w:p>
        </w:tc>
        <w:tc>
          <w:p w14:paraId="00000073">
            <w:pPr>
              <w:spacing w:after="0" w:line="240" w:lineRule="auto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Arial" w:cs="Arial"/>
                <w:sz w:val="20"/>
                <w:szCs w:val="20"/>
                <w:rtl w:val="0"/>
              </w:rPr>
              <w:t>Targeted support and flexible working improve resilience.</w:t>
            </w:r>
          </w:p>
        </w:tc>
        <w:tc>
          <w:p w14:paraId="00000074">
            <w:pPr>
              <w:spacing w:after="0" w:line="240" w:lineRule="auto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Arial" w:cs="Arial"/>
                <w:sz w:val="20"/>
                <w:szCs w:val="20"/>
                <w:rtl w:val="0"/>
              </w:rPr>
              <w:t>Potential reduction in burnout and improved workforce stability.</w:t>
            </w:r>
          </w:p>
        </w:tc>
        <w:tc>
          <w:p w14:paraId="00000075">
            <w:pPr>
              <w:spacing w:after="0" w:line="240" w:lineRule="auto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Arial" w:cs="Arial"/>
                <w:sz w:val="20"/>
                <w:szCs w:val="20"/>
                <w:rtl w:val="0"/>
              </w:rPr>
              <w:t>NHS Employers (2024); Nagle et al. (2024)</w:t>
            </w:r>
          </w:p>
        </w:tc>
      </w:tr>
    </w:tbl>
    <w:p w14:paraId="00000076">
      <w:pPr>
        <w:spacing w:after="220" w:line="240" w:lineRule="auto"/>
        <w:sectPr>
          <w:pgSz w:w="15840" w:h="12240" w:orient="landscape"/>
          <w:pgMar w:top="720" w:right="720" w:bottom="576" w:left="720" w:header="432" w:footer="288" w:gutter="0"/>
          <w:cols w:space="720" w:num="1"/>
          <w:titlePg/>
        </w:sectPr>
      </w:pPr>
    </w:p>
    <w:p w14:paraId="00000077">
      <w:pPr>
        <w:spacing w:after="220" w:line="240" w:lineRule="auto"/>
        <w:rPr>
          <w:rFonts w:ascii="Arial" w:hAnsi="Arial" w:eastAsia="Arial" w:cs="Arial"/>
          <w:b/>
          <w:sz w:val="28"/>
          <w:szCs w:val="28"/>
        </w:rPr>
      </w:pPr>
      <w:r>
        <w:rPr>
          <w:rFonts w:ascii="Arial" w:hAnsi="Arial" w:eastAsia="Arial" w:cs="Arial"/>
          <w:b/>
          <w:sz w:val="28"/>
          <w:szCs w:val="28"/>
          <w:rtl w:val="0"/>
        </w:rPr>
        <w:t>References:</w:t>
      </w:r>
    </w:p>
    <w:p w14:paraId="00000078">
      <w:pPr>
        <w:keepNext w:val="0"/>
        <w:keepLines w:val="0"/>
        <w:pageBreakBefore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160" w:line="240" w:lineRule="auto"/>
        <w:ind w:left="0" w:right="0" w:firstLine="0"/>
        <w:jc w:val="both"/>
        <w:rPr>
          <w:rFonts w:ascii="Arial" w:hAnsi="Arial" w:eastAsia="Arial" w:cs="Arial"/>
          <w:b w:val="0"/>
          <w:i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</w:rPr>
      </w:pPr>
      <w:r>
        <w:rPr>
          <w:rFonts w:ascii="Arial" w:hAnsi="Arial" w:eastAsia="Arial" w:cs="Arial"/>
          <w:b w:val="0"/>
          <w:i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  <w:rtl w:val="0"/>
        </w:rPr>
        <w:t xml:space="preserve">Bakker, A.B. and Demerouti, E. (2017) ‘Job demands–resources theory’, </w:t>
      </w:r>
      <w:r>
        <w:rPr>
          <w:rFonts w:ascii="Arial" w:hAnsi="Arial" w:eastAsia="Arial" w:cs="Arial"/>
          <w:b w:val="0"/>
          <w:i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  <w:rtl w:val="0"/>
        </w:rPr>
        <w:t>Journal of Occupational Health Psychology</w:t>
      </w:r>
      <w:r>
        <w:rPr>
          <w:rFonts w:ascii="Arial" w:hAnsi="Arial" w:eastAsia="Arial" w:cs="Arial"/>
          <w:b w:val="0"/>
          <w:i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  <w:rtl w:val="0"/>
        </w:rPr>
        <w:t>, 22(3), pp. 273–285.</w:t>
      </w:r>
    </w:p>
    <w:p w14:paraId="00000079">
      <w:pPr>
        <w:keepNext w:val="0"/>
        <w:keepLines w:val="0"/>
        <w:pageBreakBefore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160" w:line="240" w:lineRule="auto"/>
        <w:ind w:left="0" w:right="0" w:firstLine="0"/>
        <w:jc w:val="both"/>
        <w:rPr>
          <w:rFonts w:ascii="Arial" w:hAnsi="Arial" w:eastAsia="Arial" w:cs="Arial"/>
          <w:b w:val="0"/>
          <w:i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</w:rPr>
      </w:pPr>
      <w:r>
        <w:rPr>
          <w:rFonts w:ascii="Arial" w:hAnsi="Arial" w:eastAsia="Arial" w:cs="Arial"/>
          <w:b w:val="0"/>
          <w:i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  <w:rtl w:val="0"/>
        </w:rPr>
        <w:t xml:space="preserve">Blaxter, L., Hughes, C. and Tight, M. (2019) </w:t>
      </w:r>
      <w:r>
        <w:rPr>
          <w:rFonts w:ascii="Arial" w:hAnsi="Arial" w:eastAsia="Arial" w:cs="Arial"/>
          <w:b w:val="0"/>
          <w:i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  <w:rtl w:val="0"/>
        </w:rPr>
        <w:t>How to Research</w:t>
      </w:r>
      <w:r>
        <w:rPr>
          <w:rFonts w:ascii="Arial" w:hAnsi="Arial" w:eastAsia="Arial" w:cs="Arial"/>
          <w:b w:val="0"/>
          <w:i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  <w:rtl w:val="0"/>
        </w:rPr>
        <w:t>. 5th edn. Maidenhead: Open University Press.</w:t>
      </w:r>
    </w:p>
    <w:p w14:paraId="0000007A">
      <w:pPr>
        <w:keepNext w:val="0"/>
        <w:keepLines w:val="0"/>
        <w:pageBreakBefore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160" w:line="240" w:lineRule="auto"/>
        <w:ind w:left="0" w:right="0" w:firstLine="0"/>
        <w:jc w:val="both"/>
        <w:rPr>
          <w:rFonts w:ascii="Arial" w:hAnsi="Arial" w:eastAsia="Arial" w:cs="Arial"/>
          <w:b w:val="0"/>
          <w:i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</w:rPr>
      </w:pPr>
      <w:r>
        <w:rPr>
          <w:rFonts w:ascii="Arial" w:hAnsi="Arial" w:eastAsia="Arial" w:cs="Arial"/>
          <w:b w:val="0"/>
          <w:i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  <w:rtl w:val="0"/>
        </w:rPr>
        <w:t xml:space="preserve">Braun, V. and Clarke, V. (2019) ‘Reflecting on reflexive thematic analysis’, </w:t>
      </w:r>
      <w:r>
        <w:rPr>
          <w:rFonts w:ascii="Arial" w:hAnsi="Arial" w:eastAsia="Arial" w:cs="Arial"/>
          <w:b w:val="0"/>
          <w:i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  <w:rtl w:val="0"/>
        </w:rPr>
        <w:t>Qualitative Research in Sport, Exercise and Health</w:t>
      </w:r>
      <w:r>
        <w:rPr>
          <w:rFonts w:ascii="Arial" w:hAnsi="Arial" w:eastAsia="Arial" w:cs="Arial"/>
          <w:b w:val="0"/>
          <w:i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  <w:rtl w:val="0"/>
        </w:rPr>
        <w:t>, 11(4), pp. 589–597.</w:t>
      </w:r>
    </w:p>
    <w:p w14:paraId="0000007B">
      <w:pPr>
        <w:keepNext w:val="0"/>
        <w:keepLines w:val="0"/>
        <w:pageBreakBefore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160" w:line="240" w:lineRule="auto"/>
        <w:ind w:left="0" w:right="0" w:firstLine="0"/>
        <w:jc w:val="both"/>
        <w:rPr>
          <w:rFonts w:ascii="Arial" w:hAnsi="Arial" w:eastAsia="Arial" w:cs="Arial"/>
          <w:b w:val="0"/>
          <w:i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</w:rPr>
      </w:pPr>
      <w:r>
        <w:rPr>
          <w:rFonts w:ascii="Arial" w:hAnsi="Arial" w:eastAsia="Arial" w:cs="Arial"/>
          <w:b w:val="0"/>
          <w:i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  <w:rtl w:val="0"/>
        </w:rPr>
        <w:t xml:space="preserve">Coughlan, M., Cronin, P. and Ryan, F. (2017) </w:t>
      </w:r>
      <w:r>
        <w:rPr>
          <w:rFonts w:ascii="Arial" w:hAnsi="Arial" w:eastAsia="Arial" w:cs="Arial"/>
          <w:b w:val="0"/>
          <w:i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  <w:rtl w:val="0"/>
        </w:rPr>
        <w:t>Doing a Literature Review in Nursing, Health and Social Care</w:t>
      </w:r>
      <w:r>
        <w:rPr>
          <w:rFonts w:ascii="Arial" w:hAnsi="Arial" w:eastAsia="Arial" w:cs="Arial"/>
          <w:b w:val="0"/>
          <w:i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  <w:rtl w:val="0"/>
        </w:rPr>
        <w:t>. 3rd edn. London: SAGE.</w:t>
      </w:r>
    </w:p>
    <w:p w14:paraId="0000007C">
      <w:pPr>
        <w:keepNext w:val="0"/>
        <w:keepLines w:val="0"/>
        <w:pageBreakBefore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160" w:line="240" w:lineRule="auto"/>
        <w:ind w:left="0" w:right="0" w:firstLine="0"/>
        <w:jc w:val="both"/>
        <w:rPr>
          <w:rFonts w:ascii="Arial" w:hAnsi="Arial" w:eastAsia="Arial" w:cs="Arial"/>
          <w:b w:val="0"/>
          <w:i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</w:rPr>
      </w:pPr>
      <w:r>
        <w:rPr>
          <w:rFonts w:ascii="Arial" w:hAnsi="Arial" w:eastAsia="Arial" w:cs="Arial"/>
          <w:b w:val="0"/>
          <w:i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  <w:rtl w:val="0"/>
        </w:rPr>
        <w:t xml:space="preserve">Dall’Ora, C. (2020) ‘Burnout in nursing: a theoretical review’, </w:t>
      </w:r>
      <w:r>
        <w:rPr>
          <w:rFonts w:ascii="Arial" w:hAnsi="Arial" w:eastAsia="Arial" w:cs="Arial"/>
          <w:b w:val="0"/>
          <w:i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  <w:rtl w:val="0"/>
        </w:rPr>
        <w:t>Journal of Nursing Scholarship</w:t>
      </w:r>
      <w:r>
        <w:rPr>
          <w:rFonts w:ascii="Arial" w:hAnsi="Arial" w:eastAsia="Arial" w:cs="Arial"/>
          <w:b w:val="0"/>
          <w:i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  <w:rtl w:val="0"/>
        </w:rPr>
        <w:t>, 52(2), pp. 169–177.</w:t>
      </w:r>
    </w:p>
    <w:p w14:paraId="0000007D">
      <w:pPr>
        <w:keepNext w:val="0"/>
        <w:keepLines w:val="0"/>
        <w:pageBreakBefore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160" w:line="240" w:lineRule="auto"/>
        <w:ind w:left="0" w:right="0" w:firstLine="0"/>
        <w:jc w:val="both"/>
        <w:rPr>
          <w:rFonts w:ascii="Arial" w:hAnsi="Arial" w:eastAsia="Arial" w:cs="Arial"/>
          <w:b w:val="0"/>
          <w:i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</w:rPr>
      </w:pPr>
      <w:r>
        <w:rPr>
          <w:rFonts w:ascii="Arial" w:hAnsi="Arial" w:eastAsia="Arial" w:cs="Arial"/>
          <w:b w:val="0"/>
          <w:i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  <w:rtl w:val="0"/>
        </w:rPr>
        <w:t xml:space="preserve">Greenhalgh, T. et al. (2018) ‘Analysing the role of context in health policy’, </w:t>
      </w:r>
      <w:r>
        <w:rPr>
          <w:rFonts w:ascii="Arial" w:hAnsi="Arial" w:eastAsia="Arial" w:cs="Arial"/>
          <w:b w:val="0"/>
          <w:i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  <w:rtl w:val="0"/>
        </w:rPr>
        <w:t>BMC Medicine</w:t>
      </w:r>
      <w:r>
        <w:rPr>
          <w:rFonts w:ascii="Arial" w:hAnsi="Arial" w:eastAsia="Arial" w:cs="Arial"/>
          <w:b w:val="0"/>
          <w:i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  <w:rtl w:val="0"/>
        </w:rPr>
        <w:t>, 16(1), pp. 1–12.</w:t>
      </w:r>
    </w:p>
    <w:p w14:paraId="0000007E">
      <w:pPr>
        <w:keepNext w:val="0"/>
        <w:keepLines w:val="0"/>
        <w:pageBreakBefore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160" w:line="240" w:lineRule="auto"/>
        <w:ind w:left="0" w:right="0" w:firstLine="0"/>
        <w:jc w:val="both"/>
        <w:rPr>
          <w:rFonts w:ascii="Arial" w:hAnsi="Arial" w:eastAsia="Arial" w:cs="Arial"/>
          <w:b w:val="0"/>
          <w:i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</w:rPr>
      </w:pPr>
      <w:r>
        <w:rPr>
          <w:rFonts w:ascii="Arial" w:hAnsi="Arial" w:eastAsia="Arial" w:cs="Arial"/>
          <w:b w:val="0"/>
          <w:i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  <w:rtl w:val="0"/>
        </w:rPr>
        <w:t xml:space="preserve">NHS Employers (2023) </w:t>
      </w:r>
      <w:r>
        <w:rPr>
          <w:rFonts w:ascii="Arial" w:hAnsi="Arial" w:eastAsia="Arial" w:cs="Arial"/>
          <w:b w:val="0"/>
          <w:i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  <w:rtl w:val="0"/>
        </w:rPr>
        <w:t>Beating Burnout in the NHS</w:t>
      </w:r>
      <w:r>
        <w:rPr>
          <w:rFonts w:ascii="Arial" w:hAnsi="Arial" w:eastAsia="Arial" w:cs="Arial"/>
          <w:b w:val="0"/>
          <w:i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  <w:rtl w:val="0"/>
        </w:rPr>
        <w:t>. London: NHS Employers.</w:t>
      </w:r>
    </w:p>
    <w:p w14:paraId="0000007F">
      <w:pPr>
        <w:keepNext w:val="0"/>
        <w:keepLines w:val="0"/>
        <w:pageBreakBefore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160" w:line="240" w:lineRule="auto"/>
        <w:ind w:left="0" w:right="0" w:firstLine="0"/>
        <w:jc w:val="both"/>
        <w:rPr>
          <w:rFonts w:ascii="Arial" w:hAnsi="Arial" w:eastAsia="Arial" w:cs="Arial"/>
          <w:b w:val="0"/>
          <w:i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</w:rPr>
      </w:pPr>
      <w:r>
        <w:rPr>
          <w:rFonts w:ascii="Arial" w:hAnsi="Arial" w:eastAsia="Arial" w:cs="Arial"/>
          <w:b w:val="0"/>
          <w:i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  <w:rtl w:val="0"/>
        </w:rPr>
        <w:t xml:space="preserve">NHS England (2023) </w:t>
      </w:r>
      <w:r>
        <w:rPr>
          <w:rFonts w:ascii="Arial" w:hAnsi="Arial" w:eastAsia="Arial" w:cs="Arial"/>
          <w:b w:val="0"/>
          <w:i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  <w:rtl w:val="0"/>
        </w:rPr>
        <w:t>NHS Long Term Workforce Plan</w:t>
      </w:r>
      <w:r>
        <w:rPr>
          <w:rFonts w:ascii="Arial" w:hAnsi="Arial" w:eastAsia="Arial" w:cs="Arial"/>
          <w:b w:val="0"/>
          <w:i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  <w:rtl w:val="0"/>
        </w:rPr>
        <w:t>. London: NHS England.</w:t>
      </w:r>
    </w:p>
    <w:p w14:paraId="00000080">
      <w:pPr>
        <w:keepNext w:val="0"/>
        <w:keepLines w:val="0"/>
        <w:pageBreakBefore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160" w:line="240" w:lineRule="auto"/>
        <w:ind w:left="0" w:right="0" w:firstLine="0"/>
        <w:jc w:val="both"/>
        <w:rPr>
          <w:rFonts w:ascii="Arial" w:hAnsi="Arial" w:eastAsia="Arial" w:cs="Arial"/>
          <w:b w:val="0"/>
          <w:i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</w:rPr>
      </w:pPr>
      <w:r>
        <w:rPr>
          <w:rFonts w:ascii="Arial" w:hAnsi="Arial" w:eastAsia="Arial" w:cs="Arial"/>
          <w:b w:val="0"/>
          <w:i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  <w:rtl w:val="0"/>
        </w:rPr>
        <w:t xml:space="preserve">The King’s Fund (2023) </w:t>
      </w:r>
      <w:r>
        <w:rPr>
          <w:rFonts w:ascii="Arial" w:hAnsi="Arial" w:eastAsia="Arial" w:cs="Arial"/>
          <w:b w:val="0"/>
          <w:i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  <w:rtl w:val="0"/>
        </w:rPr>
        <w:t>NHS Staff Survey Analysis</w:t>
      </w:r>
      <w:r>
        <w:rPr>
          <w:rFonts w:ascii="Arial" w:hAnsi="Arial" w:eastAsia="Arial" w:cs="Arial"/>
          <w:b w:val="0"/>
          <w:i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  <w:rtl w:val="0"/>
        </w:rPr>
        <w:t>. London: The King’s Fund.</w:t>
      </w:r>
    </w:p>
    <w:p w14:paraId="00000081">
      <w:pPr>
        <w:keepNext w:val="0"/>
        <w:keepLines w:val="0"/>
        <w:pageBreakBefore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160" w:line="240" w:lineRule="auto"/>
        <w:ind w:left="0" w:right="0" w:firstLine="0"/>
        <w:jc w:val="both"/>
        <w:rPr>
          <w:rFonts w:ascii="Arial" w:hAnsi="Arial" w:eastAsia="Arial" w:cs="Arial"/>
          <w:b w:val="0"/>
          <w:i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</w:rPr>
      </w:pPr>
      <w:r>
        <w:rPr>
          <w:rFonts w:ascii="Arial" w:hAnsi="Arial" w:eastAsia="Arial" w:cs="Arial"/>
          <w:b w:val="0"/>
          <w:i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  <w:rtl w:val="0"/>
        </w:rPr>
        <w:t xml:space="preserve">Thomas, J. and Harden, A. (2008) ‘Thematic synthesis of qualitative research’, </w:t>
      </w:r>
      <w:r>
        <w:rPr>
          <w:rFonts w:ascii="Arial" w:hAnsi="Arial" w:eastAsia="Arial" w:cs="Arial"/>
          <w:b w:val="0"/>
          <w:i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  <w:rtl w:val="0"/>
        </w:rPr>
        <w:t>BMC Medical Research Methodology</w:t>
      </w:r>
      <w:r>
        <w:rPr>
          <w:rFonts w:ascii="Arial" w:hAnsi="Arial" w:eastAsia="Arial" w:cs="Arial"/>
          <w:b w:val="0"/>
          <w:i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  <w:rtl w:val="0"/>
        </w:rPr>
        <w:t>, 8(45), pp. 1–10.</w:t>
      </w:r>
    </w:p>
    <w:p w14:paraId="00000082">
      <w:pPr>
        <w:keepNext w:val="0"/>
        <w:keepLines w:val="0"/>
        <w:pageBreakBefore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160" w:line="240" w:lineRule="auto"/>
        <w:ind w:left="0" w:right="0" w:firstLine="0"/>
        <w:jc w:val="both"/>
        <w:rPr>
          <w:rFonts w:ascii="Arial" w:hAnsi="Arial" w:eastAsia="Arial" w:cs="Arial"/>
          <w:b w:val="0"/>
          <w:i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</w:rPr>
      </w:pPr>
      <w:r>
        <w:rPr>
          <w:rFonts w:ascii="Arial" w:hAnsi="Arial" w:eastAsia="Arial" w:cs="Arial"/>
          <w:b w:val="0"/>
          <w:i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  <w:rtl w:val="0"/>
        </w:rPr>
        <w:t xml:space="preserve">West, M. and Coia, D. (2019) </w:t>
      </w:r>
      <w:r>
        <w:rPr>
          <w:rFonts w:ascii="Arial" w:hAnsi="Arial" w:eastAsia="Arial" w:cs="Arial"/>
          <w:b w:val="0"/>
          <w:i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  <w:rtl w:val="0"/>
        </w:rPr>
        <w:t>Caring for Doctors, Caring for Patients</w:t>
      </w:r>
      <w:r>
        <w:rPr>
          <w:rFonts w:ascii="Arial" w:hAnsi="Arial" w:eastAsia="Arial" w:cs="Arial"/>
          <w:b w:val="0"/>
          <w:i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  <w:rtl w:val="0"/>
        </w:rPr>
        <w:t>. London: GMC.</w:t>
      </w:r>
    </w:p>
    <w:p w14:paraId="00000083">
      <w:pPr>
        <w:keepNext w:val="0"/>
        <w:keepLines w:val="0"/>
        <w:pageBreakBefore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160" w:line="240" w:lineRule="auto"/>
        <w:ind w:left="0" w:right="0" w:firstLine="0"/>
        <w:jc w:val="both"/>
        <w:rPr>
          <w:rFonts w:ascii="Arial" w:hAnsi="Arial" w:eastAsia="Arial" w:cs="Arial"/>
          <w:b w:val="0"/>
          <w:i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</w:rPr>
      </w:pPr>
      <w:r>
        <w:rPr>
          <w:rFonts w:ascii="Arial" w:hAnsi="Arial" w:eastAsia="Arial" w:cs="Arial"/>
          <w:b w:val="0"/>
          <w:i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  <w:rtl w:val="0"/>
        </w:rPr>
        <w:t xml:space="preserve">University of Wales Trinity Saint David (2024) </w:t>
      </w:r>
      <w:r>
        <w:rPr>
          <w:rFonts w:ascii="Arial" w:hAnsi="Arial" w:eastAsia="Arial" w:cs="Arial"/>
          <w:b w:val="0"/>
          <w:i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  <w:rtl w:val="0"/>
        </w:rPr>
        <w:t>Research Ethics Handbook</w:t>
      </w:r>
      <w:r>
        <w:rPr>
          <w:rFonts w:ascii="Arial" w:hAnsi="Arial" w:eastAsia="Arial" w:cs="Arial"/>
          <w:b w:val="0"/>
          <w:i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  <w:rtl w:val="0"/>
        </w:rPr>
        <w:t>. Swansea: UWTSD.</w:t>
      </w:r>
    </w:p>
    <w:p w14:paraId="00000084">
      <w:pPr>
        <w:spacing w:after="220" w:line="240" w:lineRule="auto"/>
      </w:pPr>
    </w:p>
    <w:p w14:paraId="00000085">
      <w:pPr>
        <w:spacing w:after="220" w:line="240" w:lineRule="auto"/>
        <w:rPr>
          <w:rFonts w:ascii="Arial" w:hAnsi="Arial" w:eastAsia="Arial" w:cs="Arial"/>
          <w:sz w:val="24"/>
          <w:szCs w:val="24"/>
        </w:rPr>
      </w:pPr>
      <w:r>
        <w:rPr>
          <w:rFonts w:ascii="Arial" w:hAnsi="Arial" w:eastAsia="Arial" w:cs="Arial"/>
          <w:sz w:val="24"/>
          <w:szCs w:val="24"/>
          <w:rtl w:val="0"/>
        </w:rPr>
        <w:t xml:space="preserve">    </w:t>
      </w:r>
    </w:p>
    <w:p w14:paraId="000000A2">
      <w:pPr>
        <w:spacing w:after="220" w:line="240" w:lineRule="auto"/>
      </w:pPr>
      <w:bookmarkStart w:id="0" w:name="_GoBack"/>
      <w:bookmarkEnd w:id="0"/>
    </w:p>
    <w:sectPr>
      <w:pgSz w:w="12240" w:h="15840"/>
      <w:pgMar w:top="720" w:right="576" w:bottom="720" w:left="720" w:header="432" w:footer="288" w:gutter="0"/>
      <w:cols w:space="720" w:num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pto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00000A5">
    <w:pPr>
      <w:keepNext w:val="0"/>
      <w:keepLines w:val="0"/>
      <w:pageBreakBefore w:val="0"/>
      <w:widowControl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fill="auto"/>
      <w:tabs>
        <w:tab w:val="center" w:pos="4513"/>
        <w:tab w:val="right" w:pos="9026"/>
      </w:tabs>
      <w:spacing w:before="0" w:after="0" w:line="240" w:lineRule="auto"/>
      <w:ind w:left="0" w:right="0" w:firstLine="0"/>
      <w:jc w:val="left"/>
      <w:rPr>
        <w:rFonts w:ascii="Calibri" w:hAnsi="Calibri" w:eastAsia="Calibri" w:cs="Calibri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pPr>
    <w:r>
      <w:rPr>
        <w:rFonts w:ascii="Calibri" w:hAnsi="Calibri" w:eastAsia="Calibri" w:cs="Calibri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  <w:rtl w:val="0"/>
      </w:rPr>
      <w:t>`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00000A3">
    <w:pPr>
      <w:keepNext w:val="0"/>
      <w:keepLines w:val="0"/>
      <w:pageBreakBefore w:val="0"/>
      <w:widowControl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fill="auto"/>
      <w:tabs>
        <w:tab w:val="center" w:pos="4513"/>
        <w:tab w:val="right" w:pos="9026"/>
      </w:tabs>
      <w:spacing w:before="0" w:after="0" w:line="240" w:lineRule="auto"/>
      <w:ind w:left="0" w:right="0" w:firstLine="0"/>
      <w:jc w:val="left"/>
      <w:rPr>
        <w:rFonts w:ascii="Calibri" w:hAnsi="Calibri" w:eastAsia="Calibri" w:cs="Calibri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pPr>
  </w:p>
  <w:p w14:paraId="000000A4">
    <w:pPr>
      <w:keepNext w:val="0"/>
      <w:keepLines w:val="0"/>
      <w:pageBreakBefore w:val="0"/>
      <w:widowControl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fill="auto"/>
      <w:tabs>
        <w:tab w:val="center" w:pos="4513"/>
        <w:tab w:val="right" w:pos="9026"/>
      </w:tabs>
      <w:spacing w:before="0" w:after="0" w:line="240" w:lineRule="auto"/>
      <w:ind w:left="0" w:right="0" w:firstLine="0"/>
      <w:jc w:val="left"/>
      <w:rPr>
        <w:rFonts w:ascii="Calibri" w:hAnsi="Calibri" w:eastAsia="Calibri" w:cs="Calibri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</w:compat>
  <w:rsids>
    <w:rsidRoot w:val="00000000"/>
    <w:rsid w:val="41865A6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Calibr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unhideWhenUsed="0" w:uiPriority="0" w:semiHidden="0" w:name="heading 1"/>
    <w:lsdException w:unhideWhenUsed="0" w:uiPriority="0" w:semiHidden="0" w:name="heading 2"/>
    <w:lsdException w:unhideWhenUsed="0" w:uiPriority="0" w:semiHidden="0" w:name="heading 3"/>
    <w:lsdException w:unhideWhenUsed="0" w:uiPriority="0" w:semiHidden="0" w:name="heading 4"/>
    <w:lsdException w:unhideWhenUsed="0" w:uiPriority="0" w:semiHidden="0" w:name="heading 5"/>
    <w:lsdException w:unhideWhenUsed="0" w:uiPriority="0" w:semiHidden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spacing w:after="160" w:line="259" w:lineRule="auto"/>
    </w:pPr>
    <w:rPr>
      <w:rFonts w:ascii="Calibri" w:hAnsi="Calibri" w:eastAsia="Calibri" w:cs="Calibri"/>
      <w:sz w:val="22"/>
      <w:szCs w:val="22"/>
      <w:lang w:val="en-GB"/>
    </w:rPr>
  </w:style>
  <w:style w:type="paragraph" w:styleId="2">
    <w:name w:val="heading 1"/>
    <w:basedOn w:val="1"/>
    <w:next w:val="1"/>
    <w:uiPriority w:val="0"/>
    <w:pPr>
      <w:keepNext/>
      <w:keepLines/>
      <w:spacing w:before="360" w:after="80"/>
    </w:pPr>
    <w:rPr>
      <w:rFonts w:ascii="Calibri" w:hAnsi="Calibri" w:eastAsia="Calibri" w:cs="Calibri"/>
      <w:color w:val="2F5496"/>
      <w:sz w:val="40"/>
      <w:szCs w:val="40"/>
    </w:rPr>
  </w:style>
  <w:style w:type="paragraph" w:styleId="3">
    <w:name w:val="heading 2"/>
    <w:basedOn w:val="1"/>
    <w:next w:val="1"/>
    <w:uiPriority w:val="0"/>
    <w:pPr>
      <w:keepNext/>
      <w:keepLines/>
      <w:spacing w:before="160" w:after="80"/>
    </w:pPr>
    <w:rPr>
      <w:rFonts w:ascii="Calibri" w:hAnsi="Calibri" w:eastAsia="Calibri" w:cs="Calibri"/>
      <w:color w:val="2F5496"/>
      <w:sz w:val="32"/>
      <w:szCs w:val="32"/>
    </w:rPr>
  </w:style>
  <w:style w:type="paragraph" w:styleId="4">
    <w:name w:val="heading 3"/>
    <w:basedOn w:val="1"/>
    <w:next w:val="1"/>
    <w:uiPriority w:val="0"/>
    <w:pPr>
      <w:keepNext/>
      <w:keepLines/>
      <w:spacing w:before="160" w:after="80"/>
    </w:pPr>
    <w:rPr>
      <w:color w:val="2F5496"/>
      <w:sz w:val="28"/>
      <w:szCs w:val="28"/>
    </w:rPr>
  </w:style>
  <w:style w:type="paragraph" w:styleId="5">
    <w:name w:val="heading 4"/>
    <w:basedOn w:val="1"/>
    <w:next w:val="1"/>
    <w:uiPriority w:val="0"/>
    <w:pPr>
      <w:keepNext/>
      <w:keepLines/>
      <w:spacing w:before="80" w:after="40"/>
    </w:pPr>
    <w:rPr>
      <w:i/>
      <w:color w:val="2F5496"/>
    </w:rPr>
  </w:style>
  <w:style w:type="paragraph" w:styleId="6">
    <w:name w:val="heading 5"/>
    <w:basedOn w:val="1"/>
    <w:next w:val="1"/>
    <w:uiPriority w:val="0"/>
    <w:pPr>
      <w:keepNext/>
      <w:keepLines/>
      <w:spacing w:before="80" w:after="40"/>
    </w:pPr>
    <w:rPr>
      <w:color w:val="2F5496"/>
    </w:rPr>
  </w:style>
  <w:style w:type="paragraph" w:styleId="7">
    <w:name w:val="heading 6"/>
    <w:basedOn w:val="1"/>
    <w:next w:val="1"/>
    <w:uiPriority w:val="0"/>
    <w:pPr>
      <w:keepNext/>
      <w:keepLines/>
      <w:spacing w:before="40" w:after="0"/>
    </w:pPr>
    <w:rPr>
      <w:i/>
      <w:color w:val="595959"/>
    </w:rPr>
  </w:style>
  <w:style w:type="character" w:default="1" w:styleId="8">
    <w:name w:val="Default Paragraph Font"/>
    <w:semiHidden/>
    <w:uiPriority w:val="0"/>
  </w:style>
  <w:style w:type="table" w:default="1" w:styleId="9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0">
    <w:name w:val="Subtitle"/>
    <w:basedOn w:val="1"/>
    <w:next w:val="1"/>
    <w:qFormat/>
    <w:uiPriority w:val="0"/>
    <w:rPr>
      <w:color w:val="595959"/>
      <w:sz w:val="28"/>
      <w:szCs w:val="28"/>
    </w:rPr>
  </w:style>
  <w:style w:type="paragraph" w:styleId="11">
    <w:name w:val="Title"/>
    <w:basedOn w:val="1"/>
    <w:next w:val="1"/>
    <w:uiPriority w:val="0"/>
    <w:pPr>
      <w:spacing w:after="80" w:line="240" w:lineRule="auto"/>
    </w:pPr>
    <w:rPr>
      <w:rFonts w:ascii="Calibri" w:hAnsi="Calibri" w:eastAsia="Calibri" w:cs="Calibri"/>
      <w:sz w:val="56"/>
      <w:szCs w:val="56"/>
    </w:rPr>
  </w:style>
  <w:style w:type="table" w:customStyle="1" w:styleId="12">
    <w:name w:val="Table Normal1"/>
    <w:uiPriority w:val="0"/>
  </w:style>
  <w:style w:type="table" w:customStyle="1" w:styleId="13">
    <w:name w:val="_Style 10"/>
    <w:basedOn w:val="12"/>
    <w:uiPriority w:val="0"/>
    <w:pPr>
      <w:spacing w:after="0" w:line="240" w:lineRule="auto"/>
    </w:pPr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">
    <w:name w:val="_Style 11"/>
    <w:basedOn w:val="12"/>
    <w:uiPriority w:val="0"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15">
    <w:name w:val="_Style 12"/>
    <w:basedOn w:val="12"/>
    <w:uiPriority w:val="0"/>
    <w:pPr>
      <w:spacing w:after="0" w:line="240" w:lineRule="auto"/>
    </w:pPr>
    <w:tblPr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  <w:tcPr>
        <w:tcBorders>
          <w:top w:val="nil"/>
          <w:bottom w:val="single" w:color="8EAADB" w:sz="12" w:space="0"/>
          <w:insideH w:val="nil"/>
          <w:insideV w:val="nil"/>
        </w:tcBorders>
        <w:shd w:val="clear" w:color="auto" w:fill="FFFFFF"/>
      </w:tcPr>
    </w:tblStylePr>
    <w:tblStylePr w:type="lastRow">
      <w:rPr>
        <w:b/>
      </w:rPr>
      <w:tcPr>
        <w:tcBorders>
          <w:top w:val="single" w:color="8EAADB" w:sz="4" w:space="0"/>
          <w:bottom w:val="nil"/>
          <w:insideH w:val="nil"/>
          <w:insideV w:val="nil"/>
        </w:tcBorders>
        <w:shd w:val="clear" w:color="auto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cPr>
        <w:shd w:val="clear" w:color="auto" w:fill="D9E2F3"/>
      </w:tcPr>
    </w:tblStylePr>
    <w:tblStylePr w:type="band1Horz">
      <w:tcPr>
        <w:shd w:val="clear" w:color="auto" w:fill="D9E2F3"/>
      </w:tcPr>
    </w:tblStylePr>
  </w:style>
  <w:style w:type="table" w:customStyle="1" w:styleId="16">
    <w:name w:val="_Style 13"/>
    <w:basedOn w:val="12"/>
    <w:uiPriority w:val="0"/>
    <w:pPr>
      <w:spacing w:after="0" w:line="240" w:lineRule="auto"/>
    </w:pPr>
    <w:tblPr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  <w:tcPr>
        <w:tcBorders>
          <w:top w:val="nil"/>
          <w:bottom w:val="single" w:color="C9C9C9" w:sz="12" w:space="0"/>
          <w:insideH w:val="nil"/>
          <w:insideV w:val="nil"/>
        </w:tcBorders>
        <w:shd w:val="clear" w:color="auto" w:fill="FFFFFF"/>
      </w:tcPr>
    </w:tblStylePr>
    <w:tblStylePr w:type="lastRow">
      <w:rPr>
        <w:b/>
      </w:rPr>
      <w:tcPr>
        <w:tcBorders>
          <w:top w:val="single" w:color="C9C9C9" w:sz="4" w:space="0"/>
          <w:bottom w:val="nil"/>
          <w:insideH w:val="nil"/>
          <w:insideV w:val="nil"/>
        </w:tcBorders>
        <w:shd w:val="clear" w:color="auto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cPr>
        <w:shd w:val="clear" w:color="auto" w:fill="EDEDED"/>
      </w:tcPr>
    </w:tblStylePr>
    <w:tblStylePr w:type="band1Horz">
      <w:tcPr>
        <w:shd w:val="clear" w:color="auto" w:fill="EDEDED"/>
      </w:tcPr>
    </w:tblStyle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1.png"/><Relationship Id="rId7" Type="http://schemas.openxmlformats.org/officeDocument/2006/relationships/theme" Target="theme/theme1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Pages>4</Pages>
  <TotalTime>2</TotalTime>
  <ScaleCrop>false</ScaleCrop>
  <LinksUpToDate>false</LinksUpToDate>
  <Application>WPS Office_12.2.0.23197_F1E327BC-269C-435d-A152-05C5408002CA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2026-02-19T23:05:41Z</dcterms:created>
  <dc:creator>Piya1</dc:creator>
  <cp:lastModifiedBy>Piya1</cp:lastModifiedBy>
  <dcterms:modified xsi:type="dcterms:W3CDTF">2026-02-19T23:07:42Z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2057-12.2.0.23197</vt:lpwstr>
  </property>
  <property fmtid="{D5CDD505-2E9C-101B-9397-08002B2CF9AE}" pid="3" name="ICV">
    <vt:lpwstr>9342B418DACF4E6492D0DDAAC2B98498_12</vt:lpwstr>
  </property>
</Properties>
</file>