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F598E0C" wp14:paraId="30FEABAE" wp14:textId="5BBE2417">
      <w:pPr>
        <w:spacing w:after="0"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30237971">
        <w:drawing>
          <wp:inline xmlns:wp14="http://schemas.microsoft.com/office/word/2010/wordprocessingDrawing" wp14:editId="1176F482" wp14:anchorId="5EAD7BC1">
            <wp:extent cx="2552700" cy="1123950"/>
            <wp:effectExtent l="0" t="0" r="0" b="0"/>
            <wp:docPr id="75148857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1488573" name="Picture 751488573"/>
                    <pic:cNvPicPr/>
                  </pic:nvPicPr>
                  <pic:blipFill>
                    <a:blip xmlns:r="http://schemas.openxmlformats.org/officeDocument/2006/relationships" r:embed="rId1267577904">
                      <a:extLst>
                        <a:ext uri="{28A0092B-C50C-407E-A947-70E740481C1C}">
                          <a14:useLocalDpi xmlns:a14="http://schemas.microsoft.com/office/drawing/2010/main"/>
                        </a:ext>
                      </a:extLst>
                    </a:blip>
                    <a:stretch>
                      <a:fillRect/>
                    </a:stretch>
                  </pic:blipFill>
                  <pic:spPr>
                    <a:xfrm>
                      <a:off x="0" y="0"/>
                      <a:ext cx="2552700" cy="1123950"/>
                    </a:xfrm>
                    <a:prstGeom prst="rect">
                      <a:avLst/>
                    </a:prstGeom>
                  </pic:spPr>
                </pic:pic>
              </a:graphicData>
            </a:graphic>
          </wp:inline>
        </w:drawing>
      </w:r>
    </w:p>
    <w:p xmlns:wp14="http://schemas.microsoft.com/office/word/2010/wordml" w:rsidP="5F598E0C" wp14:paraId="53D91F44" wp14:textId="28535B1C">
      <w:pPr>
        <w:spacing w:after="0" w:line="360" w:lineRule="auto"/>
        <w:jc w:val="both"/>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F598E0C" w:rsidR="30237971">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t>
      </w:r>
    </w:p>
    <w:p xmlns:wp14="http://schemas.microsoft.com/office/word/2010/wordml" w:rsidP="5F598E0C" wp14:paraId="407A7641" wp14:textId="46AEBCDB">
      <w:pPr>
        <w:spacing w:after="0" w:line="360" w:lineRule="auto"/>
        <w:jc w:val="both"/>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F598E0C" w:rsidR="30237971">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t>
      </w:r>
    </w:p>
    <w:p xmlns:wp14="http://schemas.microsoft.com/office/word/2010/wordml" w:rsidP="5F598E0C" wp14:paraId="6A156696" wp14:textId="43EC2B2D">
      <w:pPr>
        <w:spacing w:after="0" w:line="360" w:lineRule="auto"/>
        <w:jc w:val="both"/>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5F598E0C" w:rsidR="30237971">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t>
      </w:r>
    </w:p>
    <w:p xmlns:wp14="http://schemas.microsoft.com/office/word/2010/wordml" w:rsidP="5F598E0C" wp14:paraId="55848B4E" wp14:textId="0F9CB4D3">
      <w:pPr>
        <w:spacing w:after="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5F598E0C" w:rsidR="30237971">
        <w:rPr>
          <w:rFonts w:ascii="Arial" w:hAnsi="Arial" w:eastAsia="Arial" w:cs="Arial"/>
          <w:b w:val="0"/>
          <w:bCs w:val="0"/>
          <w:i w:val="0"/>
          <w:iCs w:val="0"/>
          <w:caps w:val="0"/>
          <w:smallCaps w:val="0"/>
          <w:noProof w:val="0"/>
          <w:color w:val="000000" w:themeColor="text1" w:themeTint="FF" w:themeShade="FF"/>
          <w:sz w:val="28"/>
          <w:szCs w:val="28"/>
          <w:lang w:val="en-GB"/>
        </w:rPr>
        <w:t xml:space="preserve">Name: Sansha Nastasia Gordon </w:t>
      </w:r>
    </w:p>
    <w:p xmlns:wp14="http://schemas.microsoft.com/office/word/2010/wordml" w:rsidP="5F598E0C" wp14:paraId="0364AB78" wp14:textId="5DD3CBBF">
      <w:pPr>
        <w:spacing w:after="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5F598E0C" w:rsidR="30237971">
        <w:rPr>
          <w:rFonts w:ascii="Arial" w:hAnsi="Arial" w:eastAsia="Arial" w:cs="Arial"/>
          <w:b w:val="0"/>
          <w:bCs w:val="0"/>
          <w:i w:val="0"/>
          <w:iCs w:val="0"/>
          <w:caps w:val="0"/>
          <w:smallCaps w:val="0"/>
          <w:noProof w:val="0"/>
          <w:color w:val="000000" w:themeColor="text1" w:themeTint="FF" w:themeShade="FF"/>
          <w:sz w:val="28"/>
          <w:szCs w:val="28"/>
          <w:lang w:val="en-GB"/>
        </w:rPr>
        <w:t>Student ID: 2508270</w:t>
      </w:r>
    </w:p>
    <w:p xmlns:wp14="http://schemas.microsoft.com/office/word/2010/wordml" w:rsidP="71753D8B" wp14:paraId="5EA015BA" wp14:textId="29519485">
      <w:pPr>
        <w:spacing w:after="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1753D8B" w:rsidR="2DEAC2E5">
        <w:rPr>
          <w:rFonts w:ascii="Arial" w:hAnsi="Arial" w:eastAsia="Arial" w:cs="Arial"/>
          <w:b w:val="0"/>
          <w:bCs w:val="0"/>
          <w:i w:val="0"/>
          <w:iCs w:val="0"/>
          <w:caps w:val="0"/>
          <w:smallCaps w:val="0"/>
          <w:noProof w:val="0"/>
          <w:color w:val="000000" w:themeColor="text1" w:themeTint="FF" w:themeShade="FF"/>
          <w:sz w:val="28"/>
          <w:szCs w:val="28"/>
          <w:lang w:val="en-GB"/>
        </w:rPr>
        <w:t>Module Code: LCHS40</w:t>
      </w:r>
      <w:r w:rsidRPr="71753D8B" w:rsidR="4C4604A1">
        <w:rPr>
          <w:rFonts w:ascii="Arial" w:hAnsi="Arial" w:eastAsia="Arial" w:cs="Arial"/>
          <w:b w:val="0"/>
          <w:bCs w:val="0"/>
          <w:i w:val="0"/>
          <w:iCs w:val="0"/>
          <w:caps w:val="0"/>
          <w:smallCaps w:val="0"/>
          <w:noProof w:val="0"/>
          <w:color w:val="000000" w:themeColor="text1" w:themeTint="FF" w:themeShade="FF"/>
          <w:sz w:val="28"/>
          <w:szCs w:val="28"/>
          <w:lang w:val="en-GB"/>
        </w:rPr>
        <w:t>10</w:t>
      </w:r>
    </w:p>
    <w:p xmlns:wp14="http://schemas.microsoft.com/office/word/2010/wordml" w:rsidP="5F598E0C" wp14:paraId="7390341F" wp14:textId="04C42298">
      <w:pPr>
        <w:spacing w:after="0" w:line="360" w:lineRule="auto"/>
        <w:jc w:val="center"/>
      </w:pPr>
      <w:r w:rsidRPr="71753D8B" w:rsidR="2DEAC2E5">
        <w:rPr>
          <w:rFonts w:ascii="Arial" w:hAnsi="Arial" w:eastAsia="Arial" w:cs="Arial"/>
          <w:b w:val="0"/>
          <w:bCs w:val="0"/>
          <w:i w:val="0"/>
          <w:iCs w:val="0"/>
          <w:caps w:val="0"/>
          <w:smallCaps w:val="0"/>
          <w:noProof w:val="0"/>
          <w:color w:val="000000" w:themeColor="text1" w:themeTint="FF" w:themeShade="FF"/>
          <w:sz w:val="28"/>
          <w:szCs w:val="28"/>
          <w:lang w:val="en-GB"/>
        </w:rPr>
        <w:t xml:space="preserve">Module: </w:t>
      </w:r>
      <w:r w:rsidRPr="71753D8B" w:rsidR="3D70C799">
        <w:rPr>
          <w:rFonts w:ascii="Arial" w:hAnsi="Arial" w:eastAsia="Arial" w:cs="Arial"/>
          <w:b w:val="0"/>
          <w:bCs w:val="0"/>
          <w:i w:val="0"/>
          <w:iCs w:val="0"/>
          <w:caps w:val="0"/>
          <w:smallCaps w:val="0"/>
          <w:noProof w:val="0"/>
          <w:color w:val="000000" w:themeColor="text1" w:themeTint="FF" w:themeShade="FF"/>
          <w:sz w:val="28"/>
          <w:szCs w:val="28"/>
          <w:lang w:val="en-GB"/>
        </w:rPr>
        <w:t>Psychology in Health and Social Care</w:t>
      </w:r>
    </w:p>
    <w:p w:rsidR="74CE0AF5" w:rsidP="71753D8B" w:rsidRDefault="74CE0AF5" w14:paraId="25241DE6" w14:textId="46AAEBC2">
      <w:pPr>
        <w:spacing w:after="0" w:line="360" w:lineRule="auto"/>
        <w:jc w:val="center"/>
      </w:pPr>
      <w:r w:rsidRPr="71753D8B" w:rsidR="74CE0AF5">
        <w:rPr>
          <w:rFonts w:ascii="Arial" w:hAnsi="Arial" w:eastAsia="Arial" w:cs="Arial"/>
          <w:b w:val="0"/>
          <w:bCs w:val="0"/>
          <w:i w:val="0"/>
          <w:iCs w:val="0"/>
          <w:caps w:val="0"/>
          <w:smallCaps w:val="0"/>
          <w:noProof w:val="0"/>
          <w:color w:val="000000" w:themeColor="text1" w:themeTint="FF" w:themeShade="FF"/>
          <w:sz w:val="28"/>
          <w:szCs w:val="28"/>
          <w:lang w:val="en-GB"/>
        </w:rPr>
        <w:t>Module Leader: N</w:t>
      </w:r>
      <w:r w:rsidRPr="71753D8B" w:rsidR="0B5C5D24">
        <w:rPr>
          <w:rFonts w:ascii="Arial" w:hAnsi="Arial" w:eastAsia="Arial" w:cs="Arial"/>
          <w:b w:val="0"/>
          <w:bCs w:val="0"/>
          <w:i w:val="0"/>
          <w:iCs w:val="0"/>
          <w:caps w:val="0"/>
          <w:smallCaps w:val="0"/>
          <w:noProof w:val="0"/>
          <w:color w:val="000000" w:themeColor="text1" w:themeTint="FF" w:themeShade="FF"/>
          <w:sz w:val="28"/>
          <w:szCs w:val="28"/>
          <w:lang w:val="en-GB"/>
        </w:rPr>
        <w:t>eale Haddon</w:t>
      </w:r>
    </w:p>
    <w:p xmlns:wp14="http://schemas.microsoft.com/office/word/2010/wordml" w:rsidP="71753D8B" wp14:paraId="14E54F46" wp14:textId="17325EC4">
      <w:pPr>
        <w:spacing w:after="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1753D8B" w:rsidR="2DEAC2E5">
        <w:rPr>
          <w:rFonts w:ascii="Arial" w:hAnsi="Arial" w:eastAsia="Arial" w:cs="Arial"/>
          <w:b w:val="0"/>
          <w:bCs w:val="0"/>
          <w:i w:val="0"/>
          <w:iCs w:val="0"/>
          <w:caps w:val="0"/>
          <w:smallCaps w:val="0"/>
          <w:noProof w:val="0"/>
          <w:color w:val="000000" w:themeColor="text1" w:themeTint="FF" w:themeShade="FF"/>
          <w:sz w:val="28"/>
          <w:szCs w:val="28"/>
          <w:lang w:val="en-GB"/>
        </w:rPr>
        <w:t xml:space="preserve">Lecturer: </w:t>
      </w:r>
      <w:r w:rsidRPr="71753D8B" w:rsidR="6B2C33DF">
        <w:rPr>
          <w:rFonts w:ascii="Arial" w:hAnsi="Arial" w:eastAsia="Arial" w:cs="Arial"/>
          <w:b w:val="0"/>
          <w:bCs w:val="0"/>
          <w:i w:val="0"/>
          <w:iCs w:val="0"/>
          <w:caps w:val="0"/>
          <w:smallCaps w:val="0"/>
          <w:noProof w:val="0"/>
          <w:color w:val="000000" w:themeColor="text1" w:themeTint="FF" w:themeShade="FF"/>
          <w:sz w:val="28"/>
          <w:szCs w:val="28"/>
          <w:lang w:val="en-GB"/>
        </w:rPr>
        <w:t>Helen Parsons</w:t>
      </w:r>
    </w:p>
    <w:p xmlns:wp14="http://schemas.microsoft.com/office/word/2010/wordml" w:rsidP="71753D8B" wp14:paraId="4ED0F374" wp14:textId="72C23461">
      <w:pPr>
        <w:spacing w:after="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71753D8B" w:rsidR="2DEAC2E5">
        <w:rPr>
          <w:rFonts w:ascii="Arial" w:hAnsi="Arial" w:eastAsia="Arial" w:cs="Arial"/>
          <w:b w:val="0"/>
          <w:bCs w:val="0"/>
          <w:i w:val="0"/>
          <w:iCs w:val="0"/>
          <w:caps w:val="0"/>
          <w:smallCaps w:val="0"/>
          <w:noProof w:val="0"/>
          <w:color w:val="000000" w:themeColor="text1" w:themeTint="FF" w:themeShade="FF"/>
          <w:sz w:val="28"/>
          <w:szCs w:val="28"/>
          <w:lang w:val="en-GB"/>
        </w:rPr>
        <w:t>Assignment title:</w:t>
      </w:r>
      <w:r w:rsidRPr="71753D8B" w:rsidR="2AE7B451">
        <w:rPr>
          <w:rFonts w:ascii="Arial" w:hAnsi="Arial" w:eastAsia="Arial" w:cs="Arial"/>
          <w:b w:val="0"/>
          <w:bCs w:val="0"/>
          <w:i w:val="0"/>
          <w:iCs w:val="0"/>
          <w:caps w:val="0"/>
          <w:smallCaps w:val="0"/>
          <w:noProof w:val="0"/>
          <w:color w:val="000000" w:themeColor="text1" w:themeTint="FF" w:themeShade="FF"/>
          <w:sz w:val="28"/>
          <w:szCs w:val="28"/>
          <w:lang w:val="en-GB"/>
        </w:rPr>
        <w:t xml:space="preserve"> A</w:t>
      </w:r>
      <w:r w:rsidRPr="71753D8B" w:rsidR="031C9D6C">
        <w:rPr>
          <w:rFonts w:ascii="Arial" w:hAnsi="Arial" w:eastAsia="Arial" w:cs="Arial"/>
          <w:b w:val="0"/>
          <w:bCs w:val="0"/>
          <w:i w:val="0"/>
          <w:iCs w:val="0"/>
          <w:caps w:val="0"/>
          <w:smallCaps w:val="0"/>
          <w:noProof w:val="0"/>
          <w:color w:val="000000" w:themeColor="text1" w:themeTint="FF" w:themeShade="FF"/>
          <w:sz w:val="28"/>
          <w:szCs w:val="28"/>
          <w:lang w:val="en-GB"/>
        </w:rPr>
        <w:t>ssessment 2: Essay</w:t>
      </w:r>
      <w:r w:rsidRPr="71753D8B" w:rsidR="2722741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5F598E0C" wp14:paraId="548B0B0F" wp14:textId="6A7B5FB9">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5F598E0C" w:rsidR="30237971">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5F598E0C" wp14:paraId="48C3DF23" wp14:textId="09D7AB60">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5F598E0C" w:rsidR="30237971">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5F598E0C" wp14:paraId="7CD02E45" wp14:textId="225F095D">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5F598E0C" w:rsidR="30237971">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5F598E0C" wp14:paraId="5683E25C" wp14:textId="564A9572">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5F598E0C" w:rsidR="30237971">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5F598E0C" wp14:paraId="4CA10ECD" wp14:textId="0118229B">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5F598E0C" w:rsidR="30237971">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5F598E0C" wp14:paraId="3071F9E6" wp14:textId="0389EB58">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5F598E0C" w:rsidR="30237971">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71753D8B" wp14:paraId="09C3294D" wp14:textId="4C2DB48A">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71753D8B" w:rsidR="2DEAC2E5">
        <w:rPr>
          <w:rFonts w:ascii="Arial" w:hAnsi="Arial" w:eastAsia="Arial" w:cs="Arial"/>
          <w:b w:val="0"/>
          <w:bCs w:val="0"/>
          <w:i w:val="0"/>
          <w:iCs w:val="0"/>
          <w:caps w:val="0"/>
          <w:smallCaps w:val="0"/>
          <w:noProof w:val="0"/>
          <w:color w:val="000000" w:themeColor="text1" w:themeTint="FF" w:themeShade="FF"/>
          <w:sz w:val="28"/>
          <w:szCs w:val="28"/>
          <w:lang w:val="en-GB"/>
        </w:rPr>
        <w:t>Submitted on: 2</w:t>
      </w:r>
      <w:r w:rsidRPr="71753D8B" w:rsidR="6D05EFAB">
        <w:rPr>
          <w:rFonts w:ascii="Arial" w:hAnsi="Arial" w:eastAsia="Arial" w:cs="Arial"/>
          <w:b w:val="0"/>
          <w:bCs w:val="0"/>
          <w:i w:val="0"/>
          <w:iCs w:val="0"/>
          <w:caps w:val="0"/>
          <w:smallCaps w:val="0"/>
          <w:noProof w:val="0"/>
          <w:color w:val="000000" w:themeColor="text1" w:themeTint="FF" w:themeShade="FF"/>
          <w:sz w:val="28"/>
          <w:szCs w:val="28"/>
          <w:lang w:val="en-GB"/>
        </w:rPr>
        <w:t>2</w:t>
      </w:r>
      <w:r w:rsidRPr="71753D8B" w:rsidR="7F1B2A2E">
        <w:rPr>
          <w:rFonts w:ascii="Arial" w:hAnsi="Arial" w:eastAsia="Arial" w:cs="Arial"/>
          <w:b w:val="0"/>
          <w:bCs w:val="0"/>
          <w:i w:val="0"/>
          <w:iCs w:val="0"/>
          <w:caps w:val="0"/>
          <w:smallCaps w:val="0"/>
          <w:noProof w:val="0"/>
          <w:color w:val="000000" w:themeColor="text1" w:themeTint="FF" w:themeShade="FF"/>
          <w:sz w:val="28"/>
          <w:szCs w:val="28"/>
          <w:vertAlign w:val="superscript"/>
          <w:lang w:val="en-GB"/>
        </w:rPr>
        <w:t>nd</w:t>
      </w:r>
      <w:r w:rsidRPr="71753D8B" w:rsidR="7F1B2A2E">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71753D8B" w:rsidR="777BAD4E">
        <w:rPr>
          <w:rFonts w:ascii="Arial" w:hAnsi="Arial" w:eastAsia="Arial" w:cs="Arial"/>
          <w:b w:val="0"/>
          <w:bCs w:val="0"/>
          <w:i w:val="0"/>
          <w:iCs w:val="0"/>
          <w:caps w:val="0"/>
          <w:smallCaps w:val="0"/>
          <w:noProof w:val="0"/>
          <w:color w:val="000000" w:themeColor="text1" w:themeTint="FF" w:themeShade="FF"/>
          <w:sz w:val="28"/>
          <w:szCs w:val="28"/>
          <w:lang w:val="en-GB"/>
        </w:rPr>
        <w:t>July</w:t>
      </w:r>
      <w:r w:rsidRPr="71753D8B" w:rsidR="2DEAC2E5">
        <w:rPr>
          <w:rFonts w:ascii="Arial" w:hAnsi="Arial" w:eastAsia="Arial" w:cs="Arial"/>
          <w:b w:val="0"/>
          <w:bCs w:val="0"/>
          <w:i w:val="0"/>
          <w:iCs w:val="0"/>
          <w:caps w:val="0"/>
          <w:smallCaps w:val="0"/>
          <w:noProof w:val="0"/>
          <w:color w:val="000000" w:themeColor="text1" w:themeTint="FF" w:themeShade="FF"/>
          <w:sz w:val="28"/>
          <w:szCs w:val="28"/>
          <w:lang w:val="en-GB"/>
        </w:rPr>
        <w:t xml:space="preserve"> 2026</w:t>
      </w:r>
    </w:p>
    <w:p xmlns:wp14="http://schemas.microsoft.com/office/word/2010/wordml" wp14:paraId="5E5787A5" wp14:textId="204C6CF7"/>
    <w:p w:rsidR="71753D8B" w:rsidRDefault="71753D8B" w14:paraId="61503D37" w14:textId="5686A4A5"/>
    <w:p w:rsidR="71753D8B" w:rsidRDefault="71753D8B" w14:paraId="6E904A72" w14:textId="10B41F67"/>
    <w:p w:rsidR="71753D8B" w:rsidRDefault="71753D8B" w14:paraId="7F24C768" w14:textId="09565DF6"/>
    <w:p w:rsidR="71753D8B" w:rsidRDefault="71753D8B" w14:paraId="79C7449C" w14:textId="280ED218"/>
    <w:p w:rsidR="71753D8B" w:rsidRDefault="71753D8B" w14:paraId="5DEFB83A" w14:textId="5F6DE444"/>
    <w:p w:rsidR="71753D8B" w:rsidRDefault="71753D8B" w14:paraId="1B3D2B06" w14:textId="216B3DF5"/>
    <w:p w:rsidR="71753D8B" w:rsidRDefault="71753D8B" w14:paraId="143AC0E9" w14:textId="0086ACBB"/>
    <w:p w:rsidR="6F274241" w:rsidP="71753D8B" w:rsidRDefault="6F274241" w14:paraId="0E4ECD44" w14:textId="67935CF9">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1753D8B" w:rsidR="6F27424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Table of Contents</w:t>
      </w:r>
    </w:p>
    <w:p w:rsidR="6F274241" w:rsidP="71753D8B" w:rsidRDefault="6F274241" w14:paraId="3D5C84D1" w14:textId="70379DB6">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1753D8B" w:rsidR="6F27424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1.Introduction.........................................................................................................................3</w:t>
      </w:r>
    </w:p>
    <w:p w:rsidR="6F274241" w:rsidP="71753D8B" w:rsidRDefault="6F274241" w14:paraId="57221814" w14:textId="0B459E62">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1753D8B" w:rsidR="6F27424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2. </w:t>
      </w:r>
      <w:r w:rsidRPr="71753D8B" w:rsidR="1465796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M</w:t>
      </w:r>
      <w:r w:rsidRPr="71753D8B" w:rsidR="363D04C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ain body......</w:t>
      </w:r>
      <w:r w:rsidRPr="71753D8B" w:rsidR="37D00A9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71753D8B" w:rsidR="363D04C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71753D8B" w:rsidR="6F27424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71753D8B" w:rsidR="449739D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3</w:t>
      </w:r>
    </w:p>
    <w:p w:rsidR="6CF2D403" w:rsidP="71753D8B" w:rsidRDefault="6CF2D403" w14:paraId="5718082B" w14:textId="359C513F">
      <w:pPr>
        <w:spacing w:line="360" w:lineRule="auto"/>
      </w:pPr>
      <w:r w:rsidRPr="71753D8B" w:rsidR="6CF2D403">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3</w:t>
      </w:r>
      <w:r w:rsidRPr="71753D8B" w:rsidR="6F27424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.Conclusion..........................................................................................................................6</w:t>
      </w:r>
    </w:p>
    <w:p w:rsidR="6F274241" w:rsidP="71753D8B" w:rsidRDefault="6F274241" w14:paraId="622F74B5" w14:textId="0025D714">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1753D8B" w:rsidR="6F27424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References..............................................................................................................................</w:t>
      </w:r>
      <w:r w:rsidRPr="71753D8B" w:rsidR="77C1836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8</w:t>
      </w:r>
    </w:p>
    <w:p w:rsidR="71753D8B" w:rsidP="71753D8B" w:rsidRDefault="71753D8B" w14:paraId="5354E3CB" w14:textId="19B39220">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277DAB21" w14:textId="2BC051D6">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127B18DC" w14:textId="4D67BBF3">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2BC2DCD9" w14:textId="6CB527FE">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3A4884B7" w14:textId="5C88CB35">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6BDC0EF4" w14:textId="2CB29921">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6748D223" w14:textId="64B3A5C2">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6FF5F4C8" w14:textId="552DB4A2">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54A48949" w14:textId="74F0942D">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6CA7B390" w14:textId="75D5EC13">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2828AE3A" w14:textId="577F1BD0">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50E0BFAA" w14:textId="19EE514D">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27B45E07" w14:textId="6D0588D1">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59A154B6" w14:textId="6E3D0B40">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6912E819" w14:textId="73CC06D2">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237569D0" w14:textId="1C583AE1">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52731616" w14:textId="27B7A60D">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24BBC17F" w14:textId="0A322042">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4ABDD147" w14:textId="653FA9C6">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5525CB5D" w14:textId="0BF3C61C">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753D8B" w:rsidP="71753D8B" w:rsidRDefault="71753D8B" w14:paraId="52960006" w14:textId="79C19123">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2AE4690" w:rsidP="71753D8B" w:rsidRDefault="12AE4690" w14:paraId="608C4681" w14:textId="06D4FF96">
      <w:pPr>
        <w:spacing w:line="360" w:lineRule="auto"/>
        <w:jc w:val="center"/>
      </w:pPr>
      <w:r w:rsidRPr="71753D8B" w:rsidR="12AE469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The impact of </w:t>
      </w:r>
      <w:r w:rsidRPr="71753D8B" w:rsidR="2FB955F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social media on mental health ad</w:t>
      </w:r>
      <w:r w:rsidRPr="71753D8B" w:rsidR="0832A2E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olescence.</w:t>
      </w:r>
    </w:p>
    <w:p w:rsidR="71753D8B" w:rsidP="71753D8B" w:rsidRDefault="71753D8B" w14:paraId="67ADCD9C" w14:textId="6DC7A99F">
      <w:pPr>
        <w:spacing w:line="360" w:lineRule="auto"/>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43BC7D79" w:rsidP="71753D8B" w:rsidRDefault="43BC7D79" w14:paraId="51475EBB" w14:textId="1800B85A">
      <w:pPr>
        <w:pStyle w:val="Normal"/>
        <w:spacing w:line="360" w:lineRule="auto"/>
        <w:jc w:val="left"/>
        <w:rPr>
          <w:rFonts w:ascii="Arial" w:hAnsi="Arial" w:eastAsia="Arial" w:cs="Arial" w:asciiTheme="minorAscii" w:hAnsiTheme="minorAscii" w:eastAsiaTheme="minorAscii" w:cstheme="minorAscii"/>
          <w:b w:val="1"/>
          <w:bCs w:val="1"/>
          <w:sz w:val="22"/>
          <w:szCs w:val="22"/>
        </w:rPr>
      </w:pPr>
      <w:r w:rsidRPr="71753D8B" w:rsidR="43BC7D79">
        <w:rPr>
          <w:rFonts w:ascii="Arial" w:hAnsi="Arial" w:eastAsia="Arial" w:cs="Arial" w:asciiTheme="minorAscii" w:hAnsiTheme="minorAscii" w:eastAsiaTheme="minorAscii" w:cstheme="minorAscii"/>
          <w:b w:val="1"/>
          <w:bCs w:val="1"/>
          <w:sz w:val="22"/>
          <w:szCs w:val="22"/>
        </w:rPr>
        <w:t>Introduction</w:t>
      </w:r>
    </w:p>
    <w:p w:rsidR="43BC7D79" w:rsidP="71753D8B" w:rsidRDefault="43BC7D79" w14:paraId="7C49C81F" w14:textId="7A5F1E2B">
      <w:pPr>
        <w:spacing w:before="240" w:beforeAutospacing="off" w:after="240" w:afterAutospacing="off" w:line="360" w:lineRule="auto"/>
        <w:rPr>
          <w:rFonts w:ascii="Arial" w:hAnsi="Arial" w:eastAsia="Arial" w:cs="Arial"/>
          <w:b w:val="0"/>
          <w:bCs w:val="0"/>
          <w:noProof w:val="0"/>
          <w:sz w:val="22"/>
          <w:szCs w:val="22"/>
          <w:lang w:val="en-GB"/>
        </w:rPr>
      </w:pPr>
      <w:r w:rsidRPr="71753D8B" w:rsidR="43BC7D79">
        <w:rPr>
          <w:rFonts w:ascii="Arial" w:hAnsi="Arial" w:eastAsia="Arial" w:cs="Arial"/>
          <w:b w:val="0"/>
          <w:bCs w:val="0"/>
          <w:noProof w:val="0"/>
          <w:sz w:val="22"/>
          <w:szCs w:val="22"/>
          <w:lang w:val="en-GB"/>
        </w:rPr>
        <w:t>Adolescence is a critical developmental period characterised by rapid cognitive, emotional, and social changes. During this stage, young people increasingly turn to social media platforms as a primary means of communication, identity exploration, and social comparison. While social media can offer opportunities for connection and self-expression, research suggests that it can also contribute to negative mental health outcomes, including anxiety, depression, and reduced self-esteem (Odgers &amp; Jensen, 2020). Understanding why adolescents may be particularly vulnerable to these effects requires engagement with developmental theory. This essay draws on Erikson’s theory of psychosocial development and Bowlby’s attachment theory to explore how and why social media may influence adolescent mental health. By examining the developmental tasks and attachment needs central to adolescence, alongside nature–nurture influences, it becomes possible to understand the mechanisms through which social media can support or undermine wellbeing.</w:t>
      </w:r>
    </w:p>
    <w:p w:rsidR="43BC7D79" w:rsidP="71753D8B" w:rsidRDefault="43BC7D79" w14:paraId="171188DB" w14:textId="1E334FCE">
      <w:pPr>
        <w:spacing w:before="240" w:beforeAutospacing="off" w:after="240" w:afterAutospacing="off" w:line="360" w:lineRule="auto"/>
        <w:rPr>
          <w:rFonts w:ascii="Arial" w:hAnsi="Arial" w:eastAsia="Arial" w:cs="Arial"/>
          <w:b w:val="1"/>
          <w:bCs w:val="1"/>
          <w:noProof w:val="0"/>
          <w:sz w:val="22"/>
          <w:szCs w:val="22"/>
          <w:lang w:val="en-GB"/>
        </w:rPr>
      </w:pPr>
      <w:r w:rsidRPr="71753D8B" w:rsidR="43BC7D79">
        <w:rPr>
          <w:rFonts w:ascii="Arial" w:hAnsi="Arial" w:eastAsia="Arial" w:cs="Arial"/>
          <w:b w:val="1"/>
          <w:bCs w:val="1"/>
          <w:noProof w:val="0"/>
          <w:sz w:val="22"/>
          <w:szCs w:val="22"/>
          <w:lang w:val="en-GB"/>
        </w:rPr>
        <w:t>Main Body</w:t>
      </w:r>
    </w:p>
    <w:p w:rsidR="43BC7D79" w:rsidP="71753D8B" w:rsidRDefault="43BC7D79" w14:paraId="61ED2393" w14:textId="138842CB">
      <w:pPr>
        <w:spacing w:before="240" w:beforeAutospacing="off" w:after="240" w:afterAutospacing="off" w:line="360" w:lineRule="auto"/>
        <w:rPr>
          <w:rFonts w:ascii="Arial" w:hAnsi="Arial" w:eastAsia="Arial" w:cs="Arial"/>
          <w:b w:val="0"/>
          <w:bCs w:val="0"/>
          <w:noProof w:val="0"/>
          <w:sz w:val="22"/>
          <w:szCs w:val="22"/>
          <w:lang w:val="en-GB"/>
        </w:rPr>
      </w:pPr>
      <w:r w:rsidRPr="71753D8B" w:rsidR="43BC7D79">
        <w:rPr>
          <w:rFonts w:ascii="Arial" w:hAnsi="Arial" w:eastAsia="Arial" w:cs="Arial"/>
          <w:b w:val="0"/>
          <w:bCs w:val="0"/>
          <w:noProof w:val="0"/>
          <w:sz w:val="22"/>
          <w:szCs w:val="22"/>
          <w:lang w:val="en-GB"/>
        </w:rPr>
        <w:t>Social media has become deeply embedded in adolescent life, with platforms such as Instagram, TikTok, and Snapchat shaping how young people interact, present themselves, and evaluate their social standing. Research indicates that adolescents spend several hours per day on social media, often engaging in activities that involve social comparison, peer feedback, and identity performance (Keles et al., 2020). These activities can be emotionally charged, particularly at a time when adolescents are navigating the developmental challenges described by Erikson. According to Erikson (1968), adolescence is defined by the psychosocial crisis of identity versus role confusion, during which individuals seek to establish a coherent sense of self. Social media provides a space for identity experimentation, but it also exposes adolescents to pressures that may intensify confusion or insecurity. For example, the curated nature of online content encourages comparison with idealised images of peers, which can contribute to feelings of inadequacy and self-doubt (Valkenburg et al., 2022). When adolescents struggle to form a stable identity, they may become more susceptible to negative feedback or exclusion online, heightening risks of anxiety and depressive symptoms.</w:t>
      </w:r>
    </w:p>
    <w:p w:rsidR="43BC7D79" w:rsidP="71753D8B" w:rsidRDefault="43BC7D79" w14:paraId="5B0630CF" w14:textId="7F69A45D">
      <w:pPr>
        <w:spacing w:before="240" w:beforeAutospacing="off" w:after="240" w:afterAutospacing="off" w:line="360" w:lineRule="auto"/>
        <w:rPr>
          <w:rFonts w:ascii="Arial" w:hAnsi="Arial" w:eastAsia="Arial" w:cs="Arial"/>
          <w:b w:val="0"/>
          <w:bCs w:val="0"/>
          <w:noProof w:val="0"/>
          <w:sz w:val="22"/>
          <w:szCs w:val="22"/>
          <w:lang w:val="en-GB"/>
        </w:rPr>
      </w:pPr>
      <w:r w:rsidRPr="71753D8B" w:rsidR="43BC7D79">
        <w:rPr>
          <w:rFonts w:ascii="Arial" w:hAnsi="Arial" w:eastAsia="Arial" w:cs="Arial"/>
          <w:b w:val="0"/>
          <w:bCs w:val="0"/>
          <w:noProof w:val="0"/>
          <w:sz w:val="22"/>
          <w:szCs w:val="22"/>
          <w:lang w:val="en-GB"/>
        </w:rPr>
        <w:t>The nature–nurture debate adds further insight into why adolescents respond differently to social media pressures. From a nature perspective, biological factors such as genetics, temperament, and neurodevelopment influence how adolescents regulate emotions and cope with stress. For example, some adolescents may have a naturally more reactive stress response, making them more sensitive to negative online interactions or social comparison. Hormonal changes during puberty also heighten emotional intensity, increasing vulnerability to social feedback. From a nurture perspective, environmental factors—including parenting style, peer relationships, and early attachment experiences—shape how adolescents interpret and respond to social media content. An adolescent raised in a supportive environment may feel more confident navigating online spaces, whereas one exposed to criticism or inconsistent caregiving may be more likely to internalise negative online experiences. These nature–nurture interactions help explain why social media affects adolescents differently, even when they are exposed to similar content.</w:t>
      </w:r>
    </w:p>
    <w:p w:rsidR="43BC7D79" w:rsidP="71753D8B" w:rsidRDefault="43BC7D79" w14:paraId="56EBA9B6" w14:textId="2DBE27DD">
      <w:pPr>
        <w:spacing w:before="240" w:beforeAutospacing="off" w:after="240" w:afterAutospacing="off" w:line="360" w:lineRule="auto"/>
        <w:rPr>
          <w:rFonts w:ascii="Arial" w:hAnsi="Arial" w:eastAsia="Arial" w:cs="Arial"/>
          <w:b w:val="0"/>
          <w:bCs w:val="0"/>
          <w:noProof w:val="0"/>
          <w:sz w:val="22"/>
          <w:szCs w:val="22"/>
          <w:lang w:val="en-GB"/>
        </w:rPr>
      </w:pPr>
      <w:r w:rsidRPr="71753D8B" w:rsidR="43BC7D79">
        <w:rPr>
          <w:rFonts w:ascii="Arial" w:hAnsi="Arial" w:eastAsia="Arial" w:cs="Arial"/>
          <w:b w:val="0"/>
          <w:bCs w:val="0"/>
          <w:noProof w:val="0"/>
          <w:sz w:val="22"/>
          <w:szCs w:val="22"/>
          <w:lang w:val="en-GB"/>
        </w:rPr>
        <w:t>Erikson’s theory also emphasises the importance of peer relationships during adolescence. Social media amplifies the significance of peer approval by quantifying it through likes, comments, and follower counts. These metrics can become powerful indicators of social value, shaping how adolescents perceive themselves and their place within peer groups. Research suggests that adolescents who place high importance on online validation may experience increased stress and emotional instability, particularly when their expectations for positive feedback are not met (Nesi, 2020). This dynamic aligns with Erikson’s view that failure to successfully navigate the identity crisis can lead to role confusion and emotional vulnerability. Social media thus becomes a stage on which adolescents perform their emerging identities, but also a space where their sense of self can be destabilised by negative interactions or perceived social failure. In some cases, adolescents may even alter their behaviour or values to gain online approval, which can further complicate the process of forming an authentic and coherent identity.</w:t>
      </w:r>
    </w:p>
    <w:p w:rsidR="43BC7D79" w:rsidP="71753D8B" w:rsidRDefault="43BC7D79" w14:paraId="551C4A00" w14:textId="7AEA9495">
      <w:pPr>
        <w:spacing w:before="240" w:beforeAutospacing="off" w:after="240" w:afterAutospacing="off" w:line="360" w:lineRule="auto"/>
        <w:rPr>
          <w:rFonts w:ascii="Arial" w:hAnsi="Arial" w:eastAsia="Arial" w:cs="Arial"/>
          <w:b w:val="0"/>
          <w:bCs w:val="0"/>
          <w:noProof w:val="0"/>
          <w:sz w:val="22"/>
          <w:szCs w:val="22"/>
          <w:lang w:val="en-GB"/>
        </w:rPr>
      </w:pPr>
      <w:r w:rsidRPr="71753D8B" w:rsidR="43BC7D79">
        <w:rPr>
          <w:rFonts w:ascii="Arial" w:hAnsi="Arial" w:eastAsia="Arial" w:cs="Arial"/>
          <w:b w:val="0"/>
          <w:bCs w:val="0"/>
          <w:noProof w:val="0"/>
          <w:sz w:val="22"/>
          <w:szCs w:val="22"/>
          <w:lang w:val="en-GB"/>
        </w:rPr>
        <w:t>In addition, Erikson’s framework suggests that successful resolution of the identity versus role confusion stage leads to a sense of fidelity, or commitment to one’s values and beliefs. Social media can both support and hinder this process. On the one hand, adolescents may find communities that share their interests, beliefs, or experiences, which can reinforce a positive sense of identity. On the other hand, exposure to conflicting opinions, cyberbullying, or unrealistic standards can create confusion and doubt. For adolescents who are already uncertain about who they are, the constant visibility of others’ lives may intensify feelings of not measuring up. This can contribute to internal conflict and emotional distress, making it harder for them to achieve the stable identity that Erikson viewed as essential for healthy development.</w:t>
      </w:r>
    </w:p>
    <w:p w:rsidR="43BC7D79" w:rsidP="71753D8B" w:rsidRDefault="43BC7D79" w14:paraId="685383B6" w14:textId="27DDF719">
      <w:pPr>
        <w:spacing w:before="240" w:beforeAutospacing="off" w:after="240" w:afterAutospacing="off" w:line="360" w:lineRule="auto"/>
        <w:rPr>
          <w:rFonts w:ascii="Arial" w:hAnsi="Arial" w:eastAsia="Arial" w:cs="Arial"/>
          <w:b w:val="0"/>
          <w:bCs w:val="0"/>
          <w:noProof w:val="0"/>
          <w:sz w:val="22"/>
          <w:szCs w:val="22"/>
          <w:lang w:val="en-GB"/>
        </w:rPr>
      </w:pPr>
      <w:r w:rsidRPr="71753D8B" w:rsidR="43BC7D79">
        <w:rPr>
          <w:rFonts w:ascii="Arial" w:hAnsi="Arial" w:eastAsia="Arial" w:cs="Arial"/>
          <w:b w:val="0"/>
          <w:bCs w:val="0"/>
          <w:noProof w:val="0"/>
          <w:sz w:val="22"/>
          <w:szCs w:val="22"/>
          <w:lang w:val="en-GB"/>
        </w:rPr>
        <w:t>Bowlby’s attachment theory provides a complementary lens for understanding adolescent responses to social media. Although attachment patterns are formed in early childhood, they continue to influence emotional regulation and interpersonal relationships throughout adolescence and adulthood (Bowlby, 1988). Adolescents with secure attachment histories typically demonstrate stronger emotional resilience and healthier peer relationships, while those with insecure attachment may struggle with self-esteem, trust, and emotional regulation. Social media can interact with these attachment patterns in ways that either support or undermine mental health. For example, securely attached adolescents may use social media to maintain supportive relationships and seek appropriate reassurance from trusted peers. In contrast, adolescents with insecure attachment may rely excessively on social media for validation, becoming highly sensitive to rejection or negative feedback (Oldmeadow et al., 2011). This heightened sensitivity can exacerbate anxiety and depressive symptoms, particularly when online interactions reinforce feelings of exclusion or inadequacy.</w:t>
      </w:r>
    </w:p>
    <w:p w:rsidR="43BC7D79" w:rsidP="71753D8B" w:rsidRDefault="43BC7D79" w14:paraId="12312CA6" w14:textId="44FED079">
      <w:pPr>
        <w:spacing w:before="240" w:beforeAutospacing="off" w:after="240" w:afterAutospacing="off" w:line="360" w:lineRule="auto"/>
        <w:rPr>
          <w:rFonts w:ascii="Arial" w:hAnsi="Arial" w:eastAsia="Arial" w:cs="Arial"/>
          <w:b w:val="0"/>
          <w:bCs w:val="0"/>
          <w:noProof w:val="0"/>
          <w:sz w:val="22"/>
          <w:szCs w:val="22"/>
          <w:lang w:val="en-GB"/>
        </w:rPr>
      </w:pPr>
      <w:r w:rsidRPr="71753D8B" w:rsidR="43BC7D79">
        <w:rPr>
          <w:rFonts w:ascii="Arial" w:hAnsi="Arial" w:eastAsia="Arial" w:cs="Arial"/>
          <w:b w:val="0"/>
          <w:bCs w:val="0"/>
          <w:noProof w:val="0"/>
          <w:sz w:val="22"/>
          <w:szCs w:val="22"/>
          <w:lang w:val="en-GB"/>
        </w:rPr>
        <w:t>Nature and nurture also interact with attachment patterns. From a nature standpoint, some adolescents may have a biological predisposition toward anxiety or emotional reactivity, making them more vulnerable to attachment-related insecurities. From a nurture standpoint, early caregiving experiences shape internal working models of relationships. Adolescents who experienced inconsistent or unresponsive caregiving may be more likely to interpret ambiguous online interactions—such as delayed replies or fewer likes—as signs of rejection. Social media can therefore magnify pre-existing attachment insecurities, especially when adolescents rely heavily on digital communication for emotional reassurance.</w:t>
      </w:r>
    </w:p>
    <w:p w:rsidR="43BC7D79" w:rsidP="71753D8B" w:rsidRDefault="43BC7D79" w14:paraId="22808723" w14:textId="531A26DE">
      <w:pPr>
        <w:spacing w:before="240" w:beforeAutospacing="off" w:after="240" w:afterAutospacing="off" w:line="360" w:lineRule="auto"/>
        <w:rPr>
          <w:rFonts w:ascii="Arial" w:hAnsi="Arial" w:eastAsia="Arial" w:cs="Arial"/>
          <w:b w:val="0"/>
          <w:bCs w:val="0"/>
          <w:noProof w:val="0"/>
          <w:sz w:val="22"/>
          <w:szCs w:val="22"/>
          <w:lang w:val="en-GB"/>
        </w:rPr>
      </w:pPr>
      <w:r w:rsidRPr="71753D8B" w:rsidR="43BC7D79">
        <w:rPr>
          <w:rFonts w:ascii="Arial" w:hAnsi="Arial" w:eastAsia="Arial" w:cs="Arial"/>
          <w:b w:val="0"/>
          <w:bCs w:val="0"/>
          <w:noProof w:val="0"/>
          <w:sz w:val="22"/>
          <w:szCs w:val="22"/>
          <w:lang w:val="en-GB"/>
        </w:rPr>
        <w:t>Attachment theory also highlights the importance of consistent and responsive caregiving in developing emotional security. In adolescence, caregivers continue to play a role in supporting emotional wellbeing, even as peer relationships become more central. However, social media can disrupt these dynamics by shifting adolescents’ attention away from family interactions and towards online peer groups. Research suggests that excessive social media use may reduce opportunities for meaningful offline communication with caregivers, potentially weakening the protective effects of secure attachment (Rosen et al., 2014). For adolescents with pre-existing attachment difficulties, this shift may further undermine emotional stability, increasing vulnerability to mental health challenges. Social media can thus act as both a compensatory tool for connection and a risk factor that amplifies attachment-related insecurities. In some cases, adolescents may turn to online spaces to cope with feelings of loneliness or rejection, but if these spaces expose them to hostile comments or social exclusion, their sense of security can be further eroded.</w:t>
      </w:r>
    </w:p>
    <w:p w:rsidR="43BC7D79" w:rsidP="71753D8B" w:rsidRDefault="43BC7D79" w14:paraId="6E8B6BEE" w14:textId="6DA22B2C">
      <w:pPr>
        <w:spacing w:before="240" w:beforeAutospacing="off" w:after="240" w:afterAutospacing="off" w:line="360" w:lineRule="auto"/>
        <w:rPr>
          <w:rFonts w:ascii="Arial" w:hAnsi="Arial" w:eastAsia="Arial" w:cs="Arial"/>
          <w:b w:val="0"/>
          <w:bCs w:val="0"/>
          <w:noProof w:val="0"/>
          <w:sz w:val="22"/>
          <w:szCs w:val="22"/>
          <w:lang w:val="en-GB"/>
        </w:rPr>
      </w:pPr>
      <w:r w:rsidRPr="71753D8B" w:rsidR="43BC7D79">
        <w:rPr>
          <w:rFonts w:ascii="Arial" w:hAnsi="Arial" w:eastAsia="Arial" w:cs="Arial"/>
          <w:b w:val="0"/>
          <w:bCs w:val="0"/>
          <w:noProof w:val="0"/>
          <w:sz w:val="22"/>
          <w:szCs w:val="22"/>
          <w:lang w:val="en-GB"/>
        </w:rPr>
        <w:t>When Erikson’s and Bowlby’s theories are considered together, a clearer picture emerges of why adolescents may be particularly vulnerable to the mental health impacts of social media. Erikson emphasises the developmental task of identity formation, while Bowlby focuses on the emotional foundations of attachment. Nature–nurture factors interact with both processes, shaping how adolescents respond to online pressures. Social media intersects with these developmental and environmental influences by providing a space for identity exploration and social connection, but also by exposing adolescents to pressures that may destabilise these developmental tasks. For example, an adolescent who is struggling with identity formation may turn to social media for validation, but if they also have insecure attachment patterns or a biological predisposition to anxiety, they may interpret online interactions in ways that reinforce negative self-perceptions. This combination of developmental vulnerability, attachment insecurity, and nature–nurture influences can intensify the emotional impact of social media, increasing risks of anxiety, depression, and low self-esteem.</w:t>
      </w:r>
    </w:p>
    <w:p w:rsidR="43BC7D79" w:rsidP="71753D8B" w:rsidRDefault="43BC7D79" w14:paraId="2707CAE1" w14:textId="5A82136F">
      <w:pPr>
        <w:spacing w:before="240" w:beforeAutospacing="off" w:after="240" w:afterAutospacing="off" w:line="360" w:lineRule="auto"/>
        <w:rPr>
          <w:rFonts w:ascii="Arial" w:hAnsi="Arial" w:eastAsia="Arial" w:cs="Arial"/>
          <w:b w:val="0"/>
          <w:bCs w:val="0"/>
          <w:noProof w:val="0"/>
          <w:sz w:val="22"/>
          <w:szCs w:val="22"/>
          <w:lang w:val="en-GB"/>
        </w:rPr>
      </w:pPr>
      <w:r w:rsidRPr="71753D8B" w:rsidR="43BC7D79">
        <w:rPr>
          <w:rFonts w:ascii="Arial" w:hAnsi="Arial" w:eastAsia="Arial" w:cs="Arial"/>
          <w:b w:val="0"/>
          <w:bCs w:val="0"/>
          <w:noProof w:val="0"/>
          <w:sz w:val="22"/>
          <w:szCs w:val="22"/>
          <w:lang w:val="en-GB"/>
        </w:rPr>
        <w:t>Despite these risks, it is important to acknowledge that social media can also support positive mental health outcomes when used in healthy ways. Adolescents may benefit from online communities that provide social support, opportunities for self-expression, and access to mental health resources (Best et al., 2014). For securely attached adolescents who are progressing well through Erikson’s identity stage, social media may enhance feelings of belonging and contribute to positive identity development. Some platforms host peer support groups, awareness campaigns, and educational content that can help adolescents feel understood and less isolated. The challenge lies in ensuring that adolescents have the emotional skills and support systems necessary to navigate social media safely. This includes fostering secure attachment relationships, promoting healthy communication within families, and supporting adolescents in developing a stable sense of identity that is not overly dependent on online validation. Educators, parents, and practitioners can play a key role by encouraging critical thinking about online content and helping adolescents recognise when social media use is harming rather than helping their mental health.</w:t>
      </w:r>
    </w:p>
    <w:p w:rsidR="43BC7D79" w:rsidP="71753D8B" w:rsidRDefault="43BC7D79" w14:paraId="668E63AE" w14:textId="41B5007E">
      <w:pPr>
        <w:pStyle w:val="Normal"/>
        <w:spacing w:line="360" w:lineRule="auto"/>
        <w:jc w:val="left"/>
        <w:rPr>
          <w:rFonts w:ascii="Arial" w:hAnsi="Arial" w:eastAsia="Arial" w:cs="Arial"/>
          <w:b w:val="1"/>
          <w:bCs w:val="1"/>
          <w:noProof w:val="0"/>
          <w:sz w:val="22"/>
          <w:szCs w:val="22"/>
          <w:lang w:val="en-GB"/>
        </w:rPr>
      </w:pPr>
      <w:r w:rsidRPr="71753D8B" w:rsidR="43BC7D79">
        <w:rPr>
          <w:rFonts w:ascii="Arial" w:hAnsi="Arial" w:eastAsia="Arial" w:cs="Arial"/>
          <w:b w:val="1"/>
          <w:bCs w:val="1"/>
          <w:noProof w:val="0"/>
          <w:sz w:val="22"/>
          <w:szCs w:val="22"/>
          <w:lang w:val="en-GB"/>
        </w:rPr>
        <w:t>Conclusion</w:t>
      </w:r>
    </w:p>
    <w:p w:rsidR="43BC7D79" w:rsidP="71753D8B" w:rsidRDefault="43BC7D79" w14:paraId="33D2A8E7" w14:textId="78E78197">
      <w:pPr>
        <w:pStyle w:val="Normal"/>
        <w:spacing w:line="360" w:lineRule="auto"/>
        <w:jc w:val="left"/>
        <w:rPr>
          <w:rFonts w:ascii="Arial" w:hAnsi="Arial" w:eastAsia="Arial" w:cs="Arial"/>
          <w:b w:val="0"/>
          <w:bCs w:val="0"/>
          <w:noProof w:val="0"/>
          <w:sz w:val="22"/>
          <w:szCs w:val="22"/>
          <w:lang w:val="en-GB"/>
        </w:rPr>
      </w:pPr>
      <w:r w:rsidRPr="71753D8B" w:rsidR="43BC7D79">
        <w:rPr>
          <w:rFonts w:ascii="Arial" w:hAnsi="Arial" w:eastAsia="Arial" w:cs="Arial"/>
          <w:b w:val="0"/>
          <w:bCs w:val="0"/>
          <w:noProof w:val="0"/>
          <w:sz w:val="22"/>
          <w:szCs w:val="22"/>
          <w:lang w:val="en-GB"/>
        </w:rPr>
        <w:t>In conclusion, social media has a significant impact on adolescent mental health, shaped by the developmental and emotional processes described by Erikson and Bowlby, as well as nature–nurture influences. Erikson’s theory highlights the vulnerability associated with identity formation, while Bowlby’s attachment theory explains how emotional security influences adolescents’ responses to online interactions. Nature–nurture factors further shape how adolescents interpret and cope with social media experiences, contributing to individual differences in vulnerability and resilience. Together, these perspectives demonstrate that social media can both support and undermine adolescent wellbeing, depending on biological predispositions, environmental experiences, developmental needs, and attachment patterns. Adolescents who struggle with identity confusion, insecure attachment, or heightened emotional reactivity may be particularly susceptible to negative mental health outcomes, including anxiety, depression, and low self-esteem. At the same time, social media can offer valuable opportunities for connection and support when adolescents have secure relationships and a more grounded sense of self. Understanding these theoretical perspectives is essential for developing effective strategies to support adolescents in navigating social media in ways that promote emotional resilience and healthy development.</w:t>
      </w:r>
    </w:p>
    <w:p w:rsidR="71753D8B" w:rsidP="71753D8B" w:rsidRDefault="71753D8B" w14:paraId="10A082B8" w14:textId="051CC6D1">
      <w:pPr>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1753D8B" w:rsidP="71753D8B" w:rsidRDefault="71753D8B" w14:paraId="34E30DCB" w14:textId="46E18F2A">
      <w:pPr>
        <w:pStyle w:val="Normal"/>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1753D8B" w:rsidP="71753D8B" w:rsidRDefault="71753D8B" w14:paraId="47542E78" w14:textId="24AF2CC6">
      <w:pPr>
        <w:pStyle w:val="Normal"/>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1753D8B" w:rsidP="71753D8B" w:rsidRDefault="71753D8B" w14:paraId="5CD93BFC" w14:textId="5E5B2328">
      <w:pPr>
        <w:pStyle w:val="Normal"/>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1753D8B" w:rsidP="71753D8B" w:rsidRDefault="71753D8B" w14:paraId="2681962F" w14:textId="493812FD">
      <w:pPr>
        <w:pStyle w:val="Normal"/>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1753D8B" w:rsidP="71753D8B" w:rsidRDefault="71753D8B" w14:paraId="628FE1BB" w14:textId="5B4204E6">
      <w:pPr>
        <w:pStyle w:val="Normal"/>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1753D8B" w:rsidP="71753D8B" w:rsidRDefault="71753D8B" w14:paraId="6F5A3BEA" w14:textId="1D533941">
      <w:pPr>
        <w:pStyle w:val="Normal"/>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1753D8B" w:rsidP="71753D8B" w:rsidRDefault="71753D8B" w14:paraId="01A00FA7" w14:textId="2486FD44">
      <w:pPr>
        <w:pStyle w:val="Normal"/>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1753D8B" w:rsidP="71753D8B" w:rsidRDefault="71753D8B" w14:paraId="76EB8E79" w14:textId="11F9BDA2">
      <w:pPr>
        <w:pStyle w:val="Normal"/>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1753D8B" w:rsidP="71753D8B" w:rsidRDefault="71753D8B" w14:paraId="68327A74" w14:textId="32332578">
      <w:pPr>
        <w:pStyle w:val="Normal"/>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1753D8B" w:rsidP="71753D8B" w:rsidRDefault="71753D8B" w14:paraId="419395B0" w14:textId="26AFE18F">
      <w:pPr>
        <w:pStyle w:val="Normal"/>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1753D8B" w:rsidP="71753D8B" w:rsidRDefault="71753D8B" w14:paraId="7A01A25F" w14:textId="67C49A26">
      <w:pPr>
        <w:pStyle w:val="Normal"/>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1753D8B" w:rsidP="71753D8B" w:rsidRDefault="71753D8B" w14:paraId="6604A3CB" w14:textId="76F1D4C7">
      <w:pPr>
        <w:pStyle w:val="Normal"/>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1753D8B" w:rsidP="71753D8B" w:rsidRDefault="71753D8B" w14:paraId="701BEC7C" w14:textId="2CA1C6AB">
      <w:pPr>
        <w:pStyle w:val="Normal"/>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71753D8B" w:rsidP="71753D8B" w:rsidRDefault="71753D8B" w14:paraId="3880D225" w14:textId="6A897591">
      <w:pPr>
        <w:pStyle w:val="Normal"/>
        <w:spacing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p>
    <w:p w:rsidR="2C3DB6C0" w:rsidP="71753D8B" w:rsidRDefault="2C3DB6C0" w14:paraId="6202B2BF" w14:textId="78D69A5A">
      <w:pPr>
        <w:pStyle w:val="Normal"/>
        <w:spacing w:line="360" w:lineRule="auto"/>
        <w:jc w:val="center"/>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71753D8B" w:rsidR="2C3DB6C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References</w:t>
      </w:r>
    </w:p>
    <w:p w:rsidR="25FE15FA" w:rsidP="71753D8B" w:rsidRDefault="25FE15FA" w14:paraId="1F667F2F" w14:textId="13AAEE18">
      <w:pPr>
        <w:pStyle w:val="Normal"/>
        <w:spacing w:before="240" w:beforeAutospacing="off" w:after="240" w:afterAutospacing="off" w:line="360" w:lineRule="auto"/>
        <w:ind w:left="0"/>
        <w:jc w:val="left"/>
        <w:rPr>
          <w:noProof w:val="0"/>
          <w:sz w:val="22"/>
          <w:szCs w:val="22"/>
          <w:lang w:val="en-GB"/>
        </w:rPr>
      </w:pPr>
      <w:r w:rsidRPr="71753D8B" w:rsidR="25FE15FA">
        <w:rPr>
          <w:rFonts w:ascii="Arial" w:hAnsi="Arial" w:eastAsia="Arial" w:cs="Arial"/>
          <w:noProof w:val="0"/>
          <w:sz w:val="22"/>
          <w:szCs w:val="22"/>
          <w:lang w:val="en-GB"/>
        </w:rPr>
        <w:t xml:space="preserve">Best, P., </w:t>
      </w:r>
      <w:r w:rsidRPr="71753D8B" w:rsidR="25FE15FA">
        <w:rPr>
          <w:rFonts w:ascii="Arial" w:hAnsi="Arial" w:eastAsia="Arial" w:cs="Arial"/>
          <w:noProof w:val="0"/>
          <w:sz w:val="22"/>
          <w:szCs w:val="22"/>
          <w:lang w:val="en-GB"/>
        </w:rPr>
        <w:t>Manktelow</w:t>
      </w:r>
      <w:r w:rsidRPr="71753D8B" w:rsidR="25FE15FA">
        <w:rPr>
          <w:rFonts w:ascii="Arial" w:hAnsi="Arial" w:eastAsia="Arial" w:cs="Arial"/>
          <w:noProof w:val="0"/>
          <w:sz w:val="22"/>
          <w:szCs w:val="22"/>
          <w:lang w:val="en-GB"/>
        </w:rPr>
        <w:t xml:space="preserve">, R. and Taylor, B. (2014) ‘Online communication, social media and adolescent wellbeing: A systematic narrative review’, </w:t>
      </w:r>
      <w:r w:rsidRPr="71753D8B" w:rsidR="25FE15FA">
        <w:rPr>
          <w:rFonts w:ascii="Arial" w:hAnsi="Arial" w:eastAsia="Arial" w:cs="Arial"/>
          <w:i w:val="1"/>
          <w:iCs w:val="1"/>
          <w:noProof w:val="0"/>
          <w:sz w:val="22"/>
          <w:szCs w:val="22"/>
          <w:lang w:val="en-GB"/>
        </w:rPr>
        <w:t>Children and Youth Services Review</w:t>
      </w:r>
      <w:r w:rsidRPr="71753D8B" w:rsidR="25FE15FA">
        <w:rPr>
          <w:rFonts w:ascii="Arial" w:hAnsi="Arial" w:eastAsia="Arial" w:cs="Arial"/>
          <w:noProof w:val="0"/>
          <w:sz w:val="22"/>
          <w:szCs w:val="22"/>
          <w:lang w:val="en-GB"/>
        </w:rPr>
        <w:t xml:space="preserve">, 41, pp. 27–36. Available at: </w:t>
      </w:r>
      <w:hyperlink r:id="R03007360cfcb4b16">
        <w:r w:rsidRPr="71753D8B" w:rsidR="25FE15FA">
          <w:rPr>
            <w:rStyle w:val="Hyperlink"/>
            <w:noProof w:val="0"/>
            <w:sz w:val="22"/>
            <w:szCs w:val="22"/>
            <w:lang w:val="en-GB"/>
          </w:rPr>
          <w:t>https://doi.org/10.1016/j.childyouth.2014.03.001</w:t>
        </w:r>
      </w:hyperlink>
      <w:r w:rsidRPr="71753D8B" w:rsidR="25FE15FA">
        <w:rPr>
          <w:rFonts w:ascii="Arial" w:hAnsi="Arial" w:eastAsia="Arial" w:cs="Arial"/>
          <w:noProof w:val="0"/>
          <w:sz w:val="22"/>
          <w:szCs w:val="22"/>
          <w:lang w:val="en-GB"/>
        </w:rPr>
        <w:t xml:space="preserve"> </w:t>
      </w:r>
      <w:hyperlink r:id="R03d6ccdfd35d42e2">
        <w:r w:rsidRPr="71753D8B" w:rsidR="25FE15FA">
          <w:rPr>
            <w:rStyle w:val="Hyperlink"/>
            <w:noProof w:val="0"/>
            <w:sz w:val="22"/>
            <w:szCs w:val="22"/>
            <w:lang w:val="en-GB"/>
          </w:rPr>
          <w:t>(doi.org in Bing)</w:t>
        </w:r>
      </w:hyperlink>
      <w:r w:rsidRPr="71753D8B" w:rsidR="6DA32F92">
        <w:rPr>
          <w:noProof w:val="0"/>
          <w:sz w:val="22"/>
          <w:szCs w:val="22"/>
          <w:lang w:val="en-GB"/>
        </w:rPr>
        <w:t xml:space="preserve"> (Assessed: 22</w:t>
      </w:r>
      <w:r w:rsidRPr="71753D8B" w:rsidR="6DA32F92">
        <w:rPr>
          <w:noProof w:val="0"/>
          <w:sz w:val="22"/>
          <w:szCs w:val="22"/>
          <w:vertAlign w:val="superscript"/>
          <w:lang w:val="en-GB"/>
        </w:rPr>
        <w:t>nd</w:t>
      </w:r>
      <w:r w:rsidRPr="71753D8B" w:rsidR="6DA32F92">
        <w:rPr>
          <w:noProof w:val="0"/>
          <w:sz w:val="22"/>
          <w:szCs w:val="22"/>
          <w:lang w:val="en-GB"/>
        </w:rPr>
        <w:t xml:space="preserve"> of July 2026)</w:t>
      </w:r>
    </w:p>
    <w:p w:rsidR="25FE15FA" w:rsidP="71753D8B" w:rsidRDefault="25FE15FA" w14:paraId="467D2C7E" w14:textId="4FDB39A1">
      <w:pPr>
        <w:pStyle w:val="Normal"/>
        <w:spacing w:before="240" w:beforeAutospacing="off" w:after="240" w:afterAutospacing="off" w:line="360" w:lineRule="auto"/>
        <w:ind w:left="0"/>
        <w:jc w:val="left"/>
        <w:rPr>
          <w:noProof w:val="0"/>
          <w:sz w:val="22"/>
          <w:szCs w:val="22"/>
          <w:lang w:val="en-GB"/>
        </w:rPr>
      </w:pPr>
      <w:r w:rsidRPr="71753D8B" w:rsidR="25FE15FA">
        <w:rPr>
          <w:rFonts w:ascii="Arial" w:hAnsi="Arial" w:eastAsia="Arial" w:cs="Arial"/>
          <w:noProof w:val="0"/>
          <w:sz w:val="22"/>
          <w:szCs w:val="22"/>
          <w:lang w:val="en-GB"/>
        </w:rPr>
        <w:t xml:space="preserve">Bowlby, J. (1988) </w:t>
      </w:r>
      <w:r w:rsidRPr="71753D8B" w:rsidR="25FE15FA">
        <w:rPr>
          <w:rFonts w:ascii="Arial" w:hAnsi="Arial" w:eastAsia="Arial" w:cs="Arial"/>
          <w:i w:val="1"/>
          <w:iCs w:val="1"/>
          <w:noProof w:val="0"/>
          <w:sz w:val="22"/>
          <w:szCs w:val="22"/>
          <w:lang w:val="en-GB"/>
        </w:rPr>
        <w:t>A Secure Base: Parent-Child Attachment and Healthy Human Development</w:t>
      </w:r>
      <w:r w:rsidRPr="71753D8B" w:rsidR="25FE15FA">
        <w:rPr>
          <w:rFonts w:ascii="Arial" w:hAnsi="Arial" w:eastAsia="Arial" w:cs="Arial"/>
          <w:noProof w:val="0"/>
          <w:sz w:val="22"/>
          <w:szCs w:val="22"/>
          <w:lang w:val="en-GB"/>
        </w:rPr>
        <w:t xml:space="preserve">. London: Routledge. Available at: </w:t>
      </w:r>
      <w:hyperlink r:id="Rf584fd23feb8427f">
        <w:r w:rsidRPr="71753D8B" w:rsidR="25FE15FA">
          <w:rPr>
            <w:rStyle w:val="Hyperlink"/>
            <w:noProof w:val="0"/>
            <w:sz w:val="22"/>
            <w:szCs w:val="22"/>
            <w:lang w:val="en-GB"/>
          </w:rPr>
          <w:t>https://www.routledge.com/A-Secure-Base/Bowlby/p/book/9780415030427</w:t>
        </w:r>
      </w:hyperlink>
      <w:r w:rsidRPr="71753D8B" w:rsidR="25FE15FA">
        <w:rPr>
          <w:rFonts w:ascii="Arial" w:hAnsi="Arial" w:eastAsia="Arial" w:cs="Arial"/>
          <w:noProof w:val="0"/>
          <w:sz w:val="22"/>
          <w:szCs w:val="22"/>
          <w:lang w:val="en-GB"/>
        </w:rPr>
        <w:t xml:space="preserve"> </w:t>
      </w:r>
      <w:hyperlink r:id="R04e9c1c48fe44fff">
        <w:r w:rsidRPr="71753D8B" w:rsidR="25FE15FA">
          <w:rPr>
            <w:rStyle w:val="Hyperlink"/>
            <w:noProof w:val="0"/>
            <w:sz w:val="22"/>
            <w:szCs w:val="22"/>
            <w:lang w:val="en-GB"/>
          </w:rPr>
          <w:t>(routledge.com in Bing)</w:t>
        </w:r>
      </w:hyperlink>
      <w:r w:rsidRPr="71753D8B" w:rsidR="58C95034">
        <w:rPr>
          <w:noProof w:val="0"/>
          <w:sz w:val="22"/>
          <w:szCs w:val="22"/>
          <w:lang w:val="en-GB"/>
        </w:rPr>
        <w:t xml:space="preserve"> (Assessed: 22</w:t>
      </w:r>
      <w:r w:rsidRPr="71753D8B" w:rsidR="58C95034">
        <w:rPr>
          <w:noProof w:val="0"/>
          <w:sz w:val="22"/>
          <w:szCs w:val="22"/>
          <w:vertAlign w:val="superscript"/>
          <w:lang w:val="en-GB"/>
        </w:rPr>
        <w:t>nd</w:t>
      </w:r>
      <w:r w:rsidRPr="71753D8B" w:rsidR="58C95034">
        <w:rPr>
          <w:noProof w:val="0"/>
          <w:sz w:val="22"/>
          <w:szCs w:val="22"/>
          <w:lang w:val="en-GB"/>
        </w:rPr>
        <w:t xml:space="preserve"> of July 2026)</w:t>
      </w:r>
    </w:p>
    <w:p w:rsidR="25FE15FA" w:rsidP="71753D8B" w:rsidRDefault="25FE15FA" w14:paraId="16D9DDD7" w14:textId="43868E82">
      <w:pPr>
        <w:pStyle w:val="Normal"/>
        <w:spacing w:before="240" w:beforeAutospacing="off" w:after="240" w:afterAutospacing="off" w:line="360" w:lineRule="auto"/>
        <w:ind w:left="0"/>
        <w:jc w:val="left"/>
        <w:rPr>
          <w:noProof w:val="0"/>
          <w:sz w:val="22"/>
          <w:szCs w:val="22"/>
          <w:lang w:val="en-GB"/>
        </w:rPr>
      </w:pPr>
      <w:r w:rsidRPr="71753D8B" w:rsidR="25FE15FA">
        <w:rPr>
          <w:rFonts w:ascii="Arial" w:hAnsi="Arial" w:eastAsia="Arial" w:cs="Arial"/>
          <w:noProof w:val="0"/>
          <w:sz w:val="22"/>
          <w:szCs w:val="22"/>
          <w:lang w:val="en-GB"/>
        </w:rPr>
        <w:t xml:space="preserve">Erikson, E.H. (1968) </w:t>
      </w:r>
      <w:r w:rsidRPr="71753D8B" w:rsidR="25FE15FA">
        <w:rPr>
          <w:rFonts w:ascii="Arial" w:hAnsi="Arial" w:eastAsia="Arial" w:cs="Arial"/>
          <w:i w:val="1"/>
          <w:iCs w:val="1"/>
          <w:noProof w:val="0"/>
          <w:sz w:val="22"/>
          <w:szCs w:val="22"/>
          <w:lang w:val="en-GB"/>
        </w:rPr>
        <w:t>Identity: Youth and Crisis</w:t>
      </w:r>
      <w:r w:rsidRPr="71753D8B" w:rsidR="25FE15FA">
        <w:rPr>
          <w:rFonts w:ascii="Arial" w:hAnsi="Arial" w:eastAsia="Arial" w:cs="Arial"/>
          <w:noProof w:val="0"/>
          <w:sz w:val="22"/>
          <w:szCs w:val="22"/>
          <w:lang w:val="en-GB"/>
        </w:rPr>
        <w:t>. New York: Norton.</w:t>
      </w:r>
      <w:r w:rsidRPr="71753D8B" w:rsidR="25FE15FA">
        <w:rPr>
          <w:rFonts w:ascii="Arial" w:hAnsi="Arial" w:eastAsia="Arial" w:cs="Arial"/>
          <w:noProof w:val="0"/>
          <w:sz w:val="22"/>
          <w:szCs w:val="22"/>
          <w:lang w:val="en-GB"/>
        </w:rPr>
        <w:t xml:space="preserve">Publisher page: </w:t>
      </w:r>
      <w:hyperlink r:id="Rb1af3dba95904aef">
        <w:r w:rsidRPr="71753D8B" w:rsidR="25FE15FA">
          <w:rPr>
            <w:rStyle w:val="Hyperlink"/>
            <w:noProof w:val="0"/>
            <w:sz w:val="22"/>
            <w:szCs w:val="22"/>
            <w:lang w:val="en-GB"/>
          </w:rPr>
          <w:t>https://wwnorton.com/books/9780393311440</w:t>
        </w:r>
      </w:hyperlink>
      <w:r w:rsidRPr="71753D8B" w:rsidR="25FE15FA">
        <w:rPr>
          <w:rFonts w:ascii="Arial" w:hAnsi="Arial" w:eastAsia="Arial" w:cs="Arial"/>
          <w:noProof w:val="0"/>
          <w:sz w:val="22"/>
          <w:szCs w:val="22"/>
          <w:lang w:val="en-GB"/>
        </w:rPr>
        <w:t xml:space="preserve"> </w:t>
      </w:r>
      <w:hyperlink r:id="R06b6361f75414a25">
        <w:r w:rsidRPr="71753D8B" w:rsidR="25FE15FA">
          <w:rPr>
            <w:rStyle w:val="Hyperlink"/>
            <w:noProof w:val="0"/>
            <w:sz w:val="22"/>
            <w:szCs w:val="22"/>
            <w:lang w:val="en-GB"/>
          </w:rPr>
          <w:t>(wwnorton.com in Bing)</w:t>
        </w:r>
      </w:hyperlink>
      <w:r w:rsidRPr="71753D8B" w:rsidR="5EE7D280">
        <w:rPr>
          <w:noProof w:val="0"/>
          <w:sz w:val="22"/>
          <w:szCs w:val="22"/>
          <w:lang w:val="en-GB"/>
        </w:rPr>
        <w:t xml:space="preserve"> (Assessed: 22</w:t>
      </w:r>
      <w:r w:rsidRPr="71753D8B" w:rsidR="509001F4">
        <w:rPr>
          <w:noProof w:val="0"/>
          <w:sz w:val="22"/>
          <w:szCs w:val="22"/>
          <w:vertAlign w:val="superscript"/>
          <w:lang w:val="en-GB"/>
        </w:rPr>
        <w:t>nd</w:t>
      </w:r>
      <w:r w:rsidRPr="71753D8B" w:rsidR="509001F4">
        <w:rPr>
          <w:noProof w:val="0"/>
          <w:sz w:val="22"/>
          <w:szCs w:val="22"/>
          <w:lang w:val="en-GB"/>
        </w:rPr>
        <w:t xml:space="preserve"> of July 2026)</w:t>
      </w:r>
    </w:p>
    <w:p w:rsidR="25FE15FA" w:rsidP="71753D8B" w:rsidRDefault="25FE15FA" w14:paraId="091C2A4A" w14:textId="3A5FCA8F">
      <w:pPr>
        <w:pStyle w:val="Normal"/>
        <w:spacing w:before="240" w:beforeAutospacing="off" w:after="240" w:afterAutospacing="off" w:line="360" w:lineRule="auto"/>
        <w:ind w:left="0"/>
        <w:jc w:val="left"/>
        <w:rPr>
          <w:noProof w:val="0"/>
          <w:sz w:val="22"/>
          <w:szCs w:val="22"/>
          <w:lang w:val="en-GB"/>
        </w:rPr>
      </w:pPr>
      <w:r w:rsidRPr="71753D8B" w:rsidR="25FE15FA">
        <w:rPr>
          <w:rFonts w:ascii="Arial" w:hAnsi="Arial" w:eastAsia="Arial" w:cs="Arial"/>
          <w:noProof w:val="0"/>
          <w:sz w:val="22"/>
          <w:szCs w:val="22"/>
          <w:lang w:val="en-GB"/>
        </w:rPr>
        <w:t xml:space="preserve">Keles, B., McCrae, </w:t>
      </w:r>
      <w:r w:rsidRPr="71753D8B" w:rsidR="25FE15FA">
        <w:rPr>
          <w:rFonts w:ascii="Arial" w:hAnsi="Arial" w:eastAsia="Arial" w:cs="Arial"/>
          <w:noProof w:val="0"/>
          <w:sz w:val="22"/>
          <w:szCs w:val="22"/>
          <w:lang w:val="en-GB"/>
        </w:rPr>
        <w:t>N.</w:t>
      </w:r>
      <w:r w:rsidRPr="71753D8B" w:rsidR="25FE15FA">
        <w:rPr>
          <w:rFonts w:ascii="Arial" w:hAnsi="Arial" w:eastAsia="Arial" w:cs="Arial"/>
          <w:noProof w:val="0"/>
          <w:sz w:val="22"/>
          <w:szCs w:val="22"/>
          <w:lang w:val="en-GB"/>
        </w:rPr>
        <w:t xml:space="preserve"> and Grealish, A. (2020) ‘A systematic review: The influence of social media on depression, anxiety and psychological distress in adolescents’, </w:t>
      </w:r>
      <w:r w:rsidRPr="71753D8B" w:rsidR="25FE15FA">
        <w:rPr>
          <w:rFonts w:ascii="Arial" w:hAnsi="Arial" w:eastAsia="Arial" w:cs="Arial"/>
          <w:i w:val="1"/>
          <w:iCs w:val="1"/>
          <w:noProof w:val="0"/>
          <w:sz w:val="22"/>
          <w:szCs w:val="22"/>
          <w:lang w:val="en-GB"/>
        </w:rPr>
        <w:t>International Journal of Adolescence and Youth</w:t>
      </w:r>
      <w:r w:rsidRPr="71753D8B" w:rsidR="25FE15FA">
        <w:rPr>
          <w:rFonts w:ascii="Arial" w:hAnsi="Arial" w:eastAsia="Arial" w:cs="Arial"/>
          <w:noProof w:val="0"/>
          <w:sz w:val="22"/>
          <w:szCs w:val="22"/>
          <w:lang w:val="en-GB"/>
        </w:rPr>
        <w:t xml:space="preserve">, 25(1), pp. 79–93. Available at: </w:t>
      </w:r>
      <w:hyperlink r:id="Rd97b90ffd84c4fe2">
        <w:r w:rsidRPr="71753D8B" w:rsidR="25FE15FA">
          <w:rPr>
            <w:rStyle w:val="Hyperlink"/>
            <w:noProof w:val="0"/>
            <w:sz w:val="22"/>
            <w:szCs w:val="22"/>
            <w:lang w:val="en-GB"/>
          </w:rPr>
          <w:t>https://doi.org/10.1080/02673843.2019.1590851</w:t>
        </w:r>
      </w:hyperlink>
      <w:r w:rsidRPr="71753D8B" w:rsidR="25FE15FA">
        <w:rPr>
          <w:rFonts w:ascii="Arial" w:hAnsi="Arial" w:eastAsia="Arial" w:cs="Arial"/>
          <w:noProof w:val="0"/>
          <w:sz w:val="22"/>
          <w:szCs w:val="22"/>
          <w:lang w:val="en-GB"/>
        </w:rPr>
        <w:t xml:space="preserve"> </w:t>
      </w:r>
      <w:hyperlink r:id="R488504bf0b074d49">
        <w:r w:rsidRPr="71753D8B" w:rsidR="25FE15FA">
          <w:rPr>
            <w:rStyle w:val="Hyperlink"/>
            <w:noProof w:val="0"/>
            <w:sz w:val="22"/>
            <w:szCs w:val="22"/>
            <w:lang w:val="en-GB"/>
          </w:rPr>
          <w:t>(doi.org in Bing)</w:t>
        </w:r>
      </w:hyperlink>
      <w:r w:rsidRPr="71753D8B" w:rsidR="4E737D4D">
        <w:rPr>
          <w:noProof w:val="0"/>
          <w:sz w:val="22"/>
          <w:szCs w:val="22"/>
          <w:lang w:val="en-GB"/>
        </w:rPr>
        <w:t xml:space="preserve"> (Assessed: 22</w:t>
      </w:r>
      <w:r w:rsidRPr="71753D8B" w:rsidR="4E737D4D">
        <w:rPr>
          <w:noProof w:val="0"/>
          <w:sz w:val="22"/>
          <w:szCs w:val="22"/>
          <w:vertAlign w:val="superscript"/>
          <w:lang w:val="en-GB"/>
        </w:rPr>
        <w:t>nd</w:t>
      </w:r>
      <w:r w:rsidRPr="71753D8B" w:rsidR="4E737D4D">
        <w:rPr>
          <w:noProof w:val="0"/>
          <w:sz w:val="22"/>
          <w:szCs w:val="22"/>
          <w:lang w:val="en-GB"/>
        </w:rPr>
        <w:t xml:space="preserve"> of July 2026)</w:t>
      </w:r>
    </w:p>
    <w:p w:rsidR="25FE15FA" w:rsidP="71753D8B" w:rsidRDefault="25FE15FA" w14:paraId="5CD0D22E" w14:textId="2CBC88DD">
      <w:pPr>
        <w:pStyle w:val="Normal"/>
        <w:spacing w:before="240" w:beforeAutospacing="off" w:after="240" w:afterAutospacing="off" w:line="360" w:lineRule="auto"/>
        <w:ind w:left="0"/>
        <w:jc w:val="left"/>
        <w:rPr>
          <w:noProof w:val="0"/>
          <w:sz w:val="22"/>
          <w:szCs w:val="22"/>
          <w:lang w:val="en-GB"/>
        </w:rPr>
      </w:pPr>
      <w:r w:rsidRPr="71753D8B" w:rsidR="25FE15FA">
        <w:rPr>
          <w:rFonts w:ascii="Arial" w:hAnsi="Arial" w:eastAsia="Arial" w:cs="Arial"/>
          <w:noProof w:val="0"/>
          <w:sz w:val="22"/>
          <w:szCs w:val="22"/>
          <w:lang w:val="en-GB"/>
        </w:rPr>
        <w:t xml:space="preserve">Nesi, J. (2020) ‘The impact of social media on youth mental health: Challenges and opportunities’, </w:t>
      </w:r>
      <w:r w:rsidRPr="71753D8B" w:rsidR="25FE15FA">
        <w:rPr>
          <w:rFonts w:ascii="Arial" w:hAnsi="Arial" w:eastAsia="Arial" w:cs="Arial"/>
          <w:i w:val="1"/>
          <w:iCs w:val="1"/>
          <w:noProof w:val="0"/>
          <w:sz w:val="22"/>
          <w:szCs w:val="22"/>
          <w:lang w:val="en-GB"/>
        </w:rPr>
        <w:t>World Psychiatry</w:t>
      </w:r>
      <w:r w:rsidRPr="71753D8B" w:rsidR="25FE15FA">
        <w:rPr>
          <w:rFonts w:ascii="Arial" w:hAnsi="Arial" w:eastAsia="Arial" w:cs="Arial"/>
          <w:noProof w:val="0"/>
          <w:sz w:val="22"/>
          <w:szCs w:val="22"/>
          <w:lang w:val="en-GB"/>
        </w:rPr>
        <w:t xml:space="preserve">, 19(3), pp. 350–351. Available at: </w:t>
      </w:r>
      <w:hyperlink r:id="Rb74189ee48874cb0">
        <w:r w:rsidRPr="71753D8B" w:rsidR="25FE15FA">
          <w:rPr>
            <w:rStyle w:val="Hyperlink"/>
            <w:noProof w:val="0"/>
            <w:sz w:val="22"/>
            <w:szCs w:val="22"/>
            <w:lang w:val="en-GB"/>
          </w:rPr>
          <w:t>https://doi.org/10.1002/wps.20866</w:t>
        </w:r>
      </w:hyperlink>
      <w:r w:rsidRPr="71753D8B" w:rsidR="1249B99B">
        <w:rPr>
          <w:noProof w:val="0"/>
          <w:sz w:val="22"/>
          <w:szCs w:val="22"/>
          <w:lang w:val="en-GB"/>
        </w:rPr>
        <w:t xml:space="preserve"> (Assessed: 22</w:t>
      </w:r>
      <w:r w:rsidRPr="71753D8B" w:rsidR="1249B99B">
        <w:rPr>
          <w:noProof w:val="0"/>
          <w:sz w:val="22"/>
          <w:szCs w:val="22"/>
          <w:vertAlign w:val="superscript"/>
          <w:lang w:val="en-GB"/>
        </w:rPr>
        <w:t>nd</w:t>
      </w:r>
      <w:r w:rsidRPr="71753D8B" w:rsidR="1249B99B">
        <w:rPr>
          <w:noProof w:val="0"/>
          <w:sz w:val="22"/>
          <w:szCs w:val="22"/>
          <w:lang w:val="en-GB"/>
        </w:rPr>
        <w:t xml:space="preserve"> of July 2026)</w:t>
      </w:r>
    </w:p>
    <w:p w:rsidR="25FE15FA" w:rsidP="71753D8B" w:rsidRDefault="25FE15FA" w14:paraId="12BB85F4" w14:textId="59918500">
      <w:pPr>
        <w:pStyle w:val="Normal"/>
        <w:spacing w:before="240" w:beforeAutospacing="off" w:after="240" w:afterAutospacing="off" w:line="360" w:lineRule="auto"/>
        <w:ind w:left="0"/>
        <w:jc w:val="left"/>
        <w:rPr>
          <w:noProof w:val="0"/>
          <w:sz w:val="22"/>
          <w:szCs w:val="22"/>
          <w:lang w:val="en-GB"/>
        </w:rPr>
      </w:pPr>
      <w:r w:rsidRPr="71753D8B" w:rsidR="25FE15FA">
        <w:rPr>
          <w:rFonts w:ascii="Arial" w:hAnsi="Arial" w:eastAsia="Arial" w:cs="Arial"/>
          <w:noProof w:val="0"/>
          <w:sz w:val="22"/>
          <w:szCs w:val="22"/>
          <w:lang w:val="en-GB"/>
        </w:rPr>
        <w:t xml:space="preserve">Odgers, C.L. and Jensen, M.R. (2020) ‘Annual research review: Adolescent mental health in the digital age: Facts, fears, and future directions’, </w:t>
      </w:r>
      <w:r w:rsidRPr="71753D8B" w:rsidR="25FE15FA">
        <w:rPr>
          <w:rFonts w:ascii="Arial" w:hAnsi="Arial" w:eastAsia="Arial" w:cs="Arial"/>
          <w:i w:val="1"/>
          <w:iCs w:val="1"/>
          <w:noProof w:val="0"/>
          <w:sz w:val="22"/>
          <w:szCs w:val="22"/>
          <w:lang w:val="en-GB"/>
        </w:rPr>
        <w:t>Journal of Child Psychology and Psychiatry</w:t>
      </w:r>
      <w:r w:rsidRPr="71753D8B" w:rsidR="25FE15FA">
        <w:rPr>
          <w:rFonts w:ascii="Arial" w:hAnsi="Arial" w:eastAsia="Arial" w:cs="Arial"/>
          <w:noProof w:val="0"/>
          <w:sz w:val="22"/>
          <w:szCs w:val="22"/>
          <w:lang w:val="en-GB"/>
        </w:rPr>
        <w:t>, 61(3), pp. 336–348.</w:t>
      </w:r>
      <w:r w:rsidRPr="71753D8B" w:rsidR="25FE15FA">
        <w:rPr>
          <w:rFonts w:ascii="Arial" w:hAnsi="Arial" w:eastAsia="Arial" w:cs="Arial"/>
          <w:noProof w:val="0"/>
          <w:sz w:val="22"/>
          <w:szCs w:val="22"/>
          <w:lang w:val="en-GB"/>
        </w:rPr>
        <w:t xml:space="preserve"> Available at: </w:t>
      </w:r>
      <w:hyperlink r:id="Rc346e8813ead40f2">
        <w:r w:rsidRPr="71753D8B" w:rsidR="25FE15FA">
          <w:rPr>
            <w:rStyle w:val="Hyperlink"/>
            <w:noProof w:val="0"/>
            <w:sz w:val="22"/>
            <w:szCs w:val="22"/>
            <w:lang w:val="en-GB"/>
          </w:rPr>
          <w:t>https://doi.org/10.1111/jcpp.13190</w:t>
        </w:r>
      </w:hyperlink>
      <w:r w:rsidRPr="71753D8B" w:rsidR="6C15FD65">
        <w:rPr>
          <w:noProof w:val="0"/>
          <w:sz w:val="22"/>
          <w:szCs w:val="22"/>
          <w:lang w:val="en-GB"/>
        </w:rPr>
        <w:t xml:space="preserve"> (Assessed:</w:t>
      </w:r>
      <w:r w:rsidRPr="71753D8B" w:rsidR="3C09C6EC">
        <w:rPr>
          <w:noProof w:val="0"/>
          <w:sz w:val="22"/>
          <w:szCs w:val="22"/>
          <w:lang w:val="en-GB"/>
        </w:rPr>
        <w:t xml:space="preserve"> </w:t>
      </w:r>
      <w:r w:rsidRPr="71753D8B" w:rsidR="6C15FD65">
        <w:rPr>
          <w:noProof w:val="0"/>
          <w:sz w:val="22"/>
          <w:szCs w:val="22"/>
          <w:lang w:val="en-GB"/>
        </w:rPr>
        <w:t>22</w:t>
      </w:r>
      <w:r w:rsidRPr="71753D8B" w:rsidR="6C15FD65">
        <w:rPr>
          <w:noProof w:val="0"/>
          <w:sz w:val="22"/>
          <w:szCs w:val="22"/>
          <w:vertAlign w:val="superscript"/>
          <w:lang w:val="en-GB"/>
        </w:rPr>
        <w:t>nd</w:t>
      </w:r>
      <w:r w:rsidRPr="71753D8B" w:rsidR="6C15FD65">
        <w:rPr>
          <w:noProof w:val="0"/>
          <w:sz w:val="22"/>
          <w:szCs w:val="22"/>
          <w:lang w:val="en-GB"/>
        </w:rPr>
        <w:t xml:space="preserve"> of July2026)</w:t>
      </w:r>
    </w:p>
    <w:p w:rsidR="25FE15FA" w:rsidP="71753D8B" w:rsidRDefault="25FE15FA" w14:paraId="6B6BBF9E" w14:textId="45FDA3DF">
      <w:pPr>
        <w:pStyle w:val="Normal"/>
        <w:spacing w:before="240" w:beforeAutospacing="off" w:after="240" w:afterAutospacing="off" w:line="360" w:lineRule="auto"/>
        <w:ind w:left="0"/>
        <w:jc w:val="left"/>
        <w:rPr>
          <w:noProof w:val="0"/>
          <w:sz w:val="22"/>
          <w:szCs w:val="22"/>
          <w:lang w:val="en-GB"/>
        </w:rPr>
      </w:pPr>
      <w:r w:rsidRPr="71753D8B" w:rsidR="25FE15FA">
        <w:rPr>
          <w:rFonts w:ascii="Arial" w:hAnsi="Arial" w:eastAsia="Arial" w:cs="Arial"/>
          <w:noProof w:val="0"/>
          <w:sz w:val="22"/>
          <w:szCs w:val="22"/>
          <w:lang w:val="en-GB"/>
        </w:rPr>
        <w:t>Oldmeadow</w:t>
      </w:r>
      <w:r w:rsidRPr="71753D8B" w:rsidR="25FE15FA">
        <w:rPr>
          <w:rFonts w:ascii="Arial" w:hAnsi="Arial" w:eastAsia="Arial" w:cs="Arial"/>
          <w:noProof w:val="0"/>
          <w:sz w:val="22"/>
          <w:szCs w:val="22"/>
          <w:lang w:val="en-GB"/>
        </w:rPr>
        <w:t xml:space="preserve">, J.A., Quinn, S. and Kowert, R. (2011) ‘Attachment style, social skills, and Facebook use amongst adults’, </w:t>
      </w:r>
      <w:r w:rsidRPr="71753D8B" w:rsidR="25FE15FA">
        <w:rPr>
          <w:rFonts w:ascii="Arial" w:hAnsi="Arial" w:eastAsia="Arial" w:cs="Arial"/>
          <w:i w:val="1"/>
          <w:iCs w:val="1"/>
          <w:noProof w:val="0"/>
          <w:sz w:val="22"/>
          <w:szCs w:val="22"/>
          <w:lang w:val="en-GB"/>
        </w:rPr>
        <w:t xml:space="preserve">Computers in Human </w:t>
      </w:r>
      <w:r w:rsidRPr="71753D8B" w:rsidR="25FE15FA">
        <w:rPr>
          <w:rFonts w:ascii="Arial" w:hAnsi="Arial" w:eastAsia="Arial" w:cs="Arial"/>
          <w:i w:val="1"/>
          <w:iCs w:val="1"/>
          <w:noProof w:val="0"/>
          <w:sz w:val="22"/>
          <w:szCs w:val="22"/>
          <w:lang w:val="en-GB"/>
        </w:rPr>
        <w:t>Behavior</w:t>
      </w:r>
      <w:r w:rsidRPr="71753D8B" w:rsidR="25FE15FA">
        <w:rPr>
          <w:rFonts w:ascii="Arial" w:hAnsi="Arial" w:eastAsia="Arial" w:cs="Arial"/>
          <w:noProof w:val="0"/>
          <w:sz w:val="22"/>
          <w:szCs w:val="22"/>
          <w:lang w:val="en-GB"/>
        </w:rPr>
        <w:t xml:space="preserve">, 27(3), pp. 1277–1281. Available at: </w:t>
      </w:r>
      <w:hyperlink r:id="R5897aff6daa64e81">
        <w:r w:rsidRPr="71753D8B" w:rsidR="25FE15FA">
          <w:rPr>
            <w:rStyle w:val="Hyperlink"/>
            <w:noProof w:val="0"/>
            <w:sz w:val="22"/>
            <w:szCs w:val="22"/>
            <w:lang w:val="en-GB"/>
          </w:rPr>
          <w:t>https://doi.org/10.1016/j.chb.2011.01.002</w:t>
        </w:r>
      </w:hyperlink>
      <w:r w:rsidRPr="71753D8B" w:rsidR="25FE15FA">
        <w:rPr>
          <w:rFonts w:ascii="Arial" w:hAnsi="Arial" w:eastAsia="Arial" w:cs="Arial"/>
          <w:noProof w:val="0"/>
          <w:sz w:val="22"/>
          <w:szCs w:val="22"/>
          <w:lang w:val="en-GB"/>
        </w:rPr>
        <w:t xml:space="preserve"> </w:t>
      </w:r>
      <w:hyperlink r:id="R2461413463784101">
        <w:r w:rsidRPr="71753D8B" w:rsidR="25FE15FA">
          <w:rPr>
            <w:rStyle w:val="Hyperlink"/>
            <w:noProof w:val="0"/>
            <w:sz w:val="22"/>
            <w:szCs w:val="22"/>
            <w:lang w:val="en-GB"/>
          </w:rPr>
          <w:t>(doi.org in Bing).</w:t>
        </w:r>
      </w:hyperlink>
      <w:r w:rsidRPr="71753D8B" w:rsidR="44AEC646">
        <w:rPr>
          <w:noProof w:val="0"/>
          <w:sz w:val="22"/>
          <w:szCs w:val="22"/>
          <w:lang w:val="en-GB"/>
        </w:rPr>
        <w:t xml:space="preserve"> (Assessed: 22</w:t>
      </w:r>
      <w:r w:rsidRPr="71753D8B" w:rsidR="44AEC646">
        <w:rPr>
          <w:noProof w:val="0"/>
          <w:sz w:val="22"/>
          <w:szCs w:val="22"/>
          <w:vertAlign w:val="superscript"/>
          <w:lang w:val="en-GB"/>
        </w:rPr>
        <w:t>nd</w:t>
      </w:r>
      <w:r w:rsidRPr="71753D8B" w:rsidR="44AEC646">
        <w:rPr>
          <w:noProof w:val="0"/>
          <w:sz w:val="22"/>
          <w:szCs w:val="22"/>
          <w:lang w:val="en-GB"/>
        </w:rPr>
        <w:t xml:space="preserve"> of July</w:t>
      </w:r>
      <w:r w:rsidRPr="71753D8B" w:rsidR="1CD34ECF">
        <w:rPr>
          <w:noProof w:val="0"/>
          <w:sz w:val="22"/>
          <w:szCs w:val="22"/>
          <w:lang w:val="en-GB"/>
        </w:rPr>
        <w:t xml:space="preserve"> 2026</w:t>
      </w:r>
      <w:r w:rsidRPr="71753D8B" w:rsidR="44AEC646">
        <w:rPr>
          <w:noProof w:val="0"/>
          <w:sz w:val="22"/>
          <w:szCs w:val="22"/>
          <w:lang w:val="en-GB"/>
        </w:rPr>
        <w:t>)</w:t>
      </w:r>
    </w:p>
    <w:p w:rsidR="25FE15FA" w:rsidP="71753D8B" w:rsidRDefault="25FE15FA" w14:paraId="4EEC4D58" w14:textId="4A153DAA">
      <w:pPr>
        <w:pStyle w:val="Normal"/>
        <w:spacing w:before="240" w:beforeAutospacing="off" w:after="240" w:afterAutospacing="off" w:line="360" w:lineRule="auto"/>
        <w:ind w:left="0"/>
        <w:jc w:val="left"/>
      </w:pPr>
      <w:r w:rsidRPr="71753D8B" w:rsidR="25FE15FA">
        <w:rPr>
          <w:rFonts w:ascii="Arial" w:hAnsi="Arial" w:eastAsia="Arial" w:cs="Arial"/>
          <w:noProof w:val="0"/>
          <w:sz w:val="22"/>
          <w:szCs w:val="22"/>
          <w:lang w:val="en-GB"/>
        </w:rPr>
        <w:t xml:space="preserve">Valkenburg, P.M., Meier, A. and </w:t>
      </w:r>
      <w:r w:rsidRPr="71753D8B" w:rsidR="25FE15FA">
        <w:rPr>
          <w:rFonts w:ascii="Arial" w:hAnsi="Arial" w:eastAsia="Arial" w:cs="Arial"/>
          <w:noProof w:val="0"/>
          <w:sz w:val="22"/>
          <w:szCs w:val="22"/>
          <w:lang w:val="en-GB"/>
        </w:rPr>
        <w:t>Beyens</w:t>
      </w:r>
      <w:r w:rsidRPr="71753D8B" w:rsidR="25FE15FA">
        <w:rPr>
          <w:rFonts w:ascii="Arial" w:hAnsi="Arial" w:eastAsia="Arial" w:cs="Arial"/>
          <w:noProof w:val="0"/>
          <w:sz w:val="22"/>
          <w:szCs w:val="22"/>
          <w:lang w:val="en-GB"/>
        </w:rPr>
        <w:t xml:space="preserve">, I. (2022) ‘Social media use and its impact on adolescent mental health: An umbrella review’, </w:t>
      </w:r>
      <w:r w:rsidRPr="71753D8B" w:rsidR="25FE15FA">
        <w:rPr>
          <w:rFonts w:ascii="Arial" w:hAnsi="Arial" w:eastAsia="Arial" w:cs="Arial"/>
          <w:i w:val="1"/>
          <w:iCs w:val="1"/>
          <w:noProof w:val="0"/>
          <w:sz w:val="22"/>
          <w:szCs w:val="22"/>
          <w:lang w:val="en-GB"/>
        </w:rPr>
        <w:t>Current Opinion in Psychology</w:t>
      </w:r>
      <w:r w:rsidRPr="71753D8B" w:rsidR="25FE15FA">
        <w:rPr>
          <w:rFonts w:ascii="Arial" w:hAnsi="Arial" w:eastAsia="Arial" w:cs="Arial"/>
          <w:noProof w:val="0"/>
          <w:sz w:val="22"/>
          <w:szCs w:val="22"/>
          <w:lang w:val="en-GB"/>
        </w:rPr>
        <w:t xml:space="preserve">, 44, pp. 58–68. Available at: </w:t>
      </w:r>
      <w:hyperlink r:id="Rd3083e7ffdaa4523">
        <w:r w:rsidRPr="71753D8B" w:rsidR="25FE15FA">
          <w:rPr>
            <w:rStyle w:val="Hyperlink"/>
            <w:noProof w:val="0"/>
            <w:sz w:val="22"/>
            <w:szCs w:val="22"/>
            <w:lang w:val="en-GB"/>
          </w:rPr>
          <w:t>https://doi.org/10.1016/j.copsyc.2021.08.017</w:t>
        </w:r>
      </w:hyperlink>
      <w:r w:rsidRPr="71753D8B" w:rsidR="25FE15FA">
        <w:rPr>
          <w:rFonts w:ascii="Arial" w:hAnsi="Arial" w:eastAsia="Arial" w:cs="Arial"/>
          <w:noProof w:val="0"/>
          <w:sz w:val="22"/>
          <w:szCs w:val="22"/>
          <w:lang w:val="en-GB"/>
        </w:rPr>
        <w:t xml:space="preserve"> </w:t>
      </w:r>
      <w:hyperlink r:id="R99e1d52d3c184250">
        <w:r w:rsidRPr="71753D8B" w:rsidR="25FE15FA">
          <w:rPr>
            <w:rStyle w:val="Hyperlink"/>
            <w:noProof w:val="0"/>
            <w:sz w:val="22"/>
            <w:szCs w:val="22"/>
            <w:lang w:val="en-GB"/>
          </w:rPr>
          <w:t>(doi.org in Bing)</w:t>
        </w:r>
      </w:hyperlink>
      <w:r w:rsidRPr="71753D8B" w:rsidR="0BE84192">
        <w:rPr>
          <w:noProof w:val="0"/>
          <w:sz w:val="22"/>
          <w:szCs w:val="22"/>
          <w:lang w:val="en-GB"/>
        </w:rPr>
        <w:t xml:space="preserve"> (A</w:t>
      </w:r>
      <w:r w:rsidRPr="71753D8B" w:rsidR="337442B7">
        <w:rPr>
          <w:noProof w:val="0"/>
          <w:sz w:val="22"/>
          <w:szCs w:val="22"/>
          <w:lang w:val="en-GB"/>
        </w:rPr>
        <w:t>ssessed</w:t>
      </w:r>
      <w:r w:rsidRPr="71753D8B" w:rsidR="34DABFE6">
        <w:rPr>
          <w:noProof w:val="0"/>
          <w:sz w:val="22"/>
          <w:szCs w:val="22"/>
          <w:lang w:val="en-GB"/>
        </w:rPr>
        <w:t>:</w:t>
      </w:r>
      <w:r w:rsidRPr="71753D8B" w:rsidR="337442B7">
        <w:rPr>
          <w:noProof w:val="0"/>
          <w:sz w:val="22"/>
          <w:szCs w:val="22"/>
          <w:lang w:val="en-GB"/>
        </w:rPr>
        <w:t xml:space="preserve"> 22</w:t>
      </w:r>
      <w:r w:rsidRPr="71753D8B" w:rsidR="337442B7">
        <w:rPr>
          <w:noProof w:val="0"/>
          <w:sz w:val="22"/>
          <w:szCs w:val="22"/>
          <w:vertAlign w:val="superscript"/>
          <w:lang w:val="en-GB"/>
        </w:rPr>
        <w:t>nd</w:t>
      </w:r>
      <w:r w:rsidRPr="71753D8B" w:rsidR="337442B7">
        <w:rPr>
          <w:noProof w:val="0"/>
          <w:sz w:val="22"/>
          <w:szCs w:val="22"/>
          <w:lang w:val="en-GB"/>
        </w:rPr>
        <w:t xml:space="preserve"> of</w:t>
      </w:r>
      <w:r w:rsidRPr="71753D8B" w:rsidR="05A023E4">
        <w:rPr>
          <w:noProof w:val="0"/>
          <w:sz w:val="22"/>
          <w:szCs w:val="22"/>
          <w:lang w:val="en-GB"/>
        </w:rPr>
        <w:t xml:space="preserve"> July 2026)</w:t>
      </w:r>
    </w:p>
    <w:sectPr>
      <w:pgSz w:w="11906" w:h="16838" w:orient="portrait"/>
      <w:pgMar w:top="1440" w:right="1440" w:bottom="1440" w:left="1440" w:header="720" w:footer="720" w:gutter="0"/>
      <w:cols w:space="720"/>
      <w:docGrid w:linePitch="360"/>
      <w:headerReference w:type="default" r:id="R4fc863bc9b804b9c"/>
      <w:footerReference w:type="default" r:id="R8e0153595bed4e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1753D8B" w:rsidTr="71753D8B" w14:paraId="24427C85">
      <w:trPr>
        <w:trHeight w:val="300"/>
      </w:trPr>
      <w:tc>
        <w:tcPr>
          <w:tcW w:w="3005" w:type="dxa"/>
          <w:tcMar/>
        </w:tcPr>
        <w:p w:rsidR="71753D8B" w:rsidP="71753D8B" w:rsidRDefault="71753D8B" w14:paraId="51B0390B" w14:textId="7E814399">
          <w:pPr>
            <w:pStyle w:val="Header"/>
            <w:bidi w:val="0"/>
            <w:ind w:left="-115"/>
            <w:jc w:val="left"/>
          </w:pPr>
        </w:p>
      </w:tc>
      <w:tc>
        <w:tcPr>
          <w:tcW w:w="3005" w:type="dxa"/>
          <w:tcMar/>
        </w:tcPr>
        <w:p w:rsidR="71753D8B" w:rsidP="71753D8B" w:rsidRDefault="71753D8B" w14:paraId="745E3BE7" w14:textId="2F04500A">
          <w:pPr>
            <w:pStyle w:val="Header"/>
            <w:bidi w:val="0"/>
            <w:jc w:val="center"/>
          </w:pPr>
          <w:r>
            <w:fldChar w:fldCharType="begin"/>
          </w:r>
          <w:r>
            <w:instrText xml:space="preserve">PAGE</w:instrText>
          </w:r>
          <w:r>
            <w:fldChar w:fldCharType="separate"/>
          </w:r>
          <w:r>
            <w:fldChar w:fldCharType="end"/>
          </w:r>
        </w:p>
      </w:tc>
      <w:tc>
        <w:tcPr>
          <w:tcW w:w="3005" w:type="dxa"/>
          <w:tcMar/>
        </w:tcPr>
        <w:p w:rsidR="71753D8B" w:rsidP="71753D8B" w:rsidRDefault="71753D8B" w14:paraId="7800FE2C" w14:textId="509D85CE">
          <w:pPr>
            <w:pStyle w:val="Header"/>
            <w:bidi w:val="0"/>
            <w:ind w:right="-115"/>
            <w:jc w:val="right"/>
          </w:pPr>
        </w:p>
      </w:tc>
    </w:tr>
  </w:tbl>
  <w:p w:rsidR="71753D8B" w:rsidP="71753D8B" w:rsidRDefault="71753D8B" w14:paraId="4218A538" w14:textId="2B0805D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1753D8B" w:rsidTr="71753D8B" w14:paraId="251AD07F">
      <w:trPr>
        <w:trHeight w:val="300"/>
      </w:trPr>
      <w:tc>
        <w:tcPr>
          <w:tcW w:w="3005" w:type="dxa"/>
          <w:tcMar/>
        </w:tcPr>
        <w:p w:rsidR="71753D8B" w:rsidP="71753D8B" w:rsidRDefault="71753D8B" w14:paraId="302884B5" w14:textId="4A99867F">
          <w:pPr>
            <w:pStyle w:val="Header"/>
            <w:bidi w:val="0"/>
            <w:ind w:left="-115"/>
            <w:jc w:val="left"/>
          </w:pPr>
        </w:p>
      </w:tc>
      <w:tc>
        <w:tcPr>
          <w:tcW w:w="3005" w:type="dxa"/>
          <w:tcMar/>
        </w:tcPr>
        <w:p w:rsidR="71753D8B" w:rsidP="71753D8B" w:rsidRDefault="71753D8B" w14:paraId="23C1CF49" w14:textId="31AD490F">
          <w:pPr>
            <w:pStyle w:val="Header"/>
            <w:bidi w:val="0"/>
            <w:jc w:val="center"/>
          </w:pPr>
        </w:p>
      </w:tc>
      <w:tc>
        <w:tcPr>
          <w:tcW w:w="3005" w:type="dxa"/>
          <w:tcMar/>
        </w:tcPr>
        <w:p w:rsidR="71753D8B" w:rsidP="71753D8B" w:rsidRDefault="71753D8B" w14:paraId="2436D3C4" w14:textId="6322C4F2">
          <w:pPr>
            <w:pStyle w:val="Header"/>
            <w:bidi w:val="0"/>
            <w:ind w:right="-115"/>
            <w:jc w:val="right"/>
          </w:pPr>
        </w:p>
      </w:tc>
    </w:tr>
  </w:tbl>
  <w:p w:rsidR="71753D8B" w:rsidP="71753D8B" w:rsidRDefault="71753D8B" w14:paraId="0B1FCE84" w14:textId="638BA0E3">
    <w:pPr>
      <w:pStyle w:val="Header"/>
      <w:bidi w:val="0"/>
    </w:pPr>
  </w:p>
</w:hdr>
</file>

<file path=word/numbering.xml><?xml version="1.0" encoding="utf-8"?>
<w:numbering xmlns:w="http://schemas.openxmlformats.org/wordprocessingml/2006/main">
  <w:abstractNum xmlns:w="http://schemas.openxmlformats.org/wordprocessingml/2006/main" w:abstractNumId="9">
    <w:nsid w:val="6d69d1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85d2b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02a5b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a81a2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786b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99275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57d9a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44e01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9353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0A608D"/>
    <w:rsid w:val="00F52D86"/>
    <w:rsid w:val="015B24AC"/>
    <w:rsid w:val="031C9D6C"/>
    <w:rsid w:val="036F24E5"/>
    <w:rsid w:val="03983178"/>
    <w:rsid w:val="048AB908"/>
    <w:rsid w:val="05A023E4"/>
    <w:rsid w:val="081A2B11"/>
    <w:rsid w:val="0832A2E2"/>
    <w:rsid w:val="0957B5EF"/>
    <w:rsid w:val="095FE156"/>
    <w:rsid w:val="0B5C5D24"/>
    <w:rsid w:val="0BE84192"/>
    <w:rsid w:val="0C039C83"/>
    <w:rsid w:val="0C252A82"/>
    <w:rsid w:val="0DB14126"/>
    <w:rsid w:val="0F1160A3"/>
    <w:rsid w:val="0F896A57"/>
    <w:rsid w:val="0FFC380C"/>
    <w:rsid w:val="11AED0E2"/>
    <w:rsid w:val="11CA6659"/>
    <w:rsid w:val="122C0257"/>
    <w:rsid w:val="1249B99B"/>
    <w:rsid w:val="12AE4690"/>
    <w:rsid w:val="139E9562"/>
    <w:rsid w:val="14657960"/>
    <w:rsid w:val="16B8AD33"/>
    <w:rsid w:val="18199F81"/>
    <w:rsid w:val="198A352B"/>
    <w:rsid w:val="1AB8C17F"/>
    <w:rsid w:val="1BCB858E"/>
    <w:rsid w:val="1CD34ECF"/>
    <w:rsid w:val="1EB1EC17"/>
    <w:rsid w:val="2594BB0A"/>
    <w:rsid w:val="25FE15FA"/>
    <w:rsid w:val="26E5B1FC"/>
    <w:rsid w:val="27227415"/>
    <w:rsid w:val="27896ECB"/>
    <w:rsid w:val="2AE7B451"/>
    <w:rsid w:val="2BC9BEF1"/>
    <w:rsid w:val="2C3DB6C0"/>
    <w:rsid w:val="2C5A39FE"/>
    <w:rsid w:val="2DEAC2E5"/>
    <w:rsid w:val="2E20B12F"/>
    <w:rsid w:val="2FB955FC"/>
    <w:rsid w:val="30237971"/>
    <w:rsid w:val="30407EA8"/>
    <w:rsid w:val="31147942"/>
    <w:rsid w:val="31256D96"/>
    <w:rsid w:val="3201B827"/>
    <w:rsid w:val="3294ABA5"/>
    <w:rsid w:val="32F810C3"/>
    <w:rsid w:val="3321C337"/>
    <w:rsid w:val="33537553"/>
    <w:rsid w:val="337442B7"/>
    <w:rsid w:val="34418270"/>
    <w:rsid w:val="34B9D537"/>
    <w:rsid w:val="34DABFE6"/>
    <w:rsid w:val="3562FDB7"/>
    <w:rsid w:val="363D04CA"/>
    <w:rsid w:val="37D00A9A"/>
    <w:rsid w:val="39785C6E"/>
    <w:rsid w:val="3B5AE8BC"/>
    <w:rsid w:val="3BB878D3"/>
    <w:rsid w:val="3BEFE2EA"/>
    <w:rsid w:val="3C09C6EC"/>
    <w:rsid w:val="3C6E4286"/>
    <w:rsid w:val="3D70C799"/>
    <w:rsid w:val="3E178F28"/>
    <w:rsid w:val="40A02526"/>
    <w:rsid w:val="40EA1879"/>
    <w:rsid w:val="4257215F"/>
    <w:rsid w:val="428F5AB6"/>
    <w:rsid w:val="42CF21C4"/>
    <w:rsid w:val="432B48DD"/>
    <w:rsid w:val="43BC7D79"/>
    <w:rsid w:val="448CF685"/>
    <w:rsid w:val="449739D4"/>
    <w:rsid w:val="44AEC646"/>
    <w:rsid w:val="45108920"/>
    <w:rsid w:val="45DA3961"/>
    <w:rsid w:val="4605E03F"/>
    <w:rsid w:val="4A782747"/>
    <w:rsid w:val="4C33F1A9"/>
    <w:rsid w:val="4C4604A1"/>
    <w:rsid w:val="4D3D05F3"/>
    <w:rsid w:val="4DDF6273"/>
    <w:rsid w:val="4E737D4D"/>
    <w:rsid w:val="509001F4"/>
    <w:rsid w:val="552289FD"/>
    <w:rsid w:val="557BEF77"/>
    <w:rsid w:val="5693FD2B"/>
    <w:rsid w:val="5705AE16"/>
    <w:rsid w:val="57E0E4B1"/>
    <w:rsid w:val="58C95034"/>
    <w:rsid w:val="595FAD41"/>
    <w:rsid w:val="5B0A608D"/>
    <w:rsid w:val="5EE7D280"/>
    <w:rsid w:val="5EFB4EE4"/>
    <w:rsid w:val="5F598E0C"/>
    <w:rsid w:val="5F88789C"/>
    <w:rsid w:val="5FEEC242"/>
    <w:rsid w:val="60B5CAEA"/>
    <w:rsid w:val="61509FE9"/>
    <w:rsid w:val="61E56F72"/>
    <w:rsid w:val="67E9917E"/>
    <w:rsid w:val="692AF7C2"/>
    <w:rsid w:val="6A8470D7"/>
    <w:rsid w:val="6B2C33DF"/>
    <w:rsid w:val="6C15FD65"/>
    <w:rsid w:val="6CF2D403"/>
    <w:rsid w:val="6D05EFAB"/>
    <w:rsid w:val="6DA32F92"/>
    <w:rsid w:val="6E92D12F"/>
    <w:rsid w:val="6F274241"/>
    <w:rsid w:val="700B1B75"/>
    <w:rsid w:val="704D7C04"/>
    <w:rsid w:val="71509206"/>
    <w:rsid w:val="71753D8B"/>
    <w:rsid w:val="7190F59E"/>
    <w:rsid w:val="72F03842"/>
    <w:rsid w:val="73E7FE0B"/>
    <w:rsid w:val="74CE0AF5"/>
    <w:rsid w:val="76C4A9F4"/>
    <w:rsid w:val="7769CCD0"/>
    <w:rsid w:val="777BAD4E"/>
    <w:rsid w:val="77C1836D"/>
    <w:rsid w:val="77C6A3DE"/>
    <w:rsid w:val="7B27307F"/>
    <w:rsid w:val="7BD1B727"/>
    <w:rsid w:val="7F1B2A2E"/>
    <w:rsid w:val="7F4A0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23C30"/>
  <w15:chartTrackingRefBased/>
  <w15:docId w15:val="{7C1736F6-5747-4D85-8688-7A6AF99C28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1753D8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71753D8B"/>
    <w:rPr>
      <w:color w:val="467886"/>
      <w:u w:val="single"/>
    </w:rPr>
  </w:style>
  <w:style w:type="paragraph" w:styleId="ListParagraph">
    <w:uiPriority w:val="34"/>
    <w:name w:val="List Paragraph"/>
    <w:basedOn w:val="Normal"/>
    <w:qFormat/>
    <w:rsid w:val="71753D8B"/>
    <w:pPr>
      <w:spacing/>
      <w:ind w:left="720"/>
      <w:contextualSpacing/>
    </w:pPr>
  </w:style>
  <w:style w:type="paragraph" w:styleId="Header">
    <w:uiPriority w:val="99"/>
    <w:name w:val="header"/>
    <w:basedOn w:val="Normal"/>
    <w:unhideWhenUsed/>
    <w:rsid w:val="71753D8B"/>
    <w:pPr>
      <w:tabs>
        <w:tab w:val="center" w:leader="none" w:pos="4680"/>
        <w:tab w:val="right" w:leader="none" w:pos="9360"/>
      </w:tabs>
      <w:spacing w:after="0" w:line="240" w:lineRule="auto"/>
    </w:pPr>
  </w:style>
  <w:style w:type="paragraph" w:styleId="Footer">
    <w:uiPriority w:val="99"/>
    <w:name w:val="footer"/>
    <w:basedOn w:val="Normal"/>
    <w:unhideWhenUsed/>
    <w:rsid w:val="71753D8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67577904" /><Relationship Type="http://schemas.openxmlformats.org/officeDocument/2006/relationships/hyperlink" Target="https://doi.org/10.1016/j.childyouth.2014.03.001" TargetMode="External" Id="R03007360cfcb4b16" /><Relationship Type="http://schemas.openxmlformats.org/officeDocument/2006/relationships/hyperlink" Target="https://www.bing.com/search?q=%22https%3A%2F%2Fdoi.org%2F10.1016%2Fj.childyouth.2014.03.001%22" TargetMode="External" Id="R03d6ccdfd35d42e2" /><Relationship Type="http://schemas.openxmlformats.org/officeDocument/2006/relationships/hyperlink" Target="https://www.routledge.com/A-Secure-Base/Bowlby/p/book/9780415030427" TargetMode="External" Id="Rf584fd23feb8427f" /><Relationship Type="http://schemas.openxmlformats.org/officeDocument/2006/relationships/hyperlink" Target="https://www.bing.com/search?q=%22https%3A%2F%2Fwww.routledge.com%2FA-Secure-Base%2FBowlby%2Fp%2Fbook%2F9780415030427%22" TargetMode="External" Id="R04e9c1c48fe44fff" /><Relationship Type="http://schemas.openxmlformats.org/officeDocument/2006/relationships/hyperlink" Target="https://wwnorton.com/books/9780393311440" TargetMode="External" Id="Rb1af3dba95904aef" /><Relationship Type="http://schemas.openxmlformats.org/officeDocument/2006/relationships/hyperlink" Target="https://www.bing.com/search?q=%22https%3A%2F%2Fwwnorton.com%2Fbooks%2F9780393311440%22" TargetMode="External" Id="R06b6361f75414a25" /><Relationship Type="http://schemas.openxmlformats.org/officeDocument/2006/relationships/hyperlink" Target="https://doi.org/10.1080/02673843.2019.1590851" TargetMode="External" Id="Rd97b90ffd84c4fe2" /><Relationship Type="http://schemas.openxmlformats.org/officeDocument/2006/relationships/hyperlink" Target="https://www.bing.com/search?q=%22https%3A%2F%2Fdoi.org%2F10.1080%2F02673843.2019.1590851%22" TargetMode="External" Id="R488504bf0b074d49" /><Relationship Type="http://schemas.openxmlformats.org/officeDocument/2006/relationships/hyperlink" Target="https://doi.org/10.1002/wps.20866" TargetMode="External" Id="Rb74189ee48874cb0" /><Relationship Type="http://schemas.openxmlformats.org/officeDocument/2006/relationships/hyperlink" Target="https://doi.org/10.1111/jcpp.13190" TargetMode="External" Id="Rc346e8813ead40f2" /><Relationship Type="http://schemas.openxmlformats.org/officeDocument/2006/relationships/hyperlink" Target="https://doi.org/10.1016/j.chb.2011.01.002" TargetMode="External" Id="R5897aff6daa64e81" /><Relationship Type="http://schemas.openxmlformats.org/officeDocument/2006/relationships/hyperlink" Target="https://www.bing.com/search?q=%22https%3A%2F%2Fdoi.org%2F10.1016%2Fj.chb.2011.01.002%22" TargetMode="External" Id="R2461413463784101" /><Relationship Type="http://schemas.openxmlformats.org/officeDocument/2006/relationships/hyperlink" Target="https://doi.org/10.1016/j.copsyc.2021.08.017" TargetMode="External" Id="Rd3083e7ffdaa4523" /><Relationship Type="http://schemas.openxmlformats.org/officeDocument/2006/relationships/hyperlink" Target="https://www.bing.com/search?q=%22https%3A%2F%2Fdoi.org%2F10.1016%2Fj.copsyc.2021.08.017%22" TargetMode="External" Id="R99e1d52d3c184250" /><Relationship Type="http://schemas.openxmlformats.org/officeDocument/2006/relationships/header" Target="/word/header.xml" Id="R4fc863bc9b804b9c" /><Relationship Type="http://schemas.openxmlformats.org/officeDocument/2006/relationships/footer" Target="/word/footer.xml" Id="R8e0153595bed4e60" /><Relationship Type="http://schemas.openxmlformats.org/officeDocument/2006/relationships/numbering" Target="/word/numbering.xml" Id="Rb812e65e178846b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Sansha Nastasia Gordon (2508270)</dc:creator>
  <keywords/>
  <dc:description/>
  <lastModifiedBy>Sansha Nastasia Gordon (2508270)</lastModifiedBy>
  <revision>3</revision>
  <dcterms:created xsi:type="dcterms:W3CDTF">2026-07-15T13:11:39.7374149Z</dcterms:created>
  <dcterms:modified xsi:type="dcterms:W3CDTF">2026-07-22T21:58:58.0841618Z</dcterms:modified>
</coreProperties>
</file>