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B0FF30" wp14:paraId="17C9BA78" wp14:textId="4845BF6E">
      <w:pPr>
        <w:rPr>
          <w:rFonts w:ascii="Aptos" w:hAnsi="Aptos" w:eastAsia="Aptos" w:cs="Aptos"/>
          <w:noProof w:val="0"/>
          <w:sz w:val="16"/>
          <w:szCs w:val="16"/>
          <w:lang w:val="en-GB"/>
        </w:rPr>
      </w:pPr>
      <w:r w:rsidRPr="19B0FF30" w:rsidR="2B9B5D5D">
        <w:rPr>
          <w:rFonts w:ascii="Aptos" w:hAnsi="Aptos" w:eastAsia="Aptos" w:cs="Aptos"/>
          <w:noProof w:val="0"/>
          <w:sz w:val="16"/>
          <w:szCs w:val="16"/>
          <w:lang w:val="en-GB"/>
        </w:rPr>
        <w:t>Student number - 2407735</w:t>
      </w:r>
    </w:p>
    <w:p xmlns:wp14="http://schemas.microsoft.com/office/word/2010/wordml" w:rsidP="19B0FF30" wp14:paraId="3C75D4F5" wp14:textId="12EC524D">
      <w:pPr>
        <w:rPr>
          <w:rFonts w:ascii="Aptos" w:hAnsi="Aptos" w:eastAsia="Aptos" w:cs="Aptos"/>
          <w:noProof w:val="0"/>
          <w:sz w:val="16"/>
          <w:szCs w:val="16"/>
          <w:lang w:val="en-GB"/>
        </w:rPr>
      </w:pPr>
      <w:r w:rsidRPr="19B0FF30" w:rsidR="2B9B5D5D">
        <w:rPr>
          <w:rFonts w:ascii="Aptos" w:hAnsi="Aptos" w:eastAsia="Aptos" w:cs="Aptos"/>
          <w:noProof w:val="0"/>
          <w:sz w:val="16"/>
          <w:szCs w:val="16"/>
          <w:lang w:val="en-GB"/>
        </w:rPr>
        <w:t>Katie Thomas</w:t>
      </w:r>
    </w:p>
    <w:p xmlns:wp14="http://schemas.microsoft.com/office/word/2010/wordml" w:rsidP="19B0FF30" wp14:paraId="64F38D1B" wp14:textId="1B363BDD">
      <w:pPr>
        <w:spacing w:before="240" w:after="240"/>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b w:val="1"/>
          <w:bCs w:val="1"/>
          <w:noProof w:val="0"/>
          <w:color w:val="000000" w:themeColor="text1" w:themeTint="FF" w:themeShade="FF"/>
          <w:sz w:val="22"/>
          <w:szCs w:val="22"/>
          <w:lang w:val="en-GB"/>
        </w:rPr>
        <w:t xml:space="preserve">Addressing Health inequalities in Wales: </w:t>
      </w:r>
      <w:r w:rsidRPr="19B0FF30" w:rsidR="2B9B5D5D">
        <w:rPr>
          <w:rFonts w:ascii="Aptos" w:hAnsi="Aptos" w:eastAsia="Aptos" w:cs="Aptos"/>
          <w:noProof w:val="0"/>
          <w:color w:val="000000" w:themeColor="text1" w:themeTint="FF" w:themeShade="FF"/>
          <w:sz w:val="22"/>
          <w:szCs w:val="22"/>
          <w:lang w:val="en-GB"/>
        </w:rPr>
        <w:t xml:space="preserve"> </w:t>
      </w:r>
      <w:r w:rsidRPr="19B0FF30" w:rsidR="2B9B5D5D">
        <w:rPr>
          <w:rFonts w:ascii="Aptos" w:hAnsi="Aptos" w:eastAsia="Aptos" w:cs="Aptos"/>
          <w:b w:val="1"/>
          <w:bCs w:val="1"/>
          <w:noProof w:val="0"/>
          <w:color w:val="000000" w:themeColor="text1" w:themeTint="FF" w:themeShade="FF"/>
          <w:sz w:val="22"/>
          <w:szCs w:val="22"/>
          <w:lang w:val="en-GB"/>
        </w:rPr>
        <w:t>why we need better community and preventive health services</w:t>
      </w:r>
    </w:p>
    <w:p xmlns:wp14="http://schemas.microsoft.com/office/word/2010/wordml" w:rsidP="19B0FF30" wp14:paraId="68A73286" wp14:textId="025F7A3E">
      <w:pPr>
        <w:spacing w:before="240" w:after="240"/>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Health inequalities are a big issue in Wales. People living in the poorest areas tend to have shorter lifespans, poorer health, and higher rates of early death compared to those in richer areas (Public Health Wales, 2022a; Marmot, 2020). The differences aren’t fair and could be avoided with the right policies. This brief suggests creating a Health Equity &amp; Prevention Fund (HEPF) to improve community and preventive health services in deprived areas. This could involve mental health support, lifestyle and wellness programmes, outreach clinics, and making healthcare easier to access. The idea is to reduce and prevent illness, make health services more equal and fairer, and save money in the long run (People’s Health Trust, 2023; Welsh Government, 2021).</w:t>
      </w:r>
    </w:p>
    <w:p xmlns:wp14="http://schemas.microsoft.com/office/word/2010/wordml" w:rsidP="19B0FF30" wp14:paraId="20517B6C" wp14:textId="0F83FD45">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Health inequalities are basically unfair differences in health between different groups of people, and in Wales, they’re a real problem. These gaps affect how long people live, how healthy they are day to day, and how much their health impacts their quality of life (Marmot, 2020; Public Health Wales, 2022b). Certain communities consistently face worse outcomes than others, and these differences usually come from social and economic factors, rather than individual choices (Welsh Government, 2015).</w:t>
      </w:r>
    </w:p>
    <w:p xmlns:wp14="http://schemas.microsoft.com/office/word/2010/wordml" w:rsidP="19B0FF30" wp14:paraId="26BC5236" wp14:textId="5D879A62">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Living in a deprived area often means dealing with a mix of challenges that can make staying healthy much harder. People may have less money, live in poor housing, or struggle to get to healthcare services when they need them (People’s Health Trust, 2023). Opportunities for education or jobs can also be limited, which has a knock-on effect on health over time. For people in rural areas, distance and transport issues can make it even harder to access medical support or community resources (NHS Wales, 2023). All these challenges combine to create situations where some groups of people are at a real disadvantage when it comes to their health (Jones &amp; Davies, 2023).</w:t>
      </w:r>
    </w:p>
    <w:p xmlns:wp14="http://schemas.microsoft.com/office/word/2010/wordml" w:rsidP="19B0FF30" wp14:paraId="0EBD84F5" wp14:textId="66619E21">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Health inequalities </w:t>
      </w:r>
      <w:r w:rsidRPr="19B0FF30" w:rsidR="2B9B5D5D">
        <w:rPr>
          <w:rFonts w:ascii="Aptos" w:hAnsi="Aptos" w:eastAsia="Aptos" w:cs="Aptos"/>
          <w:noProof w:val="0"/>
          <w:color w:val="000000" w:themeColor="text1" w:themeTint="FF" w:themeShade="FF"/>
          <w:sz w:val="22"/>
          <w:szCs w:val="22"/>
          <w:lang w:val="en-GB"/>
        </w:rPr>
        <w:t>don’t</w:t>
      </w:r>
      <w:r w:rsidRPr="19B0FF30" w:rsidR="2B9B5D5D">
        <w:rPr>
          <w:rFonts w:ascii="Aptos" w:hAnsi="Aptos" w:eastAsia="Aptos" w:cs="Aptos"/>
          <w:noProof w:val="0"/>
          <w:color w:val="000000" w:themeColor="text1" w:themeTint="FF" w:themeShade="FF"/>
          <w:sz w:val="22"/>
          <w:szCs w:val="22"/>
          <w:lang w:val="en-GB"/>
        </w:rPr>
        <w:t xml:space="preserve"> just affect individuals they also </w:t>
      </w:r>
      <w:r w:rsidRPr="19B0FF30" w:rsidR="2B9B5D5D">
        <w:rPr>
          <w:rFonts w:ascii="Aptos" w:hAnsi="Aptos" w:eastAsia="Aptos" w:cs="Aptos"/>
          <w:noProof w:val="0"/>
          <w:color w:val="000000" w:themeColor="text1" w:themeTint="FF" w:themeShade="FF"/>
          <w:sz w:val="22"/>
          <w:szCs w:val="22"/>
          <w:lang w:val="en-GB"/>
        </w:rPr>
        <w:t>impact</w:t>
      </w:r>
      <w:r w:rsidRPr="19B0FF30" w:rsidR="2B9B5D5D">
        <w:rPr>
          <w:rFonts w:ascii="Aptos" w:hAnsi="Aptos" w:eastAsia="Aptos" w:cs="Aptos"/>
          <w:noProof w:val="0"/>
          <w:color w:val="000000" w:themeColor="text1" w:themeTint="FF" w:themeShade="FF"/>
          <w:sz w:val="22"/>
          <w:szCs w:val="22"/>
          <w:lang w:val="en-GB"/>
        </w:rPr>
        <w:t xml:space="preserve"> whole communities and the health system. Poorer health leads to more frequent visits to hospitals and clinics, increasing pressure on the NHS and driving up costs (NHS Wales, 2023; Jones &amp; Davies, 2023). It also affects people’s ability to work, study, or take part in their communities, and can create cycles of disadvantage that last across generations (Marmot, 2020).</w:t>
      </w:r>
    </w:p>
    <w:p xmlns:wp14="http://schemas.microsoft.com/office/word/2010/wordml" w:rsidP="19B0FF30" wp14:paraId="48AC1BBE" wp14:textId="7F22D2A4">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Reducing these inequalities isn’t just about treating illness. It’s about prevention, support, and creating fair chances for everyone to live a healthy life (Welsh Government, 2021). Without targeted action, these gaps are likely to continue, leaving certain areas behind. This brief looks at the scale of health inequalities in Wales and suggests a policy to help improve health outcomes in the communities that need it most (Public Health Wales, 2022a).</w:t>
      </w:r>
    </w:p>
    <w:p xmlns:wp14="http://schemas.microsoft.com/office/word/2010/wordml" w:rsidP="19B0FF30" wp14:paraId="73F31775" wp14:textId="5EB3CDFF">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The main issue in Wales is that people living in deprived areas are facing significantly worse health outcomes than those in wealthier communities. On average, men in the most deprived areas live around 7.5 years less than men in the richest areas, while women live about 6.3 years less (Public Health Wales, 2022a; Marmot, 2020).</w:t>
      </w:r>
    </w:p>
    <w:p xmlns:wp14="http://schemas.microsoft.com/office/word/2010/wordml" w:rsidP="19B0FF30" wp14:paraId="20BAA9E3" wp14:textId="55BD212A">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The differences are even more noticeable when we look at healthy life expectancy. Women in deprived areas may only have around 53 years of healthy life, compared with roughly 70 years for women in wealthier communities. Men in these areas have about 13 fewer healthy years than men in richer parts of Wales (Public Health Wales, 2022b).</w:t>
      </w:r>
    </w:p>
    <w:p xmlns:wp14="http://schemas.microsoft.com/office/word/2010/wordml" w:rsidP="19B0FF30" wp14:paraId="60043E98" wp14:textId="6CA917BB">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Premature deaths are more common in deprived communities, and these areas place extra pressure on the NHS. Health inequalities contribute to higher rates of emergency admissions and hospital visits, costing the NHS approximately £322 million every year (NHS Wales, 2023; Jones &amp; Davies, 2023).</w:t>
      </w:r>
    </w:p>
    <w:p xmlns:wp14="http://schemas.microsoft.com/office/word/2010/wordml" w:rsidP="19B0FF30" wp14:paraId="57513D7E" wp14:textId="32DB5704">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These figures are more than just </w:t>
      </w:r>
      <w:r w:rsidRPr="19B0FF30" w:rsidR="6A21CA17">
        <w:rPr>
          <w:rFonts w:ascii="Aptos" w:hAnsi="Aptos" w:eastAsia="Aptos" w:cs="Aptos"/>
          <w:noProof w:val="0"/>
          <w:color w:val="000000" w:themeColor="text1" w:themeTint="FF" w:themeShade="FF"/>
          <w:sz w:val="22"/>
          <w:szCs w:val="22"/>
          <w:lang w:val="en-GB"/>
        </w:rPr>
        <w:t>statistics;</w:t>
      </w:r>
      <w:r w:rsidRPr="19B0FF30" w:rsidR="6A21CA17">
        <w:rPr>
          <w:rFonts w:ascii="Aptos" w:hAnsi="Aptos" w:eastAsia="Aptos" w:cs="Aptos"/>
          <w:noProof w:val="0"/>
          <w:color w:val="000000" w:themeColor="text1" w:themeTint="FF" w:themeShade="FF"/>
          <w:sz w:val="22"/>
          <w:szCs w:val="22"/>
          <w:lang w:val="en-GB"/>
        </w:rPr>
        <w:t xml:space="preserve"> </w:t>
      </w:r>
      <w:r w:rsidRPr="19B0FF30" w:rsidR="2B9B5D5D">
        <w:rPr>
          <w:rFonts w:ascii="Aptos" w:hAnsi="Aptos" w:eastAsia="Aptos" w:cs="Aptos"/>
          <w:noProof w:val="0"/>
          <w:color w:val="000000" w:themeColor="text1" w:themeTint="FF" w:themeShade="FF"/>
          <w:sz w:val="22"/>
          <w:szCs w:val="22"/>
          <w:lang w:val="en-GB"/>
        </w:rPr>
        <w:t xml:space="preserve">they </w:t>
      </w:r>
      <w:r w:rsidRPr="19B0FF30" w:rsidR="2B9B5D5D">
        <w:rPr>
          <w:rFonts w:ascii="Aptos" w:hAnsi="Aptos" w:eastAsia="Aptos" w:cs="Aptos"/>
          <w:noProof w:val="0"/>
          <w:color w:val="000000" w:themeColor="text1" w:themeTint="FF" w:themeShade="FF"/>
          <w:sz w:val="22"/>
          <w:szCs w:val="22"/>
          <w:lang w:val="en-GB"/>
        </w:rPr>
        <w:t>represent</w:t>
      </w:r>
      <w:r w:rsidRPr="19B0FF30" w:rsidR="2B9B5D5D">
        <w:rPr>
          <w:rFonts w:ascii="Aptos" w:hAnsi="Aptos" w:eastAsia="Aptos" w:cs="Aptos"/>
          <w:noProof w:val="0"/>
          <w:color w:val="000000" w:themeColor="text1" w:themeTint="FF" w:themeShade="FF"/>
          <w:sz w:val="22"/>
          <w:szCs w:val="22"/>
          <w:lang w:val="en-GB"/>
        </w:rPr>
        <w:t xml:space="preserve"> real people facing preventable illnesses and poor health outcomes. The causes are </w:t>
      </w:r>
      <w:r w:rsidRPr="19B0FF30" w:rsidR="2B9B5D5D">
        <w:rPr>
          <w:rFonts w:ascii="Aptos" w:hAnsi="Aptos" w:eastAsia="Aptos" w:cs="Aptos"/>
          <w:noProof w:val="0"/>
          <w:color w:val="000000" w:themeColor="text1" w:themeTint="FF" w:themeShade="FF"/>
          <w:sz w:val="22"/>
          <w:szCs w:val="22"/>
          <w:lang w:val="en-GB"/>
        </w:rPr>
        <w:t>mainly social</w:t>
      </w:r>
      <w:r w:rsidRPr="19B0FF30" w:rsidR="2B9B5D5D">
        <w:rPr>
          <w:rFonts w:ascii="Aptos" w:hAnsi="Aptos" w:eastAsia="Aptos" w:cs="Aptos"/>
          <w:noProof w:val="0"/>
          <w:color w:val="000000" w:themeColor="text1" w:themeTint="FF" w:themeShade="FF"/>
          <w:sz w:val="22"/>
          <w:szCs w:val="22"/>
          <w:lang w:val="en-GB"/>
        </w:rPr>
        <w:t xml:space="preserve">, including poverty, limited healthcare access, substandard housing, and fewer educational and employment opportunities (People’s Health Trust, 2023; Welsh Government, 2021). Although overall health in Wales has improved over the years, these disparities </w:t>
      </w:r>
      <w:r w:rsidRPr="19B0FF30" w:rsidR="2B9B5D5D">
        <w:rPr>
          <w:rFonts w:ascii="Aptos" w:hAnsi="Aptos" w:eastAsia="Aptos" w:cs="Aptos"/>
          <w:noProof w:val="0"/>
          <w:color w:val="000000" w:themeColor="text1" w:themeTint="FF" w:themeShade="FF"/>
          <w:sz w:val="22"/>
          <w:szCs w:val="22"/>
          <w:lang w:val="en-GB"/>
        </w:rPr>
        <w:t>remain</w:t>
      </w:r>
      <w:r w:rsidRPr="19B0FF30" w:rsidR="2B9B5D5D">
        <w:rPr>
          <w:rFonts w:ascii="Aptos" w:hAnsi="Aptos" w:eastAsia="Aptos" w:cs="Aptos"/>
          <w:noProof w:val="0"/>
          <w:color w:val="000000" w:themeColor="text1" w:themeTint="FF" w:themeShade="FF"/>
          <w:sz w:val="22"/>
          <w:szCs w:val="22"/>
          <w:lang w:val="en-GB"/>
        </w:rPr>
        <w:t xml:space="preserve"> stubbornly wide (Public Health Wales, 2022a).</w:t>
      </w:r>
    </w:p>
    <w:p xmlns:wp14="http://schemas.microsoft.com/office/word/2010/wordml" w:rsidP="19B0FF30" wp14:paraId="0BBD3E77" wp14:textId="09E62C45">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Without targeted new interventions, individuals in deprived areas will continue to experience poorer health outcomes, shorter lifespans, and preventable diseases. Tackling these inequalities is urgent if Wales aims to build a fairer health system and give everyone a genuine chance at a long, healthy life (Welsh Government, 2015; Marmot, 2020).</w:t>
      </w:r>
    </w:p>
    <w:p xmlns:wp14="http://schemas.microsoft.com/office/word/2010/wordml" w:rsidP="19B0FF30" wp14:paraId="39FA5B48" wp14:textId="0CDDA546">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There are a few different ways the Welsh Government could try to reduce health inequalities. One option is to focus on community and preventive services in deprived areas. This could mean opening more local clinics, running outreach programmes, and providing extra mental health support (Public Health Wales, 2022b). The big advantage of this approach is that it targets the root causes of poor health, helps prevent illness before it gets serious, and could eventually reduce pressure on hospitals (People’s Health Trust, 2023). The downside is that it would need significant funding and more staff, and it could take a while before the benefits really show up (Jones &amp; Davies, 2023).</w:t>
      </w:r>
    </w:p>
    <w:p xmlns:wp14="http://schemas.microsoft.com/office/word/2010/wordml" w:rsidP="19B0FF30" wp14:paraId="58CC77E3" wp14:textId="139739C8">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Another idea is to make services easier to access. This could include mobile clinics, transport support, and linking health services with other social support, such as housing or employment help (Welsh Government, 2021; NHS Wales, 2023). This approach is particularly useful for people who struggle to get care, especially in rural areas where travel and transport can be major barriers. On the other hand, it can be tricky to coordinate all the different sectors involved, and organising everything efficiently could be a challenge (Marmot, 2020).</w:t>
      </w:r>
    </w:p>
    <w:p xmlns:wp14="http://schemas.microsoft.com/office/word/2010/wordml" w:rsidP="19B0FF30" wp14:paraId="0A3F41E1" wp14:textId="010FA966">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A third approach is universal health promotion. This would involve school programmes, public health campaigns, and early-years interventions to encourage healthier lifestyles across the population (Public Health Wales, 2022c). While this can improve health for everyone and tackle inequalities over the long term, it’s expensive, results can be slow, and it might not always reach the people who need it most (People’s Health Trust, 2023).</w:t>
      </w:r>
    </w:p>
    <w:p xmlns:wp14="http://schemas.microsoft.com/office/word/2010/wordml" w:rsidP="19B0FF30" wp14:paraId="4F05E6AD" wp14:textId="136FD17A">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Overall, the best approach seems to be a combination of the first two options. By targeting the communities that need the most support and making health services easier to access, Wales could make a real difference in reducing health inequalities (Welsh Government, 2021; Public Health Wales, 2022b). This mix allows resources to go where they’re needed most while also tackling barriers that stop people from getting the care they need.</w:t>
      </w:r>
    </w:p>
    <w:p xmlns:wp14="http://schemas.microsoft.com/office/word/2010/wordml" w:rsidP="19B0FF30" wp14:paraId="1BEB77E7" wp14:textId="1004ABB3">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The main idea is to set up a Health Equity &amp; Prevention Fund (HEPF) to improve health services in the areas of Wales that need it the most. The focus is on making sure people in deprived communities get the support they need to stay healthy and prevent illness before it becomes serious (Public Health Wales, 2022b; Marmot, 2020).</w:t>
      </w:r>
    </w:p>
    <w:p xmlns:wp14="http://schemas.microsoft.com/office/word/2010/wordml" w:rsidP="19B0FF30" wp14:paraId="4F35CE2C" wp14:textId="3DD37989">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One part of the plan is community health support. This could mean opening more local clinics, sending out outreach teams, using mobile health units, and setting up mental health hubs in areas that don’t have enough services. The goal is to bring healthcare closer to people so it’s easier for them to get help when they need it (Public Health Wales, 2022c; Welsh Government, 2021).</w:t>
      </w:r>
    </w:p>
    <w:p xmlns:wp14="http://schemas.microsoft.com/office/word/2010/wordml" w:rsidP="19B0FF30" wp14:paraId="3C146662" wp14:textId="0D6B44B5">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The fund would also back targeted services to stop chronic illnesses like diabetes and heart disease, offer mental health support, and run lifestyle and wellbeing programmes. These services would focus on the communities that are struggling the most with poor health (People’s Health Trust, 2023; NHS Wales, 2023).</w:t>
      </w:r>
    </w:p>
    <w:p xmlns:wp14="http://schemas.microsoft.com/office/word/2010/wordml" w:rsidP="19B0FF30" wp14:paraId="119E7683" wp14:textId="662B916C">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Another important part is reducing barriers. Some people have trouble getting to healthcare because of transport problems, living in rural areas, or other social and financial challenges. The HEPF would try to fix this by providing transport help, reaching out to marginalised groups, and linking health services with support for things like housing and jobs (Welsh Government, 2021; Marmot, 2020).</w:t>
      </w:r>
    </w:p>
    <w:p xmlns:wp14="http://schemas.microsoft.com/office/word/2010/wordml" w:rsidP="19B0FF30" wp14:paraId="7C2A6D25" wp14:textId="47FFE914">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Monitoring and evaluation would be included from the beginning. Progress would be tracked using life expectancy, healthy life expectancy, hospital visits, and service usage, so it’s clear what is working (Public Health Wales, 2022a; Jones &amp; Davies, 2023).</w:t>
      </w:r>
    </w:p>
    <w:p xmlns:wp14="http://schemas.microsoft.com/office/word/2010/wordml" w:rsidP="19B0FF30" wp14:paraId="795F08A3" wp14:textId="69367119">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The Welsh Government and Public Health Wales would lead the plan, with support from local councils and community groups. It would begin in the most deprived areas and expand if successful (Welsh Government, 2021; Public Health Wales, 2022c).</w:t>
      </w:r>
    </w:p>
    <w:p xmlns:wp14="http://schemas.microsoft.com/office/word/2010/wordml" w:rsidP="19B0FF30" wp14:paraId="2D6ED937" wp14:textId="4A88AE4C">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Overall, the HEPF is a practical and realistic way to target support at the people who need it most, improve health outcomes, and make healthcare fairer across Wales (Marmot, 2020; People’s Health Trust, 2023).</w:t>
      </w:r>
    </w:p>
    <w:p xmlns:wp14="http://schemas.microsoft.com/office/word/2010/wordml" w:rsidP="19B0FF30" wp14:paraId="11408AC3" wp14:textId="2B54197C">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Even though the HEPF could help, there are challenges. Funding is one: opening new clinics, outreach teams, transport support, and community programmes will cost a lot upfront. However, spending now can save costs later by preventing illness and reducing hospital visits (Jones &amp; Davies, 2023).</w:t>
      </w:r>
    </w:p>
    <w:p xmlns:wp14="http://schemas.microsoft.com/office/word/2010/wordml" w:rsidP="19B0FF30" wp14:paraId="7A1AB50E" wp14:textId="713DCC03">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Staffing is another challenge. Wales already has shortages in some healthcare roles, so recruiting and retaining community workers, nurses, and mental health staff will require planning (NHS Wales, 2023).</w:t>
      </w:r>
    </w:p>
    <w:p xmlns:wp14="http://schemas.microsoft.com/office/word/2010/wordml" w:rsidP="19B0FF30" wp14:paraId="6DD6219C" wp14:textId="4F8089D2">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Coordination across housing, transport, education, and social care is also needed. The fund would require good communication, shared goals, and careful planning (Welsh Government, 2021; Marmot, 2020).</w:t>
      </w:r>
    </w:p>
    <w:p xmlns:wp14="http://schemas.microsoft.com/office/word/2010/wordml" w:rsidP="19B0FF30" wp14:paraId="76769A33" wp14:textId="60B28E42">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Reaching every group is vital, including rural communities, low-income households, ethnic minorities, Welsh speakers, and people who may mistrust healthcare services. Support must be culturally sensitive and language-appropriate (Public Health Wales, 2022c).</w:t>
      </w:r>
    </w:p>
    <w:p xmlns:wp14="http://schemas.microsoft.com/office/word/2010/wordml" w:rsidP="19B0FF30" wp14:paraId="0826701B" wp14:textId="0AB76CEC">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Finally, measuring success with clear data is crucial. Tracking results, service usage, and outcomes ensures the fund is effective (Jones &amp; Davies, 2023; People’s Health Trust, 2023).</w:t>
      </w:r>
    </w:p>
    <w:p xmlns:wp14="http://schemas.microsoft.com/office/word/2010/wordml" w:rsidP="19B0FF30" wp14:paraId="34492C84" wp14:textId="09EDE8D9">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If the HEPF works as planned, it could reduce the gap in life expectancy and healthy life expectancy between the poorest and richest areas (Public Health Wales, 2022a; Marmot, 2020). Premature deaths and preventable illnesses like heart disease, diabetes, and mental health problems could be reduced (NHS Wales, 2023; People’s Health Trust, 2023). Emergency hospital visits could decline, easing pressure on the NHS (Jones &amp; Davies, 2023).</w:t>
      </w:r>
    </w:p>
    <w:p xmlns:wp14="http://schemas.microsoft.com/office/word/2010/wordml" w:rsidP="19B0FF30" wp14:paraId="4EA20E7B" wp14:textId="71B0538A">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Mental health and general wellbeing could also improve through community hubs, outreach teams, and early support (Public Health Wales, 2022c).</w:t>
      </w:r>
    </w:p>
    <w:p xmlns:wp14="http://schemas.microsoft.com/office/word/2010/wordml" w:rsidP="19B0FF30" wp14:paraId="200BAB01" wp14:textId="1250429F">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Overall, the HEPF supports the Well-being of Future Generations (Wales) Act 2015, aiming to create a healthier and fairer Wales (Welsh Government, 2015). By investing in areas that need it most, policymakers can create a more equal healthcare system (Marmot, 2020).</w:t>
      </w:r>
    </w:p>
    <w:p xmlns:wp14="http://schemas.microsoft.com/office/word/2010/wordml" w:rsidP="19B0FF30" wp14:paraId="3D4075BB" wp14:textId="2EED32B8">
      <w:p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Health inequalities in Wales are unfair and avoidable. The HEPF offers a practical way to address them through prevention, easier access to care, and early support (Public Health Wales, 2022b; People’s Health Trust, 2023).</w:t>
      </w:r>
    </w:p>
    <w:p xmlns:wp14="http://schemas.microsoft.com/office/word/2010/wordml" w:rsidP="19B0FF30" wp14:paraId="39A6600A" wp14:textId="6F50C020">
      <w:pPr>
        <w:rPr>
          <w:rFonts w:ascii="Aptos" w:hAnsi="Aptos" w:eastAsia="Aptos" w:cs="Aptos"/>
          <w:noProof w:val="0"/>
          <w:sz w:val="24"/>
          <w:szCs w:val="24"/>
          <w:lang w:val="en-GB"/>
        </w:rPr>
      </w:pPr>
    </w:p>
    <w:p xmlns:wp14="http://schemas.microsoft.com/office/word/2010/wordml" w:rsidP="19B0FF30" wp14:paraId="4CA1CF8B" wp14:textId="09400317">
      <w:pPr>
        <w:rPr>
          <w:rFonts w:ascii="Aptos" w:hAnsi="Aptos" w:eastAsia="Aptos" w:cs="Aptos"/>
          <w:noProof w:val="0"/>
          <w:sz w:val="24"/>
          <w:szCs w:val="24"/>
          <w:lang w:val="en-GB"/>
        </w:rPr>
      </w:pPr>
      <w:r w:rsidRPr="19B0FF30" w:rsidR="2B9B5D5D">
        <w:rPr>
          <w:rFonts w:ascii="Aptos" w:hAnsi="Aptos" w:eastAsia="Aptos" w:cs="Aptos"/>
          <w:b w:val="1"/>
          <w:bCs w:val="1"/>
          <w:strike w:val="0"/>
          <w:dstrike w:val="0"/>
          <w:noProof w:val="0"/>
          <w:sz w:val="24"/>
          <w:szCs w:val="24"/>
          <w:u w:val="single"/>
          <w:lang w:val="en-GB"/>
        </w:rPr>
        <w:t>Reference List</w:t>
      </w:r>
    </w:p>
    <w:p xmlns:wp14="http://schemas.microsoft.com/office/word/2010/wordml" w:rsidP="19B0FF30" wp14:paraId="4A39CFC9" wp14:textId="06FDC429">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Jones, H. &amp; Davies, R. (2023) ‘The cost of health inequalities in Wales’, </w:t>
      </w:r>
      <w:r w:rsidRPr="19B0FF30" w:rsidR="2B9B5D5D">
        <w:rPr>
          <w:rFonts w:ascii="Aptos" w:hAnsi="Aptos" w:eastAsia="Aptos" w:cs="Aptos"/>
          <w:i w:val="1"/>
          <w:iCs w:val="1"/>
          <w:noProof w:val="0"/>
          <w:color w:val="000000" w:themeColor="text1" w:themeTint="FF" w:themeShade="FF"/>
          <w:sz w:val="22"/>
          <w:szCs w:val="22"/>
          <w:lang w:val="en-GB"/>
        </w:rPr>
        <w:t>Journal of Public Health</w:t>
      </w:r>
      <w:r w:rsidRPr="19B0FF30" w:rsidR="2B9B5D5D">
        <w:rPr>
          <w:rFonts w:ascii="Aptos" w:hAnsi="Aptos" w:eastAsia="Aptos" w:cs="Aptos"/>
          <w:noProof w:val="0"/>
          <w:color w:val="000000" w:themeColor="text1" w:themeTint="FF" w:themeShade="FF"/>
          <w:sz w:val="22"/>
          <w:szCs w:val="22"/>
          <w:lang w:val="en-GB"/>
        </w:rPr>
        <w:t>.</w:t>
      </w:r>
    </w:p>
    <w:p xmlns:wp14="http://schemas.microsoft.com/office/word/2010/wordml" w:rsidP="19B0FF30" wp14:paraId="5EB749BC" wp14:textId="5FAB8092">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Marmot, M. (2020) </w:t>
      </w:r>
      <w:r w:rsidRPr="19B0FF30" w:rsidR="2B9B5D5D">
        <w:rPr>
          <w:rFonts w:ascii="Aptos" w:hAnsi="Aptos" w:eastAsia="Aptos" w:cs="Aptos"/>
          <w:i w:val="1"/>
          <w:iCs w:val="1"/>
          <w:noProof w:val="0"/>
          <w:color w:val="000000" w:themeColor="text1" w:themeTint="FF" w:themeShade="FF"/>
          <w:sz w:val="22"/>
          <w:szCs w:val="22"/>
          <w:lang w:val="en-GB"/>
        </w:rPr>
        <w:t>Health Equity in Action: Reducing the Gap</w:t>
      </w:r>
      <w:r w:rsidRPr="19B0FF30" w:rsidR="2B9B5D5D">
        <w:rPr>
          <w:rFonts w:ascii="Aptos" w:hAnsi="Aptos" w:eastAsia="Aptos" w:cs="Aptos"/>
          <w:noProof w:val="0"/>
          <w:color w:val="000000" w:themeColor="text1" w:themeTint="FF" w:themeShade="FF"/>
          <w:sz w:val="22"/>
          <w:szCs w:val="22"/>
          <w:lang w:val="en-GB"/>
        </w:rPr>
        <w:t>. London: Institute of Health Equity.</w:t>
      </w:r>
    </w:p>
    <w:p xmlns:wp14="http://schemas.microsoft.com/office/word/2010/wordml" w:rsidP="19B0FF30" wp14:paraId="6821DC1A" wp14:textId="394CDDD4">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NHS Wales (2023) </w:t>
      </w:r>
      <w:r w:rsidRPr="19B0FF30" w:rsidR="2B9B5D5D">
        <w:rPr>
          <w:rFonts w:ascii="Aptos" w:hAnsi="Aptos" w:eastAsia="Aptos" w:cs="Aptos"/>
          <w:i w:val="1"/>
          <w:iCs w:val="1"/>
          <w:noProof w:val="0"/>
          <w:color w:val="000000" w:themeColor="text1" w:themeTint="FF" w:themeShade="FF"/>
          <w:sz w:val="22"/>
          <w:szCs w:val="22"/>
          <w:lang w:val="en-GB"/>
        </w:rPr>
        <w:t>Emergency Admissions and Preventable Illness in Deprived Areas</w:t>
      </w:r>
      <w:r w:rsidRPr="19B0FF30" w:rsidR="2B9B5D5D">
        <w:rPr>
          <w:rFonts w:ascii="Aptos" w:hAnsi="Aptos" w:eastAsia="Aptos" w:cs="Aptos"/>
          <w:noProof w:val="0"/>
          <w:color w:val="000000" w:themeColor="text1" w:themeTint="FF" w:themeShade="FF"/>
          <w:sz w:val="22"/>
          <w:szCs w:val="22"/>
          <w:lang w:val="en-GB"/>
        </w:rPr>
        <w:t>. Cardiff: NHS Wales.</w:t>
      </w:r>
    </w:p>
    <w:p xmlns:wp14="http://schemas.microsoft.com/office/word/2010/wordml" w:rsidP="19B0FF30" wp14:paraId="6475D9C9" wp14:textId="4A7C6500">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People’s Health Trust (2023) </w:t>
      </w:r>
      <w:r w:rsidRPr="19B0FF30" w:rsidR="2B9B5D5D">
        <w:rPr>
          <w:rFonts w:ascii="Aptos" w:hAnsi="Aptos" w:eastAsia="Aptos" w:cs="Aptos"/>
          <w:i w:val="1"/>
          <w:iCs w:val="1"/>
          <w:noProof w:val="0"/>
          <w:color w:val="000000" w:themeColor="text1" w:themeTint="FF" w:themeShade="FF"/>
          <w:sz w:val="22"/>
          <w:szCs w:val="22"/>
          <w:lang w:val="en-GB"/>
        </w:rPr>
        <w:t>Health Inequalities and Deprivation in the UK</w:t>
      </w:r>
      <w:r w:rsidRPr="19B0FF30" w:rsidR="2B9B5D5D">
        <w:rPr>
          <w:rFonts w:ascii="Aptos" w:hAnsi="Aptos" w:eastAsia="Aptos" w:cs="Aptos"/>
          <w:noProof w:val="0"/>
          <w:color w:val="000000" w:themeColor="text1" w:themeTint="FF" w:themeShade="FF"/>
          <w:sz w:val="22"/>
          <w:szCs w:val="22"/>
          <w:lang w:val="en-GB"/>
        </w:rPr>
        <w:t>. London: People’s Health Trust.</w:t>
      </w:r>
    </w:p>
    <w:p xmlns:wp14="http://schemas.microsoft.com/office/word/2010/wordml" w:rsidP="19B0FF30" wp14:paraId="7641AEAA" wp14:textId="23D49469">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Public Health Wales (2022a) </w:t>
      </w:r>
      <w:r w:rsidRPr="19B0FF30" w:rsidR="2B9B5D5D">
        <w:rPr>
          <w:rFonts w:ascii="Aptos" w:hAnsi="Aptos" w:eastAsia="Aptos" w:cs="Aptos"/>
          <w:i w:val="1"/>
          <w:iCs w:val="1"/>
          <w:noProof w:val="0"/>
          <w:color w:val="000000" w:themeColor="text1" w:themeTint="FF" w:themeShade="FF"/>
          <w:sz w:val="22"/>
          <w:szCs w:val="22"/>
          <w:lang w:val="en-GB"/>
        </w:rPr>
        <w:t>Life Expectancy and Healthy Life Expectancy in Wales</w:t>
      </w:r>
      <w:r w:rsidRPr="19B0FF30" w:rsidR="2B9B5D5D">
        <w:rPr>
          <w:rFonts w:ascii="Aptos" w:hAnsi="Aptos" w:eastAsia="Aptos" w:cs="Aptos"/>
          <w:noProof w:val="0"/>
          <w:color w:val="000000" w:themeColor="text1" w:themeTint="FF" w:themeShade="FF"/>
          <w:sz w:val="22"/>
          <w:szCs w:val="22"/>
          <w:lang w:val="en-GB"/>
        </w:rPr>
        <w:t>. Cardiff: Public Health Wales.</w:t>
      </w:r>
    </w:p>
    <w:p xmlns:wp14="http://schemas.microsoft.com/office/word/2010/wordml" w:rsidP="19B0FF30" wp14:paraId="5FADFCDF" wp14:textId="33125ED3">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Public Health Wales (2022b) </w:t>
      </w:r>
      <w:r w:rsidRPr="19B0FF30" w:rsidR="2B9B5D5D">
        <w:rPr>
          <w:rFonts w:ascii="Aptos" w:hAnsi="Aptos" w:eastAsia="Aptos" w:cs="Aptos"/>
          <w:i w:val="1"/>
          <w:iCs w:val="1"/>
          <w:noProof w:val="0"/>
          <w:color w:val="000000" w:themeColor="text1" w:themeTint="FF" w:themeShade="FF"/>
          <w:sz w:val="22"/>
          <w:szCs w:val="22"/>
          <w:lang w:val="en-GB"/>
        </w:rPr>
        <w:t>Wales Health Equity Status Report: Spotlight on Life Expectancy</w:t>
      </w:r>
      <w:r w:rsidRPr="19B0FF30" w:rsidR="2B9B5D5D">
        <w:rPr>
          <w:rFonts w:ascii="Aptos" w:hAnsi="Aptos" w:eastAsia="Aptos" w:cs="Aptos"/>
          <w:noProof w:val="0"/>
          <w:color w:val="000000" w:themeColor="text1" w:themeTint="FF" w:themeShade="FF"/>
          <w:sz w:val="22"/>
          <w:szCs w:val="22"/>
          <w:lang w:val="en-GB"/>
        </w:rPr>
        <w:t>. Cardiff: Public Health Wales.</w:t>
      </w:r>
    </w:p>
    <w:p xmlns:wp14="http://schemas.microsoft.com/office/word/2010/wordml" w:rsidP="19B0FF30" wp14:paraId="4EEF820A" wp14:textId="2693F300">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Public Health Wales (2022c) </w:t>
      </w:r>
      <w:r w:rsidRPr="19B0FF30" w:rsidR="2B9B5D5D">
        <w:rPr>
          <w:rFonts w:ascii="Aptos" w:hAnsi="Aptos" w:eastAsia="Aptos" w:cs="Aptos"/>
          <w:i w:val="1"/>
          <w:iCs w:val="1"/>
          <w:noProof w:val="0"/>
          <w:color w:val="000000" w:themeColor="text1" w:themeTint="FF" w:themeShade="FF"/>
          <w:sz w:val="22"/>
          <w:szCs w:val="22"/>
          <w:lang w:val="en-GB"/>
        </w:rPr>
        <w:t>Community Health and Preventive Services in Wales</w:t>
      </w:r>
      <w:r w:rsidRPr="19B0FF30" w:rsidR="2B9B5D5D">
        <w:rPr>
          <w:rFonts w:ascii="Aptos" w:hAnsi="Aptos" w:eastAsia="Aptos" w:cs="Aptos"/>
          <w:noProof w:val="0"/>
          <w:color w:val="000000" w:themeColor="text1" w:themeTint="FF" w:themeShade="FF"/>
          <w:sz w:val="22"/>
          <w:szCs w:val="22"/>
          <w:lang w:val="en-GB"/>
        </w:rPr>
        <w:t>. Cardiff: Public Health Wales.</w:t>
      </w:r>
    </w:p>
    <w:p xmlns:wp14="http://schemas.microsoft.com/office/word/2010/wordml" w:rsidP="19B0FF30" wp14:paraId="733EAFBD" wp14:textId="56E91F9F">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Welsh Government (2015) </w:t>
      </w:r>
      <w:r w:rsidRPr="19B0FF30" w:rsidR="2B9B5D5D">
        <w:rPr>
          <w:rFonts w:ascii="Aptos" w:hAnsi="Aptos" w:eastAsia="Aptos" w:cs="Aptos"/>
          <w:i w:val="1"/>
          <w:iCs w:val="1"/>
          <w:noProof w:val="0"/>
          <w:color w:val="000000" w:themeColor="text1" w:themeTint="FF" w:themeShade="FF"/>
          <w:sz w:val="22"/>
          <w:szCs w:val="22"/>
          <w:lang w:val="en-GB"/>
        </w:rPr>
        <w:t>Well-being of Future Generations (Wales) Act 2015</w:t>
      </w:r>
      <w:r w:rsidRPr="19B0FF30" w:rsidR="2B9B5D5D">
        <w:rPr>
          <w:rFonts w:ascii="Aptos" w:hAnsi="Aptos" w:eastAsia="Aptos" w:cs="Aptos"/>
          <w:noProof w:val="0"/>
          <w:color w:val="000000" w:themeColor="text1" w:themeTint="FF" w:themeShade="FF"/>
          <w:sz w:val="22"/>
          <w:szCs w:val="22"/>
          <w:lang w:val="en-GB"/>
        </w:rPr>
        <w:t>. Cardiff: Welsh Government.</w:t>
      </w:r>
    </w:p>
    <w:p xmlns:wp14="http://schemas.microsoft.com/office/word/2010/wordml" w:rsidP="19B0FF30" wp14:paraId="2F5E7F80" wp14:textId="28CF057B">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Welsh Government (2021) </w:t>
      </w:r>
      <w:r w:rsidRPr="19B0FF30" w:rsidR="2B9B5D5D">
        <w:rPr>
          <w:rFonts w:ascii="Aptos" w:hAnsi="Aptos" w:eastAsia="Aptos" w:cs="Aptos"/>
          <w:i w:val="1"/>
          <w:iCs w:val="1"/>
          <w:noProof w:val="0"/>
          <w:color w:val="000000" w:themeColor="text1" w:themeTint="FF" w:themeShade="FF"/>
          <w:sz w:val="22"/>
          <w:szCs w:val="22"/>
          <w:lang w:val="en-GB"/>
        </w:rPr>
        <w:t>Health Inequalities in Wales: Data and Trends</w:t>
      </w:r>
      <w:r w:rsidRPr="19B0FF30" w:rsidR="2B9B5D5D">
        <w:rPr>
          <w:rFonts w:ascii="Aptos" w:hAnsi="Aptos" w:eastAsia="Aptos" w:cs="Aptos"/>
          <w:noProof w:val="0"/>
          <w:color w:val="000000" w:themeColor="text1" w:themeTint="FF" w:themeShade="FF"/>
          <w:sz w:val="22"/>
          <w:szCs w:val="22"/>
          <w:lang w:val="en-GB"/>
        </w:rPr>
        <w:t>. Cardiff: Welsh Government.</w:t>
      </w:r>
    </w:p>
    <w:p xmlns:wp14="http://schemas.microsoft.com/office/word/2010/wordml" w:rsidP="19B0FF30" wp14:paraId="24B1478A" wp14:textId="21E53E6E">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Welsh Government (2019) </w:t>
      </w:r>
      <w:r w:rsidRPr="19B0FF30" w:rsidR="2B9B5D5D">
        <w:rPr>
          <w:rFonts w:ascii="Aptos" w:hAnsi="Aptos" w:eastAsia="Aptos" w:cs="Aptos"/>
          <w:i w:val="1"/>
          <w:iCs w:val="1"/>
          <w:noProof w:val="0"/>
          <w:color w:val="000000" w:themeColor="text1" w:themeTint="FF" w:themeShade="FF"/>
          <w:sz w:val="22"/>
          <w:szCs w:val="22"/>
          <w:lang w:val="en-GB"/>
        </w:rPr>
        <w:t>A Healthier Wales: Our Plan for Health and Social Care</w:t>
      </w:r>
      <w:r w:rsidRPr="19B0FF30" w:rsidR="2B9B5D5D">
        <w:rPr>
          <w:rFonts w:ascii="Aptos" w:hAnsi="Aptos" w:eastAsia="Aptos" w:cs="Aptos"/>
          <w:noProof w:val="0"/>
          <w:color w:val="000000" w:themeColor="text1" w:themeTint="FF" w:themeShade="FF"/>
          <w:sz w:val="22"/>
          <w:szCs w:val="22"/>
          <w:lang w:val="en-GB"/>
        </w:rPr>
        <w:t>. Cardiff: Welsh Government.</w:t>
      </w:r>
    </w:p>
    <w:p xmlns:wp14="http://schemas.microsoft.com/office/word/2010/wordml" w:rsidP="19B0FF30" wp14:paraId="045331E3" wp14:textId="7F2E28F6">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Welsh Government (2022) </w:t>
      </w:r>
      <w:r w:rsidRPr="19B0FF30" w:rsidR="2B9B5D5D">
        <w:rPr>
          <w:rFonts w:ascii="Aptos" w:hAnsi="Aptos" w:eastAsia="Aptos" w:cs="Aptos"/>
          <w:i w:val="1"/>
          <w:iCs w:val="1"/>
          <w:noProof w:val="0"/>
          <w:color w:val="000000" w:themeColor="text1" w:themeTint="FF" w:themeShade="FF"/>
          <w:sz w:val="22"/>
          <w:szCs w:val="22"/>
          <w:lang w:val="en-GB"/>
        </w:rPr>
        <w:t>Rural Health and Access in Wales</w:t>
      </w:r>
      <w:r w:rsidRPr="19B0FF30" w:rsidR="2B9B5D5D">
        <w:rPr>
          <w:rFonts w:ascii="Aptos" w:hAnsi="Aptos" w:eastAsia="Aptos" w:cs="Aptos"/>
          <w:noProof w:val="0"/>
          <w:color w:val="000000" w:themeColor="text1" w:themeTint="FF" w:themeShade="FF"/>
          <w:sz w:val="22"/>
          <w:szCs w:val="22"/>
          <w:lang w:val="en-GB"/>
        </w:rPr>
        <w:t>. Cardiff: Welsh Government.</w:t>
      </w:r>
    </w:p>
    <w:p xmlns:wp14="http://schemas.microsoft.com/office/word/2010/wordml" w:rsidP="19B0FF30" wp14:paraId="2AB2F0C3" wp14:textId="5C75533C">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Bevan, G. &amp; Hood, C. (2006) ‘What’s measured is what matters: targets and gaming in the NHS’, </w:t>
      </w:r>
      <w:r w:rsidRPr="19B0FF30" w:rsidR="2B9B5D5D">
        <w:rPr>
          <w:rFonts w:ascii="Aptos" w:hAnsi="Aptos" w:eastAsia="Aptos" w:cs="Aptos"/>
          <w:i w:val="1"/>
          <w:iCs w:val="1"/>
          <w:noProof w:val="0"/>
          <w:color w:val="000000" w:themeColor="text1" w:themeTint="FF" w:themeShade="FF"/>
          <w:sz w:val="22"/>
          <w:szCs w:val="22"/>
          <w:lang w:val="en-GB"/>
        </w:rPr>
        <w:t>British Medical Journal</w:t>
      </w:r>
      <w:r w:rsidRPr="19B0FF30" w:rsidR="2B9B5D5D">
        <w:rPr>
          <w:rFonts w:ascii="Aptos" w:hAnsi="Aptos" w:eastAsia="Aptos" w:cs="Aptos"/>
          <w:noProof w:val="0"/>
          <w:color w:val="000000" w:themeColor="text1" w:themeTint="FF" w:themeShade="FF"/>
          <w:sz w:val="22"/>
          <w:szCs w:val="22"/>
          <w:lang w:val="en-GB"/>
        </w:rPr>
        <w:t>,</w:t>
      </w:r>
    </w:p>
    <w:p xmlns:wp14="http://schemas.microsoft.com/office/word/2010/wordml" w:rsidP="19B0FF30" wp14:paraId="2EC6384A" wp14:textId="7B516ACE">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Bambra, C., Gibson, M., Sowden, A., Wright, K., Whitehead, M. &amp; Petticrew, M. (2010) ‘Tackling the wider social determinants of health and health inequalities: evidence from systematic reviews’, </w:t>
      </w:r>
      <w:r w:rsidRPr="19B0FF30" w:rsidR="2B9B5D5D">
        <w:rPr>
          <w:rFonts w:ascii="Aptos" w:hAnsi="Aptos" w:eastAsia="Aptos" w:cs="Aptos"/>
          <w:i w:val="1"/>
          <w:iCs w:val="1"/>
          <w:noProof w:val="0"/>
          <w:color w:val="000000" w:themeColor="text1" w:themeTint="FF" w:themeShade="FF"/>
          <w:sz w:val="22"/>
          <w:szCs w:val="22"/>
          <w:lang w:val="en-GB"/>
        </w:rPr>
        <w:t>Journal of Epidemiology and Community Health</w:t>
      </w:r>
      <w:r w:rsidRPr="19B0FF30" w:rsidR="2B9B5D5D">
        <w:rPr>
          <w:rFonts w:ascii="Aptos" w:hAnsi="Aptos" w:eastAsia="Aptos" w:cs="Aptos"/>
          <w:noProof w:val="0"/>
          <w:color w:val="000000" w:themeColor="text1" w:themeTint="FF" w:themeShade="FF"/>
          <w:sz w:val="22"/>
          <w:szCs w:val="22"/>
          <w:lang w:val="en-GB"/>
        </w:rPr>
        <w:t>,</w:t>
      </w:r>
    </w:p>
    <w:p xmlns:wp14="http://schemas.microsoft.com/office/word/2010/wordml" w:rsidP="19B0FF30" wp14:paraId="399B7A92" wp14:textId="4AA45BAE">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Department of Health and Social Care (2020) </w:t>
      </w:r>
      <w:r w:rsidRPr="19B0FF30" w:rsidR="2B9B5D5D">
        <w:rPr>
          <w:rFonts w:ascii="Aptos" w:hAnsi="Aptos" w:eastAsia="Aptos" w:cs="Aptos"/>
          <w:i w:val="1"/>
          <w:iCs w:val="1"/>
          <w:noProof w:val="0"/>
          <w:color w:val="000000" w:themeColor="text1" w:themeTint="FF" w:themeShade="FF"/>
          <w:sz w:val="22"/>
          <w:szCs w:val="22"/>
          <w:lang w:val="en-GB"/>
        </w:rPr>
        <w:t>Prevention is Better than Cure: Our Vision to Improve Health and Wellbeing</w:t>
      </w:r>
      <w:r w:rsidRPr="19B0FF30" w:rsidR="2B9B5D5D">
        <w:rPr>
          <w:rFonts w:ascii="Aptos" w:hAnsi="Aptos" w:eastAsia="Aptos" w:cs="Aptos"/>
          <w:noProof w:val="0"/>
          <w:color w:val="000000" w:themeColor="text1" w:themeTint="FF" w:themeShade="FF"/>
          <w:sz w:val="22"/>
          <w:szCs w:val="22"/>
          <w:lang w:val="en-GB"/>
        </w:rPr>
        <w:t>. London: DHSC.</w:t>
      </w:r>
    </w:p>
    <w:p xmlns:wp14="http://schemas.microsoft.com/office/word/2010/wordml" w:rsidP="19B0FF30" wp14:paraId="06C4B32D" wp14:textId="5B4D3D6D">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World Health Organization (2013) </w:t>
      </w:r>
      <w:r w:rsidRPr="19B0FF30" w:rsidR="2B9B5D5D">
        <w:rPr>
          <w:rFonts w:ascii="Aptos" w:hAnsi="Aptos" w:eastAsia="Aptos" w:cs="Aptos"/>
          <w:i w:val="1"/>
          <w:iCs w:val="1"/>
          <w:noProof w:val="0"/>
          <w:color w:val="000000" w:themeColor="text1" w:themeTint="FF" w:themeShade="FF"/>
          <w:sz w:val="22"/>
          <w:szCs w:val="22"/>
          <w:lang w:val="en-GB"/>
        </w:rPr>
        <w:t>Social Determinants of Health in the UK</w:t>
      </w:r>
      <w:r w:rsidRPr="19B0FF30" w:rsidR="2B9B5D5D">
        <w:rPr>
          <w:rFonts w:ascii="Aptos" w:hAnsi="Aptos" w:eastAsia="Aptos" w:cs="Aptos"/>
          <w:noProof w:val="0"/>
          <w:color w:val="000000" w:themeColor="text1" w:themeTint="FF" w:themeShade="FF"/>
          <w:sz w:val="22"/>
          <w:szCs w:val="22"/>
          <w:lang w:val="en-GB"/>
        </w:rPr>
        <w:t>. Geneva: WHO.</w:t>
      </w:r>
    </w:p>
    <w:p xmlns:wp14="http://schemas.microsoft.com/office/word/2010/wordml" w:rsidP="19B0FF30" wp14:paraId="5E4ED82D" wp14:textId="157277AC">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2"/>
          <w:szCs w:val="22"/>
          <w:lang w:val="en-GB"/>
        </w:rPr>
      </w:pPr>
      <w:r w:rsidRPr="19B0FF30" w:rsidR="2B9B5D5D">
        <w:rPr>
          <w:rFonts w:ascii="Aptos" w:hAnsi="Aptos" w:eastAsia="Aptos" w:cs="Aptos"/>
          <w:noProof w:val="0"/>
          <w:color w:val="000000" w:themeColor="text1" w:themeTint="FF" w:themeShade="FF"/>
          <w:sz w:val="22"/>
          <w:szCs w:val="22"/>
          <w:lang w:val="en-GB"/>
        </w:rPr>
        <w:t xml:space="preserve">Public Health England (2021) </w:t>
      </w:r>
      <w:r w:rsidRPr="19B0FF30" w:rsidR="2B9B5D5D">
        <w:rPr>
          <w:rFonts w:ascii="Aptos" w:hAnsi="Aptos" w:eastAsia="Aptos" w:cs="Aptos"/>
          <w:i w:val="1"/>
          <w:iCs w:val="1"/>
          <w:noProof w:val="0"/>
          <w:color w:val="000000" w:themeColor="text1" w:themeTint="FF" w:themeShade="FF"/>
          <w:sz w:val="22"/>
          <w:szCs w:val="22"/>
          <w:lang w:val="en-GB"/>
        </w:rPr>
        <w:t>Reducing Health Inequalities: Key Evidence and Recommendations</w:t>
      </w:r>
      <w:r w:rsidRPr="19B0FF30" w:rsidR="2B9B5D5D">
        <w:rPr>
          <w:rFonts w:ascii="Aptos" w:hAnsi="Aptos" w:eastAsia="Aptos" w:cs="Aptos"/>
          <w:noProof w:val="0"/>
          <w:color w:val="000000" w:themeColor="text1" w:themeTint="FF" w:themeShade="FF"/>
          <w:sz w:val="22"/>
          <w:szCs w:val="22"/>
          <w:lang w:val="en-GB"/>
        </w:rPr>
        <w:t>. London: PHE.</w:t>
      </w:r>
    </w:p>
    <w:p xmlns:wp14="http://schemas.microsoft.com/office/word/2010/wordml" w:rsidP="19B0FF30" wp14:paraId="6A3AF9F9" wp14:textId="442249DE">
      <w:pPr>
        <w:pStyle w:val="ListParagraph"/>
        <w:spacing w:before="240" w:beforeAutospacing="off" w:after="240" w:afterAutospacing="off"/>
        <w:ind w:left="720"/>
        <w:rPr>
          <w:rFonts w:ascii="Aptos" w:hAnsi="Aptos" w:eastAsia="Aptos" w:cs="Aptos"/>
          <w:noProof w:val="0"/>
          <w:color w:val="000000" w:themeColor="text1" w:themeTint="FF" w:themeShade="FF"/>
          <w:sz w:val="22"/>
          <w:szCs w:val="22"/>
          <w:lang w:val="en-GB"/>
        </w:rPr>
      </w:pPr>
    </w:p>
    <w:p xmlns:wp14="http://schemas.microsoft.com/office/word/2010/wordml" wp14:paraId="5E5787A5" wp14:textId="6662740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f06d32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E16432"/>
    <w:rsid w:val="06E16432"/>
    <w:rsid w:val="19B0FF30"/>
    <w:rsid w:val="2B9B5D5D"/>
    <w:rsid w:val="360587F5"/>
    <w:rsid w:val="4D5481D6"/>
    <w:rsid w:val="6A21C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16432"/>
  <w15:chartTrackingRefBased/>
  <w15:docId w15:val="{7CC1E345-AB05-4EDC-84F3-420DEED0EC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9B0FF3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e2a14ce03614f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Thomas (2407735)</dc:creator>
  <keywords/>
  <dc:description/>
  <lastModifiedBy>Katie Thomas (2407735)</lastModifiedBy>
  <revision>2</revision>
  <dcterms:created xsi:type="dcterms:W3CDTF">2026-03-20T20:11:54.8504375Z</dcterms:created>
  <dcterms:modified xsi:type="dcterms:W3CDTF">2026-03-20T20:17:26.3660966Z</dcterms:modified>
</coreProperties>
</file>