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7D8A0F" w14:textId="77777777" w:rsidR="00100340" w:rsidRPr="00937455" w:rsidRDefault="00100340" w:rsidP="00100340">
      <w:pPr>
        <w:rPr>
          <w:b/>
          <w:bCs/>
          <w:sz w:val="28"/>
          <w:szCs w:val="28"/>
        </w:rPr>
      </w:pPr>
      <w:r>
        <w:rPr>
          <w:b/>
          <w:bCs/>
          <w:sz w:val="28"/>
          <w:szCs w:val="28"/>
        </w:rPr>
        <w:t>Events after the reporting period</w:t>
      </w:r>
    </w:p>
    <w:p w14:paraId="464C20AC" w14:textId="7B8086AF" w:rsidR="00DF2E71" w:rsidRPr="0092351E" w:rsidRDefault="00515635" w:rsidP="00DF2E71">
      <w:pPr>
        <w:jc w:val="right"/>
        <w:rPr>
          <w:sz w:val="28"/>
          <w:szCs w:val="28"/>
        </w:rPr>
      </w:pPr>
      <w:r>
        <w:rPr>
          <w:sz w:val="28"/>
          <w:szCs w:val="28"/>
        </w:rPr>
        <w:t>Answer</w:t>
      </w:r>
      <w:r w:rsidR="00350698">
        <w:rPr>
          <w:sz w:val="28"/>
          <w:szCs w:val="28"/>
        </w:rPr>
        <w:t>s</w:t>
      </w:r>
    </w:p>
    <w:p w14:paraId="1A4D47B5" w14:textId="05503B7B" w:rsidR="006471A4" w:rsidRDefault="008F1745" w:rsidP="006471A4">
      <w:pPr>
        <w:rPr>
          <w:b/>
          <w:bCs/>
          <w:sz w:val="28"/>
          <w:szCs w:val="28"/>
          <w:u w:val="single"/>
        </w:rPr>
      </w:pPr>
      <w:r>
        <w:rPr>
          <w:b/>
          <w:bCs/>
          <w:sz w:val="28"/>
          <w:szCs w:val="28"/>
          <w:u w:val="single"/>
        </w:rPr>
        <w:t>True or false.</w:t>
      </w:r>
    </w:p>
    <w:p w14:paraId="72068A7D" w14:textId="77777777" w:rsidR="00854F94" w:rsidRPr="00937455" w:rsidRDefault="00854F94" w:rsidP="006471A4">
      <w:pPr>
        <w:rPr>
          <w:b/>
          <w:bCs/>
          <w:sz w:val="28"/>
          <w:szCs w:val="28"/>
          <w:u w:val="single"/>
        </w:rPr>
      </w:pPr>
    </w:p>
    <w:tbl>
      <w:tblPr>
        <w:tblStyle w:val="TableGrid"/>
        <w:tblW w:w="0" w:type="auto"/>
        <w:tblLook w:val="04A0" w:firstRow="1" w:lastRow="0" w:firstColumn="1" w:lastColumn="0" w:noHBand="0" w:noVBand="1"/>
      </w:tblPr>
      <w:tblGrid>
        <w:gridCol w:w="4508"/>
        <w:gridCol w:w="4508"/>
      </w:tblGrid>
      <w:tr w:rsidR="00854F94" w14:paraId="3ADF11B8" w14:textId="77777777" w:rsidTr="00854F94">
        <w:trPr>
          <w:trHeight w:val="431"/>
        </w:trPr>
        <w:tc>
          <w:tcPr>
            <w:tcW w:w="4508" w:type="dxa"/>
          </w:tcPr>
          <w:p w14:paraId="294399C6" w14:textId="77777777" w:rsidR="00854F94" w:rsidRDefault="00854F94" w:rsidP="006471A4">
            <w:pPr>
              <w:rPr>
                <w:lang w:eastAsia="en-GB"/>
              </w:rPr>
            </w:pPr>
          </w:p>
        </w:tc>
        <w:tc>
          <w:tcPr>
            <w:tcW w:w="4508" w:type="dxa"/>
            <w:vAlign w:val="center"/>
          </w:tcPr>
          <w:p w14:paraId="216F0351" w14:textId="188B7060" w:rsidR="00854F94" w:rsidRPr="00854F94" w:rsidRDefault="00854F94" w:rsidP="00854F94">
            <w:pPr>
              <w:jc w:val="center"/>
              <w:rPr>
                <w:b/>
                <w:bCs/>
                <w:sz w:val="24"/>
                <w:szCs w:val="24"/>
                <w:lang w:eastAsia="en-GB"/>
              </w:rPr>
            </w:pPr>
            <w:r w:rsidRPr="00854F94">
              <w:rPr>
                <w:b/>
                <w:bCs/>
                <w:sz w:val="24"/>
                <w:szCs w:val="24"/>
                <w:lang w:eastAsia="en-GB"/>
              </w:rPr>
              <w:t>True or false?</w:t>
            </w:r>
          </w:p>
        </w:tc>
      </w:tr>
      <w:tr w:rsidR="00854F94" w14:paraId="38471A09" w14:textId="77777777" w:rsidTr="00854F94">
        <w:tc>
          <w:tcPr>
            <w:tcW w:w="4508" w:type="dxa"/>
          </w:tcPr>
          <w:p w14:paraId="30AEA467" w14:textId="0B3C06D8" w:rsidR="00854F94" w:rsidRDefault="00854F94" w:rsidP="006471A4">
            <w:pPr>
              <w:rPr>
                <w:lang w:eastAsia="en-GB"/>
              </w:rPr>
            </w:pPr>
            <w:r>
              <w:rPr>
                <w:lang w:eastAsia="en-GB"/>
              </w:rPr>
              <w:t xml:space="preserve">a) </w:t>
            </w:r>
            <w:r w:rsidR="00F44CBF">
              <w:rPr>
                <w:lang w:eastAsia="en-GB"/>
              </w:rPr>
              <w:t xml:space="preserve">A post balance sheet event is an event that occurs between the balance sheet date and the date the accounts are authorised for issue to the shareholders. The date the accounts are authorised is usually the date the </w:t>
            </w:r>
            <w:r w:rsidR="003C6784">
              <w:rPr>
                <w:lang w:eastAsia="en-GB"/>
              </w:rPr>
              <w:t xml:space="preserve">directors approve the </w:t>
            </w:r>
            <w:r w:rsidR="00F44CBF">
              <w:rPr>
                <w:lang w:eastAsia="en-GB"/>
              </w:rPr>
              <w:t>accounts.</w:t>
            </w:r>
          </w:p>
          <w:p w14:paraId="1AB78AC6" w14:textId="0CE10CA4" w:rsidR="00F44CBF" w:rsidRDefault="00F44CBF" w:rsidP="006471A4">
            <w:pPr>
              <w:rPr>
                <w:lang w:eastAsia="en-GB"/>
              </w:rPr>
            </w:pPr>
          </w:p>
        </w:tc>
        <w:tc>
          <w:tcPr>
            <w:tcW w:w="4508" w:type="dxa"/>
          </w:tcPr>
          <w:p w14:paraId="0E5399FC" w14:textId="32741B01" w:rsidR="004D390F" w:rsidRPr="00350698" w:rsidRDefault="00350698" w:rsidP="006471A4">
            <w:pPr>
              <w:rPr>
                <w:b/>
                <w:bCs/>
                <w:lang w:eastAsia="en-GB"/>
              </w:rPr>
            </w:pPr>
            <w:r w:rsidRPr="00350698">
              <w:rPr>
                <w:b/>
                <w:bCs/>
                <w:lang w:eastAsia="en-GB"/>
              </w:rPr>
              <w:t>True.</w:t>
            </w:r>
          </w:p>
        </w:tc>
      </w:tr>
      <w:tr w:rsidR="00854F94" w14:paraId="0AA5BDA3" w14:textId="77777777" w:rsidTr="00854F94">
        <w:tc>
          <w:tcPr>
            <w:tcW w:w="4508" w:type="dxa"/>
          </w:tcPr>
          <w:p w14:paraId="60EDF19C" w14:textId="020F07C1" w:rsidR="00854F94" w:rsidRDefault="00854F94" w:rsidP="003C6784">
            <w:pPr>
              <w:rPr>
                <w:lang w:eastAsia="en-GB"/>
              </w:rPr>
            </w:pPr>
            <w:r>
              <w:rPr>
                <w:lang w:eastAsia="en-GB"/>
              </w:rPr>
              <w:t xml:space="preserve">b) </w:t>
            </w:r>
            <w:r w:rsidR="003C6784">
              <w:rPr>
                <w:lang w:eastAsia="en-GB"/>
              </w:rPr>
              <w:t>An adjusting post balance sheet event is one that provides additional evidence of conditions which existed at the balance sheet date.</w:t>
            </w:r>
          </w:p>
          <w:p w14:paraId="1ABE9BAC" w14:textId="699A564F" w:rsidR="003C6784" w:rsidRDefault="003C6784" w:rsidP="003C6784">
            <w:pPr>
              <w:rPr>
                <w:lang w:eastAsia="en-GB"/>
              </w:rPr>
            </w:pPr>
          </w:p>
        </w:tc>
        <w:tc>
          <w:tcPr>
            <w:tcW w:w="4508" w:type="dxa"/>
          </w:tcPr>
          <w:p w14:paraId="1D66C524" w14:textId="134B4283" w:rsidR="00350698" w:rsidRPr="00350698" w:rsidRDefault="00350698" w:rsidP="006471A4">
            <w:pPr>
              <w:rPr>
                <w:b/>
                <w:bCs/>
                <w:lang w:eastAsia="en-GB"/>
              </w:rPr>
            </w:pPr>
            <w:r w:rsidRPr="00350698">
              <w:rPr>
                <w:b/>
                <w:bCs/>
                <w:lang w:eastAsia="en-GB"/>
              </w:rPr>
              <w:t>True.</w:t>
            </w:r>
          </w:p>
        </w:tc>
      </w:tr>
      <w:tr w:rsidR="00854F94" w14:paraId="53CE71B7" w14:textId="77777777" w:rsidTr="00854F94">
        <w:tc>
          <w:tcPr>
            <w:tcW w:w="4508" w:type="dxa"/>
          </w:tcPr>
          <w:p w14:paraId="035AC6B3" w14:textId="49C9A637" w:rsidR="00854F94" w:rsidRDefault="00854F94" w:rsidP="002552D5">
            <w:pPr>
              <w:rPr>
                <w:lang w:eastAsia="en-GB"/>
              </w:rPr>
            </w:pPr>
            <w:r>
              <w:rPr>
                <w:lang w:eastAsia="en-GB"/>
              </w:rPr>
              <w:t xml:space="preserve">c) </w:t>
            </w:r>
            <w:r w:rsidR="00FC3484">
              <w:rPr>
                <w:lang w:eastAsia="en-GB"/>
              </w:rPr>
              <w:t>The accounting treatment of adjusting post balance sheet events is to disclose in the accounts, details and the financial effe4cts of those adjustments.</w:t>
            </w:r>
          </w:p>
          <w:p w14:paraId="1368DB9A" w14:textId="101B5363" w:rsidR="00666E42" w:rsidRDefault="00666E42" w:rsidP="002552D5">
            <w:pPr>
              <w:rPr>
                <w:lang w:eastAsia="en-GB"/>
              </w:rPr>
            </w:pPr>
          </w:p>
        </w:tc>
        <w:tc>
          <w:tcPr>
            <w:tcW w:w="4508" w:type="dxa"/>
          </w:tcPr>
          <w:p w14:paraId="38BD5E11" w14:textId="1D103CEF" w:rsidR="00DE22BD" w:rsidRPr="006F4D8A" w:rsidRDefault="00350698" w:rsidP="006471A4">
            <w:pPr>
              <w:rPr>
                <w:b/>
                <w:bCs/>
                <w:lang w:eastAsia="en-GB"/>
              </w:rPr>
            </w:pPr>
            <w:r>
              <w:rPr>
                <w:b/>
                <w:bCs/>
                <w:lang w:eastAsia="en-GB"/>
              </w:rPr>
              <w:t xml:space="preserve">False. </w:t>
            </w:r>
            <w:r w:rsidRPr="00350698">
              <w:rPr>
                <w:lang w:eastAsia="en-GB"/>
              </w:rPr>
              <w:t>Amounts reported in the accounts</w:t>
            </w:r>
            <w:r>
              <w:rPr>
                <w:lang w:eastAsia="en-GB"/>
              </w:rPr>
              <w:t xml:space="preserve"> are </w:t>
            </w:r>
            <w:r w:rsidRPr="00753671">
              <w:rPr>
                <w:b/>
                <w:bCs/>
                <w:lang w:eastAsia="en-GB"/>
              </w:rPr>
              <w:t>adjusted</w:t>
            </w:r>
            <w:r>
              <w:rPr>
                <w:lang w:eastAsia="en-GB"/>
              </w:rPr>
              <w:t xml:space="preserve"> for the effect of the </w:t>
            </w:r>
            <w:r w:rsidRPr="00753671">
              <w:rPr>
                <w:lang w:eastAsia="en-GB"/>
              </w:rPr>
              <w:t>adjust</w:t>
            </w:r>
            <w:r w:rsidR="00753671">
              <w:rPr>
                <w:lang w:eastAsia="en-GB"/>
              </w:rPr>
              <w:t>ing</w:t>
            </w:r>
            <w:bookmarkStart w:id="0" w:name="_GoBack"/>
            <w:bookmarkEnd w:id="0"/>
            <w:r>
              <w:rPr>
                <w:lang w:eastAsia="en-GB"/>
              </w:rPr>
              <w:t xml:space="preserve"> post balance sheet events.</w:t>
            </w:r>
          </w:p>
        </w:tc>
      </w:tr>
    </w:tbl>
    <w:p w14:paraId="3F8E9F54" w14:textId="77777777" w:rsidR="00F3241D" w:rsidRDefault="00F3241D"/>
    <w:sectPr w:rsidR="00F3241D" w:rsidSect="00E41DE3">
      <w:headerReference w:type="default" r:id="rId8"/>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43B54D" w14:textId="77777777" w:rsidR="00A36156" w:rsidRDefault="00A36156" w:rsidP="00E41DE3">
      <w:pPr>
        <w:spacing w:after="0" w:line="240" w:lineRule="auto"/>
      </w:pPr>
      <w:r>
        <w:separator/>
      </w:r>
    </w:p>
  </w:endnote>
  <w:endnote w:type="continuationSeparator" w:id="0">
    <w:p w14:paraId="334861FE" w14:textId="77777777" w:rsidR="00A36156" w:rsidRDefault="00A36156" w:rsidP="00E41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3355994"/>
      <w:docPartObj>
        <w:docPartGallery w:val="Page Numbers (Bottom of Page)"/>
        <w:docPartUnique/>
      </w:docPartObj>
    </w:sdtPr>
    <w:sdtEndPr>
      <w:rPr>
        <w:noProof/>
      </w:rPr>
    </w:sdtEndPr>
    <w:sdtContent>
      <w:p w14:paraId="12231E0B" w14:textId="77777777" w:rsidR="00E41DE3" w:rsidRDefault="00E41DE3" w:rsidP="00E41DE3">
        <w:pPr>
          <w:pStyle w:val="Footer"/>
          <w:jc w:val="center"/>
        </w:pPr>
        <w:r w:rsidRPr="00E41DE3">
          <w:t>University of Wales, Trinity Saint David</w:t>
        </w:r>
      </w:p>
      <w:p w14:paraId="2B6400D7" w14:textId="674CFC70" w:rsidR="00E41DE3" w:rsidRDefault="00E41DE3" w:rsidP="00E41DE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61F07" w14:textId="77777777" w:rsidR="00A36156" w:rsidRDefault="00A36156" w:rsidP="00E41DE3">
      <w:pPr>
        <w:spacing w:after="0" w:line="240" w:lineRule="auto"/>
      </w:pPr>
      <w:r>
        <w:separator/>
      </w:r>
    </w:p>
  </w:footnote>
  <w:footnote w:type="continuationSeparator" w:id="0">
    <w:p w14:paraId="508BEAFC" w14:textId="77777777" w:rsidR="00A36156" w:rsidRDefault="00A36156" w:rsidP="00E41D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9FE5C" w14:textId="7101DF95" w:rsidR="00E41DE3" w:rsidRDefault="00E41DE3">
    <w:pPr>
      <w:pStyle w:val="Header"/>
    </w:pPr>
    <w:r>
      <w:t>Financial Reporting BMBM5011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A6F08"/>
    <w:multiLevelType w:val="hybridMultilevel"/>
    <w:tmpl w:val="B81CB1D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DB087F"/>
    <w:multiLevelType w:val="multilevel"/>
    <w:tmpl w:val="F474C6C4"/>
    <w:lvl w:ilvl="0">
      <w:start w:val="1"/>
      <w:numFmt w:val="bullet"/>
      <w:pStyle w:val="ListBullet"/>
      <w:lvlText w:val=""/>
      <w:lvlJc w:val="left"/>
      <w:pPr>
        <w:tabs>
          <w:tab w:val="num" w:pos="340"/>
        </w:tabs>
        <w:ind w:left="340" w:hanging="340"/>
      </w:pPr>
      <w:rPr>
        <w:rFonts w:ascii="Wingdings" w:hAnsi="Wingdings" w:hint="default"/>
        <w:sz w:val="24"/>
      </w:rPr>
    </w:lvl>
    <w:lvl w:ilvl="1">
      <w:start w:val="1"/>
      <w:numFmt w:val="bullet"/>
      <w:pStyle w:val="ListBullet2"/>
      <w:lvlText w:val="—"/>
      <w:lvlJc w:val="left"/>
      <w:pPr>
        <w:tabs>
          <w:tab w:val="num" w:pos="794"/>
        </w:tabs>
        <w:ind w:left="794" w:hanging="454"/>
      </w:pPr>
      <w:rPr>
        <w:rFonts w:ascii="Verdana" w:hAnsi="Verdana" w:hint="default"/>
        <w:sz w:val="24"/>
      </w:rPr>
    </w:lvl>
    <w:lvl w:ilvl="2">
      <w:start w:val="1"/>
      <w:numFmt w:val="bullet"/>
      <w:pStyle w:val="ListBullet3"/>
      <w:lvlText w:val="–"/>
      <w:lvlJc w:val="left"/>
      <w:pPr>
        <w:tabs>
          <w:tab w:val="num" w:pos="1134"/>
        </w:tabs>
        <w:ind w:left="1134" w:hanging="340"/>
      </w:pPr>
      <w:rPr>
        <w:rFonts w:ascii="Verdana" w:hAnsi="Verdana" w:hint="default"/>
        <w:sz w:val="22"/>
      </w:rPr>
    </w:lvl>
    <w:lvl w:ilvl="3">
      <w:start w:val="1"/>
      <w:numFmt w:val="bullet"/>
      <w:lvlText w:val=""/>
      <w:lvlJc w:val="left"/>
      <w:pPr>
        <w:tabs>
          <w:tab w:val="num" w:pos="2368"/>
        </w:tabs>
        <w:ind w:left="2368" w:hanging="360"/>
      </w:pPr>
      <w:rPr>
        <w:rFonts w:ascii="Wingdings" w:hAnsi="Wingdings" w:hint="default"/>
        <w:sz w:val="22"/>
      </w:rPr>
    </w:lvl>
    <w:lvl w:ilvl="4">
      <w:start w:val="1"/>
      <w:numFmt w:val="bullet"/>
      <w:lvlText w:val=""/>
      <w:lvlJc w:val="left"/>
      <w:pPr>
        <w:tabs>
          <w:tab w:val="num" w:pos="2728"/>
        </w:tabs>
        <w:ind w:left="2728" w:hanging="360"/>
      </w:pPr>
      <w:rPr>
        <w:rFonts w:ascii="Wingdings" w:hAnsi="Wingdings" w:hint="default"/>
        <w:sz w:val="22"/>
      </w:rPr>
    </w:lvl>
    <w:lvl w:ilvl="5">
      <w:start w:val="1"/>
      <w:numFmt w:val="bullet"/>
      <w:lvlText w:val=""/>
      <w:lvlJc w:val="left"/>
      <w:pPr>
        <w:tabs>
          <w:tab w:val="num" w:pos="3088"/>
        </w:tabs>
        <w:ind w:left="3088" w:hanging="360"/>
      </w:pPr>
      <w:rPr>
        <w:rFonts w:ascii="Wingdings" w:hAnsi="Wingdings" w:hint="default"/>
      </w:rPr>
    </w:lvl>
    <w:lvl w:ilvl="6">
      <w:start w:val="1"/>
      <w:numFmt w:val="bullet"/>
      <w:lvlText w:val=""/>
      <w:lvlJc w:val="left"/>
      <w:pPr>
        <w:tabs>
          <w:tab w:val="num" w:pos="3448"/>
        </w:tabs>
        <w:ind w:left="3448" w:hanging="360"/>
      </w:pPr>
      <w:rPr>
        <w:rFonts w:ascii="Wingdings" w:hAnsi="Wingdings" w:hint="default"/>
      </w:rPr>
    </w:lvl>
    <w:lvl w:ilvl="7">
      <w:start w:val="1"/>
      <w:numFmt w:val="bullet"/>
      <w:lvlText w:val=""/>
      <w:lvlJc w:val="left"/>
      <w:pPr>
        <w:tabs>
          <w:tab w:val="num" w:pos="3808"/>
        </w:tabs>
        <w:ind w:left="3808" w:hanging="360"/>
      </w:pPr>
      <w:rPr>
        <w:rFonts w:ascii="Symbol" w:hAnsi="Symbol" w:hint="default"/>
      </w:rPr>
    </w:lvl>
    <w:lvl w:ilvl="8">
      <w:start w:val="1"/>
      <w:numFmt w:val="bullet"/>
      <w:lvlText w:val=""/>
      <w:lvlJc w:val="left"/>
      <w:pPr>
        <w:tabs>
          <w:tab w:val="num" w:pos="4168"/>
        </w:tabs>
        <w:ind w:left="4168" w:hanging="360"/>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DE3"/>
    <w:rsid w:val="0001066D"/>
    <w:rsid w:val="00014A90"/>
    <w:rsid w:val="00055A10"/>
    <w:rsid w:val="00067B9E"/>
    <w:rsid w:val="000B36B8"/>
    <w:rsid w:val="000D248F"/>
    <w:rsid w:val="00100340"/>
    <w:rsid w:val="001A731E"/>
    <w:rsid w:val="00242F98"/>
    <w:rsid w:val="002552D5"/>
    <w:rsid w:val="002974D5"/>
    <w:rsid w:val="002D0E33"/>
    <w:rsid w:val="002E0F6E"/>
    <w:rsid w:val="00335D8D"/>
    <w:rsid w:val="00350698"/>
    <w:rsid w:val="00356E2F"/>
    <w:rsid w:val="003C6784"/>
    <w:rsid w:val="004061AE"/>
    <w:rsid w:val="004D390F"/>
    <w:rsid w:val="00515635"/>
    <w:rsid w:val="005F666F"/>
    <w:rsid w:val="006224BB"/>
    <w:rsid w:val="006471A4"/>
    <w:rsid w:val="00666E42"/>
    <w:rsid w:val="006F4D8A"/>
    <w:rsid w:val="00747187"/>
    <w:rsid w:val="00753671"/>
    <w:rsid w:val="007D0002"/>
    <w:rsid w:val="007D57C3"/>
    <w:rsid w:val="00854F94"/>
    <w:rsid w:val="008B523B"/>
    <w:rsid w:val="008F1745"/>
    <w:rsid w:val="008F4A65"/>
    <w:rsid w:val="00920F9E"/>
    <w:rsid w:val="009231EE"/>
    <w:rsid w:val="0092351E"/>
    <w:rsid w:val="00937455"/>
    <w:rsid w:val="009E034E"/>
    <w:rsid w:val="009F4522"/>
    <w:rsid w:val="009F5261"/>
    <w:rsid w:val="00A36156"/>
    <w:rsid w:val="00AA189F"/>
    <w:rsid w:val="00AE5A7B"/>
    <w:rsid w:val="00B41CF2"/>
    <w:rsid w:val="00B57190"/>
    <w:rsid w:val="00C77A21"/>
    <w:rsid w:val="00CC7414"/>
    <w:rsid w:val="00D71CD2"/>
    <w:rsid w:val="00DD128B"/>
    <w:rsid w:val="00DE22BD"/>
    <w:rsid w:val="00DF2E71"/>
    <w:rsid w:val="00E41DE3"/>
    <w:rsid w:val="00E5401F"/>
    <w:rsid w:val="00E85F65"/>
    <w:rsid w:val="00F05539"/>
    <w:rsid w:val="00F304FE"/>
    <w:rsid w:val="00F3227F"/>
    <w:rsid w:val="00F3241D"/>
    <w:rsid w:val="00F44CBF"/>
    <w:rsid w:val="00FC3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2DE5B9"/>
  <w15:chartTrackingRefBased/>
  <w15:docId w15:val="{7CDC4D76-BCC5-431A-9033-538549439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1D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1DE3"/>
  </w:style>
  <w:style w:type="paragraph" w:styleId="Footer">
    <w:name w:val="footer"/>
    <w:basedOn w:val="Normal"/>
    <w:link w:val="FooterChar"/>
    <w:uiPriority w:val="99"/>
    <w:unhideWhenUsed/>
    <w:rsid w:val="00E41D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DE3"/>
  </w:style>
  <w:style w:type="paragraph" w:styleId="ListParagraph">
    <w:name w:val="List Paragraph"/>
    <w:basedOn w:val="Normal"/>
    <w:uiPriority w:val="34"/>
    <w:qFormat/>
    <w:rsid w:val="00937455"/>
    <w:pPr>
      <w:ind w:left="720"/>
      <w:contextualSpacing/>
    </w:pPr>
  </w:style>
  <w:style w:type="table" w:styleId="TableGrid">
    <w:name w:val="Table Grid"/>
    <w:basedOn w:val="TableNormal"/>
    <w:uiPriority w:val="39"/>
    <w:rsid w:val="000B36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235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arnChckNumber">
    <w:name w:val="Learn Chck Number"/>
    <w:basedOn w:val="Normal"/>
    <w:next w:val="Normal"/>
    <w:link w:val="LearnChckNumberChar"/>
    <w:rsid w:val="00F3241D"/>
    <w:pPr>
      <w:keepLines/>
      <w:tabs>
        <w:tab w:val="left" w:pos="-340"/>
      </w:tabs>
      <w:spacing w:before="240" w:after="0" w:line="300" w:lineRule="auto"/>
      <w:ind w:hanging="737"/>
    </w:pPr>
    <w:rPr>
      <w:rFonts w:ascii="Verdana" w:eastAsia="Times New Roman" w:hAnsi="Verdana" w:cs="Mangal"/>
      <w:sz w:val="20"/>
      <w:lang w:eastAsia="en-GB"/>
    </w:rPr>
  </w:style>
  <w:style w:type="paragraph" w:styleId="ListBullet2">
    <w:name w:val="List Bullet 2"/>
    <w:basedOn w:val="Normal"/>
    <w:rsid w:val="00F3227F"/>
    <w:pPr>
      <w:keepLines/>
      <w:numPr>
        <w:ilvl w:val="1"/>
        <w:numId w:val="2"/>
      </w:numPr>
      <w:spacing w:before="120" w:after="0" w:line="300" w:lineRule="auto"/>
    </w:pPr>
    <w:rPr>
      <w:rFonts w:ascii="Verdana" w:eastAsia="Times New Roman" w:hAnsi="Verdana" w:cs="Mangal"/>
      <w:sz w:val="20"/>
      <w:lang w:eastAsia="en-GB"/>
    </w:rPr>
  </w:style>
  <w:style w:type="paragraph" w:styleId="ListBullet3">
    <w:name w:val="List Bullet 3"/>
    <w:basedOn w:val="Normal"/>
    <w:rsid w:val="00F3227F"/>
    <w:pPr>
      <w:keepLines/>
      <w:numPr>
        <w:ilvl w:val="2"/>
        <w:numId w:val="2"/>
      </w:numPr>
      <w:spacing w:before="120" w:after="0" w:line="300" w:lineRule="auto"/>
    </w:pPr>
    <w:rPr>
      <w:rFonts w:ascii="Verdana" w:eastAsia="Times New Roman" w:hAnsi="Verdana" w:cs="Mangal"/>
      <w:sz w:val="20"/>
      <w:lang w:eastAsia="en-GB"/>
    </w:rPr>
  </w:style>
  <w:style w:type="paragraph" w:styleId="ListBullet">
    <w:name w:val="List Bullet"/>
    <w:basedOn w:val="Normal"/>
    <w:link w:val="ListBulletChar"/>
    <w:rsid w:val="00F3227F"/>
    <w:pPr>
      <w:keepLines/>
      <w:numPr>
        <w:numId w:val="2"/>
      </w:numPr>
      <w:spacing w:before="120" w:after="0" w:line="300" w:lineRule="auto"/>
    </w:pPr>
    <w:rPr>
      <w:rFonts w:ascii="Verdana" w:eastAsia="Times New Roman" w:hAnsi="Verdana" w:cs="Mangal"/>
      <w:sz w:val="20"/>
      <w:lang w:eastAsia="en-GB"/>
    </w:rPr>
  </w:style>
  <w:style w:type="character" w:customStyle="1" w:styleId="ListBulletChar">
    <w:name w:val="List Bullet Char"/>
    <w:link w:val="ListBullet"/>
    <w:rsid w:val="00F3227F"/>
    <w:rPr>
      <w:rFonts w:ascii="Verdana" w:eastAsia="Times New Roman" w:hAnsi="Verdana" w:cs="Mangal"/>
      <w:sz w:val="20"/>
      <w:lang w:eastAsia="en-GB"/>
    </w:rPr>
  </w:style>
  <w:style w:type="character" w:customStyle="1" w:styleId="LearnChckNumberChar">
    <w:name w:val="Learn Chck Number Char"/>
    <w:link w:val="LearnChckNumber"/>
    <w:rsid w:val="00F3227F"/>
    <w:rPr>
      <w:rFonts w:ascii="Verdana" w:eastAsia="Times New Roman" w:hAnsi="Verdana" w:cs="Mangal"/>
      <w:sz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123122">
      <w:bodyDiv w:val="1"/>
      <w:marLeft w:val="0"/>
      <w:marRight w:val="0"/>
      <w:marTop w:val="0"/>
      <w:marBottom w:val="0"/>
      <w:divBdr>
        <w:top w:val="none" w:sz="0" w:space="0" w:color="auto"/>
        <w:left w:val="none" w:sz="0" w:space="0" w:color="auto"/>
        <w:bottom w:val="none" w:sz="0" w:space="0" w:color="auto"/>
        <w:right w:val="none" w:sz="0" w:space="0" w:color="auto"/>
      </w:divBdr>
    </w:div>
    <w:div w:id="1066729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9F588-1714-455C-B098-A44BC11FA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111</Words>
  <Characters>638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Williams</dc:creator>
  <cp:keywords/>
  <dc:description/>
  <cp:lastModifiedBy>Andrew Williams</cp:lastModifiedBy>
  <cp:revision>4</cp:revision>
  <dcterms:created xsi:type="dcterms:W3CDTF">2019-08-16T12:59:00Z</dcterms:created>
  <dcterms:modified xsi:type="dcterms:W3CDTF">2019-08-16T13:01:00Z</dcterms:modified>
</cp:coreProperties>
</file>