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7A8D3" w14:textId="77777777" w:rsidR="00F83FF8" w:rsidRPr="00F83FF8" w:rsidRDefault="00F83FF8" w:rsidP="00F83FF8">
      <w:pPr>
        <w:jc w:val="center"/>
        <w:rPr>
          <w:rFonts w:ascii="Calibri" w:eastAsia="Times New Roman" w:hAnsi="Calibri" w:cs="Times New Roman"/>
          <w:b/>
          <w:bCs/>
          <w:iCs/>
          <w:color w:val="373A3C"/>
          <w:sz w:val="28"/>
          <w:szCs w:val="28"/>
          <w:lang w:eastAsia="en-GB"/>
        </w:rPr>
      </w:pPr>
      <w:r w:rsidRPr="00F83FF8">
        <w:rPr>
          <w:rFonts w:ascii="Calibri" w:eastAsia="Times New Roman" w:hAnsi="Calibri" w:cs="Times New Roman"/>
          <w:b/>
          <w:bCs/>
          <w:iCs/>
          <w:color w:val="373A3C"/>
          <w:sz w:val="28"/>
          <w:szCs w:val="28"/>
          <w:lang w:eastAsia="en-GB"/>
        </w:rPr>
        <w:t>"In the sense in which there are processes (including mental processes) which are characteristic of understanding, understanding is not a mental process." (PI 154) What is Wittgenstein's point here?</w:t>
      </w:r>
    </w:p>
    <w:p w14:paraId="52C49612" w14:textId="77777777" w:rsidR="00F83FF8" w:rsidRDefault="00F83FF8" w:rsidP="00F83FF8">
      <w:pPr>
        <w:jc w:val="center"/>
        <w:rPr>
          <w:rFonts w:ascii="Calibri" w:eastAsia="Times New Roman" w:hAnsi="Calibri" w:cs="Times New Roman"/>
          <w:b/>
          <w:bCs/>
          <w:i/>
          <w:iCs/>
          <w:color w:val="373A3C"/>
          <w:sz w:val="28"/>
          <w:szCs w:val="28"/>
          <w:lang w:eastAsia="en-GB"/>
        </w:rPr>
      </w:pPr>
    </w:p>
    <w:p w14:paraId="5ABE0E46" w14:textId="77777777" w:rsidR="00F83FF8" w:rsidRPr="00F83FF8" w:rsidRDefault="00F83FF8" w:rsidP="00F83FF8">
      <w:pPr>
        <w:rPr>
          <w:rFonts w:ascii="Calibri" w:eastAsia="Times New Roman" w:hAnsi="Calibri" w:cs="Times New Roman"/>
          <w:lang w:eastAsia="en-GB"/>
        </w:rPr>
      </w:pPr>
    </w:p>
    <w:p w14:paraId="4836762F" w14:textId="77777777" w:rsidR="00B16080" w:rsidRDefault="000153F4">
      <w:r>
        <w:t>Here</w:t>
      </w:r>
      <w:r w:rsidR="00E34E8A">
        <w:t xml:space="preserve"> I will consider what ‘understanding’ means by way of particular mental processes and highlight the difference between the two in accordance with Wittgenstein’s work, and consider why understanding may not be categorised as a mental process, or </w:t>
      </w:r>
      <w:r w:rsidR="007A5D82">
        <w:t>a mental state</w:t>
      </w:r>
      <w:r w:rsidR="00E34E8A">
        <w:t xml:space="preserve"> in itself. I will then explore what Wittgenstein truly means by </w:t>
      </w:r>
      <w:r w:rsidR="00D405A6">
        <w:t>stating this</w:t>
      </w:r>
      <w:r w:rsidR="0029201A">
        <w:t>, as his work can</w:t>
      </w:r>
      <w:r w:rsidR="00E34E8A">
        <w:t xml:space="preserve"> be read in different ways </w:t>
      </w:r>
      <w:r w:rsidR="0029201A">
        <w:t>lea</w:t>
      </w:r>
      <w:r w:rsidR="007A5D82">
        <w:t>ding to different conclusions as</w:t>
      </w:r>
      <w:r w:rsidR="0029201A">
        <w:t xml:space="preserve"> to what his point may be by making the above claim.</w:t>
      </w:r>
    </w:p>
    <w:p w14:paraId="6C60D259" w14:textId="77777777" w:rsidR="00367C2F" w:rsidRDefault="005A1D05">
      <w:r>
        <w:tab/>
        <w:t xml:space="preserve">Wittgenstein uses an example of a student learning to write out a structured and </w:t>
      </w:r>
      <w:r w:rsidR="001B65BD">
        <w:t>correct numerical algebraic series, in which he describes understanding as being the result of a rehearsed repetition and attempt at achieving the correct outcome.</w:t>
      </w:r>
      <w:r w:rsidR="00113D1C">
        <w:t xml:space="preserve">  The correct outcome will only be recognised as successful when it can be demonstrated repeatedly, and not by a stroke of luck: “this will only be the case when he is often successful, not if he does it right once in a hundred attempts.”</w:t>
      </w:r>
      <w:r w:rsidR="00113D1C">
        <w:rPr>
          <w:rStyle w:val="FootnoteReference"/>
        </w:rPr>
        <w:footnoteReference w:id="1"/>
      </w:r>
      <w:r w:rsidR="00367C2F">
        <w:t xml:space="preserve">  He queries the authenticity of understanding in light of such a success as to be able to continue a numerical series independently, exemplifying a type of knowledge</w:t>
      </w:r>
      <w:r w:rsidR="00CD758D">
        <w:t xml:space="preserve"> and understanding</w:t>
      </w:r>
      <w:r w:rsidR="00367C2F">
        <w:t xml:space="preserve"> that is coherent with others’</w:t>
      </w:r>
      <w:r w:rsidR="00CD758D">
        <w:t xml:space="preserve"> un</w:t>
      </w:r>
      <w:r w:rsidR="0015600F">
        <w:t>ders</w:t>
      </w:r>
      <w:r w:rsidR="00CD758D">
        <w:t>tanding</w:t>
      </w:r>
      <w:r w:rsidR="00367C2F">
        <w:t xml:space="preserve"> of such numerical systems.</w:t>
      </w:r>
      <w:r w:rsidR="0015600F">
        <w:t xml:space="preserve">  Is this understanding then to be regarded as a mental process in itself?  </w:t>
      </w:r>
      <w:r w:rsidR="00827F54">
        <w:t xml:space="preserve">Wittgenstein points at the fact that it cannot be by stating </w:t>
      </w:r>
      <w:r w:rsidR="005F5054">
        <w:t>that</w:t>
      </w:r>
      <w:r w:rsidR="00827F54">
        <w:t xml:space="preserve"> “</w:t>
      </w:r>
      <w:r w:rsidR="005F5054">
        <w:t>[understanding] can't consist in continuing the series up to this or that number: that is only applying one's understanding. The understanding itself is a state which is the source of the correct use.”</w:t>
      </w:r>
      <w:r w:rsidR="005F5054">
        <w:rPr>
          <w:rStyle w:val="FootnoteReference"/>
        </w:rPr>
        <w:footnoteReference w:id="2"/>
      </w:r>
      <w:r w:rsidR="005F5054">
        <w:t xml:space="preserve">  He is clearly trying to demonstrate that having an understanding of anything is simply the application of correct mental processes to a particular task or situation; understanding is only exemplified by our approach to </w:t>
      </w:r>
      <w:r w:rsidR="000121F7">
        <w:t>these, and is constituted of</w:t>
      </w:r>
      <w:r w:rsidR="005F5054">
        <w:t xml:space="preserve"> a series of </w:t>
      </w:r>
      <w:r w:rsidR="00B048DA">
        <w:t>other processes</w:t>
      </w:r>
      <w:r w:rsidR="000121F7">
        <w:t xml:space="preserve"> of reasoning</w:t>
      </w:r>
      <w:r w:rsidR="00B048DA">
        <w:t>.</w:t>
      </w:r>
      <w:r w:rsidR="003E7FB9">
        <w:t xml:space="preserve">  He goes on to explain how understanding is a fleeting exemplification of a particular type of knowledge, as opposed to a continuous mental state.  He uses the examples of </w:t>
      </w:r>
      <w:r w:rsidR="00233D26">
        <w:t>depression, excitement, and pain to illustrate what he calls true mental states – these are states of the mind that are not as fleeting as an understanding of something, and are not diminishable by the absence of their exemplification in contrast to an apparent understanding of something.</w:t>
      </w:r>
      <w:r w:rsidR="008F3B09">
        <w:t xml:space="preserve">  To grasp an understanding of something is, for Wittgenstein, a circumstantial notion that occurs at a specific point in time – unlike other mental states which are </w:t>
      </w:r>
      <w:r w:rsidR="002D3488">
        <w:t xml:space="preserve">more </w:t>
      </w:r>
      <w:r w:rsidR="008F3B09">
        <w:t xml:space="preserve">continuous </w:t>
      </w:r>
      <w:r w:rsidR="002C32EE">
        <w:t xml:space="preserve">and perhaps not </w:t>
      </w:r>
      <w:r w:rsidR="002D3488">
        <w:t>as fleeting as a display of understanding.</w:t>
      </w:r>
      <w:r w:rsidR="000153F4">
        <w:t xml:space="preserve">  “We are trying to get hold of the mental process of understanding which seems to be hidden behind those coarser and therefore more readily visible accompaniments.”</w:t>
      </w:r>
      <w:r w:rsidR="000153F4">
        <w:rPr>
          <w:rStyle w:val="FootnoteReference"/>
        </w:rPr>
        <w:footnoteReference w:id="3"/>
      </w:r>
      <w:r w:rsidR="001C3B6F">
        <w:t xml:space="preserve">  This indicates how </w:t>
      </w:r>
      <w:r w:rsidR="00C02813">
        <w:t>he sees understanding as a collection of mental processes, making it difficult to pinpoint the state of understanding itself, without reference to these other components that are circumstantial.</w:t>
      </w:r>
      <w:r w:rsidR="00293524">
        <w:t xml:space="preserve">  It may be more appropriate to consider that ‘having knowledge’ would be a better description of our mental state, which would lead us to being able to display an understanding of such knowledge.  This then also separates ‘having knowledge’ from ‘having an understanding’ meaning they are not synonymous.  Understanding </w:t>
      </w:r>
      <w:r w:rsidR="00293524">
        <w:lastRenderedPageBreak/>
        <w:t>something requires a practical applica</w:t>
      </w:r>
      <w:r w:rsidR="00770371">
        <w:t>tion of said knowledge it seems, making Wittgenstein’s theory of understanding more akin to his view on language: when he states that the definition of language is in its use, it seems that his definition of understanding also arises from t</w:t>
      </w:r>
      <w:r w:rsidR="00983B10">
        <w:t>he way we apply it to the world by the way of other mental processes that constitute its very nature.</w:t>
      </w:r>
    </w:p>
    <w:p w14:paraId="5972820A" w14:textId="7474C513" w:rsidR="00770371" w:rsidRDefault="00770371">
      <w:r>
        <w:tab/>
      </w:r>
      <w:r w:rsidR="00BD7CFA">
        <w:t>To unde</w:t>
      </w:r>
      <w:r w:rsidR="009A3D63">
        <w:t>rstand our u</w:t>
      </w:r>
      <w:r w:rsidR="00BD7CFA">
        <w:t xml:space="preserve">nderstanding, we would need to consider what all examples of having </w:t>
      </w:r>
      <w:r w:rsidR="009A3D63">
        <w:t xml:space="preserve">an </w:t>
      </w:r>
      <w:r w:rsidR="00BD7CFA">
        <w:t>understanding have in common with each other.  A student may have worked out what formula need be applied to an algebraic series in order to correctly predict the remainder of the sequence and be able to correctly assert said formula, or the student may be able to bypass this stage and simply continue with the series knowing subconsciously that they have a grasp on what lies before them.  Nevertheless, their understanding of the concept is something that hides behind the curtain of their consciousness, whereby it is their conscious behaviours that demonstrate the understanding that they hold.</w:t>
      </w:r>
      <w:r w:rsidR="00AB5784">
        <w:t xml:space="preserve">  It is also conceivably possible for a student to be presented with a formula in order to increase an algebraic sequence, and for that student to not have an understanding of what lies before him.</w:t>
      </w:r>
      <w:r w:rsidR="00D92C58">
        <w:t xml:space="preserve">  This eliminates the possibility of us being able to associate understanding with a clear mental picture of what it is, </w:t>
      </w:r>
      <w:r w:rsidR="009A3D63">
        <w:t>and in the moment that we do have an understanding, Wittgenstein denies that it has any significant temporal residence within us: “Such a sensation is, for example, that of a light quick intake of breath, as when one is slightly startled.”</w:t>
      </w:r>
      <w:r w:rsidR="009A3D63">
        <w:rPr>
          <w:rStyle w:val="FootnoteReference"/>
        </w:rPr>
        <w:footnoteReference w:id="4"/>
      </w:r>
      <w:r w:rsidR="00CE3A49">
        <w:t xml:space="preserve">  This leads the philosophical investigation to adopt </w:t>
      </w:r>
      <w:r w:rsidR="00B111C1">
        <w:t>the position that understanding is not a mental state or process, especially as we cannot look inside ourselves and find that mental state and put it forth for examination – it is a contingent emergent state dependent on several factors and could not possibly be predicted to be the</w:t>
      </w:r>
      <w:r w:rsidR="00675B6D">
        <w:t xml:space="preserve"> case until it manifests itself, and dependent on the circumstances of the language-game that we all play.</w:t>
      </w:r>
      <w:r w:rsidR="003E705E">
        <w:t xml:space="preserve">  Wittgenstein asks (of having knowledge): “When do you know that application? Always? day and night? or only when you are actually thinking of the rule?”</w:t>
      </w:r>
      <w:r w:rsidR="003E705E">
        <w:rPr>
          <w:rStyle w:val="FootnoteReference"/>
        </w:rPr>
        <w:footnoteReference w:id="5"/>
      </w:r>
      <w:r w:rsidR="003E705E">
        <w:t xml:space="preserve">.  This temporal deficiency that having understanding seems to employ does not allow it to be considered a mental state such as </w:t>
      </w:r>
      <w:r w:rsidR="003E705E" w:rsidRPr="003E705E">
        <w:t>those previously mentioned</w:t>
      </w:r>
      <w:r w:rsidR="003E705E">
        <w:t xml:space="preserve"> (pain, depression, and excitement), as for those we are able to specify a beginning and an end, and quite differently we are able to find those states within ourselves for examination.</w:t>
      </w:r>
    </w:p>
    <w:p w14:paraId="6C45A29F" w14:textId="60AFC4D3" w:rsidR="00B95681" w:rsidRDefault="009609A1">
      <w:r>
        <w:tab/>
        <w:t>Our language game may deceive us into thinking we can isolate understanding as a mental p</w:t>
      </w:r>
      <w:r w:rsidR="008F5F38">
        <w:t>rocess</w:t>
      </w:r>
      <w:r>
        <w:t xml:space="preserve"> simply by the way that we use the word</w:t>
      </w:r>
      <w:r w:rsidR="007838AD">
        <w:t xml:space="preserve">, but we can assert that we have understanding </w:t>
      </w:r>
      <w:r w:rsidR="00C1340B">
        <w:t xml:space="preserve">of something only to be proven wrong.  For example, one could state that they know (or understand) all of the words to the National Anthem, only to have sung the first two lines and not be able to continue, or to say that we understand how to play chess as we had learned the rules twenty years ago, only to find that we may have forgotten how many squares a bishop can move at one time.  Would a revision or correction to this knowledge then only constitute understanding in its initial primary form, or would we be inclined to say that we have simply further developed our understanding of such things?  Either way, having an understanding is fallible as a notion denoting a mental state as it is not a fixed and clear-cut </w:t>
      </w:r>
      <w:r w:rsidR="008F5F38">
        <w:t>operative state of mind – again, it is circumstantial and exemplified only when we put our understanding to proper application.</w:t>
      </w:r>
      <w:r w:rsidR="00107A5A">
        <w:t xml:space="preserve">  “This is how these words are used. It would be quite misleading…to call the words a "description of a mental state</w:t>
      </w:r>
      <w:proofErr w:type="gramStart"/>
      <w:r w:rsidR="00107A5A">
        <w:t>".--</w:t>
      </w:r>
      <w:proofErr w:type="gramEnd"/>
      <w:r w:rsidR="00107A5A">
        <w:t>One might rather call them a "signal"; and we judge whether it was rightly employed by what he goes on to do.”</w:t>
      </w:r>
      <w:r w:rsidR="00107A5A">
        <w:rPr>
          <w:rStyle w:val="FootnoteReference"/>
        </w:rPr>
        <w:footnoteReference w:id="6"/>
      </w:r>
      <w:r w:rsidR="002B4F87">
        <w:t xml:space="preserve">  So for Wittgenstein, having an understanding is as he states, a signal from ourselves to ourselves indicating that we have knowledge of a particular kind, or that we are able to proceed in a particular manner due to our particular interpretation of the world.  Is this then nothing but a subjective </w:t>
      </w:r>
      <w:r w:rsidR="00B77147">
        <w:t xml:space="preserve">interpretation of ourselves which holds no truth until it is exemplified?  Wittgenstein seems to think so, which is what completely severs it </w:t>
      </w:r>
      <w:r w:rsidR="007E7E29">
        <w:t>from any other mental states which are identifiable over time and seem to hold more of an objective truth.</w:t>
      </w:r>
    </w:p>
    <w:p w14:paraId="5CB6BF10" w14:textId="5AA59007" w:rsidR="006F79B8" w:rsidRDefault="006F79B8">
      <w:r>
        <w:tab/>
        <w:t xml:space="preserve">Pain, depression, </w:t>
      </w:r>
      <w:r w:rsidR="003E183A">
        <w:t xml:space="preserve">and excitement (to use Wittgenstein’s previous examples again), are characteristics with something of a metaphysical disposition, although they may be reducible to neurological activity, or hormonal responses.  </w:t>
      </w:r>
      <w:r w:rsidR="001271BE">
        <w:t xml:space="preserve">This is sometimes known </w:t>
      </w:r>
      <w:r w:rsidR="00015EFA">
        <w:t>as physicalism</w:t>
      </w:r>
      <w:r w:rsidR="00730346">
        <w:t xml:space="preserve"> when certain </w:t>
      </w:r>
      <w:r w:rsidR="004E48B9">
        <w:t>behaviours are reducible to physical properties, but when we talk with someone who has depression</w:t>
      </w:r>
      <w:r w:rsidR="002F7E12">
        <w:t xml:space="preserve">, we are aware of their state of mind due to the behaviours they display.  We see the exemplification of their neural processes, instead of the neural processes themselves.  </w:t>
      </w:r>
      <w:r w:rsidR="003E183A">
        <w:t xml:space="preserve">I mean to say that one can never point directly to any of these within themselves while experiencing them (and as previously noted, they do have a temporal span of existence), whereas understanding can only be discovered through empirically observed </w:t>
      </w:r>
      <w:r w:rsidR="004728CD">
        <w:t>exemplification with a display of h</w:t>
      </w:r>
      <w:r w:rsidR="002F7E12">
        <w:t>ow one conducts themselves and directs the</w:t>
      </w:r>
      <w:r w:rsidR="004728CD">
        <w:t xml:space="preserve"> application of their understanding.</w:t>
      </w:r>
    </w:p>
    <w:p w14:paraId="7EDC9173" w14:textId="33EC3105" w:rsidR="001F66EC" w:rsidRPr="001F66EC" w:rsidRDefault="001F66EC" w:rsidP="001F66EC">
      <w:pPr>
        <w:rPr>
          <w:b/>
        </w:rPr>
      </w:pPr>
      <w:r w:rsidRPr="001F66EC">
        <w:rPr>
          <w:b/>
        </w:rPr>
        <w:t>“The criteria which we accept for 'fitting', 'being able to', 'understanding', are much more complicated than might appear at first sight. That is, the game with these words, their employment in the linguistic intercourse that is carried on by their means, is more involved--the role of these words in our language other--than we are tempted to think.</w:t>
      </w:r>
    </w:p>
    <w:p w14:paraId="35865E4D" w14:textId="61BEC285" w:rsidR="001F66EC" w:rsidRDefault="001F66EC" w:rsidP="001F66EC">
      <w:pPr>
        <w:rPr>
          <w:b/>
        </w:rPr>
      </w:pPr>
      <w:r w:rsidRPr="001F66EC">
        <w:rPr>
          <w:b/>
        </w:rPr>
        <w:tab/>
        <w:t xml:space="preserve">(This role is what we need to understand in order to resolve philosophical paradoxes. And hence definitions usually fail to resolve them; and so, </w:t>
      </w:r>
      <w:r w:rsidRPr="001F66EC">
        <w:rPr>
          <w:b/>
          <w:i/>
        </w:rPr>
        <w:t>a fortiori</w:t>
      </w:r>
      <w:r w:rsidRPr="001F66EC">
        <w:rPr>
          <w:b/>
        </w:rPr>
        <w:t xml:space="preserve"> does the assertion that a word is 'indefinable'.)”</w:t>
      </w:r>
      <w:r>
        <w:rPr>
          <w:rStyle w:val="FootnoteReference"/>
          <w:b/>
        </w:rPr>
        <w:footnoteReference w:id="7"/>
      </w:r>
    </w:p>
    <w:p w14:paraId="274276BD" w14:textId="34FDA13D" w:rsidR="00C41D1A" w:rsidRDefault="00C41D1A" w:rsidP="001F66EC">
      <w:r>
        <w:t xml:space="preserve">He refers to understanding as being indefinable here, </w:t>
      </w:r>
      <w:r w:rsidR="00A20338">
        <w:t>and</w:t>
      </w:r>
      <w:r w:rsidR="007C4BBF">
        <w:t xml:space="preserve"> despite </w:t>
      </w:r>
      <w:r>
        <w:t>some exemplification of havi</w:t>
      </w:r>
      <w:r w:rsidR="007C4BBF">
        <w:t>ng knowledge or understanding being</w:t>
      </w:r>
      <w:r>
        <w:t xml:space="preserve"> required in order to verify an individual’s understanding, he uses the example of having someone read a passage of text in order to show how difficult a simple notion like ‘being able to read’ can be to define</w:t>
      </w:r>
      <w:r w:rsidR="007C4BBF">
        <w:t xml:space="preserve"> before considering the much more complicated abstraction of understanding.</w:t>
      </w:r>
      <w:r w:rsidR="00361986">
        <w:t xml:space="preserve">  He writes: “Try this experiment: say the numbers from 1 to 12. Now look at the dial of your watch and read </w:t>
      </w:r>
      <w:proofErr w:type="gramStart"/>
      <w:r w:rsidR="00361986">
        <w:t>them.--</w:t>
      </w:r>
      <w:proofErr w:type="gramEnd"/>
      <w:r w:rsidR="00361986">
        <w:t>What was it that you called "reading" in the latter case? That is to say: what did you do, to make it into reading?</w:t>
      </w:r>
      <w:r w:rsidR="00BF2AF6">
        <w:t>”</w:t>
      </w:r>
      <w:r w:rsidR="00FC7232">
        <w:rPr>
          <w:rStyle w:val="FootnoteReference"/>
        </w:rPr>
        <w:footnoteReference w:id="8"/>
      </w:r>
      <w:r w:rsidR="00BF2AF6">
        <w:t xml:space="preserve">.  He makes an attempt to discover what it is that </w:t>
      </w:r>
      <w:r w:rsidR="00BF2AF6">
        <w:rPr>
          <w:i/>
        </w:rPr>
        <w:t xml:space="preserve">all </w:t>
      </w:r>
      <w:r w:rsidR="00BF2AF6">
        <w:t>cas</w:t>
      </w:r>
      <w:r w:rsidR="00112996">
        <w:t>es of reading have in common, but comes into difficulty when trying to explain how someone could cast their eyes over a piece of text that they may know off by heart, and wonders whether this would still constitute reading as a</w:t>
      </w:r>
      <w:r w:rsidR="00016DE7">
        <w:t xml:space="preserve"> process, or whether it is more of a recollection from memory that is going on.  Nevertheless, to witness someone do this would certainly make us think that they were actually reading, and would probably make the person saying the words out aloud also think that they were reading.</w:t>
      </w:r>
      <w:r w:rsidR="0032746B">
        <w:t xml:space="preserve">  However, if we are unable to find a correlation between all instances of reading, we are very unlikely to find a </w:t>
      </w:r>
      <w:r w:rsidR="00E529AA">
        <w:t>correlation or proper explanation to the more complex notion of understanding.</w:t>
      </w:r>
    </w:p>
    <w:p w14:paraId="1336B655" w14:textId="4AD104F1" w:rsidR="00475627" w:rsidRDefault="00E529AA" w:rsidP="001F66EC">
      <w:r>
        <w:tab/>
      </w:r>
      <w:r w:rsidR="0073078D">
        <w:t>Wittgenstein’s work is certainly subject to interpretation, despite the fact that he was undoubtedly attempting to avoid such a subjective audience</w:t>
      </w:r>
      <w:r w:rsidR="00E66D9C">
        <w:t>, or capacity for his investigations.  One could read Wittgenstein and determine that his atte</w:t>
      </w:r>
      <w:r w:rsidR="00D21BD1">
        <w:t>mpts have only made his ideas about</w:t>
      </w:r>
      <w:r w:rsidR="00E66D9C">
        <w:t xml:space="preserve"> understanding a component of behaviourism.  This would mean that any existence of an understanding would be comprised purely in one person’s behaviour, and that there would be no presupposed notion underlying their conduct – it would simply be an amalgamation of their behaviours that exposed any kind of understanding.  His work could also be interpreted to be saying that if we are completely unable to pinpoint understanding to any single (or multiple) process or mechanism, that understanding is something </w:t>
      </w:r>
      <w:r w:rsidR="00D21BD1">
        <w:t xml:space="preserve">that </w:t>
      </w:r>
      <w:r w:rsidR="00E66D9C">
        <w:t>we can’t talk abou</w:t>
      </w:r>
      <w:r w:rsidR="00D21BD1">
        <w:t>t at all.  This is mirrored in</w:t>
      </w:r>
      <w:r w:rsidR="00E66D9C">
        <w:t xml:space="preserve"> his view of language being reducible to logic, and should language not be reducible to logic, that we are unable to then speak in such terms.</w:t>
      </w:r>
      <w:r w:rsidR="00237C23">
        <w:t xml:space="preserve">  It seems as though he wished for neither of these views to be too heavily adopted</w:t>
      </w:r>
      <w:r w:rsidR="00D21BD1">
        <w:t xml:space="preserve"> as he wanted</w:t>
      </w:r>
      <w:r w:rsidR="002863BF">
        <w:t xml:space="preserve"> for a repudiation of psychologism</w:t>
      </w:r>
      <w:r w:rsidR="00D21BD1">
        <w:t>; he</w:t>
      </w:r>
      <w:r w:rsidR="002863BF">
        <w:t xml:space="preserve"> did not want our understanding of understanding to be limited to a psychological c</w:t>
      </w:r>
      <w:r w:rsidR="00D21BD1">
        <w:t>ategorisation, as he did not want for anyone to ignore the fact</w:t>
      </w:r>
      <w:r w:rsidR="002863BF">
        <w:t xml:space="preserve"> that understanding is something that we can </w:t>
      </w:r>
      <w:r w:rsidR="004F496C">
        <w:t>very much talk about</w:t>
      </w:r>
      <w:r w:rsidR="00D21BD1">
        <w:t>, and</w:t>
      </w:r>
      <w:r w:rsidR="004F496C">
        <w:t xml:space="preserve"> it is something of a formidable </w:t>
      </w:r>
      <w:r w:rsidR="00C8677C">
        <w:t>philosophical and humanistic concept – it is essential to our development and to our grasp of the world despite the fact that even one of the greatest philosophers of the 20</w:t>
      </w:r>
      <w:r w:rsidR="00C8677C" w:rsidRPr="00C8677C">
        <w:rPr>
          <w:vertAlign w:val="superscript"/>
        </w:rPr>
        <w:t>th</w:t>
      </w:r>
      <w:r w:rsidR="00C8677C">
        <w:t xml:space="preserve"> Century could not express it well.</w:t>
      </w:r>
    </w:p>
    <w:p w14:paraId="4FB7804B" w14:textId="77777777" w:rsidR="00475627" w:rsidRDefault="00475627">
      <w:r>
        <w:br w:type="page"/>
      </w:r>
      <w:bookmarkStart w:id="0" w:name="_GoBack"/>
      <w:bookmarkEnd w:id="0"/>
    </w:p>
    <w:p w14:paraId="2B5DDC16" w14:textId="4DC1A8EB" w:rsidR="00E529AA" w:rsidRPr="00475627" w:rsidRDefault="00475627" w:rsidP="001F66EC">
      <w:pPr>
        <w:rPr>
          <w:sz w:val="28"/>
          <w:szCs w:val="28"/>
        </w:rPr>
      </w:pPr>
      <w:r w:rsidRPr="00475627">
        <w:rPr>
          <w:b/>
          <w:sz w:val="28"/>
          <w:szCs w:val="28"/>
          <w:u w:val="single"/>
        </w:rPr>
        <w:t>Bibliography</w:t>
      </w:r>
    </w:p>
    <w:p w14:paraId="197A19E3" w14:textId="77777777" w:rsidR="00475627" w:rsidRDefault="00475627" w:rsidP="001F66EC"/>
    <w:p w14:paraId="108AABE2" w14:textId="77777777" w:rsidR="00475627" w:rsidRPr="00475627" w:rsidRDefault="00475627" w:rsidP="00475627">
      <w:pPr>
        <w:rPr>
          <w:rFonts w:ascii="Times New Roman" w:eastAsia="Times New Roman" w:hAnsi="Times New Roman" w:cs="Times New Roman"/>
          <w:lang w:eastAsia="en-GB"/>
        </w:rPr>
      </w:pPr>
      <w:r w:rsidRPr="00475627">
        <w:rPr>
          <w:rFonts w:ascii="Arial" w:eastAsia="Times New Roman" w:hAnsi="Arial" w:cs="Arial"/>
          <w:color w:val="666666"/>
          <w:sz w:val="20"/>
          <w:szCs w:val="20"/>
          <w:shd w:val="clear" w:color="auto" w:fill="FFF5AA"/>
          <w:lang w:eastAsia="en-GB"/>
        </w:rPr>
        <w:t>Wittgenstein, L., Hacker, P. and Schulte, J. (</w:t>
      </w:r>
      <w:proofErr w:type="spellStart"/>
      <w:r w:rsidRPr="00475627">
        <w:rPr>
          <w:rFonts w:ascii="Arial" w:eastAsia="Times New Roman" w:hAnsi="Arial" w:cs="Arial"/>
          <w:color w:val="666666"/>
          <w:sz w:val="20"/>
          <w:szCs w:val="20"/>
          <w:shd w:val="clear" w:color="auto" w:fill="FFF5AA"/>
          <w:lang w:eastAsia="en-GB"/>
        </w:rPr>
        <w:t>n.d.</w:t>
      </w:r>
      <w:proofErr w:type="spellEnd"/>
      <w:r w:rsidRPr="00475627">
        <w:rPr>
          <w:rFonts w:ascii="Arial" w:eastAsia="Times New Roman" w:hAnsi="Arial" w:cs="Arial"/>
          <w:color w:val="666666"/>
          <w:sz w:val="20"/>
          <w:szCs w:val="20"/>
          <w:shd w:val="clear" w:color="auto" w:fill="FFF5AA"/>
          <w:lang w:eastAsia="en-GB"/>
        </w:rPr>
        <w:t>). </w:t>
      </w:r>
      <w:r w:rsidRPr="00475627">
        <w:rPr>
          <w:rFonts w:ascii="Arial" w:eastAsia="Times New Roman" w:hAnsi="Arial" w:cs="Arial"/>
          <w:i/>
          <w:iCs/>
          <w:color w:val="666666"/>
          <w:sz w:val="20"/>
          <w:szCs w:val="20"/>
          <w:lang w:eastAsia="en-GB"/>
        </w:rPr>
        <w:t>Philosophical Investigations</w:t>
      </w:r>
      <w:r w:rsidRPr="00475627">
        <w:rPr>
          <w:rFonts w:ascii="Arial" w:eastAsia="Times New Roman" w:hAnsi="Arial" w:cs="Arial"/>
          <w:color w:val="666666"/>
          <w:sz w:val="20"/>
          <w:szCs w:val="20"/>
          <w:shd w:val="clear" w:color="auto" w:fill="FFF5AA"/>
          <w:lang w:eastAsia="en-GB"/>
        </w:rPr>
        <w:t>.</w:t>
      </w:r>
    </w:p>
    <w:p w14:paraId="7C3FDD1F" w14:textId="77777777" w:rsidR="00475627" w:rsidRPr="00475627" w:rsidRDefault="00475627" w:rsidP="001F66EC"/>
    <w:sectPr w:rsidR="00475627" w:rsidRPr="00475627"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3C4893" w14:textId="77777777" w:rsidR="00557CAB" w:rsidRDefault="00557CAB" w:rsidP="00113D1C">
      <w:r>
        <w:separator/>
      </w:r>
    </w:p>
  </w:endnote>
  <w:endnote w:type="continuationSeparator" w:id="0">
    <w:p w14:paraId="762BFDA5" w14:textId="77777777" w:rsidR="00557CAB" w:rsidRDefault="00557CAB" w:rsidP="00113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4F9D4" w14:textId="77777777" w:rsidR="00557CAB" w:rsidRDefault="00557CAB" w:rsidP="00113D1C">
      <w:r>
        <w:separator/>
      </w:r>
    </w:p>
  </w:footnote>
  <w:footnote w:type="continuationSeparator" w:id="0">
    <w:p w14:paraId="5BF7D095" w14:textId="77777777" w:rsidR="00557CAB" w:rsidRDefault="00557CAB" w:rsidP="00113D1C">
      <w:r>
        <w:continuationSeparator/>
      </w:r>
    </w:p>
  </w:footnote>
  <w:footnote w:id="1">
    <w:p w14:paraId="4780541E" w14:textId="5DD00B79" w:rsidR="00113D1C" w:rsidRPr="00475627" w:rsidRDefault="00113D1C" w:rsidP="00475627">
      <w:pPr>
        <w:rPr>
          <w:rFonts w:ascii="Times New Roman" w:eastAsia="Times New Roman" w:hAnsi="Times New Roman" w:cs="Times New Roman"/>
          <w:lang w:eastAsia="en-GB"/>
        </w:rPr>
      </w:pPr>
      <w:r>
        <w:rPr>
          <w:rStyle w:val="FootnoteReference"/>
        </w:rPr>
        <w:footnoteRef/>
      </w:r>
      <w:r w:rsidR="005E24EA">
        <w:t xml:space="preserve"> </w:t>
      </w:r>
      <w:r w:rsidR="005E24EA" w:rsidRPr="005E24EA">
        <w:rPr>
          <w:rFonts w:ascii="Arial" w:eastAsia="Times New Roman" w:hAnsi="Arial" w:cs="Arial"/>
          <w:color w:val="666666"/>
          <w:sz w:val="20"/>
          <w:szCs w:val="20"/>
          <w:shd w:val="clear" w:color="auto" w:fill="FFF5AA"/>
          <w:lang w:eastAsia="en-GB"/>
        </w:rPr>
        <w:t>Wittgenstein, L., Hacker, P. and Schulte, J. (</w:t>
      </w:r>
      <w:proofErr w:type="spellStart"/>
      <w:r w:rsidR="005E24EA" w:rsidRPr="005E24EA">
        <w:rPr>
          <w:rFonts w:ascii="Arial" w:eastAsia="Times New Roman" w:hAnsi="Arial" w:cs="Arial"/>
          <w:color w:val="666666"/>
          <w:sz w:val="20"/>
          <w:szCs w:val="20"/>
          <w:shd w:val="clear" w:color="auto" w:fill="FFF5AA"/>
          <w:lang w:eastAsia="en-GB"/>
        </w:rPr>
        <w:t>n.d.</w:t>
      </w:r>
      <w:proofErr w:type="spellEnd"/>
      <w:r w:rsidR="005E24EA" w:rsidRPr="005E24EA">
        <w:rPr>
          <w:rFonts w:ascii="Arial" w:eastAsia="Times New Roman" w:hAnsi="Arial" w:cs="Arial"/>
          <w:color w:val="666666"/>
          <w:sz w:val="20"/>
          <w:szCs w:val="20"/>
          <w:shd w:val="clear" w:color="auto" w:fill="FFF5AA"/>
          <w:lang w:eastAsia="en-GB"/>
        </w:rPr>
        <w:t>). </w:t>
      </w:r>
      <w:r w:rsidR="005E24EA" w:rsidRPr="005E24EA">
        <w:rPr>
          <w:rFonts w:ascii="Arial" w:eastAsia="Times New Roman" w:hAnsi="Arial" w:cs="Arial"/>
          <w:i/>
          <w:iCs/>
          <w:color w:val="666666"/>
          <w:sz w:val="20"/>
          <w:szCs w:val="20"/>
          <w:lang w:eastAsia="en-GB"/>
        </w:rPr>
        <w:t>Philosophical Investigations</w:t>
      </w:r>
      <w:r w:rsidR="005E24EA" w:rsidRPr="005E24EA">
        <w:rPr>
          <w:rFonts w:ascii="Arial" w:eastAsia="Times New Roman" w:hAnsi="Arial" w:cs="Arial"/>
          <w:color w:val="666666"/>
          <w:sz w:val="20"/>
          <w:szCs w:val="20"/>
          <w:shd w:val="clear" w:color="auto" w:fill="FFF5AA"/>
          <w:lang w:eastAsia="en-GB"/>
        </w:rPr>
        <w:t>.</w:t>
      </w:r>
      <w:r>
        <w:t>, 145</w:t>
      </w:r>
    </w:p>
  </w:footnote>
  <w:footnote w:id="2">
    <w:p w14:paraId="2127D792" w14:textId="64CB6A64" w:rsidR="005F5054" w:rsidRDefault="005F5054">
      <w:pPr>
        <w:pStyle w:val="FootnoteText"/>
      </w:pPr>
      <w:r>
        <w:rPr>
          <w:rStyle w:val="FootnoteReference"/>
        </w:rPr>
        <w:footnoteRef/>
      </w:r>
      <w:r w:rsidR="00D21BD1">
        <w:t xml:space="preserve"> ibid.</w:t>
      </w:r>
      <w:r>
        <w:t>, 146</w:t>
      </w:r>
    </w:p>
  </w:footnote>
  <w:footnote w:id="3">
    <w:p w14:paraId="1085B942" w14:textId="019525A0" w:rsidR="000153F4" w:rsidRDefault="000153F4">
      <w:pPr>
        <w:pStyle w:val="FootnoteText"/>
      </w:pPr>
      <w:r>
        <w:rPr>
          <w:rStyle w:val="FootnoteReference"/>
        </w:rPr>
        <w:footnoteRef/>
      </w:r>
      <w:r w:rsidR="00D21BD1">
        <w:t xml:space="preserve"> ibid.</w:t>
      </w:r>
      <w:r>
        <w:t>, 153</w:t>
      </w:r>
    </w:p>
  </w:footnote>
  <w:footnote w:id="4">
    <w:p w14:paraId="37E2EC9C" w14:textId="4F5F98A2" w:rsidR="009A3D63" w:rsidRPr="00475627" w:rsidRDefault="009A3D63" w:rsidP="00475627">
      <w:pPr>
        <w:rPr>
          <w:rFonts w:ascii="Times New Roman" w:eastAsia="Times New Roman" w:hAnsi="Times New Roman" w:cs="Times New Roman"/>
          <w:lang w:eastAsia="en-GB"/>
        </w:rPr>
      </w:pPr>
      <w:r>
        <w:rPr>
          <w:rStyle w:val="FootnoteReference"/>
        </w:rPr>
        <w:footnoteRef/>
      </w:r>
      <w:r w:rsidR="00475627">
        <w:t xml:space="preserve"> </w:t>
      </w:r>
      <w:r w:rsidR="00475627" w:rsidRPr="00475627">
        <w:rPr>
          <w:rFonts w:ascii="Arial" w:eastAsia="Times New Roman" w:hAnsi="Arial" w:cs="Arial"/>
          <w:color w:val="666666"/>
          <w:sz w:val="20"/>
          <w:szCs w:val="20"/>
          <w:shd w:val="clear" w:color="auto" w:fill="FFF5AA"/>
          <w:lang w:eastAsia="en-GB"/>
        </w:rPr>
        <w:t>Wittgenstein, L., Hacker, P. and Schulte, J. (</w:t>
      </w:r>
      <w:proofErr w:type="spellStart"/>
      <w:r w:rsidR="00475627" w:rsidRPr="00475627">
        <w:rPr>
          <w:rFonts w:ascii="Arial" w:eastAsia="Times New Roman" w:hAnsi="Arial" w:cs="Arial"/>
          <w:color w:val="666666"/>
          <w:sz w:val="20"/>
          <w:szCs w:val="20"/>
          <w:shd w:val="clear" w:color="auto" w:fill="FFF5AA"/>
          <w:lang w:eastAsia="en-GB"/>
        </w:rPr>
        <w:t>n.d.</w:t>
      </w:r>
      <w:proofErr w:type="spellEnd"/>
      <w:r w:rsidR="00475627" w:rsidRPr="00475627">
        <w:rPr>
          <w:rFonts w:ascii="Arial" w:eastAsia="Times New Roman" w:hAnsi="Arial" w:cs="Arial"/>
          <w:color w:val="666666"/>
          <w:sz w:val="20"/>
          <w:szCs w:val="20"/>
          <w:shd w:val="clear" w:color="auto" w:fill="FFF5AA"/>
          <w:lang w:eastAsia="en-GB"/>
        </w:rPr>
        <w:t>). </w:t>
      </w:r>
      <w:r w:rsidR="00475627" w:rsidRPr="00475627">
        <w:rPr>
          <w:rFonts w:ascii="Arial" w:eastAsia="Times New Roman" w:hAnsi="Arial" w:cs="Arial"/>
          <w:i/>
          <w:iCs/>
          <w:color w:val="666666"/>
          <w:sz w:val="20"/>
          <w:szCs w:val="20"/>
          <w:lang w:eastAsia="en-GB"/>
        </w:rPr>
        <w:t>Philosophical Investigations</w:t>
      </w:r>
      <w:r w:rsidR="00475627" w:rsidRPr="00475627">
        <w:rPr>
          <w:rFonts w:ascii="Arial" w:eastAsia="Times New Roman" w:hAnsi="Arial" w:cs="Arial"/>
          <w:color w:val="666666"/>
          <w:sz w:val="20"/>
          <w:szCs w:val="20"/>
          <w:shd w:val="clear" w:color="auto" w:fill="FFF5AA"/>
          <w:lang w:eastAsia="en-GB"/>
        </w:rPr>
        <w:t>.</w:t>
      </w:r>
      <w:r>
        <w:t>, 151</w:t>
      </w:r>
    </w:p>
  </w:footnote>
  <w:footnote w:id="5">
    <w:p w14:paraId="2CD7129D" w14:textId="60E89096" w:rsidR="003E705E" w:rsidRDefault="003E705E">
      <w:pPr>
        <w:pStyle w:val="FootnoteText"/>
      </w:pPr>
      <w:r>
        <w:rPr>
          <w:rStyle w:val="FootnoteReference"/>
        </w:rPr>
        <w:footnoteRef/>
      </w:r>
      <w:r w:rsidR="00D21BD1">
        <w:t xml:space="preserve"> ibid.</w:t>
      </w:r>
      <w:r>
        <w:t>, 148</w:t>
      </w:r>
    </w:p>
  </w:footnote>
  <w:footnote w:id="6">
    <w:p w14:paraId="0BCA842B" w14:textId="69CBD3AB" w:rsidR="00107A5A" w:rsidRPr="00475627" w:rsidRDefault="00107A5A" w:rsidP="00475627">
      <w:pPr>
        <w:rPr>
          <w:rFonts w:ascii="Times New Roman" w:eastAsia="Times New Roman" w:hAnsi="Times New Roman" w:cs="Times New Roman"/>
          <w:lang w:eastAsia="en-GB"/>
        </w:rPr>
      </w:pPr>
      <w:r>
        <w:rPr>
          <w:rStyle w:val="FootnoteReference"/>
        </w:rPr>
        <w:footnoteRef/>
      </w:r>
      <w:r w:rsidR="00475627">
        <w:t xml:space="preserve"> </w:t>
      </w:r>
      <w:r w:rsidR="00475627" w:rsidRPr="00475627">
        <w:rPr>
          <w:rFonts w:ascii="Arial" w:eastAsia="Times New Roman" w:hAnsi="Arial" w:cs="Arial"/>
          <w:color w:val="666666"/>
          <w:sz w:val="20"/>
          <w:szCs w:val="20"/>
          <w:shd w:val="clear" w:color="auto" w:fill="FFF5AA"/>
          <w:lang w:eastAsia="en-GB"/>
        </w:rPr>
        <w:t>Wittgenstein, L., Hacker, P. and Schulte, J. (</w:t>
      </w:r>
      <w:proofErr w:type="spellStart"/>
      <w:r w:rsidR="00475627" w:rsidRPr="00475627">
        <w:rPr>
          <w:rFonts w:ascii="Arial" w:eastAsia="Times New Roman" w:hAnsi="Arial" w:cs="Arial"/>
          <w:color w:val="666666"/>
          <w:sz w:val="20"/>
          <w:szCs w:val="20"/>
          <w:shd w:val="clear" w:color="auto" w:fill="FFF5AA"/>
          <w:lang w:eastAsia="en-GB"/>
        </w:rPr>
        <w:t>n.d.</w:t>
      </w:r>
      <w:proofErr w:type="spellEnd"/>
      <w:r w:rsidR="00475627" w:rsidRPr="00475627">
        <w:rPr>
          <w:rFonts w:ascii="Arial" w:eastAsia="Times New Roman" w:hAnsi="Arial" w:cs="Arial"/>
          <w:color w:val="666666"/>
          <w:sz w:val="20"/>
          <w:szCs w:val="20"/>
          <w:shd w:val="clear" w:color="auto" w:fill="FFF5AA"/>
          <w:lang w:eastAsia="en-GB"/>
        </w:rPr>
        <w:t>). </w:t>
      </w:r>
      <w:r w:rsidR="00475627" w:rsidRPr="00475627">
        <w:rPr>
          <w:rFonts w:ascii="Arial" w:eastAsia="Times New Roman" w:hAnsi="Arial" w:cs="Arial"/>
          <w:i/>
          <w:iCs/>
          <w:color w:val="666666"/>
          <w:sz w:val="20"/>
          <w:szCs w:val="20"/>
          <w:lang w:eastAsia="en-GB"/>
        </w:rPr>
        <w:t>Philosophical Investigations</w:t>
      </w:r>
      <w:r w:rsidR="00475627" w:rsidRPr="00475627">
        <w:rPr>
          <w:rFonts w:ascii="Arial" w:eastAsia="Times New Roman" w:hAnsi="Arial" w:cs="Arial"/>
          <w:color w:val="666666"/>
          <w:sz w:val="20"/>
          <w:szCs w:val="20"/>
          <w:shd w:val="clear" w:color="auto" w:fill="FFF5AA"/>
          <w:lang w:eastAsia="en-GB"/>
        </w:rPr>
        <w:t>.</w:t>
      </w:r>
      <w:r>
        <w:t>, 180</w:t>
      </w:r>
    </w:p>
  </w:footnote>
  <w:footnote w:id="7">
    <w:p w14:paraId="6E395808" w14:textId="731E6B32" w:rsidR="001F66EC" w:rsidRDefault="001F66EC">
      <w:pPr>
        <w:pStyle w:val="FootnoteText"/>
      </w:pPr>
      <w:r>
        <w:rPr>
          <w:rStyle w:val="FootnoteReference"/>
        </w:rPr>
        <w:footnoteRef/>
      </w:r>
      <w:r w:rsidR="00D21BD1">
        <w:t xml:space="preserve"> ibid.</w:t>
      </w:r>
      <w:r>
        <w:t>, 182</w:t>
      </w:r>
    </w:p>
  </w:footnote>
  <w:footnote w:id="8">
    <w:p w14:paraId="5BBAF9A3" w14:textId="2932F01F" w:rsidR="00FC7232" w:rsidRDefault="00FC7232">
      <w:pPr>
        <w:pStyle w:val="FootnoteText"/>
      </w:pPr>
      <w:r>
        <w:rPr>
          <w:rStyle w:val="FootnoteReference"/>
        </w:rPr>
        <w:footnoteRef/>
      </w:r>
      <w:r w:rsidR="00D21BD1">
        <w:t xml:space="preserve"> ibid.</w:t>
      </w:r>
      <w:r>
        <w:t>, 161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FF8"/>
    <w:rsid w:val="000121F7"/>
    <w:rsid w:val="000153F4"/>
    <w:rsid w:val="00015EFA"/>
    <w:rsid w:val="00016DE7"/>
    <w:rsid w:val="00107A5A"/>
    <w:rsid w:val="00112996"/>
    <w:rsid w:val="00113D1C"/>
    <w:rsid w:val="001271BE"/>
    <w:rsid w:val="0015600F"/>
    <w:rsid w:val="001B65BD"/>
    <w:rsid w:val="001C3B6F"/>
    <w:rsid w:val="001F66EC"/>
    <w:rsid w:val="00233D26"/>
    <w:rsid w:val="00237C23"/>
    <w:rsid w:val="002863BF"/>
    <w:rsid w:val="0029201A"/>
    <w:rsid w:val="00293524"/>
    <w:rsid w:val="002B4F87"/>
    <w:rsid w:val="002B6343"/>
    <w:rsid w:val="002C32EE"/>
    <w:rsid w:val="002D3488"/>
    <w:rsid w:val="002F7E12"/>
    <w:rsid w:val="0032746B"/>
    <w:rsid w:val="00361986"/>
    <w:rsid w:val="00367C2F"/>
    <w:rsid w:val="003E183A"/>
    <w:rsid w:val="003E705E"/>
    <w:rsid w:val="003E7FB9"/>
    <w:rsid w:val="003F431D"/>
    <w:rsid w:val="004728CD"/>
    <w:rsid w:val="00475627"/>
    <w:rsid w:val="004E48B9"/>
    <w:rsid w:val="004F496C"/>
    <w:rsid w:val="00557CAB"/>
    <w:rsid w:val="005A1D05"/>
    <w:rsid w:val="005E24EA"/>
    <w:rsid w:val="005F5054"/>
    <w:rsid w:val="00675B6D"/>
    <w:rsid w:val="006F79B8"/>
    <w:rsid w:val="00730346"/>
    <w:rsid w:val="0073078D"/>
    <w:rsid w:val="00754349"/>
    <w:rsid w:val="00770371"/>
    <w:rsid w:val="007838AD"/>
    <w:rsid w:val="007A5D82"/>
    <w:rsid w:val="007A7B9E"/>
    <w:rsid w:val="007C4BBF"/>
    <w:rsid w:val="007E7E29"/>
    <w:rsid w:val="00825D15"/>
    <w:rsid w:val="00827F54"/>
    <w:rsid w:val="008F3B09"/>
    <w:rsid w:val="008F5F38"/>
    <w:rsid w:val="00906716"/>
    <w:rsid w:val="009609A1"/>
    <w:rsid w:val="00983B10"/>
    <w:rsid w:val="00994672"/>
    <w:rsid w:val="009A3D63"/>
    <w:rsid w:val="00A20338"/>
    <w:rsid w:val="00AB5784"/>
    <w:rsid w:val="00B048DA"/>
    <w:rsid w:val="00B111C1"/>
    <w:rsid w:val="00B16080"/>
    <w:rsid w:val="00B77147"/>
    <w:rsid w:val="00B95681"/>
    <w:rsid w:val="00BD7CFA"/>
    <w:rsid w:val="00BF2AF6"/>
    <w:rsid w:val="00C02813"/>
    <w:rsid w:val="00C1340B"/>
    <w:rsid w:val="00C41D1A"/>
    <w:rsid w:val="00C8677C"/>
    <w:rsid w:val="00CD758D"/>
    <w:rsid w:val="00CE3A49"/>
    <w:rsid w:val="00D21BD1"/>
    <w:rsid w:val="00D405A6"/>
    <w:rsid w:val="00D8289A"/>
    <w:rsid w:val="00D92C58"/>
    <w:rsid w:val="00E34E8A"/>
    <w:rsid w:val="00E529AA"/>
    <w:rsid w:val="00E66D9C"/>
    <w:rsid w:val="00F83FF8"/>
    <w:rsid w:val="00FC7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75839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83FF8"/>
    <w:rPr>
      <w:b/>
      <w:bCs/>
    </w:rPr>
  </w:style>
  <w:style w:type="paragraph" w:styleId="FootnoteText">
    <w:name w:val="footnote text"/>
    <w:basedOn w:val="Normal"/>
    <w:link w:val="FootnoteTextChar"/>
    <w:uiPriority w:val="99"/>
    <w:unhideWhenUsed/>
    <w:rsid w:val="00113D1C"/>
  </w:style>
  <w:style w:type="character" w:customStyle="1" w:styleId="FootnoteTextChar">
    <w:name w:val="Footnote Text Char"/>
    <w:basedOn w:val="DefaultParagraphFont"/>
    <w:link w:val="FootnoteText"/>
    <w:uiPriority w:val="99"/>
    <w:rsid w:val="00113D1C"/>
  </w:style>
  <w:style w:type="character" w:styleId="FootnoteReference">
    <w:name w:val="footnote reference"/>
    <w:basedOn w:val="DefaultParagraphFont"/>
    <w:uiPriority w:val="99"/>
    <w:unhideWhenUsed/>
    <w:rsid w:val="00113D1C"/>
    <w:rPr>
      <w:vertAlign w:val="superscript"/>
    </w:rPr>
  </w:style>
  <w:style w:type="character" w:customStyle="1" w:styleId="apple-converted-space">
    <w:name w:val="apple-converted-space"/>
    <w:basedOn w:val="DefaultParagraphFont"/>
    <w:rsid w:val="005E2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428107">
      <w:bodyDiv w:val="1"/>
      <w:marLeft w:val="0"/>
      <w:marRight w:val="0"/>
      <w:marTop w:val="0"/>
      <w:marBottom w:val="0"/>
      <w:divBdr>
        <w:top w:val="none" w:sz="0" w:space="0" w:color="auto"/>
        <w:left w:val="none" w:sz="0" w:space="0" w:color="auto"/>
        <w:bottom w:val="none" w:sz="0" w:space="0" w:color="auto"/>
        <w:right w:val="none" w:sz="0" w:space="0" w:color="auto"/>
      </w:divBdr>
    </w:div>
    <w:div w:id="445931202">
      <w:bodyDiv w:val="1"/>
      <w:marLeft w:val="0"/>
      <w:marRight w:val="0"/>
      <w:marTop w:val="0"/>
      <w:marBottom w:val="0"/>
      <w:divBdr>
        <w:top w:val="none" w:sz="0" w:space="0" w:color="auto"/>
        <w:left w:val="none" w:sz="0" w:space="0" w:color="auto"/>
        <w:bottom w:val="none" w:sz="0" w:space="0" w:color="auto"/>
        <w:right w:val="none" w:sz="0" w:space="0" w:color="auto"/>
      </w:divBdr>
    </w:div>
    <w:div w:id="630281989">
      <w:bodyDiv w:val="1"/>
      <w:marLeft w:val="0"/>
      <w:marRight w:val="0"/>
      <w:marTop w:val="0"/>
      <w:marBottom w:val="0"/>
      <w:divBdr>
        <w:top w:val="none" w:sz="0" w:space="0" w:color="auto"/>
        <w:left w:val="none" w:sz="0" w:space="0" w:color="auto"/>
        <w:bottom w:val="none" w:sz="0" w:space="0" w:color="auto"/>
        <w:right w:val="none" w:sz="0" w:space="0" w:color="auto"/>
      </w:divBdr>
    </w:div>
    <w:div w:id="1678774219">
      <w:bodyDiv w:val="1"/>
      <w:marLeft w:val="0"/>
      <w:marRight w:val="0"/>
      <w:marTop w:val="0"/>
      <w:marBottom w:val="0"/>
      <w:divBdr>
        <w:top w:val="none" w:sz="0" w:space="0" w:color="auto"/>
        <w:left w:val="none" w:sz="0" w:space="0" w:color="auto"/>
        <w:bottom w:val="none" w:sz="0" w:space="0" w:color="auto"/>
        <w:right w:val="none" w:sz="0" w:space="0" w:color="auto"/>
      </w:divBdr>
    </w:div>
    <w:div w:id="18929579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C1FD752-F6F8-E645-B680-453A5C615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5</Pages>
  <Words>1850</Words>
  <Characters>10545</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8</cp:revision>
  <dcterms:created xsi:type="dcterms:W3CDTF">2018-01-02T12:24:00Z</dcterms:created>
  <dcterms:modified xsi:type="dcterms:W3CDTF">2018-01-07T23:34:00Z</dcterms:modified>
</cp:coreProperties>
</file>