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4F8DE" w14:textId="2B83F305" w:rsidR="00984EA1" w:rsidRDefault="00261C75">
      <w:pPr>
        <w:pStyle w:val="Title"/>
        <w:keepNext w:val="0"/>
        <w:spacing w:before="1200" w:after="280" w:line="276" w:lineRule="auto"/>
        <w:jc w:val="center"/>
      </w:pPr>
      <w:r w:rsidRPr="00A406E5">
        <w:rPr>
          <w:rFonts w:cs="Arial"/>
          <w:noProof/>
        </w:rPr>
        <w:drawing>
          <wp:anchor distT="0" distB="0" distL="114300" distR="114300" simplePos="0" relativeHeight="251658240" behindDoc="0" locked="0" layoutInCell="1" allowOverlap="1" wp14:anchorId="000EE29C" wp14:editId="5CA66A1F">
            <wp:simplePos x="0" y="0"/>
            <wp:positionH relativeFrom="column">
              <wp:posOffset>-30480</wp:posOffset>
            </wp:positionH>
            <wp:positionV relativeFrom="paragraph">
              <wp:posOffset>-289560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A80F8E4" w14:textId="29E08903" w:rsidR="00015978" w:rsidRDefault="003B4FD2">
      <w:pPr>
        <w:pStyle w:val="Title"/>
        <w:keepNext w:val="0"/>
        <w:spacing w:before="1200" w:after="280" w:line="276" w:lineRule="auto"/>
        <w:jc w:val="center"/>
      </w:pPr>
      <w:r>
        <w:t>Responsible and Ethical AI Use</w:t>
      </w:r>
      <w:r>
        <w:br/>
        <w:t>at Microsoft</w:t>
      </w:r>
    </w:p>
    <w:p w14:paraId="5A467791" w14:textId="77777777" w:rsidR="00015978" w:rsidRPr="00D1530D" w:rsidRDefault="003B4FD2">
      <w:pPr>
        <w:spacing w:after="120"/>
        <w:jc w:val="center"/>
        <w:rPr>
          <w:szCs w:val="28"/>
        </w:rPr>
      </w:pPr>
      <w:r w:rsidRPr="00D1530D">
        <w:rPr>
          <w:b/>
          <w:szCs w:val="28"/>
        </w:rPr>
        <w:t>Principles of Human Resource Management</w:t>
      </w:r>
    </w:p>
    <w:p w14:paraId="5C65E8D7" w14:textId="77777777" w:rsidR="00015978" w:rsidRPr="00D1530D" w:rsidRDefault="003B4FD2">
      <w:pPr>
        <w:spacing w:after="680"/>
        <w:jc w:val="center"/>
        <w:rPr>
          <w:szCs w:val="28"/>
        </w:rPr>
      </w:pPr>
      <w:r w:rsidRPr="00D1530D">
        <w:rPr>
          <w:szCs w:val="28"/>
        </w:rPr>
        <w:t>LCBB5012   •   Assessment Component 2</w:t>
      </w:r>
    </w:p>
    <w:p w14:paraId="7F510C77" w14:textId="36B01B0E" w:rsidR="00B62C4A" w:rsidRDefault="00B62C4A" w:rsidP="00DB2821">
      <w:pPr>
        <w:spacing w:after="120" w:line="360" w:lineRule="auto"/>
        <w:jc w:val="center"/>
        <w:rPr>
          <w:rFonts w:ascii="Arial" w:hAnsi="Arial"/>
          <w:b/>
          <w:bCs/>
          <w:color w:val="auto"/>
          <w:szCs w:val="28"/>
        </w:rPr>
      </w:pPr>
      <w:r>
        <w:rPr>
          <w:rFonts w:ascii="Arial" w:hAnsi="Arial"/>
          <w:b/>
          <w:bCs/>
          <w:color w:val="auto"/>
          <w:szCs w:val="28"/>
        </w:rPr>
        <w:t xml:space="preserve">           </w:t>
      </w:r>
      <w:r w:rsidR="00DB2821" w:rsidRPr="00DB2821">
        <w:rPr>
          <w:rFonts w:ascii="Arial" w:hAnsi="Arial"/>
          <w:b/>
          <w:bCs/>
          <w:color w:val="auto"/>
          <w:szCs w:val="28"/>
        </w:rPr>
        <w:t>Student Name: Ioan Saibel</w:t>
      </w:r>
    </w:p>
    <w:p w14:paraId="5372125E" w14:textId="77777777" w:rsidR="00F24617" w:rsidRDefault="00DB2821" w:rsidP="0072375A">
      <w:pPr>
        <w:spacing w:after="120" w:line="360" w:lineRule="auto"/>
        <w:jc w:val="center"/>
        <w:rPr>
          <w:rFonts w:ascii="Arial" w:hAnsi="Arial"/>
          <w:b/>
          <w:bCs/>
          <w:color w:val="auto"/>
          <w:szCs w:val="28"/>
        </w:rPr>
      </w:pPr>
      <w:r w:rsidRPr="00DB2821">
        <w:rPr>
          <w:rFonts w:ascii="Arial" w:hAnsi="Arial"/>
          <w:b/>
          <w:bCs/>
          <w:color w:val="auto"/>
          <w:szCs w:val="28"/>
        </w:rPr>
        <w:t>Student ID: 2420427</w:t>
      </w:r>
    </w:p>
    <w:p w14:paraId="0C6CBE90" w14:textId="299EFD8F" w:rsidR="00015978" w:rsidRDefault="00B62C4A" w:rsidP="0072375A">
      <w:pPr>
        <w:spacing w:after="120" w:line="360" w:lineRule="auto"/>
        <w:jc w:val="center"/>
      </w:pPr>
      <w:r>
        <w:rPr>
          <w:rFonts w:ascii="Arial" w:hAnsi="Arial"/>
          <w:b/>
          <w:bCs/>
          <w:color w:val="auto"/>
          <w:szCs w:val="28"/>
        </w:rPr>
        <w:t xml:space="preserve">   </w:t>
      </w:r>
      <w:r w:rsidR="00DB2821">
        <w:rPr>
          <w:rFonts w:ascii="Arial" w:hAnsi="Arial"/>
          <w:b/>
          <w:bCs/>
          <w:color w:val="auto"/>
          <w:szCs w:val="28"/>
        </w:rPr>
        <w:t xml:space="preserve"> </w:t>
      </w:r>
      <w:r w:rsidR="00DB2821" w:rsidRPr="00DB2821">
        <w:rPr>
          <w:rFonts w:ascii="Arial" w:hAnsi="Arial"/>
          <w:b/>
          <w:bCs/>
          <w:color w:val="auto"/>
          <w:szCs w:val="28"/>
        </w:rPr>
        <w:t xml:space="preserve">Lecturer: </w:t>
      </w:r>
      <w:r w:rsidR="00783D30">
        <w:rPr>
          <w:rFonts w:ascii="Arial" w:hAnsi="Arial"/>
          <w:b/>
          <w:bCs/>
          <w:color w:val="auto"/>
          <w:szCs w:val="28"/>
        </w:rPr>
        <w:t>Eric Ose</w:t>
      </w:r>
      <w:r w:rsidR="00193EB8">
        <w:rPr>
          <w:rFonts w:ascii="Arial" w:hAnsi="Arial"/>
          <w:b/>
          <w:bCs/>
          <w:color w:val="auto"/>
          <w:szCs w:val="28"/>
        </w:rPr>
        <w:t>i</w:t>
      </w:r>
    </w:p>
    <w:p w14:paraId="5A063F3E" w14:textId="01E8096B" w:rsidR="00015978" w:rsidRDefault="00015978"/>
    <w:p w14:paraId="3CB50E1B" w14:textId="77777777" w:rsidR="00015978" w:rsidRPr="00193EB8" w:rsidRDefault="003B4FD2">
      <w:pPr>
        <w:pStyle w:val="Heading1"/>
        <w:spacing w:after="480"/>
        <w:rPr>
          <w:sz w:val="36"/>
          <w:szCs w:val="36"/>
        </w:rPr>
      </w:pPr>
      <w:r w:rsidRPr="00193EB8">
        <w:rPr>
          <w:sz w:val="36"/>
          <w:szCs w:val="36"/>
        </w:rPr>
        <w:t>Table of Contents</w:t>
      </w:r>
    </w:p>
    <w:p w14:paraId="08EB00D2" w14:textId="77777777" w:rsidR="00015978" w:rsidRPr="00193EB8" w:rsidRDefault="003B4FD2">
      <w:pPr>
        <w:tabs>
          <w:tab w:val="right" w:leader="dot" w:pos="9576"/>
        </w:tabs>
        <w:spacing w:after="260"/>
        <w:rPr>
          <w:szCs w:val="28"/>
        </w:rPr>
      </w:pPr>
      <w:hyperlink w:anchor="section_0" w:history="1">
        <w:r w:rsidRPr="00193EB8">
          <w:rPr>
            <w:b/>
            <w:szCs w:val="28"/>
          </w:rPr>
          <w:t>Introduction</w:t>
        </w:r>
      </w:hyperlink>
      <w:r w:rsidRPr="00193EB8">
        <w:rPr>
          <w:szCs w:val="28"/>
        </w:rPr>
        <w:tab/>
        <w:t>3</w:t>
      </w:r>
    </w:p>
    <w:p w14:paraId="3A8B380E" w14:textId="77777777" w:rsidR="00015978" w:rsidRPr="00193EB8" w:rsidRDefault="003B4FD2">
      <w:pPr>
        <w:tabs>
          <w:tab w:val="right" w:leader="dot" w:pos="9576"/>
        </w:tabs>
        <w:spacing w:after="260"/>
        <w:rPr>
          <w:szCs w:val="28"/>
        </w:rPr>
      </w:pPr>
      <w:hyperlink w:anchor="section_1" w:history="1">
        <w:r w:rsidRPr="00193EB8">
          <w:rPr>
            <w:b/>
            <w:szCs w:val="28"/>
          </w:rPr>
          <w:t>Internal and External Environment</w:t>
        </w:r>
      </w:hyperlink>
      <w:r w:rsidRPr="00193EB8">
        <w:rPr>
          <w:szCs w:val="28"/>
        </w:rPr>
        <w:tab/>
        <w:t>3</w:t>
      </w:r>
    </w:p>
    <w:p w14:paraId="09F23AAB" w14:textId="583E7976" w:rsidR="00015978" w:rsidRPr="00193EB8" w:rsidRDefault="003B4FD2">
      <w:pPr>
        <w:tabs>
          <w:tab w:val="right" w:leader="dot" w:pos="9576"/>
        </w:tabs>
        <w:spacing w:after="260"/>
        <w:rPr>
          <w:szCs w:val="28"/>
        </w:rPr>
      </w:pPr>
      <w:hyperlink w:anchor="section_2" w:history="1">
        <w:r w:rsidR="00AA0BB0" w:rsidRPr="00193EB8">
          <w:rPr>
            <w:b/>
            <w:szCs w:val="28"/>
          </w:rPr>
          <w:t>Organization</w:t>
        </w:r>
        <w:r w:rsidRPr="00193EB8">
          <w:rPr>
            <w:b/>
            <w:szCs w:val="28"/>
          </w:rPr>
          <w:t xml:space="preserve"> Application</w:t>
        </w:r>
      </w:hyperlink>
      <w:r w:rsidRPr="00193EB8">
        <w:rPr>
          <w:szCs w:val="28"/>
        </w:rPr>
        <w:tab/>
        <w:t>4</w:t>
      </w:r>
    </w:p>
    <w:p w14:paraId="2CC173D6" w14:textId="77777777" w:rsidR="00015978" w:rsidRPr="00193EB8" w:rsidRDefault="003B4FD2">
      <w:pPr>
        <w:tabs>
          <w:tab w:val="right" w:leader="dot" w:pos="9576"/>
        </w:tabs>
        <w:spacing w:after="260"/>
        <w:rPr>
          <w:szCs w:val="28"/>
        </w:rPr>
      </w:pPr>
      <w:hyperlink w:anchor="section_3" w:history="1">
        <w:r w:rsidRPr="00193EB8">
          <w:rPr>
            <w:b/>
            <w:szCs w:val="28"/>
          </w:rPr>
          <w:t>Application of Model</w:t>
        </w:r>
      </w:hyperlink>
      <w:r w:rsidRPr="00193EB8">
        <w:rPr>
          <w:szCs w:val="28"/>
        </w:rPr>
        <w:tab/>
        <w:t>5</w:t>
      </w:r>
    </w:p>
    <w:p w14:paraId="148597AF" w14:textId="77777777" w:rsidR="00015978" w:rsidRPr="00193EB8" w:rsidRDefault="003B4FD2">
      <w:pPr>
        <w:tabs>
          <w:tab w:val="right" w:leader="dot" w:pos="9576"/>
        </w:tabs>
        <w:spacing w:after="200"/>
        <w:ind w:left="317"/>
        <w:rPr>
          <w:szCs w:val="28"/>
        </w:rPr>
      </w:pPr>
      <w:hyperlink w:anchor="section_4" w:history="1">
        <w:r w:rsidRPr="00193EB8">
          <w:rPr>
            <w:szCs w:val="28"/>
          </w:rPr>
          <w:t>Country differences and external practice</w:t>
        </w:r>
      </w:hyperlink>
      <w:r w:rsidRPr="00193EB8">
        <w:rPr>
          <w:szCs w:val="28"/>
        </w:rPr>
        <w:tab/>
        <w:t>5</w:t>
      </w:r>
    </w:p>
    <w:p w14:paraId="6418DE3A" w14:textId="77777777" w:rsidR="00015978" w:rsidRPr="00193EB8" w:rsidRDefault="003B4FD2">
      <w:pPr>
        <w:tabs>
          <w:tab w:val="right" w:leader="dot" w:pos="9576"/>
        </w:tabs>
        <w:spacing w:after="200"/>
        <w:ind w:left="317"/>
        <w:rPr>
          <w:szCs w:val="28"/>
        </w:rPr>
      </w:pPr>
      <w:hyperlink w:anchor="section_5" w:history="1">
        <w:r w:rsidRPr="00193EB8">
          <w:rPr>
            <w:szCs w:val="28"/>
          </w:rPr>
          <w:t>Human judgement and verification</w:t>
        </w:r>
      </w:hyperlink>
      <w:r w:rsidRPr="00193EB8">
        <w:rPr>
          <w:szCs w:val="28"/>
        </w:rPr>
        <w:tab/>
        <w:t>5</w:t>
      </w:r>
    </w:p>
    <w:p w14:paraId="2912461E" w14:textId="77777777" w:rsidR="00015978" w:rsidRPr="00193EB8" w:rsidRDefault="003B4FD2">
      <w:pPr>
        <w:tabs>
          <w:tab w:val="right" w:leader="dot" w:pos="9576"/>
        </w:tabs>
        <w:spacing w:after="200"/>
        <w:ind w:left="317"/>
        <w:rPr>
          <w:szCs w:val="28"/>
        </w:rPr>
      </w:pPr>
      <w:hyperlink w:anchor="section_6" w:history="1">
        <w:r w:rsidRPr="00193EB8">
          <w:rPr>
            <w:szCs w:val="28"/>
          </w:rPr>
          <w:t>Training and classroom action plan</w:t>
        </w:r>
      </w:hyperlink>
      <w:r w:rsidRPr="00193EB8">
        <w:rPr>
          <w:szCs w:val="28"/>
        </w:rPr>
        <w:tab/>
        <w:t>6</w:t>
      </w:r>
    </w:p>
    <w:p w14:paraId="3D18A7B8" w14:textId="77777777" w:rsidR="00015978" w:rsidRPr="00193EB8" w:rsidRDefault="003B4FD2">
      <w:pPr>
        <w:tabs>
          <w:tab w:val="right" w:leader="dot" w:pos="9576"/>
        </w:tabs>
        <w:spacing w:after="200"/>
        <w:ind w:left="317"/>
        <w:rPr>
          <w:szCs w:val="28"/>
        </w:rPr>
      </w:pPr>
      <w:hyperlink w:anchor="section_7" w:history="1">
        <w:r w:rsidRPr="00193EB8">
          <w:rPr>
            <w:szCs w:val="28"/>
          </w:rPr>
          <w:t>Consequences and incentives</w:t>
        </w:r>
      </w:hyperlink>
      <w:r w:rsidRPr="00193EB8">
        <w:rPr>
          <w:szCs w:val="28"/>
        </w:rPr>
        <w:tab/>
        <w:t>6</w:t>
      </w:r>
    </w:p>
    <w:p w14:paraId="75E707DF" w14:textId="77777777" w:rsidR="00015978" w:rsidRPr="00193EB8" w:rsidRDefault="003B4FD2">
      <w:pPr>
        <w:tabs>
          <w:tab w:val="right" w:leader="dot" w:pos="9576"/>
        </w:tabs>
        <w:spacing w:after="260"/>
        <w:rPr>
          <w:szCs w:val="28"/>
        </w:rPr>
      </w:pPr>
      <w:hyperlink w:anchor="section_8" w:history="1">
        <w:r w:rsidRPr="00193EB8">
          <w:rPr>
            <w:b/>
            <w:szCs w:val="28"/>
          </w:rPr>
          <w:t>Conclusion</w:t>
        </w:r>
      </w:hyperlink>
      <w:r w:rsidRPr="00193EB8">
        <w:rPr>
          <w:szCs w:val="28"/>
        </w:rPr>
        <w:tab/>
        <w:t>7</w:t>
      </w:r>
    </w:p>
    <w:p w14:paraId="3B25E189" w14:textId="77777777" w:rsidR="00015978" w:rsidRPr="00193EB8" w:rsidRDefault="003B4FD2">
      <w:pPr>
        <w:tabs>
          <w:tab w:val="right" w:leader="dot" w:pos="9576"/>
        </w:tabs>
        <w:spacing w:after="260"/>
        <w:rPr>
          <w:szCs w:val="28"/>
        </w:rPr>
      </w:pPr>
      <w:hyperlink w:anchor="section_9" w:history="1">
        <w:r w:rsidRPr="00193EB8">
          <w:rPr>
            <w:b/>
            <w:szCs w:val="28"/>
          </w:rPr>
          <w:t>References</w:t>
        </w:r>
      </w:hyperlink>
      <w:r w:rsidRPr="00193EB8">
        <w:rPr>
          <w:szCs w:val="28"/>
        </w:rPr>
        <w:tab/>
        <w:t>8</w:t>
      </w:r>
    </w:p>
    <w:p w14:paraId="2F8B2F1B" w14:textId="77777777" w:rsidR="00015978" w:rsidRDefault="003B4FD2">
      <w:r>
        <w:br w:type="page"/>
      </w:r>
    </w:p>
    <w:p w14:paraId="099AF49B" w14:textId="77777777" w:rsidR="00015978" w:rsidRDefault="003B4FD2">
      <w:pPr>
        <w:pStyle w:val="Heading1"/>
      </w:pPr>
      <w:bookmarkStart w:id="0" w:name="section_0"/>
      <w:r>
        <w:lastRenderedPageBreak/>
        <w:t>Introduction</w:t>
      </w:r>
      <w:bookmarkEnd w:id="0"/>
    </w:p>
    <w:p w14:paraId="18A690F6" w14:textId="2F46DE1B" w:rsidR="00015978" w:rsidRDefault="003B4FD2" w:rsidP="00226BD0">
      <w:pPr>
        <w:spacing w:line="360" w:lineRule="auto"/>
      </w:pPr>
      <w:r>
        <w:t xml:space="preserve">As Microsoft Hiring Manager, I recommend combining clear permissions for artificial intelligence (AI) with staff development and fair investigation. The assessment describes a hypothetical policy failure, not established misconduct at Microsoft. AI misuse means breaching communicated rules through </w:t>
      </w:r>
      <w:r w:rsidR="00AA0BB0">
        <w:t>unauthorized</w:t>
      </w:r>
      <w:r>
        <w:t xml:space="preserve"> disclosure, fabricated evidence, discriminatory decisions or concealed assistance where disclosure is required. Permitted AI assistance is not itself misconduct. Generative AI changes responsibilities throughout human resource management (HRM), including employee relations and performance assessment (Budhwar et al., 2023).</w:t>
      </w:r>
    </w:p>
    <w:p w14:paraId="4913FF1D" w14:textId="753CCE49" w:rsidR="00015978" w:rsidRDefault="003B4FD2" w:rsidP="00226BD0">
      <w:pPr>
        <w:spacing w:line="360" w:lineRule="auto"/>
      </w:pPr>
      <w:r>
        <w:t xml:space="preserve">Recruitment supplies the necessary judgement and skills; training develops them; performance management reinforces expected </w:t>
      </w:r>
      <w:r w:rsidR="00AA0BB0">
        <w:t>behavior</w:t>
      </w:r>
      <w:r>
        <w:t xml:space="preserve">; and employee relations provide trusted routes for questions and complaints. These functions support </w:t>
      </w:r>
      <w:r w:rsidR="00AA0BB0">
        <w:t>organizational</w:t>
      </w:r>
      <w:r>
        <w:t xml:space="preserve"> effectiveness by connecting capability with accountability, rather than assuming technology can resolve people problems (Tambe, Cappelli and Yakubovich, 2019).</w:t>
      </w:r>
    </w:p>
    <w:p w14:paraId="1F2EDBE5" w14:textId="77777777" w:rsidR="00015978" w:rsidRDefault="003B4FD2" w:rsidP="00226BD0">
      <w:pPr>
        <w:spacing w:line="360" w:lineRule="auto"/>
      </w:pPr>
      <w:r>
        <w:t>For the Graduate AI Strategist role, I would advertise transparent criteria covering AI literacy, evidence checking, privacy awareness and communication. Shortlisting would use a common scoring rubric. Candidates would complete a supervised exercise identifying errors and sensitive information in an AI-generated HR briefing, explain their reasoning, and attend a structured panel interview. Reasonable adjustments and human review would support fairness. Vendor claims about automated selection require scrutiny, not unquestioning acceptance (Raghavan et al., 2020).</w:t>
      </w:r>
    </w:p>
    <w:p w14:paraId="63B6AA4B" w14:textId="1FC5019E" w:rsidR="00015978" w:rsidRDefault="003B4FD2" w:rsidP="00226BD0">
      <w:pPr>
        <w:spacing w:line="360" w:lineRule="auto"/>
      </w:pPr>
      <w:r>
        <w:lastRenderedPageBreak/>
        <w:t xml:space="preserve">The report examines the internal and external environment through PESTLE, applies findings to Microsoft, and uses the taught HR Strategy Model to connect business objectives with employee </w:t>
      </w:r>
      <w:r w:rsidR="00AA0BB0">
        <w:t>behavior</w:t>
      </w:r>
      <w:r>
        <w:t>. It then proposes investigation, training and reward measures, compares UK and US implementation, and concludes with implications for future HR practice.</w:t>
      </w:r>
    </w:p>
    <w:p w14:paraId="71AFF1BC" w14:textId="77777777" w:rsidR="00015978" w:rsidRDefault="003B4FD2">
      <w:pPr>
        <w:pStyle w:val="Heading1"/>
      </w:pPr>
      <w:bookmarkStart w:id="1" w:name="section_1"/>
      <w:r>
        <w:t>Internal and External Environment</w:t>
      </w:r>
      <w:bookmarkEnd w:id="1"/>
    </w:p>
    <w:p w14:paraId="05D9A81F" w14:textId="77777777" w:rsidR="00015978" w:rsidRDefault="003B4FD2" w:rsidP="00226BD0">
      <w:pPr>
        <w:spacing w:line="360" w:lineRule="auto"/>
      </w:pPr>
      <w:r>
        <w:t>PESTLE examines political, economic, social, technological, legal and environmental influences. Its value is systematic scanning: it prompts HR to consider pressures beyond immediate staffing needs. However, it can produce descriptive lists, depend on questionable assumptions and become outdated quickly (CIPD, n.d.). I would therefore assign each significant risk an owner, evidence source and review date, then connect it to an HR decision.</w:t>
      </w:r>
    </w:p>
    <w:p w14:paraId="0A135341" w14:textId="77777777" w:rsidR="00015978" w:rsidRDefault="003B4FD2" w:rsidP="00226BD0">
      <w:pPr>
        <w:spacing w:line="360" w:lineRule="auto"/>
      </w:pPr>
      <w:r>
        <w:t>Political differences in AI governance require local policy monitoring rather than assuming one international rulebook. Economic pressure encourages faster work, potentially rewarding unchecked outputs. Research among customer-support agents found productivity benefits from generative AI, but results from one occupational setting cannot establish equivalent gains across Microsoft's workforce (Brynjolfsson, Li and Raymond, 2025). HR should therefore pilot changes before setting productivity targets.</w:t>
      </w:r>
    </w:p>
    <w:p w14:paraId="226D9B9D" w14:textId="77777777" w:rsidR="00015978" w:rsidRDefault="003B4FD2" w:rsidP="00226BD0">
      <w:pPr>
        <w:spacing w:line="360" w:lineRule="auto"/>
      </w:pPr>
      <w:r>
        <w:t xml:space="preserve">Social influences include employee anxiety, confidence and unequal access to digital learning. Training must explain permitted assistance and support employees with different starting capabilities. Technological change creates useful drafting and </w:t>
      </w:r>
      <w:r>
        <w:lastRenderedPageBreak/>
        <w:t>analytical tools, alongside unreliable outputs and automation dependence. The tension between automating tasks and augmenting human judgement requires continuing management attention (Raisch and Krakowski, 2021).</w:t>
      </w:r>
    </w:p>
    <w:p w14:paraId="61F795F2" w14:textId="04CFF559" w:rsidR="00015978" w:rsidRDefault="003B4FD2" w:rsidP="00226BD0">
      <w:pPr>
        <w:spacing w:line="360" w:lineRule="auto"/>
      </w:pPr>
      <w:r>
        <w:t xml:space="preserve">Legal influences concern personal information, discrimination and fair employment decisions. HR must involve privacy and legal specialists in designing recruitment and investigations. Environmental pressures concern the resource demands of language models, supporting proportionate tool selection rather than unnecessary generation (Bender et al., 2021). These dimensions interact: purchasing cheaper tools may reduce expenditure while creating additional privacy or training costs. </w:t>
      </w:r>
      <w:proofErr w:type="gramStart"/>
      <w:r>
        <w:t>Wider</w:t>
      </w:r>
      <w:proofErr w:type="gramEnd"/>
      <w:r>
        <w:t xml:space="preserve"> </w:t>
      </w:r>
      <w:proofErr w:type="gramStart"/>
      <w:r>
        <w:t>research similarly</w:t>
      </w:r>
      <w:proofErr w:type="gramEnd"/>
      <w:r>
        <w:t xml:space="preserve"> identifies interdependent </w:t>
      </w:r>
      <w:r w:rsidR="00AA0BB0">
        <w:t>organizational</w:t>
      </w:r>
      <w:r>
        <w:t xml:space="preserve"> and ethical implications of generative AI (Dwivedi et al., 2023).</w:t>
      </w:r>
    </w:p>
    <w:p w14:paraId="724062CA" w14:textId="77777777" w:rsidR="00015978" w:rsidRDefault="003B4FD2" w:rsidP="00226BD0">
      <w:pPr>
        <w:spacing w:line="360" w:lineRule="auto"/>
      </w:pPr>
      <w:r>
        <w:t>PESTLE does not adequately explain internal conditions. I would separately assess management incentives, existing skills, reporting culture and system permissions. Extensive monitoring can create conflict over managerial control, weakening the trust required for honest disclosure (Kellogg, Valentine and Christin, 2020).</w:t>
      </w:r>
    </w:p>
    <w:p w14:paraId="2B1AE595" w14:textId="3E73CACE" w:rsidR="00015978" w:rsidRDefault="003B4FD2" w:rsidP="00226BD0">
      <w:pPr>
        <w:spacing w:line="360" w:lineRule="auto"/>
      </w:pPr>
      <w:r>
        <w:t xml:space="preserve">The HR Strategy Model taught in Week 2 links strategic goals to required competencies and </w:t>
      </w:r>
      <w:r w:rsidR="00AA0BB0">
        <w:t>behaviors</w:t>
      </w:r>
      <w:r>
        <w:t xml:space="preserve">, then to recruitment, development, rewards and employee relations (UWTSD, n.d.). For Microsoft, responsible innovation would require employees to verify outputs and disclose relevant assistance. Selection exercises, protected learning time and quality-based appraisal would reinforce these </w:t>
      </w:r>
      <w:r w:rsidR="00AA0BB0">
        <w:t>behaviors</w:t>
      </w:r>
      <w:r>
        <w:t xml:space="preserve">. I find this alignment useful, but its managerial emphasis can understate employee voice. Consultation and independent appeals should therefore supplement the model. PESTLE identifies changing pressures; the HR model </w:t>
      </w:r>
      <w:r>
        <w:lastRenderedPageBreak/>
        <w:t>translates them into coordinated practice. Neither proves that a particular employee has committed misconduct, and both require evidence from implementation before their effectiveness can be judged.</w:t>
      </w:r>
    </w:p>
    <w:p w14:paraId="41E644E5" w14:textId="31759B41" w:rsidR="00015978" w:rsidRDefault="00AA0BB0">
      <w:pPr>
        <w:pStyle w:val="Heading1"/>
      </w:pPr>
      <w:bookmarkStart w:id="2" w:name="section_2"/>
      <w:r>
        <w:t>Organization</w:t>
      </w:r>
      <w:r w:rsidR="003B4FD2">
        <w:t xml:space="preserve"> Application</w:t>
      </w:r>
      <w:bookmarkEnd w:id="2"/>
    </w:p>
    <w:p w14:paraId="39EDCEC6" w14:textId="19F8C806" w:rsidR="00015978" w:rsidRDefault="003B4FD2" w:rsidP="00226BD0">
      <w:pPr>
        <w:spacing w:line="360" w:lineRule="auto"/>
      </w:pPr>
      <w:r>
        <w:t xml:space="preserve">Microsoft is a US-based Fortune 500 company (Fortune, 2026). Its global activities include cloud services, productivity software and personal computing, with employees in the United States and internationally. Its annual report describes talent attraction, development and rewards alongside a growth-mindset culture (Microsoft, 2025a). Employee listening systems gather feedback globally. These disclosures establish </w:t>
      </w:r>
      <w:r w:rsidR="00AA0BB0">
        <w:t>organizational</w:t>
      </w:r>
      <w:r>
        <w:t xml:space="preserve"> priorities, although they do not demonstrate consistent implementation in every country.</w:t>
      </w:r>
    </w:p>
    <w:p w14:paraId="732243A4" w14:textId="77777777" w:rsidR="00015978" w:rsidRDefault="003B4FD2" w:rsidP="00226BD0">
      <w:pPr>
        <w:spacing w:line="360" w:lineRule="auto"/>
      </w:pPr>
      <w:r>
        <w:t>Microsoft reports offering responsible AI training across its workforce and, more recently, specialist training for engineers and product managers (Microsoft, 2025b; 2026). These practices provide a foundation for the proposed HR programme. Public reporting does not establish a universal disciplinary or appraisal policy for employee AI misuse; the following measures are recommendations.</w:t>
      </w:r>
    </w:p>
    <w:p w14:paraId="0489CFE3" w14:textId="3C9E5222" w:rsidR="00015978" w:rsidRDefault="003B4FD2" w:rsidP="00226BD0">
      <w:pPr>
        <w:spacing w:line="360" w:lineRule="auto"/>
      </w:pPr>
      <w:r>
        <w:t xml:space="preserve">Recruitment should assess practical judgement. Development should combine online instruction with supervised practice. Appraisals should examine accuracy, documented checking and collaboration, with equivalent expectations adapted to local roles. Employee forums should clarify acceptable use without exposing individual cases. I would permit approved tools for initial drafting, require </w:t>
      </w:r>
      <w:r>
        <w:lastRenderedPageBreak/>
        <w:t xml:space="preserve">verification before publication, and prohibit </w:t>
      </w:r>
      <w:r w:rsidR="00AA0BB0">
        <w:t>unauthorized</w:t>
      </w:r>
      <w:r>
        <w:t xml:space="preserve"> disclosure of confidential employee information.</w:t>
      </w:r>
    </w:p>
    <w:p w14:paraId="35F8DAC2" w14:textId="4396F2E3" w:rsidR="00015978" w:rsidRDefault="003B4FD2" w:rsidP="00226BD0">
      <w:pPr>
        <w:spacing w:line="360" w:lineRule="auto"/>
      </w:pPr>
      <w:r>
        <w:t xml:space="preserve">Tool evaluation should distinguish enterprise configurations from personal accounts. Microsoft Copilot supports work within Microsoft applications; its </w:t>
      </w:r>
      <w:r w:rsidR="00AA0BB0">
        <w:t>organizational</w:t>
      </w:r>
      <w:r>
        <w:t xml:space="preserve"> integration offers convenience but makes correct </w:t>
      </w:r>
      <w:proofErr w:type="gramStart"/>
      <w:r>
        <w:t>permissions</w:t>
      </w:r>
      <w:proofErr w:type="gramEnd"/>
      <w:r>
        <w:t xml:space="preserve"> essential. Microsoft states that prompts, responses and Graph data are not used to train foundation models (Microsoft, n.d.). ChatGPT Enterprise offers broad drafting and analysis with no business-data training by default, but plausible answers still require verification (OpenAI, 2026).</w:t>
      </w:r>
    </w:p>
    <w:p w14:paraId="26ED0D29" w14:textId="77777777" w:rsidR="00015978" w:rsidRDefault="003B4FD2" w:rsidP="00226BD0">
      <w:pPr>
        <w:spacing w:line="360" w:lineRule="auto"/>
      </w:pPr>
      <w:r>
        <w:t>Gemini within Google Workspace offers integration with Google's work environment and published protections against model training outside the customer's domain without permission. For Microsoft, this presents additional procurement and integration considerations (Google, n.d.). Claude provides document analysis; commercial data is not used for training by default, subject to stated exceptions such as feedback (Anthropic, n.d.; 2026). It also requires source checking.</w:t>
      </w:r>
    </w:p>
    <w:p w14:paraId="6F1E98B6" w14:textId="7F55749C" w:rsidR="00015978" w:rsidRDefault="003B4FD2" w:rsidP="00226BD0">
      <w:pPr>
        <w:spacing w:line="360" w:lineRule="auto"/>
      </w:pPr>
      <w:r>
        <w:t xml:space="preserve">These are representative enterprise tools, not a market-share ranking. I would compare accuracy on </w:t>
      </w:r>
      <w:r w:rsidR="00AA0BB0">
        <w:t>anonymized</w:t>
      </w:r>
      <w:r>
        <w:t xml:space="preserve"> HR tasks, access controls, retention, accessibility and total cost before approval. Privacy promises do not establish factual reliability or legal compliance. All tools should remain subject to the same disclosure and human accountability requirements, regardless of supplier.</w:t>
      </w:r>
    </w:p>
    <w:p w14:paraId="03D56E83" w14:textId="77777777" w:rsidR="00015978" w:rsidRDefault="003B4FD2" w:rsidP="00226BD0">
      <w:pPr>
        <w:pStyle w:val="Heading1"/>
        <w:spacing w:line="360" w:lineRule="auto"/>
      </w:pPr>
      <w:bookmarkStart w:id="3" w:name="section_3"/>
      <w:r>
        <w:lastRenderedPageBreak/>
        <w:t>Application of Model</w:t>
      </w:r>
      <w:bookmarkEnd w:id="3"/>
    </w:p>
    <w:p w14:paraId="2DFD5CC0" w14:textId="77777777" w:rsidR="00015978" w:rsidRDefault="003B4FD2" w:rsidP="00226BD0">
      <w:pPr>
        <w:pStyle w:val="Heading2"/>
        <w:spacing w:line="360" w:lineRule="auto"/>
      </w:pPr>
      <w:bookmarkStart w:id="4" w:name="section_4"/>
      <w:r>
        <w:t>Country differences and external practice</w:t>
      </w:r>
      <w:bookmarkEnd w:id="4"/>
    </w:p>
    <w:p w14:paraId="6BDBFE53" w14:textId="79366492" w:rsidR="00015978" w:rsidRDefault="003B4FD2" w:rsidP="00226BD0">
      <w:pPr>
        <w:spacing w:line="360" w:lineRule="auto"/>
      </w:pPr>
      <w:r>
        <w:t xml:space="preserve">In the UK, ICO guidance </w:t>
      </w:r>
      <w:r w:rsidR="00AA0BB0">
        <w:t>emphasizes</w:t>
      </w:r>
      <w:r>
        <w:t xml:space="preserve"> bias monitoring, transparency and routes to challenge automated recruitment decisions (ICO, 2026). In the US, federal employment protections still govern discriminatory selection practices (EEOC, n.d.). HR should obtain local legal review rather than transplant UK procedures unchanged. Economically, salary costs and available training resources influence implementation, so local budgets should fund equivalent learning access, not identical expenditure. Cultural differences should be investigated through staff consultation, rather than inferred from nationality. Anonymous questions and accessible materials can support employees reluctant to challenge managers.</w:t>
      </w:r>
    </w:p>
    <w:p w14:paraId="71B8A86A" w14:textId="77777777" w:rsidR="00015978" w:rsidRDefault="003B4FD2" w:rsidP="00226BD0">
      <w:pPr>
        <w:spacing w:line="360" w:lineRule="auto"/>
      </w:pPr>
      <w:r>
        <w:t>For Microsoft, a US headquarters may set global objectives while UK HR must explain how local concerns influence those objectives. Consultation should test preferences for direct discussion or confidential reporting within each team. Local labour-market competition should shape recruitment budgets, while shared assessment standards prevent affordability from weakening safeguards.</w:t>
      </w:r>
    </w:p>
    <w:p w14:paraId="5421EADC" w14:textId="0FE7A8EE" w:rsidR="00015978" w:rsidRDefault="003B4FD2" w:rsidP="00226BD0">
      <w:pPr>
        <w:spacing w:line="360" w:lineRule="auto"/>
      </w:pPr>
      <w:r>
        <w:t xml:space="preserve">Externally, NIST's voluntary framework </w:t>
      </w:r>
      <w:r w:rsidR="00AA0BB0">
        <w:t>organizes</w:t>
      </w:r>
      <w:r>
        <w:t xml:space="preserve"> AI risk management through Govern, Map, Measure and Manage (NIST, 2023). Its generative AI profile adds specific risk guidance (NIST, 2024). I would translate this into named owners, approved-use records, output sampling and incident review. These measures offer more actionable assurance than an AI-detection score, although they require resources and do not replace local law.</w:t>
      </w:r>
    </w:p>
    <w:p w14:paraId="343BD99B" w14:textId="77777777" w:rsidR="00015978" w:rsidRDefault="003B4FD2">
      <w:pPr>
        <w:pStyle w:val="Heading2"/>
      </w:pPr>
      <w:bookmarkStart w:id="5" w:name="section_5"/>
      <w:r>
        <w:lastRenderedPageBreak/>
        <w:t>Human judgement and verification</w:t>
      </w:r>
      <w:bookmarkEnd w:id="5"/>
    </w:p>
    <w:p w14:paraId="7717E76C" w14:textId="77777777" w:rsidR="00015978" w:rsidRDefault="003B4FD2" w:rsidP="00226BD0">
      <w:pPr>
        <w:spacing w:line="360" w:lineRule="auto"/>
      </w:pPr>
      <w:r>
        <w:t>HR should train staff and managers in this six-step procedure:</w:t>
      </w:r>
    </w:p>
    <w:p w14:paraId="6B160B73" w14:textId="77777777" w:rsidR="00015978" w:rsidRDefault="003B4FD2" w:rsidP="00226BD0">
      <w:pPr>
        <w:keepLines/>
        <w:spacing w:line="360" w:lineRule="auto"/>
        <w:ind w:left="288" w:hanging="288"/>
      </w:pPr>
      <w:r>
        <w:t>1. Record the concern and relevant policy. Distinguish suspected AI involvement from a possible breach; stylistic changes alone are insufficient grounds for a finding.</w:t>
      </w:r>
    </w:p>
    <w:p w14:paraId="47C2264D" w14:textId="08A8F544" w:rsidR="00015978" w:rsidRDefault="003B4FD2" w:rsidP="00226BD0">
      <w:pPr>
        <w:keepLines/>
        <w:spacing w:line="360" w:lineRule="auto"/>
        <w:ind w:left="288" w:hanging="288"/>
      </w:pPr>
      <w:r>
        <w:t xml:space="preserve">2. Protect information and preserve proportionate evidence. An </w:t>
      </w:r>
      <w:r w:rsidR="00AA0BB0">
        <w:t>authorized</w:t>
      </w:r>
      <w:r>
        <w:t xml:space="preserve"> investigator should retain relevant drafts, version history, source records and permitted system logs with restricted access. Avoid unnecessary searches of personal accounts.</w:t>
      </w:r>
    </w:p>
    <w:p w14:paraId="7E44249F" w14:textId="77777777" w:rsidR="00015978" w:rsidRDefault="003B4FD2" w:rsidP="00226BD0">
      <w:pPr>
        <w:keepLines/>
        <w:spacing w:line="360" w:lineRule="auto"/>
        <w:ind w:left="288" w:hanging="288"/>
      </w:pPr>
      <w:r>
        <w:t>3. Check the work. Verify citations and calculations, compare claims with original sources, and document substantive errors. Detector research identifies reliability problems and potential disadvantage for non-native English writers (Weber-Wulff et al., 2023; Liang et al., 2023). These studies concern particular datasets and tools, but justify rejecting detector scores as standalone proof.</w:t>
      </w:r>
    </w:p>
    <w:p w14:paraId="173DE100" w14:textId="77777777" w:rsidR="00015978" w:rsidRDefault="003B4FD2" w:rsidP="00226BD0">
      <w:pPr>
        <w:keepLines/>
        <w:spacing w:line="360" w:lineRule="auto"/>
        <w:ind w:left="288" w:hanging="288"/>
      </w:pPr>
      <w:r>
        <w:t>4. Invite an explanation. Share concerns, ask the employee to explain their workflow and checking, and allow supporting evidence and adjustments. Difficulty recalling a detail does not establish wrongdoing.</w:t>
      </w:r>
    </w:p>
    <w:p w14:paraId="3BED6C6E" w14:textId="2A6762AC" w:rsidR="00015978" w:rsidRDefault="003B4FD2" w:rsidP="00226BD0">
      <w:pPr>
        <w:keepLines/>
        <w:spacing w:line="360" w:lineRule="auto"/>
        <w:ind w:left="288" w:hanging="288"/>
      </w:pPr>
      <w:r>
        <w:lastRenderedPageBreak/>
        <w:t xml:space="preserve">5. Assess the evidence jointly. HR and a relevant subject specialist should establish the breached rule, extent of assistance, intent, repetition and actual or potential harm. Consider </w:t>
      </w:r>
      <w:r w:rsidR="00AA0BB0">
        <w:t>authorized</w:t>
      </w:r>
      <w:r>
        <w:t xml:space="preserve"> editing, collaborative work and inadequate training as alternative explanations. Record an inconclusive finding when evidence is insufficient.</w:t>
      </w:r>
    </w:p>
    <w:p w14:paraId="1E6590FA" w14:textId="77777777" w:rsidR="00015978" w:rsidRDefault="003B4FD2" w:rsidP="00226BD0">
      <w:pPr>
        <w:keepLines/>
        <w:spacing w:line="360" w:lineRule="auto"/>
        <w:ind w:left="288" w:hanging="288"/>
      </w:pPr>
      <w:r>
        <w:t>6. Communicate the reasoned outcome and appeal route. Separate investigation from disciplinary decision-making where practicable, correct affected work and review policy weaknesses. This proposed process reflects Acas principles of fair investigation and response (Acas, 2015).</w:t>
      </w:r>
    </w:p>
    <w:p w14:paraId="39779891" w14:textId="77777777" w:rsidR="00015978" w:rsidRDefault="003B4FD2" w:rsidP="00226BD0">
      <w:pPr>
        <w:pStyle w:val="Heading2"/>
        <w:spacing w:line="360" w:lineRule="auto"/>
      </w:pPr>
      <w:bookmarkStart w:id="6" w:name="section_6"/>
      <w:r>
        <w:t>Training and classroom action plan</w:t>
      </w:r>
      <w:bookmarkEnd w:id="6"/>
    </w:p>
    <w:p w14:paraId="3C24D309" w14:textId="77777777" w:rsidR="00015978" w:rsidRDefault="003B4FD2" w:rsidP="00226BD0">
      <w:pPr>
        <w:spacing w:line="360" w:lineRule="auto"/>
      </w:pPr>
      <w:r>
        <w:t xml:space="preserve">During week one, HR and the AI Strategist should assess skills using </w:t>
      </w:r>
      <w:proofErr w:type="spellStart"/>
      <w:r>
        <w:t>anonymised</w:t>
      </w:r>
      <w:proofErr w:type="spellEnd"/>
      <w:r>
        <w:t xml:space="preserve"> scenarios and publish examples of permitted, approval-dependent and prohibited use. AI literacy must include critical evaluation and ethical understanding, not simply prompting proficiency (Long and Magerko, 2020; Ng et al., 2021).</w:t>
      </w:r>
    </w:p>
    <w:p w14:paraId="6BC0CA5F" w14:textId="77777777" w:rsidR="00015978" w:rsidRDefault="003B4FD2" w:rsidP="00226BD0">
      <w:pPr>
        <w:spacing w:line="360" w:lineRule="auto"/>
      </w:pPr>
      <w:r>
        <w:t>In week two, staff should complete a paid online module covering confidentiality, fabricated references, bias and disclosure, followed by practice using the verification procedure. In week three, a facilitated workshop should use fictional HR documents. Groups should find unsupported claims, classify acceptable uses, and role-play a fair investigation. Following Kolb (2015), participants experience a task, reflect, develop checking principles and apply them to a second case. Anonymous questions and explicit permission to make practice mistakes should reduce anxiety.</w:t>
      </w:r>
    </w:p>
    <w:p w14:paraId="5E209100" w14:textId="42A9C355" w:rsidR="00015978" w:rsidRDefault="003B4FD2" w:rsidP="00226BD0">
      <w:pPr>
        <w:spacing w:line="360" w:lineRule="auto"/>
      </w:pPr>
      <w:r>
        <w:lastRenderedPageBreak/>
        <w:t xml:space="preserve">In week four, managers should assess a supervised task against accuracy, confidentiality, disclosure and explanation criteria. Staff needing support should receive coaching and reassessment. At 30 and 90 days, HR should use Kirkpatrick's levels to assess reaction, learning, workplace </w:t>
      </w:r>
      <w:r w:rsidR="00AA0BB0">
        <w:t>behavior</w:t>
      </w:r>
      <w:r>
        <w:t xml:space="preserve"> and </w:t>
      </w:r>
      <w:r w:rsidR="00AA0BB0">
        <w:t>organizational</w:t>
      </w:r>
      <w:r>
        <w:t xml:space="preserve"> results (Kirkpatrick and Kirkpatrick, 2016). Proposed indicators include checking quality and repeat incidents, interpreted alongside reporting rates. Fewer reports alone may indicate silence rather than improvement.</w:t>
      </w:r>
    </w:p>
    <w:p w14:paraId="22679BD2" w14:textId="77777777" w:rsidR="00015978" w:rsidRDefault="003B4FD2" w:rsidP="00226BD0">
      <w:pPr>
        <w:spacing w:line="360" w:lineRule="auto"/>
      </w:pPr>
      <w:r>
        <w:t>Investigators should rehearse ambiguous cases together before handling live concerns, compare their conclusions, and document disagreements. This calibration makes the human review requirement more credible.</w:t>
      </w:r>
    </w:p>
    <w:p w14:paraId="7BD19390" w14:textId="77777777" w:rsidR="00015978" w:rsidRDefault="003B4FD2" w:rsidP="00226BD0">
      <w:pPr>
        <w:pStyle w:val="Heading2"/>
        <w:spacing w:line="360" w:lineRule="auto"/>
      </w:pPr>
      <w:bookmarkStart w:id="7" w:name="section_7"/>
      <w:r>
        <w:t>Consequences and incentives</w:t>
      </w:r>
      <w:bookmarkEnd w:id="7"/>
    </w:p>
    <w:p w14:paraId="3216F812" w14:textId="77777777" w:rsidR="00015978" w:rsidRDefault="003B4FD2" w:rsidP="00226BD0">
      <w:pPr>
        <w:spacing w:line="360" w:lineRule="auto"/>
      </w:pPr>
      <w:r>
        <w:t>A first minor breach under unclear guidance should normally prompt correction and coaching. Proven repetition after clear training and a live warning may justify escalating warnings. Deliberate serious disclosure or fabrication may warrant dismissal following a fair process and local advice. Previous proven offences inform proportionality; expired warnings and allegations should not automatically trigger penalties (Acas, 2015).</w:t>
      </w:r>
    </w:p>
    <w:p w14:paraId="36378EA6" w14:textId="77777777" w:rsidR="00015978" w:rsidRDefault="003B4FD2" w:rsidP="00226BD0">
      <w:pPr>
        <w:spacing w:line="360" w:lineRule="auto"/>
      </w:pPr>
      <w:r>
        <w:t xml:space="preserve">Managers should recognise verified improvements, responsible reporting and peer mentoring through development opportunities and appraisal credit. Rewarding output volume alone could encourage shortcuts. Connecting these incentives to competencies applies the HR Strategy Model, while employee feedback tests </w:t>
      </w:r>
      <w:r>
        <w:lastRenderedPageBreak/>
        <w:t>whether its intended alignment actually works. Managers also need protected review time; otherwise human oversight risks becoming ceremonial.</w:t>
      </w:r>
    </w:p>
    <w:p w14:paraId="0C68546B" w14:textId="77777777" w:rsidR="00015978" w:rsidRDefault="003B4FD2" w:rsidP="00226BD0">
      <w:pPr>
        <w:pStyle w:val="Heading1"/>
        <w:spacing w:line="360" w:lineRule="auto"/>
      </w:pPr>
      <w:bookmarkStart w:id="8" w:name="section_8"/>
      <w:r>
        <w:t>Conclusion</w:t>
      </w:r>
      <w:bookmarkEnd w:id="8"/>
    </w:p>
    <w:p w14:paraId="197B45BF" w14:textId="77777777" w:rsidR="00015978" w:rsidRDefault="003B4FD2" w:rsidP="00226BD0">
      <w:pPr>
        <w:spacing w:line="360" w:lineRule="auto"/>
      </w:pPr>
      <w:r>
        <w:t>This analysis leads me to recommend a coordinated HR response to Microsoft's hypothetical AI misuse challenge. Recruitment should test ethical judgement, development should build practical literacy, and performance management should reward verified quality. Employee relations must provide safe opportunities to clarify rules and challenge decisions. PESTLE explains why these arrangements require continuing revision as technology, costs and regulatory expectations change.</w:t>
      </w:r>
    </w:p>
    <w:p w14:paraId="292F5EB2" w14:textId="6849A567" w:rsidR="00015978" w:rsidRDefault="003B4FD2" w:rsidP="00226BD0">
      <w:pPr>
        <w:spacing w:line="360" w:lineRule="auto"/>
      </w:pPr>
      <w:r>
        <w:t>The HR Strategy Model provides a useful connection between responsible innovation and everyday employee conduct. Its value depends on consistent implementation: training cannot compensate for incentives that reward unchecked speed. I would therefore judge success through observed verification practices and fair case outcomes, rather than attendance certificates or tool adoption alone. Kolb and Kirkpatrick offer complementary ways to design practice and evaluate its transfer into work, although organi</w:t>
      </w:r>
      <w:r w:rsidR="00AA0BB0">
        <w:t>z</w:t>
      </w:r>
      <w:r>
        <w:t>ational improvements cannot automatically be attributed to training.</w:t>
      </w:r>
    </w:p>
    <w:p w14:paraId="19508FE2" w14:textId="77777777" w:rsidR="00015978" w:rsidRDefault="003B4FD2" w:rsidP="00226BD0">
      <w:pPr>
        <w:spacing w:line="360" w:lineRule="auto"/>
      </w:pPr>
      <w:r>
        <w:t xml:space="preserve">My central reflection is that human judgement also needs safeguards. Reviewers can misinterpret language differences, overvalue confidence or treat suspicion as evidence. Structured records, specialist review and appeals make judgement more accountable. Psychological safety supports learning, so employees should be able to </w:t>
      </w:r>
      <w:r>
        <w:lastRenderedPageBreak/>
        <w:t>discuss uncertainty without assuming every mistake will lead to punishment (Edmondson, 1999).</w:t>
      </w:r>
    </w:p>
    <w:p w14:paraId="42AC93F0" w14:textId="77777777" w:rsidR="00015978" w:rsidRDefault="003B4FD2" w:rsidP="00226BD0">
      <w:pPr>
        <w:spacing w:line="360" w:lineRule="auto"/>
      </w:pPr>
      <w:r>
        <w:t>Future HR managers will need to review approved tools, permissions and competency standards as AI capabilities evolve. UK and US teams should share ethical principles while adapting implementation to local requirements. Corporate disclosures provide useful evidence but need testing against employee experience. Ultimately, the proposed approach treats responsible AI use as a continuing organisational capability, sustained through fair decisions, supported learning and demonstrable accountability.</w:t>
      </w:r>
    </w:p>
    <w:p w14:paraId="71B438EC" w14:textId="77777777" w:rsidR="00015978" w:rsidRDefault="003B4FD2">
      <w:r>
        <w:br w:type="page"/>
      </w:r>
    </w:p>
    <w:p w14:paraId="29F8B4AA" w14:textId="77777777" w:rsidR="00015978" w:rsidRDefault="003B4FD2">
      <w:pPr>
        <w:pStyle w:val="Heading1"/>
      </w:pPr>
      <w:bookmarkStart w:id="9" w:name="section_9"/>
      <w:r>
        <w:lastRenderedPageBreak/>
        <w:t>References</w:t>
      </w:r>
      <w:bookmarkEnd w:id="9"/>
    </w:p>
    <w:p w14:paraId="4537AC0F" w14:textId="6C5B4F02" w:rsidR="00015978" w:rsidRPr="00B7693B" w:rsidRDefault="003B4FD2">
      <w:pPr>
        <w:keepLines/>
        <w:spacing w:after="180" w:line="252" w:lineRule="auto"/>
        <w:ind w:left="317" w:hanging="317"/>
        <w:rPr>
          <w:sz w:val="24"/>
          <w:szCs w:val="24"/>
        </w:rPr>
      </w:pPr>
      <w:r w:rsidRPr="00B7693B">
        <w:rPr>
          <w:sz w:val="24"/>
          <w:szCs w:val="24"/>
        </w:rPr>
        <w:t xml:space="preserve">Acas (2015) ‘Acas Code of Practice on disciplinary and grievance procedures’.  Available at: </w:t>
      </w:r>
      <w:hyperlink r:id="rId10">
        <w:r w:rsidRPr="00B7693B">
          <w:rPr>
            <w:color w:val="1F4E79"/>
            <w:sz w:val="24"/>
            <w:szCs w:val="24"/>
          </w:rPr>
          <w:t>https:/​/​www.acas.org.uk/​acas-​code-​of-​practice-​on-​disciplinary-​and-​grievance-​procedures</w:t>
        </w:r>
      </w:hyperlink>
      <w:r w:rsidRPr="00B7693B">
        <w:rPr>
          <w:sz w:val="24"/>
          <w:szCs w:val="24"/>
        </w:rPr>
        <w:t xml:space="preserve"> </w:t>
      </w:r>
    </w:p>
    <w:p w14:paraId="03D08E2D" w14:textId="05F303D4" w:rsidR="00015978" w:rsidRPr="00B7693B" w:rsidRDefault="003B4FD2">
      <w:pPr>
        <w:keepLines/>
        <w:spacing w:after="180" w:line="252" w:lineRule="auto"/>
        <w:ind w:left="317" w:hanging="317"/>
        <w:rPr>
          <w:sz w:val="24"/>
          <w:szCs w:val="24"/>
        </w:rPr>
      </w:pPr>
      <w:r w:rsidRPr="00B7693B">
        <w:rPr>
          <w:sz w:val="24"/>
          <w:szCs w:val="24"/>
        </w:rPr>
        <w:t xml:space="preserve">Anthropic (2026) ‘Is my data used for model training?’. 18 August. Commercial products guidance. Available at: </w:t>
      </w:r>
      <w:hyperlink r:id="rId11">
        <w:r w:rsidRPr="00B7693B">
          <w:rPr>
            <w:color w:val="1F4E79"/>
            <w:sz w:val="24"/>
            <w:szCs w:val="24"/>
          </w:rPr>
          <w:t>https:/​/​privacy.claude.com/​en/​articles/​7996868-​is-​my-​data-​used-​for-​model-​training</w:t>
        </w:r>
      </w:hyperlink>
      <w:r w:rsidRPr="00B7693B">
        <w:rPr>
          <w:sz w:val="24"/>
          <w:szCs w:val="24"/>
        </w:rPr>
        <w:t xml:space="preserve"> </w:t>
      </w:r>
    </w:p>
    <w:p w14:paraId="72EAF5D6" w14:textId="56E6987B" w:rsidR="00015978" w:rsidRPr="00B7693B" w:rsidRDefault="003B4FD2">
      <w:pPr>
        <w:keepLines/>
        <w:spacing w:after="180" w:line="252" w:lineRule="auto"/>
        <w:ind w:left="317" w:hanging="317"/>
        <w:rPr>
          <w:sz w:val="24"/>
          <w:szCs w:val="24"/>
        </w:rPr>
      </w:pPr>
      <w:r w:rsidRPr="00B7693B">
        <w:rPr>
          <w:sz w:val="24"/>
          <w:szCs w:val="24"/>
        </w:rPr>
        <w:t>Anthropic (n.d</w:t>
      </w:r>
      <w:proofErr w:type="gramStart"/>
      <w:r w:rsidRPr="00B7693B">
        <w:rPr>
          <w:sz w:val="24"/>
          <w:szCs w:val="24"/>
        </w:rPr>
        <w:t>.) ‘</w:t>
      </w:r>
      <w:proofErr w:type="gramEnd"/>
      <w:r w:rsidRPr="00B7693B">
        <w:rPr>
          <w:sz w:val="24"/>
          <w:szCs w:val="24"/>
        </w:rPr>
        <w:t xml:space="preserve">PDF support’. Claude Platform Docs. Available at: </w:t>
      </w:r>
      <w:hyperlink r:id="rId12">
        <w:r w:rsidRPr="00B7693B">
          <w:rPr>
            <w:color w:val="1F4E79"/>
            <w:sz w:val="24"/>
            <w:szCs w:val="24"/>
          </w:rPr>
          <w:t>https:/​/​docs.anthropic.com/​en/​docs/​build-​with-​claude/​pdf-​support</w:t>
        </w:r>
      </w:hyperlink>
      <w:r w:rsidRPr="00B7693B">
        <w:rPr>
          <w:sz w:val="24"/>
          <w:szCs w:val="24"/>
        </w:rPr>
        <w:t xml:space="preserve"> </w:t>
      </w:r>
    </w:p>
    <w:p w14:paraId="3AE61A5D" w14:textId="677496ED" w:rsidR="00015978" w:rsidRPr="00B7693B" w:rsidRDefault="003B4FD2">
      <w:pPr>
        <w:keepLines/>
        <w:spacing w:after="180" w:line="252" w:lineRule="auto"/>
        <w:ind w:left="317" w:hanging="317"/>
        <w:rPr>
          <w:sz w:val="24"/>
          <w:szCs w:val="24"/>
        </w:rPr>
      </w:pPr>
      <w:r w:rsidRPr="00B7693B">
        <w:rPr>
          <w:sz w:val="24"/>
          <w:szCs w:val="24"/>
        </w:rPr>
        <w:t xml:space="preserve">Bender, E.M., Gebru, T., McMillan-Major, A. and Shmitchell, S. (2021) ‘On the dangers of stochastic parrots: Can language models be too big?’. </w:t>
      </w:r>
      <w:r w:rsidRPr="00B7693B">
        <w:rPr>
          <w:i/>
          <w:sz w:val="24"/>
          <w:szCs w:val="24"/>
        </w:rPr>
        <w:t>Proceedings of the 2021 ACM Conference on Fairness, Accountability, and Transparency</w:t>
      </w:r>
      <w:r w:rsidRPr="00B7693B">
        <w:rPr>
          <w:sz w:val="24"/>
          <w:szCs w:val="24"/>
        </w:rPr>
        <w:t xml:space="preserve">, pp. 610–623. Available at: </w:t>
      </w:r>
      <w:hyperlink r:id="rId13">
        <w:r w:rsidRPr="00B7693B">
          <w:rPr>
            <w:color w:val="1F4E79"/>
            <w:sz w:val="24"/>
            <w:szCs w:val="24"/>
          </w:rPr>
          <w:t>https:/​/​doi.org/​10.1145/​3442188.3445922</w:t>
        </w:r>
      </w:hyperlink>
      <w:r w:rsidRPr="00B7693B">
        <w:rPr>
          <w:sz w:val="24"/>
          <w:szCs w:val="24"/>
        </w:rPr>
        <w:t xml:space="preserve"> </w:t>
      </w:r>
    </w:p>
    <w:p w14:paraId="288E32C9" w14:textId="7ECEDFAE" w:rsidR="00015978" w:rsidRPr="00B7693B" w:rsidRDefault="003B4FD2">
      <w:pPr>
        <w:keepLines/>
        <w:spacing w:after="180" w:line="252" w:lineRule="auto"/>
        <w:ind w:left="317" w:hanging="317"/>
        <w:rPr>
          <w:sz w:val="24"/>
          <w:szCs w:val="24"/>
        </w:rPr>
      </w:pPr>
      <w:r w:rsidRPr="00B7693B">
        <w:rPr>
          <w:sz w:val="24"/>
          <w:szCs w:val="24"/>
        </w:rPr>
        <w:t xml:space="preserve">Brynjolfsson, E., Li, D. and Raymond, L.R. (2025) ‘Generative AI at work’. </w:t>
      </w:r>
      <w:r w:rsidRPr="00B7693B">
        <w:rPr>
          <w:i/>
          <w:sz w:val="24"/>
          <w:szCs w:val="24"/>
        </w:rPr>
        <w:t>The Quarterly Journal of Economics</w:t>
      </w:r>
      <w:r w:rsidRPr="00B7693B">
        <w:rPr>
          <w:sz w:val="24"/>
          <w:szCs w:val="24"/>
        </w:rPr>
        <w:t xml:space="preserve">, 140(2), pp. 889–942. Available at: </w:t>
      </w:r>
      <w:hyperlink r:id="rId14">
        <w:r w:rsidRPr="00B7693B">
          <w:rPr>
            <w:color w:val="1F4E79"/>
            <w:sz w:val="24"/>
            <w:szCs w:val="24"/>
          </w:rPr>
          <w:t>https:/​/​doi.org/​10.1093/​qje/​qjae044</w:t>
        </w:r>
      </w:hyperlink>
      <w:r w:rsidRPr="00B7693B">
        <w:rPr>
          <w:sz w:val="24"/>
          <w:szCs w:val="24"/>
        </w:rPr>
        <w:t xml:space="preserve"> </w:t>
      </w:r>
    </w:p>
    <w:p w14:paraId="723F0A0E" w14:textId="61681164" w:rsidR="00015978" w:rsidRPr="00B7693B" w:rsidRDefault="003B4FD2">
      <w:pPr>
        <w:keepLines/>
        <w:spacing w:after="180" w:line="252" w:lineRule="auto"/>
        <w:ind w:left="317" w:hanging="317"/>
        <w:rPr>
          <w:sz w:val="24"/>
          <w:szCs w:val="24"/>
        </w:rPr>
      </w:pPr>
      <w:r w:rsidRPr="00B7693B">
        <w:rPr>
          <w:sz w:val="24"/>
          <w:szCs w:val="24"/>
        </w:rPr>
        <w:t xml:space="preserve">Budhwar, P. et al. (2023) ‘Human resource management in the age of generative artificial intelligence: Perspectives and research directions on ChatGPT’. </w:t>
      </w:r>
      <w:r w:rsidRPr="00B7693B">
        <w:rPr>
          <w:i/>
          <w:sz w:val="24"/>
          <w:szCs w:val="24"/>
        </w:rPr>
        <w:t>Human Resource Management Journal</w:t>
      </w:r>
      <w:r w:rsidRPr="00B7693B">
        <w:rPr>
          <w:sz w:val="24"/>
          <w:szCs w:val="24"/>
        </w:rPr>
        <w:t xml:space="preserve">, 33(3), pp. 606–659. Available at: </w:t>
      </w:r>
      <w:hyperlink r:id="rId15">
        <w:r w:rsidRPr="00B7693B">
          <w:rPr>
            <w:color w:val="1F4E79"/>
            <w:sz w:val="24"/>
            <w:szCs w:val="24"/>
          </w:rPr>
          <w:t>https:/​/​doi.org/​10.1111/​1748-​8583.12524</w:t>
        </w:r>
      </w:hyperlink>
      <w:r w:rsidRPr="00B7693B">
        <w:rPr>
          <w:sz w:val="24"/>
          <w:szCs w:val="24"/>
        </w:rPr>
        <w:t xml:space="preserve"> </w:t>
      </w:r>
    </w:p>
    <w:p w14:paraId="7771AE66" w14:textId="70701AD8" w:rsidR="00015978" w:rsidRPr="00B7693B" w:rsidRDefault="003B4FD2">
      <w:pPr>
        <w:keepLines/>
        <w:spacing w:after="180" w:line="252" w:lineRule="auto"/>
        <w:ind w:left="317" w:hanging="317"/>
        <w:rPr>
          <w:sz w:val="24"/>
          <w:szCs w:val="24"/>
        </w:rPr>
      </w:pPr>
      <w:r w:rsidRPr="00B7693B">
        <w:rPr>
          <w:sz w:val="24"/>
          <w:szCs w:val="24"/>
        </w:rPr>
        <w:t xml:space="preserve">CIPD (n.d.) ‘PESTLE analysis’. Factsheet. Available at: </w:t>
      </w:r>
      <w:hyperlink r:id="rId16">
        <w:r w:rsidRPr="00B7693B">
          <w:rPr>
            <w:color w:val="1F4E79"/>
            <w:sz w:val="24"/>
            <w:szCs w:val="24"/>
          </w:rPr>
          <w:t>https:/​/​www.cipd.org/​en/​knowledge/​factsheets/​pestle-​analysis-​factsheet/​</w:t>
        </w:r>
      </w:hyperlink>
      <w:r w:rsidRPr="00B7693B">
        <w:rPr>
          <w:sz w:val="24"/>
          <w:szCs w:val="24"/>
        </w:rPr>
        <w:t xml:space="preserve"> </w:t>
      </w:r>
    </w:p>
    <w:p w14:paraId="5F3C6DDF" w14:textId="17C2B16E" w:rsidR="00015978" w:rsidRPr="00B7693B" w:rsidRDefault="003B4FD2">
      <w:pPr>
        <w:keepLines/>
        <w:spacing w:after="180" w:line="252" w:lineRule="auto"/>
        <w:ind w:left="317" w:hanging="317"/>
        <w:rPr>
          <w:sz w:val="24"/>
          <w:szCs w:val="24"/>
        </w:rPr>
      </w:pPr>
      <w:r w:rsidRPr="00B7693B">
        <w:rPr>
          <w:sz w:val="24"/>
          <w:szCs w:val="24"/>
        </w:rPr>
        <w:t xml:space="preserve">Dwivedi, Y.K. et al. (2023) ‘“So what if ChatGPT wrote it?” Multidisciplinary perspectives on opportunities, challenges and implications of generative conversational AI for research, practice and policy’. </w:t>
      </w:r>
      <w:r w:rsidRPr="00B7693B">
        <w:rPr>
          <w:i/>
          <w:sz w:val="24"/>
          <w:szCs w:val="24"/>
        </w:rPr>
        <w:t>International Journal of Information Management</w:t>
      </w:r>
      <w:r w:rsidRPr="00B7693B">
        <w:rPr>
          <w:sz w:val="24"/>
          <w:szCs w:val="24"/>
        </w:rPr>
        <w:t xml:space="preserve">, 71, article 102642. Available at: </w:t>
      </w:r>
      <w:hyperlink r:id="rId17">
        <w:r w:rsidRPr="00B7693B">
          <w:rPr>
            <w:color w:val="1F4E79"/>
            <w:sz w:val="24"/>
            <w:szCs w:val="24"/>
          </w:rPr>
          <w:t>https:/​/​doi.org/​10.1016/​j.ijinfomgt.2023.102642</w:t>
        </w:r>
      </w:hyperlink>
      <w:r w:rsidRPr="00B7693B">
        <w:rPr>
          <w:sz w:val="24"/>
          <w:szCs w:val="24"/>
        </w:rPr>
        <w:t xml:space="preserve"> </w:t>
      </w:r>
    </w:p>
    <w:p w14:paraId="2C4FF6BA" w14:textId="231D7E3D" w:rsidR="00015978" w:rsidRPr="00B7693B" w:rsidRDefault="003B4FD2">
      <w:pPr>
        <w:keepLines/>
        <w:spacing w:after="180" w:line="252" w:lineRule="auto"/>
        <w:ind w:left="317" w:hanging="317"/>
        <w:rPr>
          <w:sz w:val="24"/>
          <w:szCs w:val="24"/>
        </w:rPr>
      </w:pPr>
      <w:r w:rsidRPr="00B7693B">
        <w:rPr>
          <w:sz w:val="24"/>
          <w:szCs w:val="24"/>
        </w:rPr>
        <w:t xml:space="preserve">Edmondson, A. (1999) ‘Psychological safety and learning behavior in work teams’. </w:t>
      </w:r>
      <w:r w:rsidRPr="00B7693B">
        <w:rPr>
          <w:i/>
          <w:sz w:val="24"/>
          <w:szCs w:val="24"/>
        </w:rPr>
        <w:t>Administrative Science Quarterly</w:t>
      </w:r>
      <w:r w:rsidRPr="00B7693B">
        <w:rPr>
          <w:sz w:val="24"/>
          <w:szCs w:val="24"/>
        </w:rPr>
        <w:t xml:space="preserve">, 44(2), pp. 350–383. Available at: </w:t>
      </w:r>
      <w:hyperlink r:id="rId18">
        <w:r w:rsidRPr="00B7693B">
          <w:rPr>
            <w:color w:val="1F4E79"/>
            <w:sz w:val="24"/>
            <w:szCs w:val="24"/>
          </w:rPr>
          <w:t>https:/​/​doi.org/​10.2307/​2666999</w:t>
        </w:r>
      </w:hyperlink>
      <w:r w:rsidRPr="00B7693B">
        <w:rPr>
          <w:sz w:val="24"/>
          <w:szCs w:val="24"/>
        </w:rPr>
        <w:t xml:space="preserve"> </w:t>
      </w:r>
    </w:p>
    <w:p w14:paraId="12B91AEF" w14:textId="3D80A342" w:rsidR="00015978" w:rsidRPr="00B7693B" w:rsidRDefault="003B4FD2">
      <w:pPr>
        <w:keepLines/>
        <w:spacing w:after="180" w:line="252" w:lineRule="auto"/>
        <w:ind w:left="317" w:hanging="317"/>
        <w:rPr>
          <w:sz w:val="24"/>
          <w:szCs w:val="24"/>
        </w:rPr>
      </w:pPr>
      <w:r w:rsidRPr="00B7693B">
        <w:rPr>
          <w:sz w:val="24"/>
          <w:szCs w:val="24"/>
        </w:rPr>
        <w:t xml:space="preserve">EEOC (n.d.) ‘Prohibited employment policies and practices’. U.S. Equal Employment Opportunity Commission. Available at: </w:t>
      </w:r>
      <w:hyperlink r:id="rId19">
        <w:r w:rsidRPr="00B7693B">
          <w:rPr>
            <w:color w:val="1F4E79"/>
            <w:sz w:val="24"/>
            <w:szCs w:val="24"/>
          </w:rPr>
          <w:t>https:/​/​www.eeoc.gov/​prohibited-​employment-​policiespractices</w:t>
        </w:r>
      </w:hyperlink>
      <w:r w:rsidRPr="00B7693B">
        <w:rPr>
          <w:sz w:val="24"/>
          <w:szCs w:val="24"/>
        </w:rPr>
        <w:t xml:space="preserve"> </w:t>
      </w:r>
    </w:p>
    <w:p w14:paraId="624B02BC" w14:textId="0B03DE31" w:rsidR="00015978" w:rsidRPr="00B7693B" w:rsidRDefault="003B4FD2">
      <w:pPr>
        <w:keepLines/>
        <w:spacing w:after="180" w:line="252" w:lineRule="auto"/>
        <w:ind w:left="317" w:hanging="317"/>
        <w:rPr>
          <w:sz w:val="24"/>
          <w:szCs w:val="24"/>
        </w:rPr>
      </w:pPr>
      <w:r w:rsidRPr="00B7693B">
        <w:rPr>
          <w:sz w:val="24"/>
          <w:szCs w:val="24"/>
        </w:rPr>
        <w:t xml:space="preserve">Fortune (2026) ‘Microsoft company profile and rankings’.  Available at: </w:t>
      </w:r>
      <w:hyperlink r:id="rId20">
        <w:r w:rsidRPr="00B7693B">
          <w:rPr>
            <w:color w:val="1F4E79"/>
            <w:sz w:val="24"/>
            <w:szCs w:val="24"/>
          </w:rPr>
          <w:t>https:/​/​fortune.com/​company/​microsoft/​</w:t>
        </w:r>
      </w:hyperlink>
      <w:r w:rsidRPr="00B7693B">
        <w:rPr>
          <w:sz w:val="24"/>
          <w:szCs w:val="24"/>
        </w:rPr>
        <w:t xml:space="preserve"> </w:t>
      </w:r>
    </w:p>
    <w:p w14:paraId="72B4E42C" w14:textId="2E6FAEA8" w:rsidR="00015978" w:rsidRPr="00B7693B" w:rsidRDefault="003B4FD2">
      <w:pPr>
        <w:keepLines/>
        <w:spacing w:after="180" w:line="252" w:lineRule="auto"/>
        <w:ind w:left="317" w:hanging="317"/>
        <w:rPr>
          <w:sz w:val="24"/>
          <w:szCs w:val="24"/>
        </w:rPr>
      </w:pPr>
      <w:r w:rsidRPr="00B7693B">
        <w:rPr>
          <w:sz w:val="24"/>
          <w:szCs w:val="24"/>
        </w:rPr>
        <w:lastRenderedPageBreak/>
        <w:t xml:space="preserve">Google (n.d.) ‘Generative AI security, compliance and privacy’. Google Workspace. Available at: </w:t>
      </w:r>
      <w:hyperlink r:id="rId21">
        <w:r w:rsidRPr="00B7693B">
          <w:rPr>
            <w:color w:val="1F4E79"/>
            <w:sz w:val="24"/>
            <w:szCs w:val="24"/>
          </w:rPr>
          <w:t>https:/​/​workspace.google.com/​security/​ai-​privacy/​</w:t>
        </w:r>
      </w:hyperlink>
      <w:r w:rsidRPr="00B7693B">
        <w:rPr>
          <w:sz w:val="24"/>
          <w:szCs w:val="24"/>
        </w:rPr>
        <w:t>.</w:t>
      </w:r>
    </w:p>
    <w:p w14:paraId="20A2722F" w14:textId="0D8C26FF" w:rsidR="00015978" w:rsidRPr="00B7693B" w:rsidRDefault="003B4FD2">
      <w:pPr>
        <w:keepLines/>
        <w:spacing w:after="180" w:line="252" w:lineRule="auto"/>
        <w:ind w:left="317" w:hanging="317"/>
        <w:rPr>
          <w:sz w:val="24"/>
          <w:szCs w:val="24"/>
        </w:rPr>
      </w:pPr>
      <w:r w:rsidRPr="00B7693B">
        <w:rPr>
          <w:sz w:val="24"/>
          <w:szCs w:val="24"/>
        </w:rPr>
        <w:t xml:space="preserve">ICO (2026) ‘Automated decisions can streamline the hiring process – with the right safeguards in place’. Information Commissioner's Office, 31 March. Available at: </w:t>
      </w:r>
      <w:hyperlink r:id="rId22">
        <w:r w:rsidRPr="00B7693B">
          <w:rPr>
            <w:color w:val="1F4E79"/>
            <w:sz w:val="24"/>
            <w:szCs w:val="24"/>
          </w:rPr>
          <w:t>https:/​/​ico.org.uk/​about-​the-​ico/​media-​centre/​news-​and-​blogs/​2026/​03/​automated-​decisions-​can-​streamline-​the-​hiring-​process-​with-​the-​right-​safeguards-​in-​place/​</w:t>
        </w:r>
      </w:hyperlink>
      <w:r w:rsidRPr="00B7693B">
        <w:rPr>
          <w:sz w:val="24"/>
          <w:szCs w:val="24"/>
        </w:rPr>
        <w:t xml:space="preserve"> </w:t>
      </w:r>
    </w:p>
    <w:p w14:paraId="130334D7" w14:textId="54C0AE72" w:rsidR="00015978" w:rsidRPr="00B7693B" w:rsidRDefault="003B4FD2">
      <w:pPr>
        <w:keepLines/>
        <w:spacing w:after="180" w:line="252" w:lineRule="auto"/>
        <w:ind w:left="317" w:hanging="317"/>
        <w:rPr>
          <w:sz w:val="24"/>
          <w:szCs w:val="24"/>
        </w:rPr>
      </w:pPr>
      <w:r w:rsidRPr="00B7693B">
        <w:rPr>
          <w:sz w:val="24"/>
          <w:szCs w:val="24"/>
        </w:rPr>
        <w:t xml:space="preserve">Kellogg, K.C., Valentine, M.A. and Christin, A. (2020) ‘Algorithms at work: The new contested terrain of control’. </w:t>
      </w:r>
      <w:r w:rsidRPr="00B7693B">
        <w:rPr>
          <w:i/>
          <w:sz w:val="24"/>
          <w:szCs w:val="24"/>
        </w:rPr>
        <w:t>Academy of Management Annals</w:t>
      </w:r>
      <w:r w:rsidRPr="00B7693B">
        <w:rPr>
          <w:sz w:val="24"/>
          <w:szCs w:val="24"/>
        </w:rPr>
        <w:t xml:space="preserve">, 14(1), pp. 366–410. Available at: </w:t>
      </w:r>
      <w:hyperlink r:id="rId23">
        <w:r w:rsidRPr="00B7693B">
          <w:rPr>
            <w:color w:val="1F4E79"/>
            <w:sz w:val="24"/>
            <w:szCs w:val="24"/>
          </w:rPr>
          <w:t>https:/​/​doi.org/​10.5465/​annals.2018.0174</w:t>
        </w:r>
      </w:hyperlink>
      <w:r w:rsidRPr="00B7693B">
        <w:rPr>
          <w:sz w:val="24"/>
          <w:szCs w:val="24"/>
        </w:rPr>
        <w:t xml:space="preserve"> </w:t>
      </w:r>
    </w:p>
    <w:p w14:paraId="7D0EE5AF" w14:textId="7EF132E3" w:rsidR="00015978" w:rsidRPr="00B7693B" w:rsidRDefault="003B4FD2">
      <w:pPr>
        <w:keepLines/>
        <w:spacing w:after="180" w:line="252" w:lineRule="auto"/>
        <w:ind w:left="317" w:hanging="317"/>
        <w:rPr>
          <w:sz w:val="24"/>
          <w:szCs w:val="24"/>
        </w:rPr>
      </w:pPr>
      <w:r w:rsidRPr="00B7693B">
        <w:rPr>
          <w:sz w:val="24"/>
          <w:szCs w:val="24"/>
        </w:rPr>
        <w:t xml:space="preserve">Kirkpatrick, J.D. and Kirkpatrick, W.K. (2016) </w:t>
      </w:r>
      <w:r w:rsidRPr="00B7693B">
        <w:rPr>
          <w:i/>
          <w:sz w:val="24"/>
          <w:szCs w:val="24"/>
        </w:rPr>
        <w:t>Kirkpatrick’s Four Levels of Training Evaluation</w:t>
      </w:r>
      <w:r w:rsidRPr="00B7693B">
        <w:rPr>
          <w:sz w:val="24"/>
          <w:szCs w:val="24"/>
        </w:rPr>
        <w:t xml:space="preserve">. Alexandria, VA: ATD Press. Available at: </w:t>
      </w:r>
      <w:hyperlink r:id="rId24">
        <w:r w:rsidRPr="00B7693B">
          <w:rPr>
            <w:color w:val="1F4E79"/>
            <w:sz w:val="24"/>
            <w:szCs w:val="24"/>
          </w:rPr>
          <w:t>https:/​/​www.td.org/​product/​book-​kirkpatricks-​four-​levels-​of-​training-​evaluation/​111614</w:t>
        </w:r>
      </w:hyperlink>
      <w:r w:rsidRPr="00B7693B">
        <w:rPr>
          <w:sz w:val="24"/>
          <w:szCs w:val="24"/>
        </w:rPr>
        <w:t xml:space="preserve"> </w:t>
      </w:r>
    </w:p>
    <w:p w14:paraId="3F8E52A6" w14:textId="063A28C0" w:rsidR="00015978" w:rsidRPr="00B7693B" w:rsidRDefault="003B4FD2">
      <w:pPr>
        <w:keepLines/>
        <w:spacing w:after="180" w:line="252" w:lineRule="auto"/>
        <w:ind w:left="317" w:hanging="317"/>
        <w:rPr>
          <w:sz w:val="24"/>
          <w:szCs w:val="24"/>
        </w:rPr>
      </w:pPr>
      <w:r w:rsidRPr="00B7693B">
        <w:rPr>
          <w:sz w:val="24"/>
          <w:szCs w:val="24"/>
        </w:rPr>
        <w:t xml:space="preserve">Kolb, D.A. (2015) </w:t>
      </w:r>
      <w:r w:rsidRPr="00B7693B">
        <w:rPr>
          <w:i/>
          <w:sz w:val="24"/>
          <w:szCs w:val="24"/>
        </w:rPr>
        <w:t>Experiential Learning: Experience as the Source of Learning and Development</w:t>
      </w:r>
      <w:r w:rsidRPr="00B7693B">
        <w:rPr>
          <w:sz w:val="24"/>
          <w:szCs w:val="24"/>
        </w:rPr>
        <w:t xml:space="preserve">. 2nd edn. Upper Saddle River, NJ: Pearson Education. Available at: </w:t>
      </w:r>
      <w:hyperlink r:id="rId25">
        <w:r w:rsidRPr="00B7693B">
          <w:rPr>
            <w:color w:val="1F4E79"/>
            <w:sz w:val="24"/>
            <w:szCs w:val="24"/>
          </w:rPr>
          <w:t>https:/​/​www.pearson.com/​en-​us/​subject-​catalog/​p/​experiential-​learning-​experience-​as-​the-​source-​of-​learning-​and-​development/​P200000000384/​9780133892406</w:t>
        </w:r>
      </w:hyperlink>
      <w:r w:rsidRPr="00B7693B">
        <w:rPr>
          <w:sz w:val="24"/>
          <w:szCs w:val="24"/>
        </w:rPr>
        <w:t xml:space="preserve"> </w:t>
      </w:r>
    </w:p>
    <w:p w14:paraId="52058FAF" w14:textId="003A1204" w:rsidR="00015978" w:rsidRPr="00B7693B" w:rsidRDefault="003B4FD2">
      <w:pPr>
        <w:keepLines/>
        <w:spacing w:after="180" w:line="252" w:lineRule="auto"/>
        <w:ind w:left="317" w:hanging="317"/>
        <w:rPr>
          <w:sz w:val="24"/>
          <w:szCs w:val="24"/>
        </w:rPr>
      </w:pPr>
      <w:r w:rsidRPr="00B7693B">
        <w:rPr>
          <w:sz w:val="24"/>
          <w:szCs w:val="24"/>
        </w:rPr>
        <w:t xml:space="preserve">Liang, W., Yuksekgonul, M., Mao, Y., Wu, E. and Zou, J. (2023) ‘GPT detectors are biased against non-native English writers’. </w:t>
      </w:r>
      <w:r w:rsidRPr="00B7693B">
        <w:rPr>
          <w:i/>
          <w:sz w:val="24"/>
          <w:szCs w:val="24"/>
        </w:rPr>
        <w:t>Patterns</w:t>
      </w:r>
      <w:r w:rsidRPr="00B7693B">
        <w:rPr>
          <w:sz w:val="24"/>
          <w:szCs w:val="24"/>
        </w:rPr>
        <w:t xml:space="preserve">, 4(7), article 100779. Available at: </w:t>
      </w:r>
      <w:hyperlink r:id="rId26">
        <w:r w:rsidRPr="00B7693B">
          <w:rPr>
            <w:color w:val="1F4E79"/>
            <w:sz w:val="24"/>
            <w:szCs w:val="24"/>
          </w:rPr>
          <w:t>https:/​/​doi.org/​10.1016/​j.patter.2023.100779</w:t>
        </w:r>
      </w:hyperlink>
      <w:r w:rsidRPr="00B7693B">
        <w:rPr>
          <w:sz w:val="24"/>
          <w:szCs w:val="24"/>
        </w:rPr>
        <w:t xml:space="preserve"> </w:t>
      </w:r>
    </w:p>
    <w:p w14:paraId="3A65FD33" w14:textId="4CB76C3D" w:rsidR="00015978" w:rsidRPr="00B7693B" w:rsidRDefault="003B4FD2">
      <w:pPr>
        <w:keepLines/>
        <w:spacing w:after="180" w:line="252" w:lineRule="auto"/>
        <w:ind w:left="317" w:hanging="317"/>
        <w:rPr>
          <w:sz w:val="24"/>
          <w:szCs w:val="24"/>
        </w:rPr>
      </w:pPr>
      <w:r w:rsidRPr="00B7693B">
        <w:rPr>
          <w:sz w:val="24"/>
          <w:szCs w:val="24"/>
        </w:rPr>
        <w:t xml:space="preserve">Long, D. and Magerko, B. (2020) ‘What is AI literacy? Competencies and design considerations’. </w:t>
      </w:r>
      <w:r w:rsidRPr="00B7693B">
        <w:rPr>
          <w:i/>
          <w:sz w:val="24"/>
          <w:szCs w:val="24"/>
        </w:rPr>
        <w:t>Proceedings of the 2020 CHI Conference on Human Factors in Computing Systems</w:t>
      </w:r>
      <w:r w:rsidRPr="00B7693B">
        <w:rPr>
          <w:sz w:val="24"/>
          <w:szCs w:val="24"/>
        </w:rPr>
        <w:t xml:space="preserve">, pp. 1–16. Available at: </w:t>
      </w:r>
      <w:hyperlink r:id="rId27">
        <w:r w:rsidRPr="00B7693B">
          <w:rPr>
            <w:color w:val="1F4E79"/>
            <w:sz w:val="24"/>
            <w:szCs w:val="24"/>
          </w:rPr>
          <w:t>https:/​/​doi.org/​10.1145/​3313831.3376727</w:t>
        </w:r>
      </w:hyperlink>
      <w:r w:rsidRPr="00B7693B">
        <w:rPr>
          <w:sz w:val="24"/>
          <w:szCs w:val="24"/>
        </w:rPr>
        <w:t xml:space="preserve"> </w:t>
      </w:r>
    </w:p>
    <w:p w14:paraId="75AF5215" w14:textId="33C02EFC" w:rsidR="00015978" w:rsidRPr="00B7693B" w:rsidRDefault="003B4FD2">
      <w:pPr>
        <w:keepLines/>
        <w:spacing w:after="180" w:line="252" w:lineRule="auto"/>
        <w:ind w:left="317" w:hanging="317"/>
        <w:rPr>
          <w:sz w:val="24"/>
          <w:szCs w:val="24"/>
        </w:rPr>
      </w:pPr>
      <w:r w:rsidRPr="00B7693B">
        <w:rPr>
          <w:sz w:val="24"/>
          <w:szCs w:val="24"/>
        </w:rPr>
        <w:t xml:space="preserve">Microsoft (2025a) ‘Annual report 2025’.  Available at: </w:t>
      </w:r>
      <w:hyperlink r:id="rId28">
        <w:r w:rsidRPr="00B7693B">
          <w:rPr>
            <w:color w:val="1F4E79"/>
            <w:sz w:val="24"/>
            <w:szCs w:val="24"/>
          </w:rPr>
          <w:t>https:/​/​www.microsoft.com/​investor/​reports/​ar25/​</w:t>
        </w:r>
      </w:hyperlink>
      <w:r w:rsidRPr="00B7693B">
        <w:rPr>
          <w:sz w:val="24"/>
          <w:szCs w:val="24"/>
        </w:rPr>
        <w:t xml:space="preserve"> </w:t>
      </w:r>
    </w:p>
    <w:p w14:paraId="61ECF78C" w14:textId="6ED756AE" w:rsidR="00015978" w:rsidRPr="00B7693B" w:rsidRDefault="003B4FD2">
      <w:pPr>
        <w:keepLines/>
        <w:spacing w:after="180" w:line="252" w:lineRule="auto"/>
        <w:ind w:left="317" w:hanging="317"/>
        <w:rPr>
          <w:sz w:val="24"/>
          <w:szCs w:val="24"/>
        </w:rPr>
      </w:pPr>
      <w:r w:rsidRPr="00B7693B">
        <w:rPr>
          <w:sz w:val="24"/>
          <w:szCs w:val="24"/>
        </w:rPr>
        <w:t xml:space="preserve">Microsoft (2025b) ‘Responsible AI Transparency Report 2025’.  Available at: </w:t>
      </w:r>
      <w:hyperlink r:id="rId29">
        <w:r w:rsidRPr="00B7693B">
          <w:rPr>
            <w:color w:val="1F4E79"/>
            <w:sz w:val="24"/>
            <w:szCs w:val="24"/>
          </w:rPr>
          <w:t>https:/​/​cdn-​dynmedia-​1.microsoft.com/​is/​content/​microsoftcorp/​microsoft/​msc/​documents/​presentations/​CSR/​2025-​Responsible-​AI-​Transparency-​Report.pdf</w:t>
        </w:r>
      </w:hyperlink>
      <w:r w:rsidRPr="00B7693B">
        <w:rPr>
          <w:sz w:val="24"/>
          <w:szCs w:val="24"/>
        </w:rPr>
        <w:t xml:space="preserve"> </w:t>
      </w:r>
    </w:p>
    <w:p w14:paraId="5AE1A2BB" w14:textId="562548F2" w:rsidR="00015978" w:rsidRPr="00B7693B" w:rsidRDefault="003B4FD2">
      <w:pPr>
        <w:keepLines/>
        <w:spacing w:after="180" w:line="252" w:lineRule="auto"/>
        <w:ind w:left="317" w:hanging="317"/>
        <w:rPr>
          <w:sz w:val="24"/>
          <w:szCs w:val="24"/>
        </w:rPr>
      </w:pPr>
      <w:r w:rsidRPr="00B7693B">
        <w:rPr>
          <w:sz w:val="24"/>
          <w:szCs w:val="24"/>
        </w:rPr>
        <w:t xml:space="preserve">Microsoft (2026) ‘Responsible AI in 2026: How we are adapting for what’s ahead’. Microsoft On the Issues, 1 September. Available at: </w:t>
      </w:r>
      <w:hyperlink r:id="rId30">
        <w:r w:rsidRPr="00B7693B">
          <w:rPr>
            <w:color w:val="1F4E79"/>
            <w:sz w:val="24"/>
            <w:szCs w:val="24"/>
          </w:rPr>
          <w:t>https:/​/​blogs.microsoft.com/​on-​the-​issues/​2026/​09/​01/​responsible-​ai-​in-​2026-​how-​we-​are-​adapting-​for-​whats-​ahead/​</w:t>
        </w:r>
      </w:hyperlink>
      <w:r w:rsidRPr="00B7693B">
        <w:rPr>
          <w:sz w:val="24"/>
          <w:szCs w:val="24"/>
        </w:rPr>
        <w:t xml:space="preserve"> </w:t>
      </w:r>
    </w:p>
    <w:p w14:paraId="1D2CB6DA" w14:textId="2943BD33" w:rsidR="00015978" w:rsidRPr="00B7693B" w:rsidRDefault="003B4FD2">
      <w:pPr>
        <w:keepLines/>
        <w:spacing w:after="180" w:line="252" w:lineRule="auto"/>
        <w:ind w:left="317" w:hanging="317"/>
        <w:rPr>
          <w:sz w:val="24"/>
          <w:szCs w:val="24"/>
        </w:rPr>
      </w:pPr>
      <w:r w:rsidRPr="00B7693B">
        <w:rPr>
          <w:sz w:val="24"/>
          <w:szCs w:val="24"/>
        </w:rPr>
        <w:lastRenderedPageBreak/>
        <w:t xml:space="preserve">Microsoft (n.d.) ‘Data, privacy, and security for Microsoft Copilot’. Microsoft Learn. Available at: </w:t>
      </w:r>
      <w:hyperlink r:id="rId31">
        <w:r w:rsidRPr="00B7693B">
          <w:rPr>
            <w:color w:val="1F4E79"/>
            <w:sz w:val="24"/>
            <w:szCs w:val="24"/>
          </w:rPr>
          <w:t>https:/​/​learn.microsoft.com/​en-​us/​deployoffice/​privacy/​microsoft-​365-​copilot</w:t>
        </w:r>
      </w:hyperlink>
      <w:r w:rsidRPr="00B7693B">
        <w:rPr>
          <w:sz w:val="24"/>
          <w:szCs w:val="24"/>
        </w:rPr>
        <w:t xml:space="preserve"> </w:t>
      </w:r>
    </w:p>
    <w:p w14:paraId="576F97A5" w14:textId="26BE0FB1" w:rsidR="00015978" w:rsidRPr="00B7693B" w:rsidRDefault="003B4FD2">
      <w:pPr>
        <w:keepLines/>
        <w:spacing w:after="180" w:line="252" w:lineRule="auto"/>
        <w:ind w:left="317" w:hanging="317"/>
        <w:rPr>
          <w:sz w:val="24"/>
          <w:szCs w:val="24"/>
        </w:rPr>
      </w:pPr>
      <w:r w:rsidRPr="00B7693B">
        <w:rPr>
          <w:sz w:val="24"/>
          <w:szCs w:val="24"/>
        </w:rPr>
        <w:t xml:space="preserve">Ng, D.T.K., Leung, J.K.L., Chu, S.K.W. and Qiao, M.S. (2021) ‘Conceptualizing AI literacy: An exploratory review’. </w:t>
      </w:r>
      <w:r w:rsidRPr="00B7693B">
        <w:rPr>
          <w:i/>
          <w:sz w:val="24"/>
          <w:szCs w:val="24"/>
        </w:rPr>
        <w:t>Computers and Education: Artificial Intelligence</w:t>
      </w:r>
      <w:r w:rsidRPr="00B7693B">
        <w:rPr>
          <w:sz w:val="24"/>
          <w:szCs w:val="24"/>
        </w:rPr>
        <w:t xml:space="preserve">, 2, article 100041. Available at: </w:t>
      </w:r>
      <w:hyperlink r:id="rId32">
        <w:r w:rsidRPr="00B7693B">
          <w:rPr>
            <w:color w:val="1F4E79"/>
            <w:sz w:val="24"/>
            <w:szCs w:val="24"/>
          </w:rPr>
          <w:t>https:/​/​doi.org/​10.1016/​j.caeai.2021.100041</w:t>
        </w:r>
      </w:hyperlink>
      <w:r w:rsidRPr="00B7693B">
        <w:rPr>
          <w:sz w:val="24"/>
          <w:szCs w:val="24"/>
        </w:rPr>
        <w:t xml:space="preserve"> </w:t>
      </w:r>
    </w:p>
    <w:p w14:paraId="6F197599" w14:textId="646CBBAF" w:rsidR="00015978" w:rsidRPr="00B7693B" w:rsidRDefault="003B4FD2">
      <w:pPr>
        <w:keepLines/>
        <w:spacing w:after="180" w:line="252" w:lineRule="auto"/>
        <w:ind w:left="317" w:hanging="317"/>
        <w:rPr>
          <w:sz w:val="24"/>
          <w:szCs w:val="24"/>
        </w:rPr>
      </w:pPr>
      <w:r w:rsidRPr="00B7693B">
        <w:rPr>
          <w:sz w:val="24"/>
          <w:szCs w:val="24"/>
        </w:rPr>
        <w:t xml:space="preserve">NIST (2023) ‘Artificial Intelligence Risk Management Framework AI RMF 1.0’. National Institute of Standards and Technology, NIST AI 100-1. Available at: </w:t>
      </w:r>
      <w:hyperlink r:id="rId33">
        <w:r w:rsidRPr="00B7693B">
          <w:rPr>
            <w:color w:val="1F4E79"/>
            <w:sz w:val="24"/>
            <w:szCs w:val="24"/>
          </w:rPr>
          <w:t>https:/​/​doi.org/​10.6028/​NIST.AI.100-​1</w:t>
        </w:r>
      </w:hyperlink>
      <w:r w:rsidRPr="00B7693B">
        <w:rPr>
          <w:sz w:val="24"/>
          <w:szCs w:val="24"/>
        </w:rPr>
        <w:t xml:space="preserve"> </w:t>
      </w:r>
    </w:p>
    <w:p w14:paraId="3EC1548F" w14:textId="3A69263B" w:rsidR="00015978" w:rsidRPr="00B7693B" w:rsidRDefault="003B4FD2">
      <w:pPr>
        <w:keepLines/>
        <w:spacing w:after="180" w:line="252" w:lineRule="auto"/>
        <w:ind w:left="317" w:hanging="317"/>
        <w:rPr>
          <w:sz w:val="24"/>
          <w:szCs w:val="24"/>
        </w:rPr>
      </w:pPr>
      <w:r w:rsidRPr="00B7693B">
        <w:rPr>
          <w:sz w:val="24"/>
          <w:szCs w:val="24"/>
        </w:rPr>
        <w:t xml:space="preserve">NIST (2024) ‘Artificial Intelligence Risk Management Framework Generative Artificial Intelligence Profile’. National Institute of Standards and Technology, NIST AI 600-1. Available at: </w:t>
      </w:r>
      <w:hyperlink r:id="rId34">
        <w:r w:rsidRPr="00B7693B">
          <w:rPr>
            <w:color w:val="1F4E79"/>
            <w:sz w:val="24"/>
            <w:szCs w:val="24"/>
          </w:rPr>
          <w:t>https:/​/​doi.org/​10.6028/​NIST.AI.600-​1</w:t>
        </w:r>
      </w:hyperlink>
      <w:r w:rsidRPr="00B7693B">
        <w:rPr>
          <w:sz w:val="24"/>
          <w:szCs w:val="24"/>
        </w:rPr>
        <w:t xml:space="preserve"> </w:t>
      </w:r>
    </w:p>
    <w:p w14:paraId="19D5D408" w14:textId="7F9F6BD5" w:rsidR="00015978" w:rsidRPr="00B7693B" w:rsidRDefault="003B4FD2">
      <w:pPr>
        <w:keepLines/>
        <w:spacing w:after="180" w:line="252" w:lineRule="auto"/>
        <w:ind w:left="317" w:hanging="317"/>
        <w:rPr>
          <w:sz w:val="24"/>
          <w:szCs w:val="24"/>
        </w:rPr>
      </w:pPr>
      <w:r w:rsidRPr="00B7693B">
        <w:rPr>
          <w:sz w:val="24"/>
          <w:szCs w:val="24"/>
        </w:rPr>
        <w:t xml:space="preserve">OpenAI (2026) ‘Enterprise privacy at OpenAI’. Updated 8 January. Available at: </w:t>
      </w:r>
      <w:hyperlink r:id="rId35">
        <w:r w:rsidRPr="00B7693B">
          <w:rPr>
            <w:color w:val="1F4E79"/>
            <w:sz w:val="24"/>
            <w:szCs w:val="24"/>
          </w:rPr>
          <w:t>https:/​/​openai.com/​enterprise-​privacy/​</w:t>
        </w:r>
      </w:hyperlink>
      <w:r w:rsidRPr="00B7693B">
        <w:rPr>
          <w:sz w:val="24"/>
          <w:szCs w:val="24"/>
        </w:rPr>
        <w:t xml:space="preserve"> </w:t>
      </w:r>
    </w:p>
    <w:p w14:paraId="3B3407D4" w14:textId="21F8D8AB" w:rsidR="00015978" w:rsidRPr="00B7693B" w:rsidRDefault="003B4FD2">
      <w:pPr>
        <w:keepLines/>
        <w:spacing w:after="180" w:line="252" w:lineRule="auto"/>
        <w:ind w:left="317" w:hanging="317"/>
        <w:rPr>
          <w:sz w:val="24"/>
          <w:szCs w:val="24"/>
        </w:rPr>
      </w:pPr>
      <w:r w:rsidRPr="00B7693B">
        <w:rPr>
          <w:sz w:val="24"/>
          <w:szCs w:val="24"/>
        </w:rPr>
        <w:t xml:space="preserve">Raghavan, M., Barocas, S., Kleinberg, J. and Levy, K. (2020) ‘Mitigating bias in algorithmic hiring: Evaluating claims and practices’. </w:t>
      </w:r>
      <w:r w:rsidRPr="00B7693B">
        <w:rPr>
          <w:i/>
          <w:sz w:val="24"/>
          <w:szCs w:val="24"/>
        </w:rPr>
        <w:t>Proceedings of the 2020 Conference on Fairness, Accountability, and Transparency</w:t>
      </w:r>
      <w:r w:rsidRPr="00B7693B">
        <w:rPr>
          <w:sz w:val="24"/>
          <w:szCs w:val="24"/>
        </w:rPr>
        <w:t xml:space="preserve">, pp. 469–481. Available at: </w:t>
      </w:r>
      <w:hyperlink r:id="rId36">
        <w:r w:rsidRPr="00B7693B">
          <w:rPr>
            <w:color w:val="1F4E79"/>
            <w:sz w:val="24"/>
            <w:szCs w:val="24"/>
          </w:rPr>
          <w:t>https:/​/​doi.org/​10.1145/​3351095.3372828</w:t>
        </w:r>
      </w:hyperlink>
      <w:r w:rsidRPr="00B7693B">
        <w:rPr>
          <w:sz w:val="24"/>
          <w:szCs w:val="24"/>
        </w:rPr>
        <w:t xml:space="preserve"> </w:t>
      </w:r>
    </w:p>
    <w:p w14:paraId="561D3073" w14:textId="629CEF90" w:rsidR="00015978" w:rsidRPr="00B7693B" w:rsidRDefault="003B4FD2">
      <w:pPr>
        <w:keepLines/>
        <w:spacing w:after="180" w:line="252" w:lineRule="auto"/>
        <w:ind w:left="317" w:hanging="317"/>
        <w:rPr>
          <w:sz w:val="24"/>
          <w:szCs w:val="24"/>
        </w:rPr>
      </w:pPr>
      <w:r w:rsidRPr="00B7693B">
        <w:rPr>
          <w:sz w:val="24"/>
          <w:szCs w:val="24"/>
        </w:rPr>
        <w:t xml:space="preserve">Raisch, S. and Krakowski, S. (2021) ‘Artificial intelligence and management: The automation–augmentation paradox’. </w:t>
      </w:r>
      <w:r w:rsidRPr="00B7693B">
        <w:rPr>
          <w:i/>
          <w:sz w:val="24"/>
          <w:szCs w:val="24"/>
        </w:rPr>
        <w:t>Academy of Management Review</w:t>
      </w:r>
      <w:r w:rsidRPr="00B7693B">
        <w:rPr>
          <w:sz w:val="24"/>
          <w:szCs w:val="24"/>
        </w:rPr>
        <w:t xml:space="preserve">, 46(1), pp. 192–210. Available at: </w:t>
      </w:r>
      <w:hyperlink r:id="rId37">
        <w:r w:rsidRPr="00B7693B">
          <w:rPr>
            <w:color w:val="1F4E79"/>
            <w:sz w:val="24"/>
            <w:szCs w:val="24"/>
          </w:rPr>
          <w:t>https:/​/​doi.org/​10.5465/​amr.2018.0072</w:t>
        </w:r>
      </w:hyperlink>
      <w:r w:rsidRPr="00B7693B">
        <w:rPr>
          <w:sz w:val="24"/>
          <w:szCs w:val="24"/>
        </w:rPr>
        <w:t xml:space="preserve"> </w:t>
      </w:r>
    </w:p>
    <w:p w14:paraId="38D87CDA" w14:textId="399F402E" w:rsidR="00015978" w:rsidRPr="00B7693B" w:rsidRDefault="003B4FD2">
      <w:pPr>
        <w:keepLines/>
        <w:spacing w:after="180" w:line="252" w:lineRule="auto"/>
        <w:ind w:left="317" w:hanging="317"/>
        <w:rPr>
          <w:sz w:val="24"/>
          <w:szCs w:val="24"/>
        </w:rPr>
      </w:pPr>
      <w:r w:rsidRPr="00B7693B">
        <w:rPr>
          <w:sz w:val="24"/>
          <w:szCs w:val="24"/>
        </w:rPr>
        <w:t xml:space="preserve">Tambe, P., Cappelli, P. and Yakubovich, V. (2019) ‘Artificial intelligence in human resources management: Challenges and a path forward’. </w:t>
      </w:r>
      <w:r w:rsidRPr="00B7693B">
        <w:rPr>
          <w:i/>
          <w:sz w:val="24"/>
          <w:szCs w:val="24"/>
        </w:rPr>
        <w:t>California Management Review</w:t>
      </w:r>
      <w:r w:rsidRPr="00B7693B">
        <w:rPr>
          <w:sz w:val="24"/>
          <w:szCs w:val="24"/>
        </w:rPr>
        <w:t xml:space="preserve">, 61(4), pp. 15–42. Available at: </w:t>
      </w:r>
      <w:hyperlink r:id="rId38">
        <w:r w:rsidRPr="00B7693B">
          <w:rPr>
            <w:color w:val="1F4E79"/>
            <w:sz w:val="24"/>
            <w:szCs w:val="24"/>
          </w:rPr>
          <w:t>https:/​/​doi.org/​10.1177/​0008125619867910</w:t>
        </w:r>
      </w:hyperlink>
      <w:r w:rsidRPr="00B7693B">
        <w:rPr>
          <w:sz w:val="24"/>
          <w:szCs w:val="24"/>
        </w:rPr>
        <w:t xml:space="preserve"> </w:t>
      </w:r>
    </w:p>
    <w:p w14:paraId="643A7F33" w14:textId="77777777" w:rsidR="00015978" w:rsidRPr="00B7693B" w:rsidRDefault="003B4FD2">
      <w:pPr>
        <w:keepLines/>
        <w:spacing w:after="180" w:line="252" w:lineRule="auto"/>
        <w:ind w:left="317" w:hanging="317"/>
        <w:rPr>
          <w:sz w:val="24"/>
          <w:szCs w:val="24"/>
        </w:rPr>
      </w:pPr>
      <w:r w:rsidRPr="00B7693B">
        <w:rPr>
          <w:sz w:val="24"/>
          <w:szCs w:val="24"/>
        </w:rPr>
        <w:t>University of Wales Trinity Saint David UWTSD (n.d.) ‘Week 2 LCBB5012 Strategy-driven HRM’. Unpublished module teaching slides, slide 8. Supplied course material.</w:t>
      </w:r>
    </w:p>
    <w:p w14:paraId="332EB6B9" w14:textId="2D6DE886" w:rsidR="00015978" w:rsidRPr="00B7693B" w:rsidRDefault="003B4FD2">
      <w:pPr>
        <w:keepLines/>
        <w:spacing w:after="180" w:line="252" w:lineRule="auto"/>
        <w:ind w:left="317" w:hanging="317"/>
        <w:rPr>
          <w:sz w:val="24"/>
          <w:szCs w:val="24"/>
        </w:rPr>
      </w:pPr>
      <w:r w:rsidRPr="00B7693B">
        <w:rPr>
          <w:sz w:val="24"/>
          <w:szCs w:val="24"/>
        </w:rPr>
        <w:t xml:space="preserve">Weber-Wulff, D. et al. (2023) ‘Testing of detection tools for AI-generated text’. </w:t>
      </w:r>
      <w:r w:rsidRPr="00B7693B">
        <w:rPr>
          <w:i/>
          <w:sz w:val="24"/>
          <w:szCs w:val="24"/>
        </w:rPr>
        <w:t>International Journal for Educational Integrity</w:t>
      </w:r>
      <w:r w:rsidRPr="00B7693B">
        <w:rPr>
          <w:sz w:val="24"/>
          <w:szCs w:val="24"/>
        </w:rPr>
        <w:t xml:space="preserve">, 19, article 26. Available at: </w:t>
      </w:r>
      <w:hyperlink r:id="rId39">
        <w:r w:rsidRPr="00B7693B">
          <w:rPr>
            <w:color w:val="1F4E79"/>
            <w:sz w:val="24"/>
            <w:szCs w:val="24"/>
          </w:rPr>
          <w:t>https:/​/​doi.org/​10.1007/​s40979-​023-​00146-​z</w:t>
        </w:r>
      </w:hyperlink>
    </w:p>
    <w:p w14:paraId="72198884" w14:textId="551ECFCE" w:rsidR="00015978" w:rsidRDefault="00015978"/>
    <w:sectPr w:rsidR="00015978" w:rsidSect="00034616">
      <w:headerReference w:type="default" r:id="rId40"/>
      <w:footerReference w:type="default" r:id="rId41"/>
      <w:pgSz w:w="12240" w:h="15840"/>
      <w:pgMar w:top="1152" w:right="1296" w:bottom="1152" w:left="1296" w:header="504" w:footer="50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94705" w14:textId="77777777" w:rsidR="003B4FD2" w:rsidRDefault="003B4FD2">
      <w:pPr>
        <w:spacing w:after="0" w:line="240" w:lineRule="auto"/>
      </w:pPr>
      <w:r>
        <w:separator/>
      </w:r>
    </w:p>
  </w:endnote>
  <w:endnote w:type="continuationSeparator" w:id="0">
    <w:p w14:paraId="025A1256" w14:textId="77777777" w:rsidR="003B4FD2" w:rsidRDefault="003B4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9791BC" w14:textId="49FFE673" w:rsidR="00015978" w:rsidRDefault="003B4FD2">
    <w:pPr>
      <w:pStyle w:val="Foote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C589EA" w14:textId="77777777" w:rsidR="003B4FD2" w:rsidRDefault="003B4FD2">
      <w:pPr>
        <w:spacing w:after="0" w:line="240" w:lineRule="auto"/>
      </w:pPr>
      <w:r>
        <w:separator/>
      </w:r>
    </w:p>
  </w:footnote>
  <w:footnote w:type="continuationSeparator" w:id="0">
    <w:p w14:paraId="12375162" w14:textId="77777777" w:rsidR="003B4FD2" w:rsidRDefault="003B4F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E3BDFA" w14:textId="77777777" w:rsidR="00015978" w:rsidRDefault="000159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1484443">
    <w:abstractNumId w:val="8"/>
  </w:num>
  <w:num w:numId="2" w16cid:durableId="1424110817">
    <w:abstractNumId w:val="6"/>
  </w:num>
  <w:num w:numId="3" w16cid:durableId="49614114">
    <w:abstractNumId w:val="5"/>
  </w:num>
  <w:num w:numId="4" w16cid:durableId="409542582">
    <w:abstractNumId w:val="4"/>
  </w:num>
  <w:num w:numId="5" w16cid:durableId="1838107775">
    <w:abstractNumId w:val="7"/>
  </w:num>
  <w:num w:numId="6" w16cid:durableId="121307842">
    <w:abstractNumId w:val="3"/>
  </w:num>
  <w:num w:numId="7" w16cid:durableId="1528175006">
    <w:abstractNumId w:val="2"/>
  </w:num>
  <w:num w:numId="8" w16cid:durableId="564532492">
    <w:abstractNumId w:val="1"/>
  </w:num>
  <w:num w:numId="9" w16cid:durableId="24714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5978"/>
    <w:rsid w:val="00034616"/>
    <w:rsid w:val="0006063C"/>
    <w:rsid w:val="000B1872"/>
    <w:rsid w:val="0015074B"/>
    <w:rsid w:val="00193EB8"/>
    <w:rsid w:val="00226BD0"/>
    <w:rsid w:val="00261C75"/>
    <w:rsid w:val="0029639D"/>
    <w:rsid w:val="002F2B78"/>
    <w:rsid w:val="00326F90"/>
    <w:rsid w:val="003B4FD2"/>
    <w:rsid w:val="00466FCE"/>
    <w:rsid w:val="004A78E0"/>
    <w:rsid w:val="005C4C58"/>
    <w:rsid w:val="0065572E"/>
    <w:rsid w:val="0072375A"/>
    <w:rsid w:val="00764986"/>
    <w:rsid w:val="00783D30"/>
    <w:rsid w:val="00854CD7"/>
    <w:rsid w:val="008776D8"/>
    <w:rsid w:val="008966F9"/>
    <w:rsid w:val="00967BE0"/>
    <w:rsid w:val="00984EA1"/>
    <w:rsid w:val="00AA0BB0"/>
    <w:rsid w:val="00AA1D8D"/>
    <w:rsid w:val="00B47730"/>
    <w:rsid w:val="00B62C4A"/>
    <w:rsid w:val="00B7693B"/>
    <w:rsid w:val="00C65178"/>
    <w:rsid w:val="00CB0664"/>
    <w:rsid w:val="00CB1A6C"/>
    <w:rsid w:val="00D1530D"/>
    <w:rsid w:val="00DB2821"/>
    <w:rsid w:val="00F02133"/>
    <w:rsid w:val="00F2461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3E52EC"/>
  <w14:defaultImageDpi w14:val="300"/>
  <w14:conflictMode/>
  <w15:docId w15:val="{313C7BB4-98EC-7C48-B0A3-8910B2935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BD0"/>
    <w:pPr>
      <w:spacing w:before="360" w:after="500"/>
      <w:jc w:val="both"/>
    </w:pPr>
    <w:rPr>
      <w:rFonts w:ascii="Calibri" w:hAnsi="Calibri"/>
      <w:color w:val="000000"/>
      <w:sz w:val="28"/>
    </w:rPr>
  </w:style>
  <w:style w:type="paragraph" w:styleId="Heading1">
    <w:name w:val="heading 1"/>
    <w:basedOn w:val="Normal"/>
    <w:next w:val="Normal"/>
    <w:link w:val="Heading1Char"/>
    <w:uiPriority w:val="9"/>
    <w:qFormat/>
    <w:rsid w:val="00193EB8"/>
    <w:pPr>
      <w:keepNext/>
      <w:keepLines/>
      <w:spacing w:before="260"/>
      <w:outlineLvl w:val="0"/>
    </w:pPr>
    <w:rPr>
      <w:rFonts w:asciiTheme="majorHAnsi" w:eastAsiaTheme="majorEastAsia" w:hAnsiTheme="majorHAnsi" w:cstheme="majorBidi"/>
      <w:b/>
      <w:bCs/>
      <w:sz w:val="40"/>
      <w:szCs w:val="28"/>
    </w:rPr>
  </w:style>
  <w:style w:type="paragraph" w:styleId="Heading2">
    <w:name w:val="heading 2"/>
    <w:basedOn w:val="Normal"/>
    <w:next w:val="Normal"/>
    <w:link w:val="Heading2Char"/>
    <w:uiPriority w:val="9"/>
    <w:unhideWhenUsed/>
    <w:qFormat/>
    <w:rsid w:val="00226BD0"/>
    <w:pPr>
      <w:keepNext/>
      <w:keepLines/>
      <w:spacing w:before="260"/>
      <w:outlineLvl w:val="1"/>
    </w:pPr>
    <w:rPr>
      <w:rFonts w:asciiTheme="majorHAnsi" w:eastAsiaTheme="majorEastAsia" w:hAnsiTheme="majorHAnsi" w:cstheme="majorBidi"/>
      <w:b/>
      <w:bCs/>
      <w:sz w:val="32"/>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000000"/>
      <w:sz w:val="40"/>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000000"/>
      <w:sz w:val="32"/>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spacing w:before="260" w:line="240" w:lineRule="auto"/>
      <w:contextualSpacing/>
    </w:pPr>
    <w:rPr>
      <w:rFonts w:asciiTheme="majorHAnsi" w:eastAsiaTheme="majorEastAsia" w:hAnsiTheme="majorHAnsi" w:cstheme="majorBidi"/>
      <w:spacing w:val="5"/>
      <w:kern w:val="28"/>
      <w:sz w:val="5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Revision">
    <w:name w:val="Revision"/>
    <w:hidden/>
    <w:uiPriority w:val="99"/>
    <w:semiHidden/>
    <w:rsid w:val="00AA0BB0"/>
    <w:pPr>
      <w:spacing w:after="0" w:line="240" w:lineRule="auto"/>
    </w:pPr>
    <w:rPr>
      <w:rFonts w:ascii="Calibri" w:hAnsi="Calibri"/>
      <w:color w:val="000000"/>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45/3442188.3445922" TargetMode="External"/><Relationship Id="rId18" Type="http://schemas.openxmlformats.org/officeDocument/2006/relationships/hyperlink" Target="https://doi.org/10.2307/2666999" TargetMode="External"/><Relationship Id="rId26" Type="http://schemas.openxmlformats.org/officeDocument/2006/relationships/hyperlink" Target="https://doi.org/10.1016/j.patter.2023.100779" TargetMode="External"/><Relationship Id="rId39" Type="http://schemas.openxmlformats.org/officeDocument/2006/relationships/hyperlink" Target="https://doi.org/10.1007/s40979-023-00146-z" TargetMode="External"/><Relationship Id="rId21" Type="http://schemas.openxmlformats.org/officeDocument/2006/relationships/hyperlink" Target="https://workspace.google.com/security/ai-privacy/" TargetMode="External"/><Relationship Id="rId34" Type="http://schemas.openxmlformats.org/officeDocument/2006/relationships/hyperlink" Target="https://doi.org/10.6028/NIST.AI.600-1"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en/knowledge/factsheets/pestle-analysis-factsheet/" TargetMode="External"/><Relationship Id="rId20" Type="http://schemas.openxmlformats.org/officeDocument/2006/relationships/hyperlink" Target="https://fortune.com/company/microsoft/" TargetMode="External"/><Relationship Id="rId29" Type="http://schemas.openxmlformats.org/officeDocument/2006/relationships/hyperlink" Target="https://cdn-dynmedia-1.microsoft.com/is/content/microsoftcorp/microsoft/msc/documents/presentations/CSR/2025-Responsible-AI-Transparency-Report.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ivacy.claude.com/en/articles/7996868-is-my-data-used-for-model-training" TargetMode="External"/><Relationship Id="rId24" Type="http://schemas.openxmlformats.org/officeDocument/2006/relationships/hyperlink" Target="https://www.td.org/product/book-kirkpatricks-four-levels-of-training-evaluation/111614" TargetMode="External"/><Relationship Id="rId32" Type="http://schemas.openxmlformats.org/officeDocument/2006/relationships/hyperlink" Target="https://doi.org/10.1016/j.caeai.2021.100041" TargetMode="External"/><Relationship Id="rId37" Type="http://schemas.openxmlformats.org/officeDocument/2006/relationships/hyperlink" Target="https://doi.org/10.5465/amr.2018.0072"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111/1748-8583.12524" TargetMode="External"/><Relationship Id="rId23" Type="http://schemas.openxmlformats.org/officeDocument/2006/relationships/hyperlink" Target="https://doi.org/10.5465/annals.2018.0174" TargetMode="External"/><Relationship Id="rId28" Type="http://schemas.openxmlformats.org/officeDocument/2006/relationships/hyperlink" Target="https://www.microsoft.com/investor/reports/ar25/" TargetMode="External"/><Relationship Id="rId36" Type="http://schemas.openxmlformats.org/officeDocument/2006/relationships/hyperlink" Target="https://doi.org/10.1145/3351095.3372828" TargetMode="External"/><Relationship Id="rId10" Type="http://schemas.openxmlformats.org/officeDocument/2006/relationships/hyperlink" Target="https://www.acas.org.uk/acas-code-of-practice-on-disciplinary-and-grievance-procedures" TargetMode="External"/><Relationship Id="rId19" Type="http://schemas.openxmlformats.org/officeDocument/2006/relationships/hyperlink" Target="https://www.eeoc.gov/prohibited-employment-policiespractices" TargetMode="External"/><Relationship Id="rId31" Type="http://schemas.openxmlformats.org/officeDocument/2006/relationships/hyperlink" Target="https://learn.microsoft.com/en-us/deployoffice/privacy/microsoft-365-copilo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93/qje/qjae044" TargetMode="External"/><Relationship Id="rId22" Type="http://schemas.openxmlformats.org/officeDocument/2006/relationships/hyperlink" Target="https://ico.org.uk/about-the-ico/media-centre/news-and-blogs/2026/03/automated-decisions-can-streamline-the-hiring-process-with-the-right-safeguards-in-place/" TargetMode="External"/><Relationship Id="rId27" Type="http://schemas.openxmlformats.org/officeDocument/2006/relationships/hyperlink" Target="https://doi.org/10.1145/3313831.3376727" TargetMode="External"/><Relationship Id="rId30" Type="http://schemas.openxmlformats.org/officeDocument/2006/relationships/hyperlink" Target="https://blogs.microsoft.com/on-the-issues/2026/09/01/responsible-ai-in-2026-how-we-are-adapting-for-whats-ahead/" TargetMode="External"/><Relationship Id="rId35" Type="http://schemas.openxmlformats.org/officeDocument/2006/relationships/hyperlink" Target="https://openai.com/enterprise-privacy/"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cs.anthropic.com/en/docs/build-with-claude/pdf-support" TargetMode="External"/><Relationship Id="rId17" Type="http://schemas.openxmlformats.org/officeDocument/2006/relationships/hyperlink" Target="https://doi.org/10.1016/j.ijinfomgt.2023.102642" TargetMode="External"/><Relationship Id="rId25" Type="http://schemas.openxmlformats.org/officeDocument/2006/relationships/hyperlink" Target="https://www.pearson.com/en-us/subject-catalog/p/experiential-learning-experience-as-the-source-of-learning-and-development/P200000000384/9780133892406" TargetMode="External"/><Relationship Id="rId33" Type="http://schemas.openxmlformats.org/officeDocument/2006/relationships/hyperlink" Target="https://doi.org/10.6028/NIST.AI.100-1" TargetMode="External"/><Relationship Id="rId38" Type="http://schemas.openxmlformats.org/officeDocument/2006/relationships/hyperlink" Target="https://doi.org/10.1177/00081256198679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3853</Words>
  <Characters>21964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25766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Responsible and Ethical AI Use at Microsoft</dc:title>
  <dc:subject>LCBB5012 Component 2 Individual Reflective Report</dc:subject>
  <dc:creator>Ioan Saibel</dc:creator>
  <cp:keywords/>
  <dc:description>generated by python-docx</dc:description>
  <cp:lastModifiedBy>Nina Saibel</cp:lastModifiedBy>
  <cp:revision>3</cp:revision>
  <dcterms:created xsi:type="dcterms:W3CDTF">2026-10-12T04:36:00Z</dcterms:created>
  <dcterms:modified xsi:type="dcterms:W3CDTF">2026-10-14T04:41:00Z</dcterms:modified>
  <cp:category/>
</cp:coreProperties>
</file>