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C2A99" w14:textId="14621F4E" w:rsidR="00C14C17" w:rsidRPr="00C14C17" w:rsidRDefault="00C14C17" w:rsidP="00C14C17">
      <w:pPr>
        <w:rPr>
          <w:rFonts w:ascii="Arial" w:hAnsi="Arial" w:cs="Arial"/>
          <w:sz w:val="24"/>
          <w:szCs w:val="24"/>
        </w:rPr>
      </w:pPr>
      <w:r w:rsidRPr="000E3A31">
        <w:rPr>
          <w:rFonts w:ascii="Arial" w:hAnsi="Arial" w:cs="Arial"/>
          <w:b/>
          <w:bCs/>
          <w:sz w:val="24"/>
          <w:szCs w:val="24"/>
        </w:rPr>
        <w:t xml:space="preserve">2134354 - </w:t>
      </w:r>
      <w:r w:rsidRPr="00C14C17">
        <w:rPr>
          <w:rFonts w:ascii="Arial" w:hAnsi="Arial" w:cs="Arial"/>
          <w:b/>
          <w:bCs/>
          <w:sz w:val="24"/>
          <w:szCs w:val="24"/>
        </w:rPr>
        <w:t>CONCLUSIO</w:t>
      </w:r>
      <w:r w:rsidRPr="000E3A31">
        <w:rPr>
          <w:rFonts w:ascii="Arial" w:hAnsi="Arial" w:cs="Arial"/>
          <w:b/>
          <w:bCs/>
          <w:sz w:val="24"/>
          <w:szCs w:val="24"/>
        </w:rPr>
        <w:t>N</w:t>
      </w:r>
    </w:p>
    <w:p w14:paraId="08016721" w14:textId="13579EA6" w:rsidR="00C14C17" w:rsidRPr="00C14C17" w:rsidRDefault="00C14C17" w:rsidP="00C14C17">
      <w:pPr>
        <w:rPr>
          <w:rFonts w:ascii="Arial" w:hAnsi="Arial" w:cs="Arial"/>
          <w:sz w:val="24"/>
          <w:szCs w:val="24"/>
        </w:rPr>
      </w:pPr>
      <w:r w:rsidRPr="00C14C17">
        <w:rPr>
          <w:rFonts w:ascii="Arial" w:hAnsi="Arial" w:cs="Arial"/>
          <w:sz w:val="24"/>
          <w:szCs w:val="24"/>
        </w:rPr>
        <w:t>Research Questions: </w:t>
      </w:r>
    </w:p>
    <w:p w14:paraId="3C975AF8" w14:textId="6E3B21B3" w:rsidR="00C14C17" w:rsidRPr="000E3A31" w:rsidRDefault="00C14C17" w:rsidP="000E3A31">
      <w:pPr>
        <w:pStyle w:val="ListParagraph"/>
        <w:numPr>
          <w:ilvl w:val="0"/>
          <w:numId w:val="5"/>
        </w:numPr>
        <w:rPr>
          <w:rFonts w:ascii="Arial" w:hAnsi="Arial" w:cs="Arial"/>
          <w:sz w:val="24"/>
          <w:szCs w:val="24"/>
        </w:rPr>
      </w:pPr>
      <w:r w:rsidRPr="000E3A31">
        <w:rPr>
          <w:rFonts w:ascii="Arial" w:hAnsi="Arial" w:cs="Arial"/>
          <w:sz w:val="24"/>
          <w:szCs w:val="24"/>
        </w:rPr>
        <w:t>What are Gwent Police’s policies, how are they distributed to officers and how are officers trained:  </w:t>
      </w:r>
    </w:p>
    <w:p w14:paraId="5DD931B8" w14:textId="6B07B5B9" w:rsidR="00C14C17" w:rsidRPr="00C14C17" w:rsidRDefault="00C14C17" w:rsidP="000E3A31">
      <w:pPr>
        <w:rPr>
          <w:rFonts w:ascii="Arial" w:hAnsi="Arial" w:cs="Arial"/>
          <w:sz w:val="24"/>
          <w:szCs w:val="24"/>
        </w:rPr>
      </w:pPr>
      <w:r w:rsidRPr="00C14C17">
        <w:rPr>
          <w:rFonts w:ascii="Arial" w:hAnsi="Arial" w:cs="Arial"/>
          <w:sz w:val="24"/>
          <w:szCs w:val="24"/>
        </w:rPr>
        <w:t>I had hoped to discuss this with the specialist team (DAST), but I have not received any substantive response to my approaches. The policy is only available on the force intranet and will be set out in an Appendix to this essay. </w:t>
      </w:r>
    </w:p>
    <w:p w14:paraId="15330AF7" w14:textId="148C7F03" w:rsidR="00C14C17" w:rsidRPr="000E3A31" w:rsidRDefault="000E3A31" w:rsidP="00C14C17">
      <w:pPr>
        <w:pStyle w:val="ListParagraph"/>
        <w:numPr>
          <w:ilvl w:val="0"/>
          <w:numId w:val="5"/>
        </w:numPr>
        <w:rPr>
          <w:rFonts w:ascii="Arial" w:hAnsi="Arial" w:cs="Arial"/>
          <w:sz w:val="24"/>
          <w:szCs w:val="24"/>
        </w:rPr>
      </w:pPr>
      <w:r w:rsidRPr="000E3A31">
        <w:rPr>
          <w:rFonts w:ascii="Arial" w:hAnsi="Arial" w:cs="Arial"/>
          <w:sz w:val="24"/>
          <w:szCs w:val="24"/>
        </w:rPr>
        <w:t xml:space="preserve">What </w:t>
      </w:r>
      <w:r w:rsidR="00C14C17" w:rsidRPr="000E3A31">
        <w:rPr>
          <w:rFonts w:ascii="Arial" w:hAnsi="Arial" w:cs="Arial"/>
          <w:sz w:val="24"/>
          <w:szCs w:val="24"/>
        </w:rPr>
        <w:t>does research suggest about good practice in this area, including policies, training and working with other agencies? </w:t>
      </w:r>
    </w:p>
    <w:p w14:paraId="2AFBE74D" w14:textId="41D4400E" w:rsidR="00C14C17" w:rsidRPr="00C14C17" w:rsidRDefault="00C14C17" w:rsidP="00C14C17">
      <w:pPr>
        <w:rPr>
          <w:rFonts w:ascii="Arial" w:hAnsi="Arial" w:cs="Arial"/>
          <w:sz w:val="24"/>
          <w:szCs w:val="24"/>
        </w:rPr>
      </w:pPr>
      <w:r w:rsidRPr="00C14C17">
        <w:rPr>
          <w:rFonts w:ascii="Arial" w:hAnsi="Arial" w:cs="Arial"/>
          <w:sz w:val="24"/>
          <w:szCs w:val="24"/>
        </w:rPr>
        <w:t>This was dealt with in the literature review. </w:t>
      </w:r>
    </w:p>
    <w:p w14:paraId="21BD2DE1" w14:textId="6971F21A" w:rsidR="00C14C17" w:rsidRPr="000E3A31" w:rsidRDefault="00C14C17" w:rsidP="000E3A31">
      <w:pPr>
        <w:pStyle w:val="ListParagraph"/>
        <w:numPr>
          <w:ilvl w:val="0"/>
          <w:numId w:val="5"/>
        </w:numPr>
        <w:rPr>
          <w:rFonts w:ascii="Arial" w:hAnsi="Arial" w:cs="Arial"/>
          <w:sz w:val="24"/>
          <w:szCs w:val="24"/>
        </w:rPr>
      </w:pPr>
      <w:r w:rsidRPr="000E3A31">
        <w:rPr>
          <w:rFonts w:ascii="Arial" w:hAnsi="Arial" w:cs="Arial"/>
          <w:sz w:val="24"/>
          <w:szCs w:val="24"/>
        </w:rPr>
        <w:t>How far do Gwent’s practices, policies and procedures mirror best practices, and why might there be differences? This is the main arc of my conclusions and is set out in relation to the themes below. </w:t>
      </w:r>
    </w:p>
    <w:p w14:paraId="1A41BBE5" w14:textId="5361BBDE" w:rsidR="00C14C17" w:rsidRPr="00C14C17" w:rsidRDefault="00C14C17" w:rsidP="00C14C17">
      <w:pPr>
        <w:rPr>
          <w:rFonts w:ascii="Arial" w:hAnsi="Arial" w:cs="Arial"/>
          <w:sz w:val="24"/>
          <w:szCs w:val="24"/>
        </w:rPr>
      </w:pPr>
      <w:r w:rsidRPr="00C14C17">
        <w:rPr>
          <w:rFonts w:ascii="Arial" w:hAnsi="Arial" w:cs="Arial"/>
          <w:sz w:val="24"/>
          <w:szCs w:val="24"/>
        </w:rPr>
        <w:t>Revisiting the literature review, three main themes emerged. These were </w:t>
      </w:r>
    </w:p>
    <w:p w14:paraId="66D208A5" w14:textId="77777777" w:rsidR="00C14C17" w:rsidRPr="00C14C17" w:rsidRDefault="00C14C17" w:rsidP="00C14C17">
      <w:pPr>
        <w:numPr>
          <w:ilvl w:val="0"/>
          <w:numId w:val="4"/>
        </w:numPr>
        <w:rPr>
          <w:rFonts w:ascii="Arial" w:hAnsi="Arial" w:cs="Arial"/>
          <w:sz w:val="24"/>
          <w:szCs w:val="24"/>
        </w:rPr>
      </w:pPr>
      <w:r w:rsidRPr="00C14C17">
        <w:rPr>
          <w:rFonts w:ascii="Arial" w:hAnsi="Arial" w:cs="Arial"/>
          <w:sz w:val="24"/>
          <w:szCs w:val="24"/>
        </w:rPr>
        <w:t>The rapidly changing nature of domestic violence presents challenges to policing, particularly around approaches to male-on-female and female-on-male violence. </w:t>
      </w:r>
    </w:p>
    <w:p w14:paraId="22A29495" w14:textId="77777777" w:rsidR="00C14C17" w:rsidRPr="00C14C17" w:rsidRDefault="00C14C17" w:rsidP="00C14C17">
      <w:pPr>
        <w:numPr>
          <w:ilvl w:val="0"/>
          <w:numId w:val="4"/>
        </w:numPr>
        <w:rPr>
          <w:rFonts w:ascii="Arial" w:hAnsi="Arial" w:cs="Arial"/>
          <w:sz w:val="24"/>
          <w:szCs w:val="24"/>
        </w:rPr>
      </w:pPr>
      <w:r w:rsidRPr="00C14C17">
        <w:rPr>
          <w:rFonts w:ascii="Arial" w:hAnsi="Arial" w:cs="Arial"/>
          <w:sz w:val="24"/>
          <w:szCs w:val="24"/>
        </w:rPr>
        <w:t>The interplay between civil and criminal proceedings can cause considerable problems; for example, domestic violence might be proven on a civil burden of proof but not at a criminal level. This results in a complex legislative field and some cases fall between the cracks. </w:t>
      </w:r>
    </w:p>
    <w:p w14:paraId="522AEE85" w14:textId="77777777" w:rsidR="00C14C17" w:rsidRPr="00C14C17" w:rsidRDefault="00C14C17" w:rsidP="00C14C17">
      <w:pPr>
        <w:numPr>
          <w:ilvl w:val="0"/>
          <w:numId w:val="4"/>
        </w:numPr>
        <w:rPr>
          <w:rFonts w:ascii="Arial" w:hAnsi="Arial" w:cs="Arial"/>
          <w:sz w:val="24"/>
          <w:szCs w:val="24"/>
        </w:rPr>
      </w:pPr>
      <w:r w:rsidRPr="00C14C17">
        <w:rPr>
          <w:rFonts w:ascii="Arial" w:hAnsi="Arial" w:cs="Arial"/>
          <w:sz w:val="24"/>
          <w:szCs w:val="24"/>
        </w:rPr>
        <w:t xml:space="preserve">Even the best policy can fall apart if not well implemented. For example, regular, comprehensive training is needed, with revisits on a regular basis and nuanced, detailed help with changes in the law. Best practice would likely seek to embed or </w:t>
      </w:r>
      <w:proofErr w:type="spellStart"/>
      <w:r w:rsidRPr="00C14C17">
        <w:rPr>
          <w:rFonts w:ascii="Arial" w:hAnsi="Arial" w:cs="Arial"/>
          <w:sz w:val="24"/>
          <w:szCs w:val="24"/>
        </w:rPr>
        <w:t>colocate</w:t>
      </w:r>
      <w:proofErr w:type="spellEnd"/>
      <w:r w:rsidRPr="00C14C17">
        <w:rPr>
          <w:rFonts w:ascii="Arial" w:hAnsi="Arial" w:cs="Arial"/>
          <w:sz w:val="24"/>
          <w:szCs w:val="24"/>
        </w:rPr>
        <w:t xml:space="preserve"> services with social services. Model training policies would include cultural shifts - for example, through “champions” - and evidence suggests retraining needs to be flagged well in advance, to be universal, and to be regular.  </w:t>
      </w:r>
    </w:p>
    <w:p w14:paraId="75BF4C1D" w14:textId="6771071E" w:rsidR="00C14C17" w:rsidRPr="00C14C17" w:rsidRDefault="00C14C17" w:rsidP="00C14C17">
      <w:pPr>
        <w:rPr>
          <w:rFonts w:ascii="Arial" w:hAnsi="Arial" w:cs="Arial"/>
          <w:sz w:val="24"/>
          <w:szCs w:val="24"/>
        </w:rPr>
      </w:pPr>
      <w:r w:rsidRPr="00C14C17">
        <w:rPr>
          <w:rFonts w:ascii="Arial" w:hAnsi="Arial" w:cs="Arial"/>
          <w:b/>
          <w:bCs/>
          <w:sz w:val="24"/>
          <w:szCs w:val="24"/>
        </w:rPr>
        <w:t>Theme 1</w:t>
      </w:r>
    </w:p>
    <w:p w14:paraId="650011FA" w14:textId="762AF112" w:rsidR="00C14C17" w:rsidRPr="00C14C17" w:rsidRDefault="00C14C17" w:rsidP="00C14C17">
      <w:pPr>
        <w:rPr>
          <w:rFonts w:ascii="Arial" w:hAnsi="Arial" w:cs="Arial"/>
          <w:sz w:val="24"/>
          <w:szCs w:val="24"/>
        </w:rPr>
      </w:pPr>
      <w:r w:rsidRPr="00C14C17">
        <w:rPr>
          <w:rFonts w:ascii="Arial" w:hAnsi="Arial" w:cs="Arial"/>
          <w:sz w:val="24"/>
          <w:szCs w:val="24"/>
        </w:rPr>
        <w:t>The policy itself makes no reference to the sex of either the victim or the perpetrator. </w:t>
      </w:r>
    </w:p>
    <w:p w14:paraId="7D96E62D" w14:textId="7CCAD5CE" w:rsidR="00C14C17" w:rsidRPr="00C14C17" w:rsidRDefault="00C14C17" w:rsidP="00C14C17">
      <w:pPr>
        <w:rPr>
          <w:rFonts w:ascii="Arial" w:hAnsi="Arial" w:cs="Arial"/>
          <w:sz w:val="24"/>
          <w:szCs w:val="24"/>
        </w:rPr>
      </w:pPr>
      <w:r w:rsidRPr="00C14C17">
        <w:rPr>
          <w:rFonts w:ascii="Arial" w:hAnsi="Arial" w:cs="Arial"/>
          <w:sz w:val="24"/>
          <w:szCs w:val="24"/>
        </w:rPr>
        <w:t xml:space="preserve">One of the striking results of the survey data is that no officers seemed to think that they should think differently about male-on-female violence, in the way suggested by the literature review. In fact, if anything, respondents seemed to think that they needed to reassure male complainants more than they would female. Only one respondent mentioned seeing a bigger picture. This is probably a result of training and shifts in culture, though this is not certain because the DAST has not responded. It reflects the training that I have received. Whilst it is undoubtedly true that men who have suffered violence should be afforded sympathy and protection, prioritising this </w:t>
      </w:r>
      <w:r w:rsidRPr="00C14C17">
        <w:rPr>
          <w:rFonts w:ascii="Arial" w:hAnsi="Arial" w:cs="Arial"/>
          <w:sz w:val="24"/>
          <w:szCs w:val="24"/>
        </w:rPr>
        <w:lastRenderedPageBreak/>
        <w:t>risks ignoring the well-evidenced possibility that such complaints might be part of a pattern of male abuse. </w:t>
      </w:r>
    </w:p>
    <w:p w14:paraId="210936E6" w14:textId="77777777" w:rsidR="00C14C17" w:rsidRPr="00C14C17" w:rsidRDefault="00C14C17" w:rsidP="00C14C17">
      <w:pPr>
        <w:rPr>
          <w:rFonts w:ascii="Arial" w:hAnsi="Arial" w:cs="Arial"/>
          <w:sz w:val="24"/>
          <w:szCs w:val="24"/>
        </w:rPr>
      </w:pPr>
      <w:r w:rsidRPr="00C14C17">
        <w:rPr>
          <w:rFonts w:ascii="Arial" w:hAnsi="Arial" w:cs="Arial"/>
          <w:sz w:val="24"/>
          <w:szCs w:val="24"/>
        </w:rPr>
        <w:t>The DASH itself, which is the major tool for assessing risk, is not gendered (except for including information about pregnancies and births) and for some questions about “honour based” violence. </w:t>
      </w:r>
    </w:p>
    <w:p w14:paraId="16C72BB0" w14:textId="686F444F" w:rsidR="00C14C17" w:rsidRPr="00C14C17" w:rsidRDefault="00C14C17" w:rsidP="00C14C17">
      <w:pPr>
        <w:rPr>
          <w:rFonts w:ascii="Arial" w:hAnsi="Arial" w:cs="Arial"/>
          <w:sz w:val="24"/>
          <w:szCs w:val="24"/>
        </w:rPr>
      </w:pPr>
      <w:r w:rsidRPr="00C14C17">
        <w:rPr>
          <w:rFonts w:ascii="Arial" w:hAnsi="Arial" w:cs="Arial"/>
          <w:b/>
          <w:bCs/>
          <w:sz w:val="24"/>
          <w:szCs w:val="24"/>
        </w:rPr>
        <w:t>Theme 2</w:t>
      </w:r>
    </w:p>
    <w:p w14:paraId="4A625A19" w14:textId="0F9C85CF" w:rsidR="00C14C17" w:rsidRPr="00C14C17" w:rsidRDefault="00C14C17" w:rsidP="00C14C17">
      <w:pPr>
        <w:rPr>
          <w:rFonts w:ascii="Arial" w:hAnsi="Arial" w:cs="Arial"/>
          <w:sz w:val="24"/>
          <w:szCs w:val="24"/>
        </w:rPr>
      </w:pPr>
      <w:r w:rsidRPr="00C14C17">
        <w:rPr>
          <w:rFonts w:ascii="Arial" w:hAnsi="Arial" w:cs="Arial"/>
          <w:sz w:val="24"/>
          <w:szCs w:val="24"/>
        </w:rPr>
        <w:t>There is little on this issue in the policy although information is there on the intranet, if you search for it. DVPN/DVPOs (Domestic Violence Prevention Notices/ Orders) aim to provide victims with immediate protection following an incident of domestic violence and gives them time to consider what to do next. A DVPN/DVPO is often thought of as rather like a restraining order, but there are significant differences. </w:t>
      </w:r>
    </w:p>
    <w:p w14:paraId="108ED01E" w14:textId="02C61A63" w:rsidR="00C14C17" w:rsidRPr="00C14C17" w:rsidRDefault="00C14C17" w:rsidP="00C14C17">
      <w:pPr>
        <w:rPr>
          <w:rFonts w:ascii="Arial" w:hAnsi="Arial" w:cs="Arial"/>
          <w:sz w:val="24"/>
          <w:szCs w:val="24"/>
        </w:rPr>
      </w:pPr>
      <w:r w:rsidRPr="00C14C17">
        <w:rPr>
          <w:rFonts w:ascii="Arial" w:hAnsi="Arial" w:cs="Arial"/>
          <w:sz w:val="24"/>
          <w:szCs w:val="24"/>
        </w:rPr>
        <w:t>If authorised, a DVPN is issued to the perpetrator and the application to convert that into a DVPO must be heard in the Mags Court within 48 hours. The application will be withdrawn if not heard within 48 hours. The DVPO can prevent the perpetrator from returning to a residence and from having contact with the victim for up to 28 days.</w:t>
      </w:r>
    </w:p>
    <w:p w14:paraId="1CF9343D" w14:textId="04EF06AF" w:rsidR="00C14C17" w:rsidRPr="00C14C17" w:rsidRDefault="00C14C17" w:rsidP="00C14C17">
      <w:pPr>
        <w:rPr>
          <w:rFonts w:ascii="Arial" w:hAnsi="Arial" w:cs="Arial"/>
          <w:sz w:val="24"/>
          <w:szCs w:val="24"/>
        </w:rPr>
      </w:pPr>
      <w:r w:rsidRPr="00C14C17">
        <w:rPr>
          <w:rFonts w:ascii="Arial" w:hAnsi="Arial" w:cs="Arial"/>
          <w:sz w:val="24"/>
          <w:szCs w:val="24"/>
        </w:rPr>
        <w:t>In practice, both a DVPN and DVPO require paperwork. It has to be done quickly and while they are considered occasionally, they are easily forgotten. It is rare for someone to be arrested for a breach of either of these. (Home Office, 2022)</w:t>
      </w:r>
    </w:p>
    <w:p w14:paraId="3B283E8E" w14:textId="60E01C53" w:rsidR="00C14C17" w:rsidRPr="00C14C17" w:rsidRDefault="00C14C17" w:rsidP="00C14C17">
      <w:pPr>
        <w:rPr>
          <w:rFonts w:ascii="Arial" w:hAnsi="Arial" w:cs="Arial"/>
          <w:sz w:val="24"/>
          <w:szCs w:val="24"/>
        </w:rPr>
      </w:pPr>
      <w:r w:rsidRPr="00C14C17">
        <w:rPr>
          <w:rFonts w:ascii="Arial" w:hAnsi="Arial" w:cs="Arial"/>
          <w:sz w:val="24"/>
          <w:szCs w:val="24"/>
        </w:rPr>
        <w:t>A restraining order is a civil order granted by the court following an outcome of a previous offence going to court. They’re usually in place for 2 years but can be extended. Arrestable if breached and the order is usually put on PNC. Obtaining one is out of police hands. </w:t>
      </w:r>
    </w:p>
    <w:p w14:paraId="6FE4E7FE" w14:textId="10AB8831" w:rsidR="00C14C17" w:rsidRPr="00C14C17" w:rsidRDefault="00C14C17" w:rsidP="00C14C17">
      <w:pPr>
        <w:rPr>
          <w:rFonts w:ascii="Arial" w:hAnsi="Arial" w:cs="Arial"/>
          <w:sz w:val="24"/>
          <w:szCs w:val="24"/>
        </w:rPr>
      </w:pPr>
      <w:r w:rsidRPr="00C14C17">
        <w:rPr>
          <w:rFonts w:ascii="Arial" w:hAnsi="Arial" w:cs="Arial"/>
          <w:b/>
          <w:bCs/>
          <w:sz w:val="24"/>
          <w:szCs w:val="24"/>
        </w:rPr>
        <w:t>Theme 3</w:t>
      </w:r>
    </w:p>
    <w:p w14:paraId="438406BD" w14:textId="1F948782" w:rsidR="00C14C17" w:rsidRPr="00C14C17" w:rsidRDefault="00C14C17" w:rsidP="00C14C17">
      <w:pPr>
        <w:rPr>
          <w:rFonts w:ascii="Arial" w:hAnsi="Arial" w:cs="Arial"/>
          <w:sz w:val="24"/>
          <w:szCs w:val="24"/>
        </w:rPr>
      </w:pPr>
      <w:r w:rsidRPr="00C14C17">
        <w:rPr>
          <w:rFonts w:ascii="Arial" w:hAnsi="Arial" w:cs="Arial"/>
          <w:sz w:val="24"/>
          <w:szCs w:val="24"/>
        </w:rPr>
        <w:t>It is in this area that there is the most to say, and where it would have been most useful to talk to the DAST. The policy itself makes no mention of training. There are force training days and online learning packages that are compulsory but a list of DV-related ones are not listed in this policy. There is a Learning and Development department which monitors who has had what training but there does not appear to be any policy on who should be trained in what, how, or how often. The survey indicates very patchy training; no one reported receiving refresher training.</w:t>
      </w:r>
    </w:p>
    <w:p w14:paraId="0C0F8287" w14:textId="201F598D" w:rsidR="00C14C17" w:rsidRPr="00C14C17" w:rsidRDefault="00C14C17" w:rsidP="00C14C17">
      <w:pPr>
        <w:rPr>
          <w:rFonts w:ascii="Arial" w:hAnsi="Arial" w:cs="Arial"/>
          <w:sz w:val="24"/>
          <w:szCs w:val="24"/>
        </w:rPr>
      </w:pPr>
      <w:r w:rsidRPr="00C14C17">
        <w:rPr>
          <w:rFonts w:ascii="Arial" w:hAnsi="Arial" w:cs="Arial"/>
          <w:sz w:val="24"/>
          <w:szCs w:val="24"/>
        </w:rPr>
        <w:t xml:space="preserve">Within the policy, a lot of weight is given to the DASH. However, there is nothing in the policy about ensuring the DASH is updated or there being different versions created depending on what type of DV you’re dealing with. While it is good and </w:t>
      </w:r>
      <w:proofErr w:type="spellStart"/>
      <w:r w:rsidRPr="00C14C17">
        <w:rPr>
          <w:rFonts w:ascii="Arial" w:hAnsi="Arial" w:cs="Arial"/>
          <w:sz w:val="24"/>
          <w:szCs w:val="24"/>
        </w:rPr>
        <w:t>all encompassing</w:t>
      </w:r>
      <w:proofErr w:type="spellEnd"/>
      <w:r w:rsidRPr="00C14C17">
        <w:rPr>
          <w:rFonts w:ascii="Arial" w:hAnsi="Arial" w:cs="Arial"/>
          <w:sz w:val="24"/>
          <w:szCs w:val="24"/>
        </w:rPr>
        <w:t xml:space="preserve"> these are failings. </w:t>
      </w:r>
    </w:p>
    <w:p w14:paraId="4283E8A3" w14:textId="6DBB2919" w:rsidR="00C14C17" w:rsidRPr="00C14C17" w:rsidRDefault="00C14C17" w:rsidP="00C14C17">
      <w:pPr>
        <w:rPr>
          <w:rFonts w:ascii="Arial" w:hAnsi="Arial" w:cs="Arial"/>
          <w:sz w:val="24"/>
          <w:szCs w:val="24"/>
        </w:rPr>
      </w:pPr>
      <w:r w:rsidRPr="00C14C17">
        <w:rPr>
          <w:rFonts w:ascii="Arial" w:hAnsi="Arial" w:cs="Arial"/>
          <w:sz w:val="24"/>
          <w:szCs w:val="24"/>
        </w:rPr>
        <w:t>Safety planning - much of which is set out in the policy - is explicitly the responsibility of the attending officer, not a DV specialist. Within the policy, and based on my own experience, this is largely a ‘one set of plans fits all’ approach; officers will reel off the same set of responses. This might be an issue more for training than policy but the safety planning advice in the policy is vague.</w:t>
      </w:r>
    </w:p>
    <w:p w14:paraId="31425D2F" w14:textId="40248ABC" w:rsidR="00C14C17" w:rsidRPr="00C14C17" w:rsidRDefault="00C14C17" w:rsidP="00C14C17">
      <w:pPr>
        <w:rPr>
          <w:rFonts w:ascii="Arial" w:hAnsi="Arial" w:cs="Arial"/>
          <w:sz w:val="24"/>
          <w:szCs w:val="24"/>
        </w:rPr>
      </w:pPr>
      <w:r w:rsidRPr="00C14C17">
        <w:rPr>
          <w:rFonts w:ascii="Arial" w:hAnsi="Arial" w:cs="Arial"/>
          <w:sz w:val="24"/>
          <w:szCs w:val="24"/>
        </w:rPr>
        <w:lastRenderedPageBreak/>
        <w:t>As revealed by the survey, not everyone knows all the agencies on offer to victims and what they actually help with. They are not listed in this policy. As a serving officer, if such information is collated somewhere I do not know where that would be. </w:t>
      </w:r>
    </w:p>
    <w:p w14:paraId="59FDB16F" w14:textId="77777777" w:rsidR="00C14C17" w:rsidRPr="00C14C17" w:rsidRDefault="00C14C17" w:rsidP="00C14C17">
      <w:pPr>
        <w:rPr>
          <w:rFonts w:ascii="Arial" w:hAnsi="Arial" w:cs="Arial"/>
          <w:sz w:val="24"/>
          <w:szCs w:val="24"/>
        </w:rPr>
      </w:pPr>
      <w:r w:rsidRPr="00C14C17">
        <w:rPr>
          <w:rFonts w:ascii="Arial" w:hAnsi="Arial" w:cs="Arial"/>
          <w:sz w:val="24"/>
          <w:szCs w:val="24"/>
        </w:rPr>
        <w:t xml:space="preserve">There is no co-location of police with social services in Gwent. The DAST is located not in one of the police stations but in police headquarters. As a result, there is a separation between attending officers, who are the ones responsible for most of the DASH assessment, and specialists; feedback is therefore limited and usually merely formal. In addition, risk assessments under the DASH are not reviewed by the DAST but high risk assessments are reviewed by a detective sergeant. These, however, are patchy - whether something will be downgraded is very dependent on which sergeant does the review, there is no mechanism for giving the sergeant feedback, and, of course, because high risk assessments are passed to CID, there is a perverse incentive for the sergeant to downgrade assessments. </w:t>
      </w:r>
    </w:p>
    <w:p w14:paraId="457FA81B" w14:textId="77777777" w:rsidR="00E10C1E" w:rsidRDefault="00E10C1E"/>
    <w:sectPr w:rsidR="00E10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E6226"/>
    <w:multiLevelType w:val="multilevel"/>
    <w:tmpl w:val="493851B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432031C"/>
    <w:multiLevelType w:val="multilevel"/>
    <w:tmpl w:val="E3B092D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D6C4432"/>
    <w:multiLevelType w:val="hybridMultilevel"/>
    <w:tmpl w:val="5D6A4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925AB0"/>
    <w:multiLevelType w:val="multilevel"/>
    <w:tmpl w:val="C60EB8B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69EB3C0E"/>
    <w:multiLevelType w:val="multilevel"/>
    <w:tmpl w:val="532636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07049964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96907021">
    <w:abstractNumId w:val="3"/>
    <w:lvlOverride w:ilvl="0">
      <w:lvl w:ilvl="0">
        <w:start w:val="2"/>
        <w:numFmt w:val="decimal"/>
        <w:lvlText w:val="%1."/>
        <w:lvlJc w:val="left"/>
        <w:pPr>
          <w:ind w:left="0" w:firstLine="0"/>
        </w:pPr>
      </w:lvl>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06004817">
    <w:abstractNumId w:val="0"/>
    <w:lvlOverride w:ilvl="0">
      <w:lvl w:ilvl="0">
        <w:start w:val="3"/>
        <w:numFmt w:val="decimal"/>
        <w:lvlText w:val="%1."/>
        <w:lvlJc w:val="left"/>
        <w:pPr>
          <w:ind w:left="0" w:firstLine="0"/>
        </w:pPr>
      </w:lvl>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8424775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970858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C17"/>
    <w:rsid w:val="000E3A31"/>
    <w:rsid w:val="001A7693"/>
    <w:rsid w:val="0051762F"/>
    <w:rsid w:val="008D4508"/>
    <w:rsid w:val="00C14C17"/>
    <w:rsid w:val="00CE2822"/>
    <w:rsid w:val="00D94F3F"/>
    <w:rsid w:val="00E10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876D4"/>
  <w15:chartTrackingRefBased/>
  <w15:docId w15:val="{221177F6-37F0-4B79-A156-E11F9B257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4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4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4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4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C17"/>
    <w:rPr>
      <w:rFonts w:eastAsiaTheme="majorEastAsia" w:cstheme="majorBidi"/>
      <w:color w:val="272727" w:themeColor="text1" w:themeTint="D8"/>
    </w:rPr>
  </w:style>
  <w:style w:type="paragraph" w:styleId="Title">
    <w:name w:val="Title"/>
    <w:basedOn w:val="Normal"/>
    <w:next w:val="Normal"/>
    <w:link w:val="TitleChar"/>
    <w:uiPriority w:val="10"/>
    <w:qFormat/>
    <w:rsid w:val="00C14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C17"/>
    <w:pPr>
      <w:spacing w:before="160"/>
      <w:jc w:val="center"/>
    </w:pPr>
    <w:rPr>
      <w:i/>
      <w:iCs/>
      <w:color w:val="404040" w:themeColor="text1" w:themeTint="BF"/>
    </w:rPr>
  </w:style>
  <w:style w:type="character" w:customStyle="1" w:styleId="QuoteChar">
    <w:name w:val="Quote Char"/>
    <w:basedOn w:val="DefaultParagraphFont"/>
    <w:link w:val="Quote"/>
    <w:uiPriority w:val="29"/>
    <w:rsid w:val="00C14C17"/>
    <w:rPr>
      <w:i/>
      <w:iCs/>
      <w:color w:val="404040" w:themeColor="text1" w:themeTint="BF"/>
    </w:rPr>
  </w:style>
  <w:style w:type="paragraph" w:styleId="ListParagraph">
    <w:name w:val="List Paragraph"/>
    <w:basedOn w:val="Normal"/>
    <w:uiPriority w:val="34"/>
    <w:qFormat/>
    <w:rsid w:val="00C14C17"/>
    <w:pPr>
      <w:ind w:left="720"/>
      <w:contextualSpacing/>
    </w:pPr>
  </w:style>
  <w:style w:type="character" w:styleId="IntenseEmphasis">
    <w:name w:val="Intense Emphasis"/>
    <w:basedOn w:val="DefaultParagraphFont"/>
    <w:uiPriority w:val="21"/>
    <w:qFormat/>
    <w:rsid w:val="00C14C17"/>
    <w:rPr>
      <w:i/>
      <w:iCs/>
      <w:color w:val="0F4761" w:themeColor="accent1" w:themeShade="BF"/>
    </w:rPr>
  </w:style>
  <w:style w:type="paragraph" w:styleId="IntenseQuote">
    <w:name w:val="Intense Quote"/>
    <w:basedOn w:val="Normal"/>
    <w:next w:val="Normal"/>
    <w:link w:val="IntenseQuoteChar"/>
    <w:uiPriority w:val="30"/>
    <w:qFormat/>
    <w:rsid w:val="00C14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C17"/>
    <w:rPr>
      <w:i/>
      <w:iCs/>
      <w:color w:val="0F4761" w:themeColor="accent1" w:themeShade="BF"/>
    </w:rPr>
  </w:style>
  <w:style w:type="character" w:styleId="IntenseReference">
    <w:name w:val="Intense Reference"/>
    <w:basedOn w:val="DefaultParagraphFont"/>
    <w:uiPriority w:val="32"/>
    <w:qFormat/>
    <w:rsid w:val="00C14C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559549">
      <w:bodyDiv w:val="1"/>
      <w:marLeft w:val="0"/>
      <w:marRight w:val="0"/>
      <w:marTop w:val="0"/>
      <w:marBottom w:val="0"/>
      <w:divBdr>
        <w:top w:val="none" w:sz="0" w:space="0" w:color="auto"/>
        <w:left w:val="none" w:sz="0" w:space="0" w:color="auto"/>
        <w:bottom w:val="none" w:sz="0" w:space="0" w:color="auto"/>
        <w:right w:val="none" w:sz="0" w:space="0" w:color="auto"/>
      </w:divBdr>
    </w:div>
    <w:div w:id="668216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958</Words>
  <Characters>5463</Characters>
  <Application>Microsoft Office Word</Application>
  <DocSecurity>0</DocSecurity>
  <Lines>45</Lines>
  <Paragraphs>12</Paragraphs>
  <ScaleCrop>false</ScaleCrop>
  <Company>Gwent Police</Company>
  <LinksUpToDate>false</LinksUpToDate>
  <CharactersWithSpaces>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 Liz</dc:creator>
  <cp:keywords/>
  <dc:description/>
  <cp:lastModifiedBy>Marsh, Liz</cp:lastModifiedBy>
  <cp:revision>2</cp:revision>
  <dcterms:created xsi:type="dcterms:W3CDTF">2025-03-10T18:04:00Z</dcterms:created>
  <dcterms:modified xsi:type="dcterms:W3CDTF">2025-03-10T18:09:00Z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2025-03-10T18:07:29Z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08dcc20a-c71a-4f4b-ad42-b08ddeae701c</vt:lpwstr>
  </property>
  <property fmtid="{D5CDD505-2E9C-101B-9397-08002B2CF9AE}" pid="8" name="MSIP_Label_f2acd28b-79a3-4a0f-b0ff-4b75658b1549_ContentBits">
    <vt:lpwstr>0</vt:lpwstr>
  </property>
</Properties>
</file>