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Community Engagement Assessment 2</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2114611</w:t>
      </w:r>
    </w:p>
    <w:p>
      <w:pPr>
        <w:spacing w:before="0" w:after="0" w:line="48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32"/>
          <w:shd w:fill="auto" w:val="clear"/>
        </w:rPr>
        <w:t xml:space="preserve">Irina Caraus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development in broadening and deepening public engagement at a global level, the significance of community engagement has evolved pivotal for well-operating, contemporary autonomy. Formative associations between societies and government organisations render community engagement not just appreciatable yet viable and transparently since it is inclined to direct to more fair, endurable public determinations and improve the local residents' liveability(Kim, Newman, and Jiang, 2020.). This is the reason why community engagement is crucial for individuals, governments, and public companies. Compelling cases of the significance of community engagement range from constructing change in local approaches and service requirements that not just enhance day-to-day lives and livability of residents, yet facilitate shape and envision a future for the community, conveying with it not just broader societal transformation yet widespread influence.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paper aims to reflect on how effectively a community engagement programme will be coordinated. The study will reflect on the difference between both projects and assess the best practices on the community engagement processes. In addition, what could have been done betters will also be reflected. The study will also discuss the differences between active consultation, stakeholders' engagement, effective communication, and inclusion in community engagement. The analysis will also explore how they conduct their research, conduct community mapping, social engagement through social media platforms, and present best practices with justification.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project will reflect on the "Scope's community engagement programs". Scope's Community Engagement programme encourages local individuals to make a move and form change in their local communities (Scope, 2020). To execute this programme, a group of local individuals meet once a month at an informal gathering in which they can encounter new individuals, purpose and develop new projects. Every area has extensive capital to spend on local projects formulated by local individuals. The group takes part in decisions regarding how to distribute funds to undertakings. It also offered free art workshops, easy access to allotments, new assistance groups and shared workspace (Kumar and Kumar, 2020). This assistance enables disabled individuals and their careers to contribute to community development plans.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Active consultation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community engagement programme, an active consultation can facilitate people to articulate their concerns and specify the relevant responses and solutions to the issues that affect them or society. If performed well, community consultation can encourage the community members by stimulating their capabilities and the potentials of the community comprehensively (Pratt and de Vries, 2018). Hence, I believe that the communication members must focus on active consultation to determine innovative and practical solutions to the issues on which they are working and effectively reach the determined purpose.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Communication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and community engagement are umbrella terms that embrace action engagement of concerned stakeholders, information sharing and consultation at every level. It is found that Scope's community engagement programs attempt to maintain effective communication among their stakeholders for enhancing and promoting the goals intended for the welfare of the community (Smith, 2018). In community engagement, communication effectively builds trust with communities, leveraging assistance and ownership and detecting conflicts when they can still be maintained. Therefore, I believe the community member must initiate a plan in which the Scope and goals of the program are presented to every concerned member easily and understandably. Such that no communication challenges can be observed in future.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Stakeholders Participation</w:t>
      </w: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 participation in community engagement plans offers individuals say over how policies or projects may influence their lives. In addition, the engagement or participation of stakeholders produces a sense of ownership over programmes and offers opportunities for learning for the project team and communities.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Project courses can be a significant process to encompass community stakeholders early on and throughout the communities. This is due to the fact that community stakeholders often maintain skills and expertise that firms lack and can offer crucial inputs on projects (Törlind and Eklöf, 2021). The project managers must show more interest in stakeholders and ask them to give input regarding programme strategy, execution, management, and assessment to maintain valuable understanding possibilities. Asking stakeholders to communicate opinions and ideas can influence relationships thoroughly since it can drive stakeholders to feel valued and appreciated. Therefore, improved emphasis and focus must be given to the stakeholder to engage in the community programme and work for the welfare of the society and its people.</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Inclusion community engagement specifies that each individual maintains a role to perform in public engagement. It offers individuals possibilities to partake by curtailing barriers, forming connections and committing in a supportive and meaningful manner (Ramsbottom et al., 2018). Therefore, to facilitate inclusion in community engagement, we should provide people with information and time to engage and participate. Strategic thinking can be encouraged to sustain their engagement. This encompasses purposes, timing, structure, and language. In addition, people must be provided with considerable opportunities to participate. For this concern, digital toll must be applied since it is incredibly convenient in a physically distancing world. The community engagement team must encompass an extensive means with distinct delivery strategies for ensuring that all community members have the opportunity to participate in the program. In addition, the community members must ensure that all tools reinforce inclusive and unrestricted attention. This encompasses utilising interpreters or translators, offering information and materials in languages other than English. It also indicates inquiring the community members what reinforcement they require to participate before the initiation of engagement in the program (Barranger et al., 2019). It is vital to maintain participants' diversity and thus a diversity of perception and experience in all engagements. In the new physician distancing world, voices might evolve muted, ao it is even more crucial to comprehend the groups, affiliates and people that construct the community. Usually, these individuals are assessed by physically proceeding to where they are and conducting physical engagement. Consume time comprehending the community and recognising relationship concerns with other parties or networks and associations.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Research</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research, the community engagement maintains inclusive engagement that aids mutual consideration of strategies, matters, and activities for the genuine collaboration of individuals affiliated with or self-identified by geographic immediacy, unique appeal, or equivalent circumstance to determine challenges influencing the community well-being of focus (Key et al., 2019). From the analysis, I must say that community engagement is an essential determinant of any research undertaking engaging communities. It compels educated fellows to evolve part of the community and community members to evolve as a research team, forming an excellent working and learning setting before, during and after the analysis on the concerns.</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Community mapping</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community team must encourage community mapping to motivate individuals to be strong advocates for modifying the places where they live, evolving more civically minded in the procedure. In addition, it can foster an understanding of environmental and community responsibility in residents. Encouraging community mapping can facilitate the team to identify new resources to expand, improve and sustain the program's objectives (Collinson and Best, 2019). Determination of whether existing resources are being utilised efficiently to accomplish anticipated outcomes, enhanced resources coordination and alignment. In addition, I think this can also facilitate the team to maintain improved coordination and collaboration amongst stakeholders with appropriate resources and developments of new policies and laws to achieve the determined objectives and goals better.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Application of Social media tools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facilitate the community, social media tools can also be applied. Social media can facilitate the organisation's interaction with the potential and target people with the content and social media accounts. For instance, engagement might embrace favourites and likes. Therefore, social media proliferation has considerably influenced the extent of engagement between residents and the government (Steinmetz et al., 2021). AT present, several leaders, representations, the whole department, and even the cities themselves maintain official aunts on Twitter, Facebook, Instagram, and other platforms of social media. Consequently, the community members and residents are apt to submit comments and reactions to the undertakings of the city and decision making concurrently. In addition, since the most renowned platforms of social media are all free, they are low-to no-cost means of immediate engagement between residents and the government. </w:t>
      </w:r>
    </w:p>
    <w:p>
      <w:pPr>
        <w:spacing w:before="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Sochen model</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Sochen model is a reflection framework that distinguishes between reflection-in-action and reflection-on-action (Moghaddam et al., 2020). Reflection-in-action facilitates managing unpredictable happenings that may arise in an understanding condition. It enables them to be accountable and resourceful, drawing on their own knowledge and facilitating new experiences. In addition, it helps follow personalised learning as, despite utilising preconceived ideas regarding what you should perform in a particular condition. I must say that this project has facilitated me with a sound and detailed understanding of community social engagement and its significance in the current world. This programme has helped me understand how the projects support the numbers of people to live better lives and allow the communities to live in a peaceful society. The programmes have helped me understand that ascertaining local people and empowering and integrating the community engagement activities can facilitate direct and guide the practice of community engagement in every aspect (Ramsbottom et al., 2018). I also learnt that this program adopts several strategies that help execute the plan effectively. For instance, the community members effectively utilise social media platforms and integrate interpersonal skills to spread their words related to the purpose of the programmes to larger audiences. The program also promotes community collaboration, inclusion and diversity into their practices to avoid discrimination and promote equality for all.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Reflection-on-action implicates reflecting on how practice can be formulated after the lesson has been taught. Schone specifies the significance of reflecting for uncovering how our knowledge-in-action may have been granted to an unanticipated situation or consequence (Moghaddam et al., 2020). The experience comprehensively helped me to a greater extent; however, I believe that several aspects can be improved. For instance, issues of communication among stakeholders can be observed due to communication barriers. In these concerns, a program must be initiated where the purpose and movie of the community engagement plan must be illustrated to the people in English and other languages so that the people who find challenges to understand English can understand the concern. In addition, more focus must be given to social media techniques, and the members must apply them well to engage more and more people for the purpose of the plan. Community engagement not just applies social media tools yet additionally makes use of traditional methods such as newspapers and television to connect with the older generations  (Key et al., 2019). Overall, I believe the program's strategies and procedures are effective, yet further consideration undoubtedly helps to make a programme a great success.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reflection presents a detailed analysis of community engagement by contemplating adopted and practical standards and principles that can help engage and involve several stakeholders to make their effective contribution to a successful project. Overall, I must say that scope-community engagement programmes have significantly contributed to the welfare of the community. They actively engage their community to participate and utilise relevant social media platforms to make them aware of their purpose and goals. However, further improvement would be required to advance the programmes to another level and engage more community members in the projects. I believe a practical and considerable focus on active consultation, effective communication, participation of stakeholders, and inclusion can make a big difference to the project and the community. In addition, I believe that the organisation and community team members must explore further research, administer community mapping, enhance social engagement through social media platforms, to help the programs reach their determined goals in less time. These practices can significantly help the community engagement programmes facilitate their team members and work for the community's welfare for better days and better lives.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Barranger, C., Gravely, E., Najeeb, H., Scott, J. and Wynia, K., 2019. Equity, Diversity, and Inclusion Assessment of the Office of Community Engagement.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https://macsphere.mcmaster.ca/handle/11375/24858</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Collinson, B. and Best, D., 2019. Promoting recovery from substance misuse through engagement with community assets: Asset based community engagement. </w:t>
      </w:r>
      <w:r>
        <w:rPr>
          <w:rFonts w:ascii="Times New Roman" w:hAnsi="Times New Roman" w:cs="Times New Roman" w:eastAsia="Times New Roman"/>
          <w:i/>
          <w:color w:val="222222"/>
          <w:spacing w:val="0"/>
          <w:position w:val="0"/>
          <w:sz w:val="24"/>
          <w:shd w:fill="FFFFFF" w:val="clear"/>
        </w:rPr>
        <w:t xml:space="preserve">Substance abuse: research and treatment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 p.1178221819876575.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FFFFFF" w:val="clear"/>
          </w:rPr>
          <w:t xml:space="preserve">https://journals.sagepub.com/doi/abs/10.1177/1178221819876575</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Key, K.D., Furr-Holden, D., Lewis, E.Y., Cunningham, R., Zimmerman, M.A., Johnson-Lawrence, V. and Selig, S., 2019. The continuum of community engagement in research: A roadmap for understanding and assessing progress. </w:t>
      </w:r>
      <w:r>
        <w:rPr>
          <w:rFonts w:ascii="Times New Roman" w:hAnsi="Times New Roman" w:cs="Times New Roman" w:eastAsia="Times New Roman"/>
          <w:i/>
          <w:color w:val="222222"/>
          <w:spacing w:val="0"/>
          <w:position w:val="0"/>
          <w:sz w:val="24"/>
          <w:shd w:fill="FFFFFF" w:val="clear"/>
        </w:rPr>
        <w:t xml:space="preserve">Progress in Community Health Partnerships: Research, Education, and Action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(4), pp.427-434.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https://muse.jhu.edu/article/743598/summary</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Kim, G., Newman, G. and Jiang, B., 2020. Urban regeneration: Community engagement process for vacant land in declining cities. </w:t>
      </w:r>
      <w:r>
        <w:rPr>
          <w:rFonts w:ascii="Times New Roman" w:hAnsi="Times New Roman" w:cs="Times New Roman" w:eastAsia="Times New Roman"/>
          <w:i/>
          <w:color w:val="222222"/>
          <w:spacing w:val="0"/>
          <w:position w:val="0"/>
          <w:sz w:val="24"/>
          <w:shd w:fill="FFFFFF" w:val="clear"/>
        </w:rPr>
        <w:t xml:space="preserve">Cities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102</w:t>
      </w:r>
      <w:r>
        <w:rPr>
          <w:rFonts w:ascii="Times New Roman" w:hAnsi="Times New Roman" w:cs="Times New Roman" w:eastAsia="Times New Roman"/>
          <w:color w:val="222222"/>
          <w:spacing w:val="0"/>
          <w:position w:val="0"/>
          <w:sz w:val="24"/>
          <w:shd w:fill="FFFFFF" w:val="clear"/>
        </w:rPr>
        <w:t xml:space="preserve">, p.102730.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FFFFFF" w:val="clear"/>
          </w:rPr>
          <w:t xml:space="preserve">https://www.sciencedirect.com/science/article/pii/S0264275119307450</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Kumar, J. and Kumar, V., 2020. Drivers of brand community engagement. </w:t>
      </w:r>
      <w:r>
        <w:rPr>
          <w:rFonts w:ascii="Times New Roman" w:hAnsi="Times New Roman" w:cs="Times New Roman" w:eastAsia="Times New Roman"/>
          <w:i/>
          <w:color w:val="222222"/>
          <w:spacing w:val="0"/>
          <w:position w:val="0"/>
          <w:sz w:val="24"/>
          <w:shd w:fill="FFFFFF" w:val="clear"/>
        </w:rPr>
        <w:t xml:space="preserve">Journal of Retailing and Consumer Services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54</w:t>
      </w:r>
      <w:r>
        <w:rPr>
          <w:rFonts w:ascii="Times New Roman" w:hAnsi="Times New Roman" w:cs="Times New Roman" w:eastAsia="Times New Roman"/>
          <w:color w:val="222222"/>
          <w:spacing w:val="0"/>
          <w:position w:val="0"/>
          <w:sz w:val="24"/>
          <w:shd w:fill="FFFFFF" w:val="clear"/>
        </w:rPr>
        <w:t xml:space="preserve">, p.101949.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FFFFFF" w:val="clear"/>
          </w:rPr>
          <w:t xml:space="preserve">https://www.sciencedirect.com/science/article/pii/S096969891830777X</w:t>
        </w:r>
      </w:hyperlink>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Moghaddam, R.G., Davoudi, M., Adel, S.M.R. and Amirian, S.M.R., 2020. Reflective teaching through journal writing: A study on EFL teachers’ reflection-for-action, reflection-in-action, and reflection-on-action. </w:t>
      </w:r>
      <w:r>
        <w:rPr>
          <w:rFonts w:ascii="Times New Roman" w:hAnsi="Times New Roman" w:cs="Times New Roman" w:eastAsia="Times New Roman"/>
          <w:i/>
          <w:color w:val="222222"/>
          <w:spacing w:val="0"/>
          <w:position w:val="0"/>
          <w:sz w:val="24"/>
          <w:shd w:fill="FFFFFF" w:val="clear"/>
        </w:rPr>
        <w:t xml:space="preserve">English Teaching &amp; Learning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44</w:t>
      </w:r>
      <w:r>
        <w:rPr>
          <w:rFonts w:ascii="Times New Roman" w:hAnsi="Times New Roman" w:cs="Times New Roman" w:eastAsia="Times New Roman"/>
          <w:color w:val="222222"/>
          <w:spacing w:val="0"/>
          <w:position w:val="0"/>
          <w:sz w:val="24"/>
          <w:shd w:fill="FFFFFF" w:val="clear"/>
        </w:rPr>
        <w:t xml:space="preserve">(3), pp.277-296.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https://link.springer.com/article/10.1007/s42321-019-00041-2</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Pratt, B. and de Vries, J., 2018. Community engagement in global health research that advances health equity. </w:t>
      </w:r>
      <w:r>
        <w:rPr>
          <w:rFonts w:ascii="Times New Roman" w:hAnsi="Times New Roman" w:cs="Times New Roman" w:eastAsia="Times New Roman"/>
          <w:i/>
          <w:color w:val="222222"/>
          <w:spacing w:val="0"/>
          <w:position w:val="0"/>
          <w:sz w:val="24"/>
          <w:shd w:fill="FFFFFF" w:val="clear"/>
        </w:rPr>
        <w:t xml:space="preserve">Bioethics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32</w:t>
      </w:r>
      <w:r>
        <w:rPr>
          <w:rFonts w:ascii="Times New Roman" w:hAnsi="Times New Roman" w:cs="Times New Roman" w:eastAsia="Times New Roman"/>
          <w:color w:val="222222"/>
          <w:spacing w:val="0"/>
          <w:position w:val="0"/>
          <w:sz w:val="24"/>
          <w:shd w:fill="FFFFFF" w:val="clear"/>
        </w:rPr>
        <w:t xml:space="preserve">(7), pp.454-463.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https://onlinelibrary.wiley.com/doi/abs/10.1111/bioe.12465</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Ramsbottom, A., O’Brien, E., Ciotti, L. and Takacs, J., 2018. Enablers and barriers to community engagement in public health emergency preparedness: a literature review. </w:t>
      </w:r>
      <w:r>
        <w:rPr>
          <w:rFonts w:ascii="Times New Roman" w:hAnsi="Times New Roman" w:cs="Times New Roman" w:eastAsia="Times New Roman"/>
          <w:i/>
          <w:color w:val="222222"/>
          <w:spacing w:val="0"/>
          <w:position w:val="0"/>
          <w:sz w:val="24"/>
          <w:shd w:fill="FFFFFF" w:val="clear"/>
        </w:rPr>
        <w:t xml:space="preserve">Journal of community health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43</w:t>
      </w:r>
      <w:r>
        <w:rPr>
          <w:rFonts w:ascii="Times New Roman" w:hAnsi="Times New Roman" w:cs="Times New Roman" w:eastAsia="Times New Roman"/>
          <w:color w:val="222222"/>
          <w:spacing w:val="0"/>
          <w:position w:val="0"/>
          <w:sz w:val="24"/>
          <w:shd w:fill="FFFFFF" w:val="clear"/>
        </w:rPr>
        <w:t xml:space="preserve">(2), pp.412-420.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https://link.springer.com/article/10.1007/s10900-017-0415-7</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Scope., 2020. </w:t>
      </w:r>
      <w:r>
        <w:rPr>
          <w:rFonts w:ascii="Times New Roman" w:hAnsi="Times New Roman" w:cs="Times New Roman" w:eastAsia="Times New Roman"/>
          <w:i/>
          <w:color w:val="auto"/>
          <w:spacing w:val="0"/>
          <w:position w:val="0"/>
          <w:sz w:val="24"/>
          <w:shd w:fill="auto" w:val="clear"/>
        </w:rPr>
        <w:t xml:space="preserve">Community Engagement | Disability charity Scope UK.</w:t>
      </w:r>
      <w:r>
        <w:rPr>
          <w:rFonts w:ascii="Times New Roman" w:hAnsi="Times New Roman" w:cs="Times New Roman" w:eastAsia="Times New Roman"/>
          <w:color w:val="auto"/>
          <w:spacing w:val="0"/>
          <w:position w:val="0"/>
          <w:sz w:val="24"/>
          <w:shd w:fill="auto" w:val="clear"/>
        </w:rPr>
        <w:t xml:space="preserve"> [online] Scope. Available at: </w:t>
      </w:r>
      <w:hyperlink xmlns:r="http://schemas.openxmlformats.org/officeDocument/2006/relationships" r:id="docRId8">
        <w:r>
          <w:rPr>
            <w:rFonts w:ascii="Times New Roman" w:hAnsi="Times New Roman" w:cs="Times New Roman" w:eastAsia="Times New Roman"/>
            <w:color w:val="1155CC"/>
            <w:spacing w:val="0"/>
            <w:position w:val="0"/>
            <w:sz w:val="24"/>
            <w:u w:val="single"/>
            <w:shd w:fill="auto" w:val="clear"/>
          </w:rPr>
          <w:t xml:space="preserve">https://www.scope.org.uk/community-engagement-programme/#:~:text=Scope</w:t>
        </w:r>
      </w:hyperlink>
      <w:r>
        <w:rPr>
          <w:rFonts w:ascii="Times New Roman" w:hAnsi="Times New Roman" w:cs="Times New Roman" w:eastAsia="Times New Roman"/>
          <w:color w:val="auto"/>
          <w:spacing w:val="0"/>
          <w:position w:val="0"/>
          <w:sz w:val="24"/>
          <w:shd w:fill="auto" w:val="clear"/>
        </w:rPr>
        <w:t xml:space="preserve"> [Accessed 16 Mar. 2022].</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Smith., 2018. 5 </w:t>
      </w:r>
      <w:r>
        <w:rPr>
          <w:rFonts w:ascii="Times New Roman" w:hAnsi="Times New Roman" w:cs="Times New Roman" w:eastAsia="Times New Roman"/>
          <w:i/>
          <w:color w:val="auto"/>
          <w:spacing w:val="0"/>
          <w:position w:val="0"/>
          <w:sz w:val="24"/>
          <w:shd w:fill="auto" w:val="clear"/>
        </w:rPr>
        <w:t xml:space="preserve">Interpersonal Skills Every Project Manager Should Possess. </w:t>
      </w:r>
      <w:r>
        <w:rPr>
          <w:rFonts w:ascii="Times New Roman" w:hAnsi="Times New Roman" w:cs="Times New Roman" w:eastAsia="Times New Roman"/>
          <w:color w:val="auto"/>
          <w:spacing w:val="0"/>
          <w:position w:val="0"/>
          <w:sz w:val="24"/>
          <w:shd w:fill="auto" w:val="clear"/>
        </w:rPr>
        <w:t xml:space="preserve">[online] Construction Business Owner Magazine.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https://www.constructionbusinessowner.com/management/5-interpersonal-skills-every-project-manager-should-possess</w:t>
        </w:r>
      </w:hyperlink>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Steinmetz, C., Rahmat, H., Marshall, N., Bishop, K., Thompson, S., Park, M., Corkery, L. and Tietz, C., 2021. Liking, Tweeting and Posting: An Analysis of Community Engagement through Social Media Platforms. </w:t>
      </w:r>
      <w:r>
        <w:rPr>
          <w:rFonts w:ascii="Times New Roman" w:hAnsi="Times New Roman" w:cs="Times New Roman" w:eastAsia="Times New Roman"/>
          <w:i/>
          <w:color w:val="222222"/>
          <w:spacing w:val="0"/>
          <w:position w:val="0"/>
          <w:sz w:val="24"/>
          <w:shd w:fill="FFFFFF" w:val="clear"/>
        </w:rPr>
        <w:t xml:space="preserve">Urban Policy and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(1), pp.85-105.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FFFFFF" w:val="clear"/>
          </w:rPr>
          <w:t xml:space="preserve">https://www.tandfonline.com/doi/abs/10.1080/08111146.2020.1792283</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Törlind, P. and Eklöf, L., 2021. Strategic development of personal and interpersonal skills. In</w:t>
      </w:r>
      <w:r>
        <w:rPr>
          <w:rFonts w:ascii="Times New Roman" w:hAnsi="Times New Roman" w:cs="Times New Roman" w:eastAsia="Times New Roman"/>
          <w:i/>
          <w:color w:val="auto"/>
          <w:spacing w:val="0"/>
          <w:position w:val="0"/>
          <w:sz w:val="24"/>
          <w:shd w:fill="auto" w:val="clear"/>
        </w:rPr>
        <w:t xml:space="preserve"> DS 110: Proceedings of the 23rd International Conference on Engineering and Product Design Education (E&amp;PDE 2021), VIA Design, VIA University in Herning, Denmark. 9th-10th September 2021.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https://www.designsociety.org/publication/43503/STRATEGIC+DEVELOPMENT+OF+PERSONAL+AND+INTERPERSONAL+SKILLS</w:t>
        </w:r>
      </w:hyperlink>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ode="External" Target="https://www.sciencedirect.com/science/article/pii/S0264275119307450" Id="docRId3" Type="http://schemas.openxmlformats.org/officeDocument/2006/relationships/hyperlink" /><Relationship TargetMode="External" Target="https://link.springer.com/article/10.1007/s10900-017-0415-7" Id="docRId7" Type="http://schemas.openxmlformats.org/officeDocument/2006/relationships/hyperlink" /><Relationship TargetMode="External" Target="https://www.tandfonline.com/doi/abs/10.1080/08111146.2020.1792283" Id="docRId10" Type="http://schemas.openxmlformats.org/officeDocument/2006/relationships/hyperlink" /><Relationship TargetMode="External" Target="https://muse.jhu.edu/article/743598/summary" Id="docRId2" Type="http://schemas.openxmlformats.org/officeDocument/2006/relationships/hyperlink" /><Relationship TargetMode="External" Target="https://onlinelibrary.wiley.com/doi/abs/10.1111/bioe.12465" Id="docRId6" Type="http://schemas.openxmlformats.org/officeDocument/2006/relationships/hyperlink" /><Relationship TargetMode="External" Target="https://journals.sagepub.com/doi/abs/10.1177/1178221819876575" Id="docRId1" Type="http://schemas.openxmlformats.org/officeDocument/2006/relationships/hyperlink" /><Relationship TargetMode="External" Target="https://www.designsociety.org/publication/43503/STRATEGIC+DEVELOPMENT+OF+PERSONAL+AND+INTERPERSONAL+SKILLS" Id="docRId11" Type="http://schemas.openxmlformats.org/officeDocument/2006/relationships/hyperlink" /><Relationship TargetMode="External" Target="https://link.springer.com/article/10.1007/s42321-019-00041-2" Id="docRId5" Type="http://schemas.openxmlformats.org/officeDocument/2006/relationships/hyperlink" /><Relationship TargetMode="External" Target="https://www.constructionbusinessowner.com/management/5-interpersonal-skills-every-project-manager-should-possess" Id="docRId9" Type="http://schemas.openxmlformats.org/officeDocument/2006/relationships/hyperlink" /><Relationship TargetMode="External" Target="https://macsphere.mcmaster.ca/handle/11375/24858" Id="docRId0" Type="http://schemas.openxmlformats.org/officeDocument/2006/relationships/hyperlink" /><Relationship Target="numbering.xml" Id="docRId12" Type="http://schemas.openxmlformats.org/officeDocument/2006/relationships/numbering" /><Relationship TargetMode="External" Target="https://www.sciencedirect.com/science/article/pii/S096969891830777X" Id="docRId4" Type="http://schemas.openxmlformats.org/officeDocument/2006/relationships/hyperlink" /><Relationship TargetMode="External" Target="https://www.scope.org.uk/community-engagement-programme/" Id="docRId8" Type="http://schemas.openxmlformats.org/officeDocument/2006/relationships/hyperlink" /></Relationships>
</file>