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153C7" w14:textId="2F1DE07D" w:rsidR="00834C69" w:rsidRDefault="00834C69" w:rsidP="00834C69">
      <w:pPr>
        <w:spacing w:after="200"/>
        <w:jc w:val="center"/>
      </w:pPr>
      <w:r>
        <w:rPr>
          <w:noProof/>
        </w:rPr>
        <w:drawing>
          <wp:inline distT="0" distB="0" distL="0" distR="0" wp14:anchorId="113EF673" wp14:editId="2E668C37">
            <wp:extent cx="6037804" cy="2112335"/>
            <wp:effectExtent l="0" t="0" r="0" b="0"/>
            <wp:docPr id="2" name="Picture 1" descr="UWTSD Named UK University of the Year for Teaching Quality">
              <a:extLst xmlns:a="http://schemas.openxmlformats.org/drawingml/2006/main">
                <a:ext uri="{FF2B5EF4-FFF2-40B4-BE49-F238E27FC236}">
                  <a16:creationId xmlns:a16="http://schemas.microsoft.com/office/drawing/2014/main" id="{C4FDA09C-26C5-3315-37CA-152CE40C4A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Named UK University of the Year for Teaching Quality">
                      <a:extLst>
                        <a:ext uri="{FF2B5EF4-FFF2-40B4-BE49-F238E27FC236}">
                          <a16:creationId xmlns:a16="http://schemas.microsoft.com/office/drawing/2014/main" id="{C4FDA09C-26C5-3315-37CA-152CE40C4A44}"/>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t="14410" b="17897"/>
                    <a:stretch>
                      <a:fillRect/>
                    </a:stretch>
                  </pic:blipFill>
                  <pic:spPr bwMode="auto">
                    <a:xfrm>
                      <a:off x="0" y="0"/>
                      <a:ext cx="6207362" cy="2171655"/>
                    </a:xfrm>
                    <a:prstGeom prst="rect">
                      <a:avLst/>
                    </a:prstGeom>
                    <a:noFill/>
                  </pic:spPr>
                </pic:pic>
              </a:graphicData>
            </a:graphic>
          </wp:inline>
        </w:drawing>
      </w:r>
    </w:p>
    <w:p w14:paraId="3E90A2CD" w14:textId="77777777" w:rsidR="00834C69" w:rsidRDefault="00834C69">
      <w:pPr>
        <w:spacing w:after="200"/>
        <w:jc w:val="center"/>
      </w:pPr>
    </w:p>
    <w:p w14:paraId="01A4607F" w14:textId="304075C7" w:rsidR="00606D62" w:rsidRPr="00834C69" w:rsidRDefault="00000000">
      <w:pPr>
        <w:spacing w:after="200"/>
        <w:jc w:val="center"/>
        <w:rPr>
          <w:sz w:val="48"/>
          <w:szCs w:val="48"/>
        </w:rPr>
      </w:pPr>
      <w:r w:rsidRPr="00834C69">
        <w:rPr>
          <w:b/>
          <w:bCs/>
          <w:color w:val="0B2A4A"/>
          <w:sz w:val="48"/>
          <w:szCs w:val="48"/>
        </w:rPr>
        <w:t>Service Improvement Report</w:t>
      </w:r>
    </w:p>
    <w:p w14:paraId="1A16A14F" w14:textId="77777777" w:rsidR="00606D62" w:rsidRPr="00834C69" w:rsidRDefault="00000000">
      <w:pPr>
        <w:spacing w:after="400"/>
        <w:jc w:val="center"/>
        <w:rPr>
          <w:color w:val="000000" w:themeColor="text1"/>
          <w:sz w:val="36"/>
          <w:szCs w:val="36"/>
        </w:rPr>
      </w:pPr>
      <w:r w:rsidRPr="00834C69">
        <w:rPr>
          <w:b/>
          <w:bCs/>
          <w:color w:val="000000" w:themeColor="text1"/>
          <w:sz w:val="36"/>
          <w:szCs w:val="36"/>
        </w:rPr>
        <w:t>Analysing Quality and Service Improvement in Health and Social Care: The Lucy Letby Case, Countess of Chester Hospital</w:t>
      </w:r>
    </w:p>
    <w:p w14:paraId="71371DE0" w14:textId="77777777" w:rsidR="00606D62" w:rsidRPr="00834C69" w:rsidRDefault="00000000">
      <w:pPr>
        <w:spacing w:after="80"/>
        <w:jc w:val="center"/>
        <w:rPr>
          <w:color w:val="000000" w:themeColor="text1"/>
          <w:sz w:val="32"/>
          <w:szCs w:val="32"/>
        </w:rPr>
      </w:pPr>
      <w:r w:rsidRPr="00834C69">
        <w:rPr>
          <w:color w:val="000000" w:themeColor="text1"/>
          <w:sz w:val="32"/>
          <w:szCs w:val="32"/>
        </w:rPr>
        <w:t>M.Sc. Public Health and Social Care in Practice</w:t>
      </w:r>
    </w:p>
    <w:p w14:paraId="6A821F55" w14:textId="77777777" w:rsidR="00606D62" w:rsidRPr="00834C69" w:rsidRDefault="00000000">
      <w:pPr>
        <w:spacing w:after="80"/>
        <w:jc w:val="center"/>
        <w:rPr>
          <w:color w:val="000000" w:themeColor="text1"/>
          <w:sz w:val="32"/>
          <w:szCs w:val="32"/>
        </w:rPr>
      </w:pPr>
      <w:r w:rsidRPr="00834C69">
        <w:rPr>
          <w:color w:val="000000" w:themeColor="text1"/>
          <w:sz w:val="32"/>
          <w:szCs w:val="32"/>
        </w:rPr>
        <w:t>Module Code: LCHS7006 – Quality Assurance and Service Improvements</w:t>
      </w:r>
    </w:p>
    <w:p w14:paraId="1CF8F931" w14:textId="13BBAD4D" w:rsidR="00606D62" w:rsidRPr="00834C69" w:rsidRDefault="00000000">
      <w:pPr>
        <w:spacing w:after="80"/>
        <w:jc w:val="center"/>
        <w:rPr>
          <w:color w:val="000000" w:themeColor="text1"/>
          <w:sz w:val="32"/>
          <w:szCs w:val="32"/>
        </w:rPr>
      </w:pPr>
      <w:r w:rsidRPr="00834C69">
        <w:rPr>
          <w:color w:val="000000" w:themeColor="text1"/>
          <w:sz w:val="32"/>
          <w:szCs w:val="32"/>
        </w:rPr>
        <w:t xml:space="preserve">Student Name: Amit </w:t>
      </w:r>
      <w:r w:rsidR="00B07A8B" w:rsidRPr="00834C69">
        <w:rPr>
          <w:color w:val="000000" w:themeColor="text1"/>
          <w:sz w:val="32"/>
          <w:szCs w:val="32"/>
        </w:rPr>
        <w:t>Tiwari |</w:t>
      </w:r>
      <w:r w:rsidRPr="00834C69">
        <w:rPr>
          <w:color w:val="000000" w:themeColor="text1"/>
          <w:sz w:val="32"/>
          <w:szCs w:val="32"/>
        </w:rPr>
        <w:t xml:space="preserve">  Student ID: 2526931</w:t>
      </w:r>
    </w:p>
    <w:p w14:paraId="167C8334" w14:textId="77777777" w:rsidR="00606D62" w:rsidRPr="00834C69" w:rsidRDefault="00000000">
      <w:pPr>
        <w:spacing w:after="400"/>
        <w:jc w:val="center"/>
        <w:rPr>
          <w:color w:val="000000" w:themeColor="text1"/>
          <w:sz w:val="32"/>
          <w:szCs w:val="32"/>
        </w:rPr>
      </w:pPr>
      <w:r w:rsidRPr="00834C69">
        <w:rPr>
          <w:color w:val="000000" w:themeColor="text1"/>
          <w:sz w:val="32"/>
          <w:szCs w:val="32"/>
        </w:rPr>
        <w:t xml:space="preserve">Lecturer: </w:t>
      </w:r>
      <w:proofErr w:type="spellStart"/>
      <w:r w:rsidRPr="00834C69">
        <w:rPr>
          <w:color w:val="000000" w:themeColor="text1"/>
          <w:sz w:val="32"/>
          <w:szCs w:val="32"/>
        </w:rPr>
        <w:t>Dilhara</w:t>
      </w:r>
      <w:proofErr w:type="spellEnd"/>
      <w:r w:rsidRPr="00834C69">
        <w:rPr>
          <w:color w:val="000000" w:themeColor="text1"/>
          <w:sz w:val="32"/>
          <w:szCs w:val="32"/>
        </w:rPr>
        <w:t xml:space="preserve"> </w:t>
      </w:r>
      <w:proofErr w:type="spellStart"/>
      <w:r w:rsidRPr="00834C69">
        <w:rPr>
          <w:color w:val="000000" w:themeColor="text1"/>
          <w:sz w:val="32"/>
          <w:szCs w:val="32"/>
        </w:rPr>
        <w:t>Mampitiya</w:t>
      </w:r>
      <w:proofErr w:type="spellEnd"/>
    </w:p>
    <w:p w14:paraId="41C2106C" w14:textId="77777777" w:rsidR="00606D62" w:rsidRDefault="00000000">
      <w:r>
        <w:br w:type="page"/>
      </w:r>
    </w:p>
    <w:p w14:paraId="4CFCD15B" w14:textId="77777777" w:rsidR="00606D62" w:rsidRPr="00834C69" w:rsidRDefault="00000000">
      <w:pPr>
        <w:spacing w:before="200" w:after="260"/>
        <w:rPr>
          <w:color w:val="000000" w:themeColor="text1"/>
          <w:sz w:val="32"/>
          <w:szCs w:val="32"/>
        </w:rPr>
      </w:pPr>
      <w:r w:rsidRPr="00834C69">
        <w:rPr>
          <w:b/>
          <w:bCs/>
          <w:color w:val="000000" w:themeColor="text1"/>
          <w:sz w:val="32"/>
          <w:szCs w:val="32"/>
        </w:rPr>
        <w:lastRenderedPageBreak/>
        <w:t>Table of Contents</w:t>
      </w:r>
    </w:p>
    <w:p w14:paraId="19F86CE6" w14:textId="1D6863BB" w:rsidR="00606D62" w:rsidRPr="00834C69" w:rsidRDefault="00000000">
      <w:pPr>
        <w:spacing w:after="140"/>
        <w:rPr>
          <w:color w:val="000000" w:themeColor="text1"/>
          <w:sz w:val="28"/>
          <w:szCs w:val="28"/>
        </w:rPr>
      </w:pPr>
      <w:r w:rsidRPr="00834C69">
        <w:rPr>
          <w:color w:val="000000" w:themeColor="text1"/>
          <w:sz w:val="28"/>
          <w:szCs w:val="28"/>
        </w:rPr>
        <w:t>1. Introduction</w:t>
      </w:r>
      <w:r w:rsidR="00D716E2">
        <w:rPr>
          <w:color w:val="000000" w:themeColor="text1"/>
          <w:sz w:val="28"/>
          <w:szCs w:val="28"/>
        </w:rPr>
        <w:t>………………………………………………………………… 4</w:t>
      </w:r>
    </w:p>
    <w:p w14:paraId="6A76690D" w14:textId="73C1EB66" w:rsidR="00606D62" w:rsidRPr="00834C69" w:rsidRDefault="00000000">
      <w:pPr>
        <w:spacing w:after="140"/>
        <w:rPr>
          <w:color w:val="000000" w:themeColor="text1"/>
          <w:sz w:val="28"/>
          <w:szCs w:val="28"/>
        </w:rPr>
      </w:pPr>
      <w:r w:rsidRPr="00834C69">
        <w:rPr>
          <w:color w:val="000000" w:themeColor="text1"/>
          <w:sz w:val="28"/>
          <w:szCs w:val="28"/>
        </w:rPr>
        <w:t>2. Main Body</w:t>
      </w:r>
      <w:r w:rsidR="00D716E2">
        <w:rPr>
          <w:color w:val="000000" w:themeColor="text1"/>
          <w:sz w:val="28"/>
          <w:szCs w:val="28"/>
        </w:rPr>
        <w:t>…………………………………………………………………. 6</w:t>
      </w:r>
    </w:p>
    <w:p w14:paraId="5BA90C16" w14:textId="600061AE" w:rsidR="00606D62" w:rsidRPr="00834C69" w:rsidRDefault="00000000">
      <w:pPr>
        <w:spacing w:after="140"/>
        <w:rPr>
          <w:color w:val="000000" w:themeColor="text1"/>
          <w:sz w:val="28"/>
          <w:szCs w:val="28"/>
        </w:rPr>
      </w:pPr>
      <w:r w:rsidRPr="00834C69">
        <w:rPr>
          <w:color w:val="000000" w:themeColor="text1"/>
          <w:sz w:val="28"/>
          <w:szCs w:val="28"/>
        </w:rPr>
        <w:t xml:space="preserve">     2.1 Root Cause Analysis: The Fishbone Diagram</w:t>
      </w:r>
      <w:r w:rsidR="00D716E2">
        <w:rPr>
          <w:color w:val="000000" w:themeColor="text1"/>
          <w:sz w:val="28"/>
          <w:szCs w:val="28"/>
        </w:rPr>
        <w:t xml:space="preserve"> ………………………... 6</w:t>
      </w:r>
    </w:p>
    <w:p w14:paraId="7F418533" w14:textId="4E61C163" w:rsidR="00606D62" w:rsidRPr="00834C69" w:rsidRDefault="00000000">
      <w:pPr>
        <w:spacing w:after="140"/>
        <w:rPr>
          <w:color w:val="000000" w:themeColor="text1"/>
          <w:sz w:val="28"/>
          <w:szCs w:val="28"/>
        </w:rPr>
      </w:pPr>
      <w:r w:rsidRPr="00834C69">
        <w:rPr>
          <w:color w:val="000000" w:themeColor="text1"/>
          <w:sz w:val="28"/>
          <w:szCs w:val="28"/>
        </w:rPr>
        <w:t xml:space="preserve">     2.2 The Donabedian Model: Structure, Process, Outcome</w:t>
      </w:r>
      <w:r w:rsidR="00D716E2">
        <w:rPr>
          <w:color w:val="000000" w:themeColor="text1"/>
          <w:sz w:val="28"/>
          <w:szCs w:val="28"/>
        </w:rPr>
        <w:t xml:space="preserve"> ………………. 7</w:t>
      </w:r>
    </w:p>
    <w:p w14:paraId="56E8C43C" w14:textId="3ABD0B90" w:rsidR="00D716E2" w:rsidRPr="00834C69" w:rsidRDefault="00000000">
      <w:pPr>
        <w:spacing w:after="140"/>
        <w:rPr>
          <w:color w:val="000000" w:themeColor="text1"/>
          <w:sz w:val="28"/>
          <w:szCs w:val="28"/>
        </w:rPr>
      </w:pPr>
      <w:r w:rsidRPr="00834C69">
        <w:rPr>
          <w:color w:val="000000" w:themeColor="text1"/>
          <w:sz w:val="28"/>
          <w:szCs w:val="28"/>
        </w:rPr>
        <w:t xml:space="preserve">     2.3 Strategic Analysis: SWOT</w:t>
      </w:r>
      <w:r w:rsidR="00D716E2">
        <w:rPr>
          <w:color w:val="000000" w:themeColor="text1"/>
          <w:sz w:val="28"/>
          <w:szCs w:val="28"/>
        </w:rPr>
        <w:t xml:space="preserve"> ……………………………………………. 8</w:t>
      </w:r>
    </w:p>
    <w:p w14:paraId="06695B45" w14:textId="576AAA80" w:rsidR="00606D62" w:rsidRPr="00834C69" w:rsidRDefault="00000000">
      <w:pPr>
        <w:spacing w:after="140"/>
        <w:rPr>
          <w:color w:val="000000" w:themeColor="text1"/>
          <w:sz w:val="28"/>
          <w:szCs w:val="28"/>
        </w:rPr>
      </w:pPr>
      <w:r w:rsidRPr="00834C69">
        <w:rPr>
          <w:color w:val="000000" w:themeColor="text1"/>
          <w:sz w:val="28"/>
          <w:szCs w:val="28"/>
        </w:rPr>
        <w:t xml:space="preserve">     2.4 Critical Synthesis</w:t>
      </w:r>
      <w:r w:rsidR="00D716E2">
        <w:rPr>
          <w:color w:val="000000" w:themeColor="text1"/>
          <w:sz w:val="28"/>
          <w:szCs w:val="28"/>
        </w:rPr>
        <w:t xml:space="preserve"> ……………………………………………………… 9</w:t>
      </w:r>
    </w:p>
    <w:p w14:paraId="12DF25C2" w14:textId="7AF1ADCB" w:rsidR="00606D62" w:rsidRPr="00834C69" w:rsidRDefault="00000000">
      <w:pPr>
        <w:spacing w:after="140"/>
        <w:rPr>
          <w:color w:val="000000" w:themeColor="text1"/>
          <w:sz w:val="28"/>
          <w:szCs w:val="28"/>
        </w:rPr>
      </w:pPr>
      <w:r w:rsidRPr="00834C69">
        <w:rPr>
          <w:color w:val="000000" w:themeColor="text1"/>
          <w:sz w:val="28"/>
          <w:szCs w:val="28"/>
        </w:rPr>
        <w:t>3. Recommendations</w:t>
      </w:r>
      <w:r w:rsidR="00D716E2">
        <w:rPr>
          <w:color w:val="000000" w:themeColor="text1"/>
          <w:sz w:val="28"/>
          <w:szCs w:val="28"/>
        </w:rPr>
        <w:t xml:space="preserve"> …………………………………………………………. 11</w:t>
      </w:r>
    </w:p>
    <w:p w14:paraId="15B84617" w14:textId="1997B6EC" w:rsidR="00606D62" w:rsidRPr="00834C69" w:rsidRDefault="00000000">
      <w:pPr>
        <w:spacing w:after="140"/>
        <w:rPr>
          <w:color w:val="000000" w:themeColor="text1"/>
          <w:sz w:val="28"/>
          <w:szCs w:val="28"/>
        </w:rPr>
      </w:pPr>
      <w:r w:rsidRPr="00834C69">
        <w:rPr>
          <w:color w:val="000000" w:themeColor="text1"/>
          <w:sz w:val="28"/>
          <w:szCs w:val="28"/>
        </w:rPr>
        <w:t xml:space="preserve">     3.1 PDSA for Incident Escalation</w:t>
      </w:r>
      <w:r w:rsidR="00D716E2">
        <w:rPr>
          <w:color w:val="000000" w:themeColor="text1"/>
          <w:sz w:val="28"/>
          <w:szCs w:val="28"/>
        </w:rPr>
        <w:t xml:space="preserve"> ………………………………………… 11</w:t>
      </w:r>
    </w:p>
    <w:p w14:paraId="5965A630" w14:textId="5964597C" w:rsidR="00606D62" w:rsidRPr="00834C69" w:rsidRDefault="00000000">
      <w:pPr>
        <w:spacing w:after="140"/>
        <w:rPr>
          <w:color w:val="000000" w:themeColor="text1"/>
          <w:sz w:val="28"/>
          <w:szCs w:val="28"/>
        </w:rPr>
      </w:pPr>
      <w:r w:rsidRPr="00834C69">
        <w:rPr>
          <w:color w:val="000000" w:themeColor="text1"/>
          <w:sz w:val="28"/>
          <w:szCs w:val="28"/>
        </w:rPr>
        <w:t xml:space="preserve">     3.2 Lean and Six Sigma for Staffing and Process Variation</w:t>
      </w:r>
      <w:r w:rsidR="00D716E2">
        <w:rPr>
          <w:color w:val="000000" w:themeColor="text1"/>
          <w:sz w:val="28"/>
          <w:szCs w:val="28"/>
        </w:rPr>
        <w:t xml:space="preserve"> ………………12</w:t>
      </w:r>
    </w:p>
    <w:p w14:paraId="2BA5645E" w14:textId="52956AA7" w:rsidR="00606D62" w:rsidRPr="00834C69" w:rsidRDefault="00000000">
      <w:pPr>
        <w:spacing w:after="140"/>
        <w:rPr>
          <w:color w:val="000000" w:themeColor="text1"/>
          <w:sz w:val="28"/>
          <w:szCs w:val="28"/>
        </w:rPr>
      </w:pPr>
      <w:r w:rsidRPr="00834C69">
        <w:rPr>
          <w:color w:val="000000" w:themeColor="text1"/>
          <w:sz w:val="28"/>
          <w:szCs w:val="28"/>
        </w:rPr>
        <w:t xml:space="preserve">     3.3 Governance and Culture</w:t>
      </w:r>
      <w:r w:rsidR="00D716E2">
        <w:rPr>
          <w:color w:val="000000" w:themeColor="text1"/>
          <w:sz w:val="28"/>
          <w:szCs w:val="28"/>
        </w:rPr>
        <w:t xml:space="preserve"> ……………………………………………… 13</w:t>
      </w:r>
    </w:p>
    <w:p w14:paraId="03083754" w14:textId="459D9005" w:rsidR="00606D62" w:rsidRPr="00834C69" w:rsidRDefault="00000000">
      <w:pPr>
        <w:spacing w:after="140"/>
        <w:rPr>
          <w:color w:val="000000" w:themeColor="text1"/>
          <w:sz w:val="28"/>
          <w:szCs w:val="28"/>
        </w:rPr>
      </w:pPr>
      <w:r w:rsidRPr="00834C69">
        <w:rPr>
          <w:color w:val="000000" w:themeColor="text1"/>
          <w:sz w:val="28"/>
          <w:szCs w:val="28"/>
        </w:rPr>
        <w:t xml:space="preserve">     3.4 Implementation Sequence</w:t>
      </w:r>
      <w:r w:rsidR="00D716E2">
        <w:rPr>
          <w:color w:val="000000" w:themeColor="text1"/>
          <w:sz w:val="28"/>
          <w:szCs w:val="28"/>
        </w:rPr>
        <w:t xml:space="preserve"> ……………………………………………. 13</w:t>
      </w:r>
    </w:p>
    <w:p w14:paraId="6D3F4870" w14:textId="3EE67D83" w:rsidR="00606D62" w:rsidRPr="00834C69" w:rsidRDefault="00000000">
      <w:pPr>
        <w:spacing w:after="140"/>
        <w:rPr>
          <w:color w:val="000000" w:themeColor="text1"/>
          <w:sz w:val="28"/>
          <w:szCs w:val="28"/>
        </w:rPr>
      </w:pPr>
      <w:r w:rsidRPr="00834C69">
        <w:rPr>
          <w:color w:val="000000" w:themeColor="text1"/>
          <w:sz w:val="28"/>
          <w:szCs w:val="28"/>
        </w:rPr>
        <w:t>4. Conclusion</w:t>
      </w:r>
      <w:r w:rsidR="00D716E2">
        <w:rPr>
          <w:color w:val="000000" w:themeColor="text1"/>
          <w:sz w:val="28"/>
          <w:szCs w:val="28"/>
        </w:rPr>
        <w:t xml:space="preserve"> ………………………………………………………………… 14</w:t>
      </w:r>
    </w:p>
    <w:p w14:paraId="2FCAD000" w14:textId="4A94B7C6" w:rsidR="00606D62" w:rsidRDefault="00000000">
      <w:pPr>
        <w:spacing w:after="140"/>
      </w:pPr>
      <w:r w:rsidRPr="00834C69">
        <w:rPr>
          <w:color w:val="000000" w:themeColor="text1"/>
          <w:sz w:val="28"/>
          <w:szCs w:val="28"/>
        </w:rPr>
        <w:t>References</w:t>
      </w:r>
      <w:r w:rsidR="00D716E2">
        <w:rPr>
          <w:color w:val="000000" w:themeColor="text1"/>
          <w:sz w:val="28"/>
          <w:szCs w:val="28"/>
        </w:rPr>
        <w:t xml:space="preserve"> …………………………………………………………………… 15</w:t>
      </w:r>
    </w:p>
    <w:p w14:paraId="129A5C35" w14:textId="3DE22650" w:rsidR="003F660B" w:rsidRDefault="00000000">
      <w:r>
        <w:br w:type="page"/>
      </w:r>
    </w:p>
    <w:p w14:paraId="6267BEB0" w14:textId="77777777" w:rsidR="003F660B" w:rsidRDefault="003F660B" w:rsidP="003F660B">
      <w:pPr>
        <w:pStyle w:val="Heading1"/>
        <w:spacing w:before="320" w:after="180"/>
        <w:rPr>
          <w:b/>
          <w:bCs/>
          <w:color w:val="0B2A4A"/>
          <w:sz w:val="30"/>
          <w:szCs w:val="30"/>
        </w:rPr>
      </w:pPr>
      <w:bookmarkStart w:id="0" w:name="_Toc237528337"/>
      <w:r>
        <w:rPr>
          <w:b/>
          <w:bCs/>
          <w:color w:val="0B2A4A"/>
          <w:sz w:val="30"/>
          <w:szCs w:val="30"/>
        </w:rPr>
        <w:lastRenderedPageBreak/>
        <w:t>Abbreviations</w:t>
      </w:r>
      <w:bookmarkEnd w:id="0"/>
    </w:p>
    <w:p w14:paraId="48294EFB" w14:textId="3004D4DD" w:rsidR="003F660B" w:rsidRPr="003F660B" w:rsidRDefault="003F660B" w:rsidP="003F660B">
      <w:pPr>
        <w:pStyle w:val="Heading1"/>
        <w:spacing w:before="320" w:after="180"/>
        <w:rPr>
          <w:color w:val="000000" w:themeColor="text1"/>
          <w:sz w:val="28"/>
          <w:szCs w:val="28"/>
        </w:rPr>
      </w:pPr>
      <w:r w:rsidRPr="003F660B">
        <w:rPr>
          <w:color w:val="000000" w:themeColor="text1"/>
          <w:sz w:val="28"/>
          <w:szCs w:val="28"/>
        </w:rPr>
        <w:t xml:space="preserve">The following abbreviations are used throughout this </w:t>
      </w:r>
      <w:r w:rsidR="00B77B8B" w:rsidRPr="003F660B">
        <w:rPr>
          <w:color w:val="000000" w:themeColor="text1"/>
          <w:sz w:val="28"/>
          <w:szCs w:val="28"/>
        </w:rPr>
        <w:t>report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00"/>
      </w:tblGrid>
      <w:tr w:rsidR="003F660B" w14:paraId="32E2D6EA" w14:textId="77777777" w:rsidTr="004065D4">
        <w:tc>
          <w:tcPr>
            <w:tcW w:w="2200" w:type="dxa"/>
            <w:shd w:val="clear" w:color="auto" w:fill="0B2A4A"/>
            <w:tcMar>
              <w:top w:w="80" w:type="dxa"/>
              <w:left w:w="120" w:type="dxa"/>
              <w:bottom w:w="80" w:type="dxa"/>
              <w:right w:w="120" w:type="dxa"/>
            </w:tcMar>
          </w:tcPr>
          <w:p w14:paraId="64EA7CF4" w14:textId="77777777" w:rsidR="003F660B" w:rsidRDefault="003F660B" w:rsidP="004065D4">
            <w:r>
              <w:rPr>
                <w:b/>
                <w:bCs/>
                <w:color w:val="FFFFFF"/>
                <w:sz w:val="22"/>
                <w:szCs w:val="22"/>
              </w:rPr>
              <w:t>Abbreviation</w:t>
            </w:r>
          </w:p>
        </w:tc>
        <w:tc>
          <w:tcPr>
            <w:tcW w:w="6800" w:type="dxa"/>
            <w:shd w:val="clear" w:color="auto" w:fill="0B2A4A"/>
            <w:tcMar>
              <w:top w:w="80" w:type="dxa"/>
              <w:left w:w="120" w:type="dxa"/>
              <w:bottom w:w="80" w:type="dxa"/>
              <w:right w:w="120" w:type="dxa"/>
            </w:tcMar>
          </w:tcPr>
          <w:p w14:paraId="12C88D56" w14:textId="77777777" w:rsidR="003F660B" w:rsidRDefault="003F660B" w:rsidP="004065D4">
            <w:r>
              <w:rPr>
                <w:b/>
                <w:bCs/>
                <w:color w:val="FFFFFF"/>
                <w:sz w:val="22"/>
                <w:szCs w:val="22"/>
              </w:rPr>
              <w:t>Full Term</w:t>
            </w:r>
          </w:p>
        </w:tc>
      </w:tr>
      <w:tr w:rsidR="003F660B" w14:paraId="18291DAA" w14:textId="77777777" w:rsidTr="004065D4">
        <w:tc>
          <w:tcPr>
            <w:tcW w:w="2200" w:type="dxa"/>
            <w:tcMar>
              <w:top w:w="80" w:type="dxa"/>
              <w:left w:w="120" w:type="dxa"/>
              <w:bottom w:w="80" w:type="dxa"/>
              <w:right w:w="120" w:type="dxa"/>
            </w:tcMar>
          </w:tcPr>
          <w:p w14:paraId="435B8B1A" w14:textId="77777777" w:rsidR="003F660B" w:rsidRDefault="003F660B" w:rsidP="004065D4">
            <w:r>
              <w:rPr>
                <w:b/>
                <w:bCs/>
                <w:sz w:val="22"/>
                <w:szCs w:val="22"/>
              </w:rPr>
              <w:t>BBC</w:t>
            </w:r>
          </w:p>
        </w:tc>
        <w:tc>
          <w:tcPr>
            <w:tcW w:w="6800" w:type="dxa"/>
            <w:tcMar>
              <w:top w:w="80" w:type="dxa"/>
              <w:left w:w="120" w:type="dxa"/>
              <w:bottom w:w="80" w:type="dxa"/>
              <w:right w:w="120" w:type="dxa"/>
            </w:tcMar>
          </w:tcPr>
          <w:p w14:paraId="29F431D9" w14:textId="77777777" w:rsidR="003F660B" w:rsidRDefault="003F660B" w:rsidP="004065D4">
            <w:r>
              <w:rPr>
                <w:sz w:val="22"/>
                <w:szCs w:val="22"/>
              </w:rPr>
              <w:t>British Broadcasting Corporation</w:t>
            </w:r>
          </w:p>
        </w:tc>
      </w:tr>
      <w:tr w:rsidR="003F660B" w14:paraId="1F1EE00B" w14:textId="77777777" w:rsidTr="004065D4">
        <w:tc>
          <w:tcPr>
            <w:tcW w:w="2200" w:type="dxa"/>
            <w:tcMar>
              <w:top w:w="80" w:type="dxa"/>
              <w:left w:w="120" w:type="dxa"/>
              <w:bottom w:w="80" w:type="dxa"/>
              <w:right w:w="120" w:type="dxa"/>
            </w:tcMar>
          </w:tcPr>
          <w:p w14:paraId="7C63AF56" w14:textId="77777777" w:rsidR="003F660B" w:rsidRDefault="003F660B" w:rsidP="004065D4">
            <w:r>
              <w:rPr>
                <w:b/>
                <w:bCs/>
                <w:sz w:val="22"/>
                <w:szCs w:val="22"/>
              </w:rPr>
              <w:t>BMJ</w:t>
            </w:r>
          </w:p>
        </w:tc>
        <w:tc>
          <w:tcPr>
            <w:tcW w:w="6800" w:type="dxa"/>
            <w:tcMar>
              <w:top w:w="80" w:type="dxa"/>
              <w:left w:w="120" w:type="dxa"/>
              <w:bottom w:w="80" w:type="dxa"/>
              <w:right w:w="120" w:type="dxa"/>
            </w:tcMar>
          </w:tcPr>
          <w:p w14:paraId="174A795F" w14:textId="77777777" w:rsidR="003F660B" w:rsidRDefault="003F660B" w:rsidP="004065D4">
            <w:r>
              <w:rPr>
                <w:sz w:val="22"/>
                <w:szCs w:val="22"/>
              </w:rPr>
              <w:t>British Medical Journal</w:t>
            </w:r>
          </w:p>
        </w:tc>
      </w:tr>
      <w:tr w:rsidR="003F660B" w14:paraId="5387AF3C" w14:textId="77777777" w:rsidTr="004065D4">
        <w:tc>
          <w:tcPr>
            <w:tcW w:w="2200" w:type="dxa"/>
            <w:tcMar>
              <w:top w:w="80" w:type="dxa"/>
              <w:left w:w="120" w:type="dxa"/>
              <w:bottom w:w="80" w:type="dxa"/>
              <w:right w:w="120" w:type="dxa"/>
            </w:tcMar>
          </w:tcPr>
          <w:p w14:paraId="7E85D81D" w14:textId="77777777" w:rsidR="003F660B" w:rsidRDefault="003F660B" w:rsidP="004065D4">
            <w:r>
              <w:rPr>
                <w:b/>
                <w:bCs/>
                <w:sz w:val="22"/>
                <w:szCs w:val="22"/>
              </w:rPr>
              <w:t>CPS</w:t>
            </w:r>
          </w:p>
        </w:tc>
        <w:tc>
          <w:tcPr>
            <w:tcW w:w="6800" w:type="dxa"/>
            <w:tcMar>
              <w:top w:w="80" w:type="dxa"/>
              <w:left w:w="120" w:type="dxa"/>
              <w:bottom w:w="80" w:type="dxa"/>
              <w:right w:w="120" w:type="dxa"/>
            </w:tcMar>
          </w:tcPr>
          <w:p w14:paraId="6FC0D3BB" w14:textId="77777777" w:rsidR="003F660B" w:rsidRDefault="003F660B" w:rsidP="004065D4">
            <w:r>
              <w:rPr>
                <w:sz w:val="22"/>
                <w:szCs w:val="22"/>
              </w:rPr>
              <w:t>Crown Prosecution Service</w:t>
            </w:r>
          </w:p>
        </w:tc>
      </w:tr>
      <w:tr w:rsidR="003F660B" w14:paraId="198F24DB" w14:textId="77777777" w:rsidTr="004065D4">
        <w:tc>
          <w:tcPr>
            <w:tcW w:w="2200" w:type="dxa"/>
            <w:tcMar>
              <w:top w:w="80" w:type="dxa"/>
              <w:left w:w="120" w:type="dxa"/>
              <w:bottom w:w="80" w:type="dxa"/>
              <w:right w:w="120" w:type="dxa"/>
            </w:tcMar>
          </w:tcPr>
          <w:p w14:paraId="175A65D8" w14:textId="77777777" w:rsidR="003F660B" w:rsidRDefault="003F660B" w:rsidP="004065D4">
            <w:r>
              <w:rPr>
                <w:b/>
                <w:bCs/>
                <w:sz w:val="22"/>
                <w:szCs w:val="22"/>
              </w:rPr>
              <w:t>JAMA</w:t>
            </w:r>
          </w:p>
        </w:tc>
        <w:tc>
          <w:tcPr>
            <w:tcW w:w="6800" w:type="dxa"/>
            <w:tcMar>
              <w:top w:w="80" w:type="dxa"/>
              <w:left w:w="120" w:type="dxa"/>
              <w:bottom w:w="80" w:type="dxa"/>
              <w:right w:w="120" w:type="dxa"/>
            </w:tcMar>
          </w:tcPr>
          <w:p w14:paraId="0201C92B" w14:textId="77777777" w:rsidR="003F660B" w:rsidRDefault="003F660B" w:rsidP="004065D4">
            <w:r>
              <w:rPr>
                <w:sz w:val="22"/>
                <w:szCs w:val="22"/>
              </w:rPr>
              <w:t>Journal of the American Medical Association</w:t>
            </w:r>
          </w:p>
        </w:tc>
      </w:tr>
      <w:tr w:rsidR="003F660B" w14:paraId="2A0C2032" w14:textId="77777777" w:rsidTr="004065D4">
        <w:tc>
          <w:tcPr>
            <w:tcW w:w="2200" w:type="dxa"/>
            <w:tcMar>
              <w:top w:w="80" w:type="dxa"/>
              <w:left w:w="120" w:type="dxa"/>
              <w:bottom w:w="80" w:type="dxa"/>
              <w:right w:w="120" w:type="dxa"/>
            </w:tcMar>
          </w:tcPr>
          <w:p w14:paraId="23859BD0" w14:textId="77777777" w:rsidR="003F660B" w:rsidRDefault="003F660B" w:rsidP="004065D4">
            <w:r>
              <w:rPr>
                <w:b/>
                <w:bCs/>
                <w:sz w:val="22"/>
                <w:szCs w:val="22"/>
              </w:rPr>
              <w:t>NHS</w:t>
            </w:r>
          </w:p>
        </w:tc>
        <w:tc>
          <w:tcPr>
            <w:tcW w:w="6800" w:type="dxa"/>
            <w:tcMar>
              <w:top w:w="80" w:type="dxa"/>
              <w:left w:w="120" w:type="dxa"/>
              <w:bottom w:w="80" w:type="dxa"/>
              <w:right w:w="120" w:type="dxa"/>
            </w:tcMar>
          </w:tcPr>
          <w:p w14:paraId="57B73228" w14:textId="77777777" w:rsidR="003F660B" w:rsidRDefault="003F660B" w:rsidP="004065D4">
            <w:r>
              <w:rPr>
                <w:sz w:val="22"/>
                <w:szCs w:val="22"/>
              </w:rPr>
              <w:t>National Health Service</w:t>
            </w:r>
          </w:p>
        </w:tc>
      </w:tr>
      <w:tr w:rsidR="003F660B" w14:paraId="13353029" w14:textId="77777777" w:rsidTr="004065D4">
        <w:tc>
          <w:tcPr>
            <w:tcW w:w="2200" w:type="dxa"/>
            <w:tcMar>
              <w:top w:w="80" w:type="dxa"/>
              <w:left w:w="120" w:type="dxa"/>
              <w:bottom w:w="80" w:type="dxa"/>
              <w:right w:w="120" w:type="dxa"/>
            </w:tcMar>
          </w:tcPr>
          <w:p w14:paraId="2E3BD4B7" w14:textId="77777777" w:rsidR="003F660B" w:rsidRDefault="003F660B" w:rsidP="004065D4">
            <w:r>
              <w:rPr>
                <w:b/>
                <w:bCs/>
                <w:sz w:val="22"/>
                <w:szCs w:val="22"/>
              </w:rPr>
              <w:t>PDCA</w:t>
            </w:r>
          </w:p>
        </w:tc>
        <w:tc>
          <w:tcPr>
            <w:tcW w:w="6800" w:type="dxa"/>
            <w:tcMar>
              <w:top w:w="80" w:type="dxa"/>
              <w:left w:w="120" w:type="dxa"/>
              <w:bottom w:w="80" w:type="dxa"/>
              <w:right w:w="120" w:type="dxa"/>
            </w:tcMar>
          </w:tcPr>
          <w:p w14:paraId="485C2CF3" w14:textId="77777777" w:rsidR="003F660B" w:rsidRDefault="003F660B" w:rsidP="004065D4">
            <w:r>
              <w:rPr>
                <w:sz w:val="22"/>
                <w:szCs w:val="22"/>
              </w:rPr>
              <w:t>Plan-Do-Check-Act</w:t>
            </w:r>
          </w:p>
        </w:tc>
      </w:tr>
      <w:tr w:rsidR="003F660B" w14:paraId="528A30FF" w14:textId="77777777" w:rsidTr="004065D4">
        <w:tc>
          <w:tcPr>
            <w:tcW w:w="2200" w:type="dxa"/>
            <w:tcMar>
              <w:top w:w="80" w:type="dxa"/>
              <w:left w:w="120" w:type="dxa"/>
              <w:bottom w:w="80" w:type="dxa"/>
              <w:right w:w="120" w:type="dxa"/>
            </w:tcMar>
          </w:tcPr>
          <w:p w14:paraId="7A854C1D" w14:textId="77777777" w:rsidR="003F660B" w:rsidRDefault="003F660B" w:rsidP="004065D4">
            <w:r>
              <w:rPr>
                <w:b/>
                <w:bCs/>
                <w:sz w:val="22"/>
                <w:szCs w:val="22"/>
              </w:rPr>
              <w:t>PDSA</w:t>
            </w:r>
          </w:p>
        </w:tc>
        <w:tc>
          <w:tcPr>
            <w:tcW w:w="6800" w:type="dxa"/>
            <w:tcMar>
              <w:top w:w="80" w:type="dxa"/>
              <w:left w:w="120" w:type="dxa"/>
              <w:bottom w:w="80" w:type="dxa"/>
              <w:right w:w="120" w:type="dxa"/>
            </w:tcMar>
          </w:tcPr>
          <w:p w14:paraId="66C5EFB7" w14:textId="77777777" w:rsidR="003F660B" w:rsidRDefault="003F660B" w:rsidP="004065D4">
            <w:r>
              <w:rPr>
                <w:sz w:val="22"/>
                <w:szCs w:val="22"/>
              </w:rPr>
              <w:t>Plan-Do-Study-Act</w:t>
            </w:r>
          </w:p>
        </w:tc>
      </w:tr>
      <w:tr w:rsidR="003F660B" w14:paraId="1F70CA47" w14:textId="77777777" w:rsidTr="004065D4">
        <w:tc>
          <w:tcPr>
            <w:tcW w:w="2200" w:type="dxa"/>
            <w:tcMar>
              <w:top w:w="80" w:type="dxa"/>
              <w:left w:w="120" w:type="dxa"/>
              <w:bottom w:w="80" w:type="dxa"/>
              <w:right w:w="120" w:type="dxa"/>
            </w:tcMar>
          </w:tcPr>
          <w:p w14:paraId="1A868799" w14:textId="77777777" w:rsidR="003F660B" w:rsidRDefault="003F660B" w:rsidP="004065D4">
            <w:r>
              <w:rPr>
                <w:b/>
                <w:bCs/>
                <w:sz w:val="22"/>
                <w:szCs w:val="22"/>
              </w:rPr>
              <w:t>PESTLE</w:t>
            </w:r>
          </w:p>
        </w:tc>
        <w:tc>
          <w:tcPr>
            <w:tcW w:w="6800" w:type="dxa"/>
            <w:tcMar>
              <w:top w:w="80" w:type="dxa"/>
              <w:left w:w="120" w:type="dxa"/>
              <w:bottom w:w="80" w:type="dxa"/>
              <w:right w:w="120" w:type="dxa"/>
            </w:tcMar>
          </w:tcPr>
          <w:p w14:paraId="360CADB5" w14:textId="77777777" w:rsidR="003F660B" w:rsidRDefault="003F660B" w:rsidP="004065D4">
            <w:r>
              <w:rPr>
                <w:sz w:val="22"/>
                <w:szCs w:val="22"/>
              </w:rPr>
              <w:t>Political, Economic, Social, Technological, Legal, Environmental (analysis)</w:t>
            </w:r>
          </w:p>
        </w:tc>
      </w:tr>
      <w:tr w:rsidR="003F660B" w14:paraId="5D19520F" w14:textId="77777777" w:rsidTr="004065D4">
        <w:tc>
          <w:tcPr>
            <w:tcW w:w="2200" w:type="dxa"/>
            <w:tcMar>
              <w:top w:w="80" w:type="dxa"/>
              <w:left w:w="120" w:type="dxa"/>
              <w:bottom w:w="80" w:type="dxa"/>
              <w:right w:w="120" w:type="dxa"/>
            </w:tcMar>
          </w:tcPr>
          <w:p w14:paraId="450CD13F" w14:textId="77777777" w:rsidR="003F660B" w:rsidRDefault="003F660B" w:rsidP="004065D4">
            <w:r>
              <w:rPr>
                <w:b/>
                <w:bCs/>
                <w:sz w:val="22"/>
                <w:szCs w:val="22"/>
              </w:rPr>
              <w:t>PSIRF</w:t>
            </w:r>
          </w:p>
        </w:tc>
        <w:tc>
          <w:tcPr>
            <w:tcW w:w="6800" w:type="dxa"/>
            <w:tcMar>
              <w:top w:w="80" w:type="dxa"/>
              <w:left w:w="120" w:type="dxa"/>
              <w:bottom w:w="80" w:type="dxa"/>
              <w:right w:w="120" w:type="dxa"/>
            </w:tcMar>
          </w:tcPr>
          <w:p w14:paraId="17C4345B" w14:textId="77777777" w:rsidR="003F660B" w:rsidRDefault="003F660B" w:rsidP="004065D4">
            <w:r>
              <w:rPr>
                <w:sz w:val="22"/>
                <w:szCs w:val="22"/>
              </w:rPr>
              <w:t>Patient Safety Incident Response Framework</w:t>
            </w:r>
          </w:p>
        </w:tc>
      </w:tr>
      <w:tr w:rsidR="003F660B" w14:paraId="13EBC7F3" w14:textId="77777777" w:rsidTr="004065D4">
        <w:tc>
          <w:tcPr>
            <w:tcW w:w="2200" w:type="dxa"/>
            <w:tcMar>
              <w:top w:w="80" w:type="dxa"/>
              <w:left w:w="120" w:type="dxa"/>
              <w:bottom w:w="80" w:type="dxa"/>
              <w:right w:w="120" w:type="dxa"/>
            </w:tcMar>
          </w:tcPr>
          <w:p w14:paraId="2F6E02D6" w14:textId="77777777" w:rsidR="003F660B" w:rsidRDefault="003F660B" w:rsidP="004065D4">
            <w:r>
              <w:rPr>
                <w:b/>
                <w:bCs/>
                <w:sz w:val="22"/>
                <w:szCs w:val="22"/>
              </w:rPr>
              <w:t>RCPCH</w:t>
            </w:r>
          </w:p>
        </w:tc>
        <w:tc>
          <w:tcPr>
            <w:tcW w:w="6800" w:type="dxa"/>
            <w:tcMar>
              <w:top w:w="80" w:type="dxa"/>
              <w:left w:w="120" w:type="dxa"/>
              <w:bottom w:w="80" w:type="dxa"/>
              <w:right w:w="120" w:type="dxa"/>
            </w:tcMar>
          </w:tcPr>
          <w:p w14:paraId="2A6F891C" w14:textId="77777777" w:rsidR="003F660B" w:rsidRDefault="003F660B" w:rsidP="004065D4">
            <w:r>
              <w:rPr>
                <w:sz w:val="22"/>
                <w:szCs w:val="22"/>
              </w:rPr>
              <w:t>Royal College of Paediatrics and Child Health</w:t>
            </w:r>
          </w:p>
        </w:tc>
      </w:tr>
      <w:tr w:rsidR="003F660B" w14:paraId="4F79C020" w14:textId="77777777" w:rsidTr="004065D4">
        <w:tc>
          <w:tcPr>
            <w:tcW w:w="2200" w:type="dxa"/>
            <w:tcMar>
              <w:top w:w="80" w:type="dxa"/>
              <w:left w:w="120" w:type="dxa"/>
              <w:bottom w:w="80" w:type="dxa"/>
              <w:right w:w="120" w:type="dxa"/>
            </w:tcMar>
          </w:tcPr>
          <w:p w14:paraId="57626169" w14:textId="77777777" w:rsidR="003F660B" w:rsidRDefault="003F660B" w:rsidP="004065D4">
            <w:r>
              <w:rPr>
                <w:b/>
                <w:bCs/>
                <w:sz w:val="22"/>
                <w:szCs w:val="22"/>
              </w:rPr>
              <w:t>SWOT</w:t>
            </w:r>
          </w:p>
        </w:tc>
        <w:tc>
          <w:tcPr>
            <w:tcW w:w="6800" w:type="dxa"/>
            <w:tcMar>
              <w:top w:w="80" w:type="dxa"/>
              <w:left w:w="120" w:type="dxa"/>
              <w:bottom w:w="80" w:type="dxa"/>
              <w:right w:w="120" w:type="dxa"/>
            </w:tcMar>
          </w:tcPr>
          <w:p w14:paraId="743FD275" w14:textId="77777777" w:rsidR="003F660B" w:rsidRDefault="003F660B" w:rsidP="004065D4">
            <w:r>
              <w:rPr>
                <w:sz w:val="22"/>
                <w:szCs w:val="22"/>
              </w:rPr>
              <w:t>Strengths, Weaknesses, Opportunities, Threats (analysis)</w:t>
            </w:r>
          </w:p>
        </w:tc>
      </w:tr>
      <w:tr w:rsidR="003F660B" w14:paraId="73B378BD" w14:textId="77777777" w:rsidTr="004065D4">
        <w:tc>
          <w:tcPr>
            <w:tcW w:w="2200" w:type="dxa"/>
            <w:tcMar>
              <w:top w:w="80" w:type="dxa"/>
              <w:left w:w="120" w:type="dxa"/>
              <w:bottom w:w="80" w:type="dxa"/>
              <w:right w:w="120" w:type="dxa"/>
            </w:tcMar>
          </w:tcPr>
          <w:p w14:paraId="0CCC5B94" w14:textId="77777777" w:rsidR="003F660B" w:rsidRDefault="003F660B" w:rsidP="004065D4">
            <w:r>
              <w:rPr>
                <w:b/>
                <w:bCs/>
                <w:sz w:val="22"/>
                <w:szCs w:val="22"/>
              </w:rPr>
              <w:t>WHO</w:t>
            </w:r>
          </w:p>
        </w:tc>
        <w:tc>
          <w:tcPr>
            <w:tcW w:w="6800" w:type="dxa"/>
            <w:tcMar>
              <w:top w:w="80" w:type="dxa"/>
              <w:left w:w="120" w:type="dxa"/>
              <w:bottom w:w="80" w:type="dxa"/>
              <w:right w:w="120" w:type="dxa"/>
            </w:tcMar>
          </w:tcPr>
          <w:p w14:paraId="16E1E8FA" w14:textId="77777777" w:rsidR="003F660B" w:rsidRDefault="003F660B" w:rsidP="004065D4">
            <w:r>
              <w:rPr>
                <w:sz w:val="22"/>
                <w:szCs w:val="22"/>
              </w:rPr>
              <w:t>World Health Organization</w:t>
            </w:r>
          </w:p>
        </w:tc>
      </w:tr>
    </w:tbl>
    <w:p w14:paraId="27E49219" w14:textId="77777777" w:rsidR="003F660B" w:rsidRDefault="003F660B">
      <w:r>
        <w:br w:type="page"/>
      </w:r>
    </w:p>
    <w:p w14:paraId="693C003D" w14:textId="77777777" w:rsidR="00606D62" w:rsidRDefault="00606D62"/>
    <w:p w14:paraId="46D00651" w14:textId="77777777" w:rsidR="00606D62" w:rsidRPr="00834C69" w:rsidRDefault="00000000">
      <w:pPr>
        <w:pStyle w:val="Heading1"/>
        <w:spacing w:before="320" w:after="180"/>
        <w:rPr>
          <w:sz w:val="28"/>
          <w:szCs w:val="28"/>
        </w:rPr>
      </w:pPr>
      <w:r w:rsidRPr="00834C69">
        <w:rPr>
          <w:b/>
          <w:bCs/>
          <w:color w:val="0B2A4A"/>
          <w:sz w:val="28"/>
          <w:szCs w:val="28"/>
        </w:rPr>
        <w:t>1. Introduction</w:t>
      </w:r>
    </w:p>
    <w:p w14:paraId="358F1995" w14:textId="796EBD49" w:rsidR="00606D62" w:rsidRPr="00D716E2" w:rsidRDefault="00000000">
      <w:pPr>
        <w:spacing w:after="200" w:line="300" w:lineRule="auto"/>
        <w:jc w:val="both"/>
        <w:rPr>
          <w:color w:val="000000" w:themeColor="text1"/>
        </w:rPr>
      </w:pPr>
      <w:r w:rsidRPr="00D716E2">
        <w:rPr>
          <w:color w:val="000000" w:themeColor="text1"/>
          <w:sz w:val="24"/>
          <w:szCs w:val="24"/>
        </w:rPr>
        <w:t>Between January 2015 and June 2016, the neonatal unit at the Countess of Chester Hospital, part of the Countess of Chester Hospital (2026), recorded an unusual rise in infant deaths and unexplained collapses. Where the unit had typically recorded two to three deaths a year, the figure rose to eight in 2015 and five in 2016 (BBC News, 2017b). This pattern led, several years later, to the conviction of former neonatal nurse Lucy Letby for murdering seven infants and attempting to murder seven others, following a trial in August 2023 and a further retrial in June 2024 (NHS England, 2023; Pilgrim, 2024). This report does not revisit the criminal evidence itself. Instead, it treats the case as a study in organisational quality failure</w:t>
      </w:r>
      <w:r w:rsidR="00B659FF" w:rsidRPr="00D716E2">
        <w:rPr>
          <w:color w:val="000000" w:themeColor="text1"/>
          <w:sz w:val="24"/>
          <w:szCs w:val="24"/>
        </w:rPr>
        <w:t>,</w:t>
      </w:r>
      <w:r w:rsidRPr="00D716E2">
        <w:rPr>
          <w:color w:val="000000" w:themeColor="text1"/>
          <w:sz w:val="24"/>
          <w:szCs w:val="24"/>
        </w:rPr>
        <w:t xml:space="preserve"> a healthcare system in which experienced clinicians raised repeated concerns that went unactioned for over a year, and in which decisive management action came only after sustained internal pressure rather than proactive leadership.</w:t>
      </w:r>
    </w:p>
    <w:p w14:paraId="4DD53FE5" w14:textId="77777777" w:rsidR="00606D62" w:rsidRPr="00D716E2" w:rsidRDefault="00000000">
      <w:pPr>
        <w:spacing w:after="200" w:line="300" w:lineRule="auto"/>
        <w:jc w:val="both"/>
        <w:rPr>
          <w:color w:val="000000" w:themeColor="text1"/>
        </w:rPr>
      </w:pPr>
      <w:r w:rsidRPr="00D716E2">
        <w:rPr>
          <w:color w:val="000000" w:themeColor="text1"/>
          <w:sz w:val="24"/>
          <w:szCs w:val="24"/>
        </w:rPr>
        <w:t>The scale of concern is well documented independently of the criminal proceedings. Senior consultants began raising informal concerns from mid-2015 and formal concerns from early 2016, yet Letby was not removed from clinical duties until 30 June 2016 (BBC News, 2017a). The Trust subsequently commissioned an independent review from the Royal College of Paediatrics and Child Health, which found no single cause for the rise in deaths but identified inadequate staffing, gaps in rotas, poor decision-making, and a reluctance among some staff to seek senior advice (BBC News, 2017b). Cheshire Police launched a criminal investigation, Operation Hummingbird, only in May 2017, almost a year after Letby's removal from the ward (BBC News, 2017a). This gap between the first clinical concerns and any independent scrutiny is itself a quality and safety failure, regardless of the eventual criminal outcome.</w:t>
      </w:r>
    </w:p>
    <w:p w14:paraId="09011B12" w14:textId="77777777" w:rsidR="00606D62" w:rsidRPr="00D716E2" w:rsidRDefault="00000000">
      <w:pPr>
        <w:spacing w:after="200" w:line="300" w:lineRule="auto"/>
        <w:jc w:val="both"/>
        <w:rPr>
          <w:color w:val="000000" w:themeColor="text1"/>
        </w:rPr>
      </w:pPr>
      <w:r w:rsidRPr="00D716E2">
        <w:rPr>
          <w:color w:val="000000" w:themeColor="text1"/>
          <w:sz w:val="24"/>
          <w:szCs w:val="24"/>
        </w:rPr>
        <w:t>The case has also prompted a wider public inquiry. The Thirlwall Inquiry was established to examine the response of the hospital and the wider NHS system, and it heard evidence throughout 2024 into early 2025 before closing submissions in March 2025 (The Thirlwall Inquiry, 2023). Its final report has been repeatedly delayed and remains unpublished at the time of writing, expected only after the 2026 parliamentary summer recess (The Thirlwall Inquiry, 2026). This report therefore draws on evidence from the Inquiry's hearings, the RCPCH review, and subsequent regulatory activity, rather than on conclusions the Inquiry has not yet formally reached.</w:t>
      </w:r>
    </w:p>
    <w:p w14:paraId="0A784414" w14:textId="77777777" w:rsidR="00606D62" w:rsidRPr="00D716E2" w:rsidRDefault="00000000">
      <w:pPr>
        <w:spacing w:after="200" w:line="300" w:lineRule="auto"/>
        <w:jc w:val="both"/>
        <w:rPr>
          <w:color w:val="000000" w:themeColor="text1"/>
        </w:rPr>
      </w:pPr>
      <w:r w:rsidRPr="00D716E2">
        <w:rPr>
          <w:color w:val="000000" w:themeColor="text1"/>
          <w:sz w:val="24"/>
          <w:szCs w:val="24"/>
        </w:rPr>
        <w:t xml:space="preserve">Why does this matter as a wider quality concern? Because the failures identified so far, delayed escalation, weak incident investigation, defensive culture, and inadequate staffing, are not unique to one hospital. Similar patterns recur across major NHS safety failures, from Mid Staffordshire (Francis, 2013) to Morecambe Bay (Kirkup, 2015), suggesting a systemic vulnerability in how NHS organisations respond to internal warnings. Following Mid Staffordshire, the Berwick review argued that the NHS should abandon blame as a tool and </w:t>
      </w:r>
      <w:r w:rsidRPr="00D716E2">
        <w:rPr>
          <w:color w:val="000000" w:themeColor="text1"/>
          <w:sz w:val="24"/>
          <w:szCs w:val="24"/>
        </w:rPr>
        <w:lastRenderedPageBreak/>
        <w:t>instead recognise the need for wide, systemic learning (Berwick, 2013), a recommendation this report treats as a starting assumption rather than something still to be argued for. The Institute of Medicine's foundational assessment of patient safety argued that most harm results from failures in systems and processes rather than individually negligent staff (Institute of Medicine, 2000</w:t>
      </w:r>
      <w:proofErr w:type="gramStart"/>
      <w:r w:rsidRPr="00D716E2">
        <w:rPr>
          <w:color w:val="000000" w:themeColor="text1"/>
          <w:sz w:val="24"/>
          <w:szCs w:val="24"/>
        </w:rPr>
        <w:t>);</w:t>
      </w:r>
      <w:proofErr w:type="gramEnd"/>
      <w:r w:rsidRPr="00D716E2">
        <w:rPr>
          <w:color w:val="000000" w:themeColor="text1"/>
          <w:sz w:val="24"/>
          <w:szCs w:val="24"/>
        </w:rPr>
        <w:t xml:space="preserve"> the Countess of Chester case tests that argument under severe circumstances. This report uses established quality frameworks, including Root Cause Analysis, the Donabedian Model, and SWOT analysis, to examine why the organisation's defences failed, before proposing a structured, evidence-based improvement strategy.</w:t>
      </w:r>
    </w:p>
    <w:p w14:paraId="7C97CA50" w14:textId="77777777" w:rsidR="006D3845" w:rsidRDefault="006D3845">
      <w:pPr>
        <w:pStyle w:val="Heading1"/>
        <w:spacing w:before="320" w:after="180"/>
        <w:rPr>
          <w:b/>
          <w:bCs/>
          <w:color w:val="000000" w:themeColor="text1"/>
          <w:sz w:val="28"/>
          <w:szCs w:val="28"/>
        </w:rPr>
      </w:pPr>
    </w:p>
    <w:p w14:paraId="4372B528" w14:textId="77777777" w:rsidR="006D3845" w:rsidRDefault="006D3845">
      <w:pPr>
        <w:pStyle w:val="Heading1"/>
        <w:spacing w:before="320" w:after="180"/>
        <w:rPr>
          <w:b/>
          <w:bCs/>
          <w:color w:val="000000" w:themeColor="text1"/>
          <w:sz w:val="28"/>
          <w:szCs w:val="28"/>
        </w:rPr>
      </w:pPr>
    </w:p>
    <w:p w14:paraId="6A9B1B5D" w14:textId="77777777" w:rsidR="006D3845" w:rsidRDefault="006D3845">
      <w:pPr>
        <w:pStyle w:val="Heading1"/>
        <w:spacing w:before="320" w:after="180"/>
        <w:rPr>
          <w:b/>
          <w:bCs/>
          <w:color w:val="000000" w:themeColor="text1"/>
          <w:sz w:val="28"/>
          <w:szCs w:val="28"/>
        </w:rPr>
      </w:pPr>
    </w:p>
    <w:p w14:paraId="4F9CDC8A" w14:textId="77777777" w:rsidR="006D3845" w:rsidRDefault="006D3845">
      <w:pPr>
        <w:pStyle w:val="Heading1"/>
        <w:spacing w:before="320" w:after="180"/>
        <w:rPr>
          <w:b/>
          <w:bCs/>
          <w:color w:val="000000" w:themeColor="text1"/>
          <w:sz w:val="28"/>
          <w:szCs w:val="28"/>
        </w:rPr>
      </w:pPr>
    </w:p>
    <w:p w14:paraId="63D6D673" w14:textId="77777777" w:rsidR="006D3845" w:rsidRDefault="006D3845">
      <w:pPr>
        <w:pStyle w:val="Heading1"/>
        <w:spacing w:before="320" w:after="180"/>
        <w:rPr>
          <w:b/>
          <w:bCs/>
          <w:color w:val="000000" w:themeColor="text1"/>
          <w:sz w:val="28"/>
          <w:szCs w:val="28"/>
        </w:rPr>
      </w:pPr>
    </w:p>
    <w:p w14:paraId="5867884A" w14:textId="77777777" w:rsidR="006D3845" w:rsidRDefault="006D3845">
      <w:pPr>
        <w:pStyle w:val="Heading1"/>
        <w:spacing w:before="320" w:after="180"/>
        <w:rPr>
          <w:b/>
          <w:bCs/>
          <w:color w:val="000000" w:themeColor="text1"/>
          <w:sz w:val="28"/>
          <w:szCs w:val="28"/>
        </w:rPr>
      </w:pPr>
    </w:p>
    <w:p w14:paraId="535D09A9" w14:textId="77777777" w:rsidR="006D3845" w:rsidRDefault="006D3845">
      <w:pPr>
        <w:pStyle w:val="Heading1"/>
        <w:spacing w:before="320" w:after="180"/>
        <w:rPr>
          <w:b/>
          <w:bCs/>
          <w:color w:val="000000" w:themeColor="text1"/>
          <w:sz w:val="28"/>
          <w:szCs w:val="28"/>
        </w:rPr>
      </w:pPr>
    </w:p>
    <w:p w14:paraId="7D8F96C0" w14:textId="77777777" w:rsidR="006D3845" w:rsidRDefault="006D3845">
      <w:pPr>
        <w:pStyle w:val="Heading1"/>
        <w:spacing w:before="320" w:after="180"/>
        <w:rPr>
          <w:b/>
          <w:bCs/>
          <w:color w:val="000000" w:themeColor="text1"/>
          <w:sz w:val="28"/>
          <w:szCs w:val="28"/>
        </w:rPr>
      </w:pPr>
    </w:p>
    <w:p w14:paraId="2C8CEB08" w14:textId="77777777" w:rsidR="006D3845" w:rsidRDefault="006D3845">
      <w:pPr>
        <w:pStyle w:val="Heading1"/>
        <w:spacing w:before="320" w:after="180"/>
        <w:rPr>
          <w:b/>
          <w:bCs/>
          <w:color w:val="000000" w:themeColor="text1"/>
          <w:sz w:val="28"/>
          <w:szCs w:val="28"/>
        </w:rPr>
      </w:pPr>
    </w:p>
    <w:p w14:paraId="5C7D4396" w14:textId="77777777" w:rsidR="006D3845" w:rsidRDefault="006D3845">
      <w:pPr>
        <w:pStyle w:val="Heading1"/>
        <w:spacing w:before="320" w:after="180"/>
        <w:rPr>
          <w:b/>
          <w:bCs/>
          <w:color w:val="000000" w:themeColor="text1"/>
          <w:sz w:val="28"/>
          <w:szCs w:val="28"/>
        </w:rPr>
      </w:pPr>
    </w:p>
    <w:p w14:paraId="4C6B3FB6" w14:textId="77777777" w:rsidR="006D3845" w:rsidRDefault="006D3845">
      <w:pPr>
        <w:pStyle w:val="Heading1"/>
        <w:spacing w:before="320" w:after="180"/>
        <w:rPr>
          <w:b/>
          <w:bCs/>
          <w:color w:val="000000" w:themeColor="text1"/>
          <w:sz w:val="28"/>
          <w:szCs w:val="28"/>
        </w:rPr>
      </w:pPr>
    </w:p>
    <w:p w14:paraId="1EED81F5" w14:textId="77777777" w:rsidR="006D3845" w:rsidRDefault="006D3845">
      <w:pPr>
        <w:pStyle w:val="Heading1"/>
        <w:spacing w:before="320" w:after="180"/>
        <w:rPr>
          <w:b/>
          <w:bCs/>
          <w:color w:val="000000" w:themeColor="text1"/>
          <w:sz w:val="28"/>
          <w:szCs w:val="28"/>
        </w:rPr>
      </w:pPr>
    </w:p>
    <w:p w14:paraId="362EF5B0" w14:textId="77777777" w:rsidR="006D3845" w:rsidRDefault="006D3845">
      <w:pPr>
        <w:pStyle w:val="Heading1"/>
        <w:spacing w:before="320" w:after="180"/>
        <w:rPr>
          <w:b/>
          <w:bCs/>
          <w:color w:val="000000" w:themeColor="text1"/>
          <w:sz w:val="28"/>
          <w:szCs w:val="28"/>
        </w:rPr>
      </w:pPr>
    </w:p>
    <w:p w14:paraId="4838BD26" w14:textId="77777777" w:rsidR="006D3845" w:rsidRDefault="006D3845">
      <w:pPr>
        <w:pStyle w:val="Heading1"/>
        <w:spacing w:before="320" w:after="180"/>
        <w:rPr>
          <w:b/>
          <w:bCs/>
          <w:color w:val="000000" w:themeColor="text1"/>
          <w:sz w:val="28"/>
          <w:szCs w:val="28"/>
        </w:rPr>
      </w:pPr>
    </w:p>
    <w:p w14:paraId="4FAFEC0C" w14:textId="77777777" w:rsidR="006D3845" w:rsidRDefault="006D3845">
      <w:pPr>
        <w:pStyle w:val="Heading1"/>
        <w:spacing w:before="320" w:after="180"/>
        <w:rPr>
          <w:b/>
          <w:bCs/>
          <w:color w:val="000000" w:themeColor="text1"/>
          <w:sz w:val="28"/>
          <w:szCs w:val="28"/>
        </w:rPr>
      </w:pPr>
    </w:p>
    <w:p w14:paraId="24F95296" w14:textId="77777777" w:rsidR="006D3845" w:rsidRDefault="006D3845">
      <w:pPr>
        <w:pStyle w:val="Heading1"/>
        <w:spacing w:before="320" w:after="180"/>
        <w:rPr>
          <w:b/>
          <w:bCs/>
          <w:color w:val="000000" w:themeColor="text1"/>
          <w:sz w:val="28"/>
          <w:szCs w:val="28"/>
        </w:rPr>
      </w:pPr>
    </w:p>
    <w:p w14:paraId="19B6A7FC" w14:textId="77777777" w:rsidR="006D3845" w:rsidRDefault="006D3845">
      <w:pPr>
        <w:pStyle w:val="Heading1"/>
        <w:spacing w:before="320" w:after="180"/>
        <w:rPr>
          <w:b/>
          <w:bCs/>
          <w:color w:val="000000" w:themeColor="text1"/>
          <w:sz w:val="28"/>
          <w:szCs w:val="28"/>
        </w:rPr>
      </w:pPr>
    </w:p>
    <w:p w14:paraId="42D87221" w14:textId="209BF299" w:rsidR="00606D62" w:rsidRPr="00834C69" w:rsidRDefault="00000000">
      <w:pPr>
        <w:pStyle w:val="Heading1"/>
        <w:spacing w:before="320" w:after="180"/>
        <w:rPr>
          <w:color w:val="000000" w:themeColor="text1"/>
          <w:sz w:val="28"/>
          <w:szCs w:val="28"/>
        </w:rPr>
      </w:pPr>
      <w:r w:rsidRPr="00834C69">
        <w:rPr>
          <w:b/>
          <w:bCs/>
          <w:color w:val="000000" w:themeColor="text1"/>
          <w:sz w:val="28"/>
          <w:szCs w:val="28"/>
        </w:rPr>
        <w:lastRenderedPageBreak/>
        <w:t>2. Main Body</w:t>
      </w:r>
    </w:p>
    <w:p w14:paraId="049F450B" w14:textId="17D70BD1"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2.1 Root Cause Analysis: The Fishbone</w:t>
      </w:r>
    </w:p>
    <w:p w14:paraId="6D285D6F" w14:textId="77777777" w:rsidR="00606D62" w:rsidRPr="00D716E2" w:rsidRDefault="00000000">
      <w:pPr>
        <w:spacing w:after="200" w:line="300" w:lineRule="auto"/>
        <w:jc w:val="both"/>
      </w:pPr>
      <w:r w:rsidRPr="00D716E2">
        <w:rPr>
          <w:sz w:val="24"/>
          <w:szCs w:val="24"/>
        </w:rPr>
        <w:t>Ishikawa's Fishbone Diagram organises the possible causes of a problem into categories branching from a central spine, making it easier to see how apparently separate issues combine to produce a single outcome (Ishikawa, 1986). Applied to the Countess of Chester case, the "effect" under investigation is the delayed recognition and escalation of harm on the neonatal unit, and six contributing categories can be identified from the evidence available so far: people, process, management, environment, policy, and governance.</w:t>
      </w:r>
    </w:p>
    <w:p w14:paraId="0C0A764D" w14:textId="4488DAA7" w:rsidR="00F2021F" w:rsidRDefault="00F2021F">
      <w:pPr>
        <w:spacing w:after="200" w:line="300" w:lineRule="auto"/>
        <w:jc w:val="both"/>
        <w:rPr>
          <w:sz w:val="24"/>
          <w:szCs w:val="24"/>
        </w:rPr>
      </w:pPr>
      <w:r>
        <w:rPr>
          <w:noProof/>
          <w:sz w:val="24"/>
          <w:szCs w:val="24"/>
        </w:rPr>
        <mc:AlternateContent>
          <mc:Choice Requires="wps">
            <w:drawing>
              <wp:anchor distT="0" distB="0" distL="114300" distR="114300" simplePos="0" relativeHeight="251688960" behindDoc="0" locked="0" layoutInCell="1" allowOverlap="1" wp14:anchorId="2A1F1474" wp14:editId="060018E2">
                <wp:simplePos x="0" y="0"/>
                <wp:positionH relativeFrom="column">
                  <wp:posOffset>3292843</wp:posOffset>
                </wp:positionH>
                <wp:positionV relativeFrom="paragraph">
                  <wp:posOffset>151902</wp:posOffset>
                </wp:positionV>
                <wp:extent cx="1928495" cy="703167"/>
                <wp:effectExtent l="0" t="0" r="14605" b="8255"/>
                <wp:wrapNone/>
                <wp:docPr id="1004525472" name="Text Box 14"/>
                <wp:cNvGraphicFramePr/>
                <a:graphic xmlns:a="http://schemas.openxmlformats.org/drawingml/2006/main">
                  <a:graphicData uri="http://schemas.microsoft.com/office/word/2010/wordprocessingShape">
                    <wps:wsp>
                      <wps:cNvSpPr txBox="1"/>
                      <wps:spPr>
                        <a:xfrm>
                          <a:off x="0" y="0"/>
                          <a:ext cx="1928495" cy="703167"/>
                        </a:xfrm>
                        <a:prstGeom prst="rect">
                          <a:avLst/>
                        </a:prstGeom>
                        <a:solidFill>
                          <a:schemeClr val="lt1"/>
                        </a:solidFill>
                        <a:ln w="6350">
                          <a:solidFill>
                            <a:prstClr val="black"/>
                          </a:solidFill>
                        </a:ln>
                      </wps:spPr>
                      <wps:txbx>
                        <w:txbxContent>
                          <w:p w14:paraId="51AAF8B2" w14:textId="3F7B65FA" w:rsidR="00B217CF" w:rsidRPr="00F2021F" w:rsidRDefault="003C182F" w:rsidP="003C182F">
                            <w:pPr>
                              <w:pStyle w:val="ListParagraph"/>
                              <w:numPr>
                                <w:ilvl w:val="0"/>
                                <w:numId w:val="11"/>
                              </w:numPr>
                            </w:pPr>
                            <w:r w:rsidRPr="00F2021F">
                              <w:t>Weak Leadership and oversight.</w:t>
                            </w:r>
                          </w:p>
                          <w:p w14:paraId="3F05D5FC" w14:textId="78FA1056" w:rsidR="003C182F" w:rsidRPr="00F2021F" w:rsidRDefault="003C182F" w:rsidP="003C182F">
                            <w:pPr>
                              <w:pStyle w:val="ListParagraph"/>
                              <w:numPr>
                                <w:ilvl w:val="0"/>
                                <w:numId w:val="11"/>
                              </w:numPr>
                            </w:pPr>
                            <w:r w:rsidRPr="00F2021F">
                              <w:t>Delayed decision-making and 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1F1474" id="_x0000_t202" coordsize="21600,21600" o:spt="202" path="m,l,21600r21600,l21600,xe">
                <v:stroke joinstyle="miter"/>
                <v:path gradientshapeok="t" o:connecttype="rect"/>
              </v:shapetype>
              <v:shape id="Text Box 14" o:spid="_x0000_s1026" type="#_x0000_t202" style="position:absolute;left:0;text-align:left;margin-left:259.3pt;margin-top:11.95pt;width:151.85pt;height:55.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" fillcolor="white [3201]" strokeweight=".5pt">
                <v:textbox>
                  <w:txbxContent>
                    <w:p w14:paraId="51AAF8B2" w14:textId="3F7B65FA" w:rsidR="00B217CF" w:rsidRPr="00F2021F" w:rsidRDefault="003C182F" w:rsidP="003C182F">
                      <w:pPr>
                        <w:pStyle w:val="ListParagraph"/>
                        <w:numPr>
                          <w:ilvl w:val="0"/>
                          <w:numId w:val="11"/>
                        </w:numPr>
                      </w:pPr>
                      <w:r w:rsidRPr="00F2021F">
                        <w:t>Weak Leadership and oversight.</w:t>
                      </w:r>
                    </w:p>
                    <w:p w14:paraId="3F05D5FC" w14:textId="78FA1056" w:rsidR="003C182F" w:rsidRPr="00F2021F" w:rsidRDefault="003C182F" w:rsidP="003C182F">
                      <w:pPr>
                        <w:pStyle w:val="ListParagraph"/>
                        <w:numPr>
                          <w:ilvl w:val="0"/>
                          <w:numId w:val="11"/>
                        </w:numPr>
                      </w:pPr>
                      <w:r w:rsidRPr="00F2021F">
                        <w:t>Delayed decision-making and response.</w:t>
                      </w:r>
                    </w:p>
                  </w:txbxContent>
                </v:textbox>
              </v:shape>
            </w:pict>
          </mc:Fallback>
        </mc:AlternateContent>
      </w:r>
      <w:r>
        <w:rPr>
          <w:noProof/>
          <w:sz w:val="24"/>
          <w:szCs w:val="24"/>
        </w:rPr>
        <mc:AlternateContent>
          <mc:Choice Requires="wps">
            <w:drawing>
              <wp:anchor distT="0" distB="0" distL="114300" distR="114300" simplePos="0" relativeHeight="251696128" behindDoc="0" locked="0" layoutInCell="1" allowOverlap="1" wp14:anchorId="5BE4E5D5" wp14:editId="6AA4B323">
                <wp:simplePos x="0" y="0"/>
                <wp:positionH relativeFrom="column">
                  <wp:posOffset>1483449</wp:posOffset>
                </wp:positionH>
                <wp:positionV relativeFrom="paragraph">
                  <wp:posOffset>209230</wp:posOffset>
                </wp:positionV>
                <wp:extent cx="1713230" cy="715880"/>
                <wp:effectExtent l="0" t="0" r="13970" b="8255"/>
                <wp:wrapNone/>
                <wp:docPr id="1746449637" name="Text Box 16"/>
                <wp:cNvGraphicFramePr/>
                <a:graphic xmlns:a="http://schemas.openxmlformats.org/drawingml/2006/main">
                  <a:graphicData uri="http://schemas.microsoft.com/office/word/2010/wordprocessingShape">
                    <wps:wsp>
                      <wps:cNvSpPr txBox="1"/>
                      <wps:spPr>
                        <a:xfrm>
                          <a:off x="0" y="0"/>
                          <a:ext cx="1713230" cy="715880"/>
                        </a:xfrm>
                        <a:prstGeom prst="rect">
                          <a:avLst/>
                        </a:prstGeom>
                        <a:solidFill>
                          <a:schemeClr val="lt1"/>
                        </a:solidFill>
                        <a:ln w="6350">
                          <a:solidFill>
                            <a:prstClr val="black"/>
                          </a:solidFill>
                        </a:ln>
                      </wps:spPr>
                      <wps:txbx>
                        <w:txbxContent>
                          <w:p w14:paraId="1FBE443D" w14:textId="02F0AF7D" w:rsidR="003C182F" w:rsidRDefault="003C182F" w:rsidP="003C182F">
                            <w:pPr>
                              <w:pStyle w:val="ListParagraph"/>
                              <w:numPr>
                                <w:ilvl w:val="0"/>
                                <w:numId w:val="12"/>
                              </w:numPr>
                            </w:pPr>
                            <w:r>
                              <w:t>Delayed incident reporting.</w:t>
                            </w:r>
                          </w:p>
                          <w:p w14:paraId="2FC70267" w14:textId="574C76FE" w:rsidR="003C182F" w:rsidRDefault="003C182F" w:rsidP="003C182F">
                            <w:pPr>
                              <w:pStyle w:val="ListParagraph"/>
                              <w:numPr>
                                <w:ilvl w:val="0"/>
                                <w:numId w:val="12"/>
                              </w:numPr>
                            </w:pPr>
                            <w:r>
                              <w:t>Delayed escalation of concerns.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4E5D5" id="Text Box 16" o:spid="_x0000_s1027" type="#_x0000_t202" style="position:absolute;left:0;text-align:left;margin-left:116.8pt;margin-top:16.45pt;width:134.9pt;height:56.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" fillcolor="white [3201]" strokeweight=".5pt">
                <v:textbox>
                  <w:txbxContent>
                    <w:p w14:paraId="1FBE443D" w14:textId="02F0AF7D" w:rsidR="003C182F" w:rsidRDefault="003C182F" w:rsidP="003C182F">
                      <w:pPr>
                        <w:pStyle w:val="ListParagraph"/>
                        <w:numPr>
                          <w:ilvl w:val="0"/>
                          <w:numId w:val="12"/>
                        </w:numPr>
                      </w:pPr>
                      <w:r>
                        <w:t>Delayed incident reporting.</w:t>
                      </w:r>
                    </w:p>
                    <w:p w14:paraId="2FC70267" w14:textId="574C76FE" w:rsidR="003C182F" w:rsidRDefault="003C182F" w:rsidP="003C182F">
                      <w:pPr>
                        <w:pStyle w:val="ListParagraph"/>
                        <w:numPr>
                          <w:ilvl w:val="0"/>
                          <w:numId w:val="12"/>
                        </w:numPr>
                      </w:pPr>
                      <w:r>
                        <w:t>Delayed escalation of concerns.</w:t>
                      </w:r>
                    </w:p>
                  </w:txbxContent>
                </v:textbox>
              </v:shape>
            </w:pict>
          </mc:Fallback>
        </mc:AlternateContent>
      </w:r>
      <w:r>
        <w:rPr>
          <w:noProof/>
          <w:sz w:val="24"/>
          <w:szCs w:val="24"/>
        </w:rPr>
        <mc:AlternateContent>
          <mc:Choice Requires="wps">
            <w:drawing>
              <wp:anchor distT="0" distB="0" distL="114300" distR="114300" simplePos="0" relativeHeight="251695104" behindDoc="0" locked="0" layoutInCell="1" allowOverlap="1" wp14:anchorId="0A1B7071" wp14:editId="25696014">
                <wp:simplePos x="0" y="0"/>
                <wp:positionH relativeFrom="column">
                  <wp:posOffset>-294552</wp:posOffset>
                </wp:positionH>
                <wp:positionV relativeFrom="paragraph">
                  <wp:posOffset>113713</wp:posOffset>
                </wp:positionV>
                <wp:extent cx="1649095" cy="824878"/>
                <wp:effectExtent l="0" t="0" r="14605" b="13335"/>
                <wp:wrapNone/>
                <wp:docPr id="208845933" name="Text Box 14"/>
                <wp:cNvGraphicFramePr/>
                <a:graphic xmlns:a="http://schemas.openxmlformats.org/drawingml/2006/main">
                  <a:graphicData uri="http://schemas.microsoft.com/office/word/2010/wordprocessingShape">
                    <wps:wsp>
                      <wps:cNvSpPr txBox="1"/>
                      <wps:spPr>
                        <a:xfrm>
                          <a:off x="0" y="0"/>
                          <a:ext cx="1649095" cy="824878"/>
                        </a:xfrm>
                        <a:prstGeom prst="rect">
                          <a:avLst/>
                        </a:prstGeom>
                        <a:solidFill>
                          <a:schemeClr val="lt1"/>
                        </a:solidFill>
                        <a:ln w="6350">
                          <a:solidFill>
                            <a:prstClr val="black"/>
                          </a:solidFill>
                        </a:ln>
                      </wps:spPr>
                      <wps:txbx>
                        <w:txbxContent>
                          <w:p w14:paraId="27668DE4" w14:textId="77777777" w:rsidR="00B217CF" w:rsidRPr="00F2021F" w:rsidRDefault="00B217CF" w:rsidP="003C182F">
                            <w:pPr>
                              <w:pStyle w:val="ListParagraph"/>
                              <w:numPr>
                                <w:ilvl w:val="0"/>
                                <w:numId w:val="10"/>
                              </w:numPr>
                              <w:jc w:val="both"/>
                            </w:pPr>
                            <w:r w:rsidRPr="00F2021F">
                              <w:t>Ignored consultant concerns.</w:t>
                            </w:r>
                          </w:p>
                          <w:p w14:paraId="245E3AE6" w14:textId="77777777" w:rsidR="00B217CF" w:rsidRPr="003C182F" w:rsidRDefault="00B217CF" w:rsidP="003C182F">
                            <w:pPr>
                              <w:pStyle w:val="ListParagraph"/>
                              <w:numPr>
                                <w:ilvl w:val="0"/>
                                <w:numId w:val="10"/>
                              </w:numPr>
                              <w:jc w:val="both"/>
                              <w:rPr>
                                <w:sz w:val="16"/>
                                <w:szCs w:val="16"/>
                              </w:rPr>
                            </w:pPr>
                            <w:r w:rsidRPr="00F2021F">
                              <w:t>Poor communication and escalations</w:t>
                            </w:r>
                            <w:r w:rsidRPr="003C182F">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B7071" id="_x0000_s1028" type="#_x0000_t202" style="position:absolute;left:0;text-align:left;margin-left:-23.2pt;margin-top:8.95pt;width:129.85pt;height:64.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" fillcolor="white [3201]" strokeweight=".5pt">
                <v:textbox>
                  <w:txbxContent>
                    <w:p w14:paraId="27668DE4" w14:textId="77777777" w:rsidR="00B217CF" w:rsidRPr="00F2021F" w:rsidRDefault="00B217CF" w:rsidP="003C182F">
                      <w:pPr>
                        <w:pStyle w:val="ListParagraph"/>
                        <w:numPr>
                          <w:ilvl w:val="0"/>
                          <w:numId w:val="10"/>
                        </w:numPr>
                        <w:jc w:val="both"/>
                      </w:pPr>
                      <w:r w:rsidRPr="00F2021F">
                        <w:t>Ignored consultant concerns.</w:t>
                      </w:r>
                    </w:p>
                    <w:p w14:paraId="245E3AE6" w14:textId="77777777" w:rsidR="00B217CF" w:rsidRPr="003C182F" w:rsidRDefault="00B217CF" w:rsidP="003C182F">
                      <w:pPr>
                        <w:pStyle w:val="ListParagraph"/>
                        <w:numPr>
                          <w:ilvl w:val="0"/>
                          <w:numId w:val="10"/>
                        </w:numPr>
                        <w:jc w:val="both"/>
                        <w:rPr>
                          <w:sz w:val="16"/>
                          <w:szCs w:val="16"/>
                        </w:rPr>
                      </w:pPr>
                      <w:r w:rsidRPr="00F2021F">
                        <w:t>Poor communication and escalations</w:t>
                      </w:r>
                      <w:r w:rsidRPr="003C182F">
                        <w:rPr>
                          <w:sz w:val="16"/>
                          <w:szCs w:val="16"/>
                        </w:rPr>
                        <w:t>.</w:t>
                      </w:r>
                    </w:p>
                  </w:txbxContent>
                </v:textbox>
              </v:shape>
            </w:pict>
          </mc:Fallback>
        </mc:AlternateContent>
      </w:r>
    </w:p>
    <w:p w14:paraId="609CC8B8" w14:textId="410D83A9" w:rsidR="003C182F" w:rsidRDefault="003C182F">
      <w:pPr>
        <w:spacing w:after="200" w:line="300" w:lineRule="auto"/>
        <w:jc w:val="both"/>
      </w:pPr>
    </w:p>
    <w:p w14:paraId="3B0254AF" w14:textId="53C44A21" w:rsidR="00606D62" w:rsidRDefault="00606D62">
      <w:pPr>
        <w:spacing w:before="120" w:after="60"/>
        <w:jc w:val="center"/>
      </w:pPr>
    </w:p>
    <w:p w14:paraId="57386BB3" w14:textId="567A88F0" w:rsidR="00B217CF" w:rsidRDefault="00B217CF" w:rsidP="00B217CF">
      <w:pPr>
        <w:tabs>
          <w:tab w:val="center" w:pos="4513"/>
          <w:tab w:val="right" w:pos="9026"/>
        </w:tabs>
        <w:spacing w:before="120" w:after="60"/>
        <w:rPr>
          <w:noProof/>
        </w:rPr>
      </w:pPr>
      <w:r>
        <w:rPr>
          <w:noProof/>
        </w:rPr>
        <mc:AlternateContent>
          <mc:Choice Requires="wps">
            <w:drawing>
              <wp:anchor distT="0" distB="0" distL="114300" distR="114300" simplePos="0" relativeHeight="251677696" behindDoc="0" locked="0" layoutInCell="1" allowOverlap="1" wp14:anchorId="449F4E21" wp14:editId="11245F6E">
                <wp:simplePos x="0" y="0"/>
                <wp:positionH relativeFrom="column">
                  <wp:posOffset>-64033</wp:posOffset>
                </wp:positionH>
                <wp:positionV relativeFrom="paragraph">
                  <wp:posOffset>183280</wp:posOffset>
                </wp:positionV>
                <wp:extent cx="1172592" cy="369332"/>
                <wp:effectExtent l="12700" t="12700" r="8890" b="16510"/>
                <wp:wrapNone/>
                <wp:docPr id="86097750" name="TextBox 1"/>
                <wp:cNvGraphicFramePr/>
                <a:graphic xmlns:a="http://schemas.openxmlformats.org/drawingml/2006/main">
                  <a:graphicData uri="http://schemas.microsoft.com/office/word/2010/wordprocessingShape">
                    <wps:wsp>
                      <wps:cNvSpPr txBox="1"/>
                      <wps:spPr>
                        <a:xfrm>
                          <a:off x="0" y="0"/>
                          <a:ext cx="1172592" cy="369332"/>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4ADF224C" w14:textId="77777777" w:rsidR="007E3C2A" w:rsidRDefault="007E3C2A" w:rsidP="007E3C2A">
                            <w:pPr>
                              <w:jc w:val="center"/>
                              <w:rPr>
                                <w:rFonts w:eastAsiaTheme="majorEastAsia"/>
                                <w:sz w:val="24"/>
                                <w:szCs w:val="24"/>
                                <w:lang w:val="en-US"/>
                              </w:rPr>
                            </w:pPr>
                            <w:r>
                              <w:rPr>
                                <w:rFonts w:eastAsiaTheme="majorEastAsia"/>
                                <w:lang w:val="en-US"/>
                              </w:rPr>
                              <w:t>PEOPLE</w:t>
                            </w:r>
                          </w:p>
                        </w:txbxContent>
                      </wps:txbx>
                      <wps:bodyPr wrap="square" rtlCol="0">
                        <a:spAutoFit/>
                      </wps:bodyPr>
                    </wps:wsp>
                  </a:graphicData>
                </a:graphic>
                <wp14:sizeRelH relativeFrom="margin">
                  <wp14:pctWidth>0</wp14:pctWidth>
                </wp14:sizeRelH>
              </wp:anchor>
            </w:drawing>
          </mc:Choice>
          <mc:Fallback>
            <w:pict>
              <v:shape w14:anchorId="449F4E21" id="TextBox 1" o:spid="_x0000_s1029" type="#_x0000_t202" style="position:absolute;margin-left:-5.05pt;margin-top:14.45pt;width:92.35pt;height:29.1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" filled="f" strokecolor="black [3213]" strokeweight="2pt">
                <v:textbox style="mso-fit-shape-to-text:t">
                  <w:txbxContent>
                    <w:p w14:paraId="4ADF224C" w14:textId="77777777" w:rsidR="007E3C2A" w:rsidRDefault="007E3C2A" w:rsidP="007E3C2A">
                      <w:pPr>
                        <w:jc w:val="center"/>
                        <w:rPr>
                          <w:rFonts w:eastAsiaTheme="majorEastAsia"/>
                          <w:sz w:val="24"/>
                          <w:szCs w:val="24"/>
                          <w:lang w:val="en-US"/>
                        </w:rPr>
                      </w:pPr>
                      <w:r>
                        <w:rPr>
                          <w:rFonts w:eastAsiaTheme="majorEastAsia"/>
                          <w:lang w:val="en-US"/>
                        </w:rPr>
                        <w:t>PEOPLE</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345BA86" wp14:editId="570BF76B">
                <wp:simplePos x="0" y="0"/>
                <wp:positionH relativeFrom="column">
                  <wp:posOffset>1582189</wp:posOffset>
                </wp:positionH>
                <wp:positionV relativeFrom="paragraph">
                  <wp:posOffset>154163</wp:posOffset>
                </wp:positionV>
                <wp:extent cx="1363056" cy="369332"/>
                <wp:effectExtent l="12700" t="12700" r="8890" b="12065"/>
                <wp:wrapNone/>
                <wp:docPr id="1762533003" name="TextBox 1"/>
                <wp:cNvGraphicFramePr/>
                <a:graphic xmlns:a="http://schemas.openxmlformats.org/drawingml/2006/main">
                  <a:graphicData uri="http://schemas.microsoft.com/office/word/2010/wordprocessingShape">
                    <wps:wsp>
                      <wps:cNvSpPr txBox="1"/>
                      <wps:spPr>
                        <a:xfrm>
                          <a:off x="0" y="0"/>
                          <a:ext cx="1363056" cy="369332"/>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42F33F59" w14:textId="77777777" w:rsidR="009502A3" w:rsidRDefault="009502A3" w:rsidP="009502A3">
                            <w:pPr>
                              <w:jc w:val="center"/>
                              <w:rPr>
                                <w:rFonts w:eastAsiaTheme="majorEastAsia"/>
                                <w:sz w:val="24"/>
                                <w:szCs w:val="24"/>
                                <w:lang w:val="en-US"/>
                              </w:rPr>
                            </w:pPr>
                            <w:r>
                              <w:rPr>
                                <w:rFonts w:eastAsiaTheme="majorEastAsia"/>
                                <w:lang w:val="en-US"/>
                              </w:rPr>
                              <w:t>PROCESS</w:t>
                            </w:r>
                          </w:p>
                        </w:txbxContent>
                      </wps:txbx>
                      <wps:bodyPr wrap="square" rtlCol="0">
                        <a:spAutoFit/>
                      </wps:bodyPr>
                    </wps:wsp>
                  </a:graphicData>
                </a:graphic>
              </wp:anchor>
            </w:drawing>
          </mc:Choice>
          <mc:Fallback>
            <w:pict>
              <v:shape w14:anchorId="7345BA86" id="_x0000_s1030" type="#_x0000_t202" style="position:absolute;margin-left:124.6pt;margin-top:12.15pt;width:107.35pt;height:29.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" filled="f" strokecolor="black [3213]" strokeweight="2pt">
                <v:textbox style="mso-fit-shape-to-text:t">
                  <w:txbxContent>
                    <w:p w14:paraId="42F33F59" w14:textId="77777777" w:rsidR="009502A3" w:rsidRDefault="009502A3" w:rsidP="009502A3">
                      <w:pPr>
                        <w:jc w:val="center"/>
                        <w:rPr>
                          <w:rFonts w:eastAsiaTheme="majorEastAsia"/>
                          <w:sz w:val="24"/>
                          <w:szCs w:val="24"/>
                          <w:lang w:val="en-US"/>
                        </w:rPr>
                      </w:pPr>
                      <w:r>
                        <w:rPr>
                          <w:rFonts w:eastAsiaTheme="majorEastAsia"/>
                          <w:lang w:val="en-US"/>
                        </w:rPr>
                        <w:t>PROCESS</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3D16D64" wp14:editId="444A78F6">
                <wp:simplePos x="0" y="0"/>
                <wp:positionH relativeFrom="column">
                  <wp:posOffset>3289940</wp:posOffset>
                </wp:positionH>
                <wp:positionV relativeFrom="paragraph">
                  <wp:posOffset>86431</wp:posOffset>
                </wp:positionV>
                <wp:extent cx="1191971" cy="368935"/>
                <wp:effectExtent l="12700" t="12700" r="14605" b="16510"/>
                <wp:wrapNone/>
                <wp:docPr id="777690027" name="TextBox 1"/>
                <wp:cNvGraphicFramePr/>
                <a:graphic xmlns:a="http://schemas.openxmlformats.org/drawingml/2006/main">
                  <a:graphicData uri="http://schemas.microsoft.com/office/word/2010/wordprocessingShape">
                    <wps:wsp>
                      <wps:cNvSpPr txBox="1"/>
                      <wps:spPr>
                        <a:xfrm>
                          <a:off x="0" y="0"/>
                          <a:ext cx="1191971" cy="368935"/>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3F690256" w14:textId="77777777" w:rsidR="009502A3" w:rsidRDefault="009502A3" w:rsidP="009502A3">
                            <w:pPr>
                              <w:jc w:val="center"/>
                              <w:rPr>
                                <w:rFonts w:eastAsiaTheme="majorEastAsia"/>
                                <w:sz w:val="24"/>
                                <w:szCs w:val="24"/>
                                <w:lang w:val="en-US"/>
                              </w:rPr>
                            </w:pPr>
                            <w:r>
                              <w:rPr>
                                <w:rFonts w:eastAsiaTheme="majorEastAsia"/>
                                <w:lang w:val="en-US"/>
                              </w:rPr>
                              <w:t>MANAGEMENT</w:t>
                            </w:r>
                          </w:p>
                        </w:txbxContent>
                      </wps:txbx>
                      <wps:bodyPr wrap="square" rtlCol="0">
                        <a:spAutoFit/>
                      </wps:bodyPr>
                    </wps:wsp>
                  </a:graphicData>
                </a:graphic>
                <wp14:sizeRelH relativeFrom="margin">
                  <wp14:pctWidth>0</wp14:pctWidth>
                </wp14:sizeRelH>
              </wp:anchor>
            </w:drawing>
          </mc:Choice>
          <mc:Fallback>
            <w:pict>
              <v:shape w14:anchorId="13D16D64" id="_x0000_s1031" type="#_x0000_t202" style="position:absolute;margin-left:259.05pt;margin-top:6.8pt;width:93.85pt;height:29.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" filled="f" strokecolor="black [3213]" strokeweight="2pt">
                <v:textbox style="mso-fit-shape-to-text:t">
                  <w:txbxContent>
                    <w:p w14:paraId="3F690256" w14:textId="77777777" w:rsidR="009502A3" w:rsidRDefault="009502A3" w:rsidP="009502A3">
                      <w:pPr>
                        <w:jc w:val="center"/>
                        <w:rPr>
                          <w:rFonts w:eastAsiaTheme="majorEastAsia"/>
                          <w:sz w:val="24"/>
                          <w:szCs w:val="24"/>
                          <w:lang w:val="en-US"/>
                        </w:rPr>
                      </w:pPr>
                      <w:r>
                        <w:rPr>
                          <w:rFonts w:eastAsiaTheme="majorEastAsia"/>
                          <w:lang w:val="en-US"/>
                        </w:rPr>
                        <w:t>MANAGEMENT</w:t>
                      </w:r>
                    </w:p>
                  </w:txbxContent>
                </v:textbox>
              </v:shape>
            </w:pict>
          </mc:Fallback>
        </mc:AlternateContent>
      </w:r>
    </w:p>
    <w:p w14:paraId="56867E85" w14:textId="1E82346F" w:rsidR="006D3845" w:rsidRDefault="00B217CF" w:rsidP="00B217CF">
      <w:pPr>
        <w:spacing w:before="120" w:after="60"/>
        <w:rPr>
          <w:noProof/>
        </w:rPr>
      </w:pPr>
      <w:r>
        <w:rPr>
          <w:noProof/>
          <w:sz w:val="24"/>
          <w:szCs w:val="24"/>
        </w:rPr>
        <mc:AlternateContent>
          <mc:Choice Requires="wps">
            <w:drawing>
              <wp:anchor distT="0" distB="0" distL="114300" distR="114300" simplePos="0" relativeHeight="251663360" behindDoc="0" locked="0" layoutInCell="1" allowOverlap="1" wp14:anchorId="2B9838F3" wp14:editId="3434EF6D">
                <wp:simplePos x="0" y="0"/>
                <wp:positionH relativeFrom="column">
                  <wp:posOffset>882428</wp:posOffset>
                </wp:positionH>
                <wp:positionV relativeFrom="paragraph">
                  <wp:posOffset>219839</wp:posOffset>
                </wp:positionV>
                <wp:extent cx="459549" cy="573986"/>
                <wp:effectExtent l="12700" t="12700" r="23495" b="23495"/>
                <wp:wrapNone/>
                <wp:docPr id="1422636809" name="Straight Connector 3"/>
                <wp:cNvGraphicFramePr/>
                <a:graphic xmlns:a="http://schemas.openxmlformats.org/drawingml/2006/main">
                  <a:graphicData uri="http://schemas.microsoft.com/office/word/2010/wordprocessingShape">
                    <wps:wsp>
                      <wps:cNvCnPr/>
                      <wps:spPr>
                        <a:xfrm>
                          <a:off x="0" y="0"/>
                          <a:ext cx="459549" cy="57398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9EB9B"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5pt,17.3pt" to="105.7pt,6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" strokecolor="#156082 [3204]" strokeweight="1.5pt">
                <v:stroke joinstyle="miter"/>
              </v:line>
            </w:pict>
          </mc:Fallback>
        </mc:AlternateContent>
      </w:r>
      <w:r>
        <w:rPr>
          <w:noProof/>
          <w:sz w:val="24"/>
          <w:szCs w:val="24"/>
        </w:rPr>
        <mc:AlternateContent>
          <mc:Choice Requires="wps">
            <w:drawing>
              <wp:anchor distT="0" distB="0" distL="114300" distR="114300" simplePos="0" relativeHeight="251667456" behindDoc="0" locked="0" layoutInCell="1" allowOverlap="1" wp14:anchorId="58E3CEF3" wp14:editId="0D57B25B">
                <wp:simplePos x="0" y="0"/>
                <wp:positionH relativeFrom="column">
                  <wp:posOffset>2711228</wp:posOffset>
                </wp:positionH>
                <wp:positionV relativeFrom="paragraph">
                  <wp:posOffset>194261</wp:posOffset>
                </wp:positionV>
                <wp:extent cx="485584" cy="599964"/>
                <wp:effectExtent l="12700" t="12700" r="22860" b="22860"/>
                <wp:wrapNone/>
                <wp:docPr id="517597431" name="Straight Connector 3"/>
                <wp:cNvGraphicFramePr/>
                <a:graphic xmlns:a="http://schemas.openxmlformats.org/drawingml/2006/main">
                  <a:graphicData uri="http://schemas.microsoft.com/office/word/2010/wordprocessingShape">
                    <wps:wsp>
                      <wps:cNvCnPr/>
                      <wps:spPr>
                        <a:xfrm>
                          <a:off x="0" y="0"/>
                          <a:ext cx="485584" cy="59996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48C45E" id="Straight Connector 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5pt,15.3pt" to="251.75pt,6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" strokecolor="#156082 [3204]" strokeweight="1.5pt">
                <v:stroke joinstyle="miter"/>
              </v:line>
            </w:pict>
          </mc:Fallback>
        </mc:AlternateContent>
      </w:r>
      <w:r>
        <w:rPr>
          <w:noProof/>
          <w:sz w:val="24"/>
          <w:szCs w:val="24"/>
        </w:rPr>
        <mc:AlternateContent>
          <mc:Choice Requires="wps">
            <w:drawing>
              <wp:anchor distT="0" distB="0" distL="114300" distR="114300" simplePos="0" relativeHeight="251661312" behindDoc="0" locked="0" layoutInCell="1" allowOverlap="1" wp14:anchorId="42BA068D" wp14:editId="21A2C75C">
                <wp:simplePos x="0" y="0"/>
                <wp:positionH relativeFrom="column">
                  <wp:posOffset>4245885</wp:posOffset>
                </wp:positionH>
                <wp:positionV relativeFrom="paragraph">
                  <wp:posOffset>142475</wp:posOffset>
                </wp:positionV>
                <wp:extent cx="485429" cy="612562"/>
                <wp:effectExtent l="12700" t="12700" r="22860" b="22860"/>
                <wp:wrapNone/>
                <wp:docPr id="1748313068" name="Straight Connector 3"/>
                <wp:cNvGraphicFramePr/>
                <a:graphic xmlns:a="http://schemas.openxmlformats.org/drawingml/2006/main">
                  <a:graphicData uri="http://schemas.microsoft.com/office/word/2010/wordprocessingShape">
                    <wps:wsp>
                      <wps:cNvCnPr/>
                      <wps:spPr>
                        <a:xfrm>
                          <a:off x="0" y="0"/>
                          <a:ext cx="485429" cy="61256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7B73EF"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3pt,11.2pt" to="372.5pt,5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" strokecolor="#156082 [3204]" strokeweight="1.5pt">
                <v:stroke joinstyle="miter"/>
              </v:line>
            </w:pict>
          </mc:Fallback>
        </mc:AlternateContent>
      </w:r>
      <w:r>
        <w:rPr>
          <w:noProof/>
          <w:sz w:val="24"/>
          <w:szCs w:val="24"/>
        </w:rPr>
        <w:t xml:space="preserve">  </w:t>
      </w:r>
      <w:r>
        <w:rPr>
          <w:noProof/>
        </w:rPr>
        <w:t xml:space="preserve"> </w:t>
      </w:r>
      <w:r w:rsidR="00AF1F17">
        <w:rPr>
          <w:noProof/>
        </w:rPr>
        <mc:AlternateContent>
          <mc:Choice Requires="wps">
            <w:drawing>
              <wp:anchor distT="0" distB="0" distL="114300" distR="114300" simplePos="0" relativeHeight="251684864" behindDoc="0" locked="0" layoutInCell="1" allowOverlap="1" wp14:anchorId="3C7B5804" wp14:editId="2E3AD645">
                <wp:simplePos x="0" y="0"/>
                <wp:positionH relativeFrom="column">
                  <wp:posOffset>5129675</wp:posOffset>
                </wp:positionH>
                <wp:positionV relativeFrom="paragraph">
                  <wp:posOffset>213252</wp:posOffset>
                </wp:positionV>
                <wp:extent cx="1351378" cy="1117129"/>
                <wp:effectExtent l="15557" t="22543" r="23178" b="23177"/>
                <wp:wrapNone/>
                <wp:docPr id="860077071" name="Triangle 11"/>
                <wp:cNvGraphicFramePr/>
                <a:graphic xmlns:a="http://schemas.openxmlformats.org/drawingml/2006/main">
                  <a:graphicData uri="http://schemas.microsoft.com/office/word/2010/wordprocessingShape">
                    <wps:wsp>
                      <wps:cNvSpPr/>
                      <wps:spPr>
                        <a:xfrm rot="5400000">
                          <a:off x="0" y="0"/>
                          <a:ext cx="1351378" cy="1117129"/>
                        </a:xfrm>
                        <a:prstGeom prst="triangle">
                          <a:avLst/>
                        </a:prstGeom>
                        <a:solidFill>
                          <a:schemeClr val="accent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4ED39BB" w14:textId="21CAEC7B" w:rsidR="00AF1F17" w:rsidRDefault="00AF1F17" w:rsidP="00AF1F17">
                            <w:pPr>
                              <w:jc w:val="center"/>
                            </w:pPr>
                            <w:r>
                              <w:t>Repeated Patient Harm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7B580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1" o:spid="_x0000_s1032" type="#_x0000_t5" style="position:absolute;margin-left:403.9pt;margin-top:16.8pt;width:106.4pt;height:87.95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" fillcolor="#156082 [3204]" strokecolor="#030e13 [484]" strokeweight="1.5pt">
                <v:textbox>
                  <w:txbxContent>
                    <w:p w14:paraId="54ED39BB" w14:textId="21CAEC7B" w:rsidR="00AF1F17" w:rsidRDefault="00AF1F17" w:rsidP="00AF1F17">
                      <w:pPr>
                        <w:jc w:val="center"/>
                      </w:pPr>
                      <w:r>
                        <w:t>Repeated Patient Harm</w:t>
                      </w:r>
                    </w:p>
                  </w:txbxContent>
                </v:textbox>
              </v:shape>
            </w:pict>
          </mc:Fallback>
        </mc:AlternateContent>
      </w:r>
    </w:p>
    <w:p w14:paraId="10A0A254" w14:textId="37DD4434" w:rsidR="006D3845" w:rsidRDefault="006D3845">
      <w:pPr>
        <w:spacing w:before="120" w:after="60"/>
        <w:jc w:val="center"/>
      </w:pPr>
    </w:p>
    <w:p w14:paraId="3698B3F7" w14:textId="26F12889" w:rsidR="006D3845" w:rsidRDefault="006D3845">
      <w:pPr>
        <w:spacing w:before="120" w:after="60"/>
        <w:jc w:val="center"/>
      </w:pPr>
    </w:p>
    <w:p w14:paraId="0B9AB562" w14:textId="34C07788" w:rsidR="006D3845" w:rsidRDefault="003C182F">
      <w:pPr>
        <w:spacing w:before="120" w:after="60"/>
        <w:jc w:val="center"/>
      </w:pPr>
      <w:r>
        <w:rPr>
          <w:noProof/>
          <w:sz w:val="24"/>
          <w:szCs w:val="24"/>
        </w:rPr>
        <mc:AlternateContent>
          <mc:Choice Requires="wps">
            <w:drawing>
              <wp:anchor distT="0" distB="0" distL="114300" distR="114300" simplePos="0" relativeHeight="251671552" behindDoc="0" locked="0" layoutInCell="1" allowOverlap="1" wp14:anchorId="2D7CAA3A" wp14:editId="322AD1D1">
                <wp:simplePos x="0" y="0"/>
                <wp:positionH relativeFrom="column">
                  <wp:posOffset>824878</wp:posOffset>
                </wp:positionH>
                <wp:positionV relativeFrom="paragraph">
                  <wp:posOffset>131947</wp:posOffset>
                </wp:positionV>
                <wp:extent cx="364064" cy="549919"/>
                <wp:effectExtent l="12700" t="12700" r="17145" b="21590"/>
                <wp:wrapNone/>
                <wp:docPr id="368505314" name="Straight Connector 3"/>
                <wp:cNvGraphicFramePr/>
                <a:graphic xmlns:a="http://schemas.openxmlformats.org/drawingml/2006/main">
                  <a:graphicData uri="http://schemas.microsoft.com/office/word/2010/wordprocessingShape">
                    <wps:wsp>
                      <wps:cNvCnPr/>
                      <wps:spPr>
                        <a:xfrm flipH="1">
                          <a:off x="0" y="0"/>
                          <a:ext cx="364064" cy="54991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E1B5BB" id="Straight Connector 3"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5pt,10.4pt" to="93.6pt,5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" strokecolor="#156082 [3204]" strokeweight="1.5pt">
                <v:stroke joinstyle="miter"/>
              </v:line>
            </w:pict>
          </mc:Fallback>
        </mc:AlternateContent>
      </w:r>
      <w:r>
        <w:rPr>
          <w:noProof/>
          <w:sz w:val="24"/>
          <w:szCs w:val="24"/>
        </w:rPr>
        <mc:AlternateContent>
          <mc:Choice Requires="wps">
            <w:drawing>
              <wp:anchor distT="0" distB="0" distL="114300" distR="114300" simplePos="0" relativeHeight="251669504" behindDoc="0" locked="0" layoutInCell="1" allowOverlap="1" wp14:anchorId="53107F92" wp14:editId="2305D145">
                <wp:simplePos x="0" y="0"/>
                <wp:positionH relativeFrom="column">
                  <wp:posOffset>2487334</wp:posOffset>
                </wp:positionH>
                <wp:positionV relativeFrom="paragraph">
                  <wp:posOffset>93580</wp:posOffset>
                </wp:positionV>
                <wp:extent cx="183821" cy="594360"/>
                <wp:effectExtent l="12700" t="12700" r="19685" b="15240"/>
                <wp:wrapNone/>
                <wp:docPr id="1114478756" name="Straight Connector 3"/>
                <wp:cNvGraphicFramePr/>
                <a:graphic xmlns:a="http://schemas.openxmlformats.org/drawingml/2006/main">
                  <a:graphicData uri="http://schemas.microsoft.com/office/word/2010/wordprocessingShape">
                    <wps:wsp>
                      <wps:cNvCnPr/>
                      <wps:spPr>
                        <a:xfrm flipH="1">
                          <a:off x="0" y="0"/>
                          <a:ext cx="183821" cy="594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7ABBCD" id="Straight Connector 3"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85pt,7.35pt" to="210.3pt,5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" strokecolor="#156082 [3204]" strokeweight="1.5pt">
                <v:stroke joinstyle="miter"/>
              </v:line>
            </w:pict>
          </mc:Fallback>
        </mc:AlternateContent>
      </w:r>
      <w:r>
        <w:rPr>
          <w:noProof/>
          <w:sz w:val="24"/>
          <w:szCs w:val="24"/>
        </w:rPr>
        <mc:AlternateContent>
          <mc:Choice Requires="wps">
            <w:drawing>
              <wp:anchor distT="0" distB="0" distL="114300" distR="114300" simplePos="0" relativeHeight="251665408" behindDoc="0" locked="0" layoutInCell="1" allowOverlap="1" wp14:anchorId="0B98ACC4" wp14:editId="4E5130DA">
                <wp:simplePos x="0" y="0"/>
                <wp:positionH relativeFrom="column">
                  <wp:posOffset>4245796</wp:posOffset>
                </wp:positionH>
                <wp:positionV relativeFrom="paragraph">
                  <wp:posOffset>93580</wp:posOffset>
                </wp:positionV>
                <wp:extent cx="236393" cy="594769"/>
                <wp:effectExtent l="12700" t="12700" r="17780" b="15240"/>
                <wp:wrapNone/>
                <wp:docPr id="807594319" name="Straight Connector 3"/>
                <wp:cNvGraphicFramePr/>
                <a:graphic xmlns:a="http://schemas.openxmlformats.org/drawingml/2006/main">
                  <a:graphicData uri="http://schemas.microsoft.com/office/word/2010/wordprocessingShape">
                    <wps:wsp>
                      <wps:cNvCnPr/>
                      <wps:spPr>
                        <a:xfrm flipH="1">
                          <a:off x="0" y="0"/>
                          <a:ext cx="236393" cy="59476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E7B948" id="Straight Connector 3"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3pt,7.35pt" to="352.9pt,5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" strokecolor="#156082 [3204]" strokeweight="1.5pt">
                <v:stroke joinstyle="miter"/>
              </v:line>
            </w:pict>
          </mc:Fallback>
        </mc:AlternateContent>
      </w:r>
      <w:r w:rsidR="00354D1C">
        <w:rPr>
          <w:noProof/>
          <w:sz w:val="24"/>
          <w:szCs w:val="24"/>
        </w:rPr>
        <mc:AlternateContent>
          <mc:Choice Requires="wps">
            <w:drawing>
              <wp:anchor distT="0" distB="0" distL="114300" distR="114300" simplePos="0" relativeHeight="251660288" behindDoc="0" locked="0" layoutInCell="1" allowOverlap="1" wp14:anchorId="1D9324B8" wp14:editId="1C9BB2D2">
                <wp:simplePos x="0" y="0"/>
                <wp:positionH relativeFrom="column">
                  <wp:posOffset>-64033</wp:posOffset>
                </wp:positionH>
                <wp:positionV relativeFrom="paragraph">
                  <wp:posOffset>95893</wp:posOffset>
                </wp:positionV>
                <wp:extent cx="5312250" cy="38055"/>
                <wp:effectExtent l="12700" t="12700" r="22225" b="13335"/>
                <wp:wrapNone/>
                <wp:docPr id="1904605902" name="Straight Connector 2"/>
                <wp:cNvGraphicFramePr/>
                <a:graphic xmlns:a="http://schemas.openxmlformats.org/drawingml/2006/main">
                  <a:graphicData uri="http://schemas.microsoft.com/office/word/2010/wordprocessingShape">
                    <wps:wsp>
                      <wps:cNvCnPr/>
                      <wps:spPr>
                        <a:xfrm flipV="1">
                          <a:off x="0" y="0"/>
                          <a:ext cx="5312250" cy="380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EAEF30"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pt,7.55pt" to="413.25pt,10.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" strokecolor="#156082 [3204]" strokeweight="1.5pt">
                <v:stroke joinstyle="miter"/>
              </v:line>
            </w:pict>
          </mc:Fallback>
        </mc:AlternateContent>
      </w:r>
    </w:p>
    <w:p w14:paraId="6737BD9F" w14:textId="02BD3E1A" w:rsidR="006D3845" w:rsidRDefault="006D3845">
      <w:pPr>
        <w:spacing w:before="120" w:after="60"/>
        <w:jc w:val="center"/>
      </w:pPr>
    </w:p>
    <w:p w14:paraId="1F59CDA2" w14:textId="1EE1B972" w:rsidR="006D3845" w:rsidRDefault="006D3845">
      <w:pPr>
        <w:spacing w:before="120" w:after="60"/>
        <w:jc w:val="center"/>
      </w:pPr>
    </w:p>
    <w:p w14:paraId="55AC7F14" w14:textId="61C187FD" w:rsidR="006D3845" w:rsidRDefault="003C182F">
      <w:pPr>
        <w:spacing w:before="120" w:after="60"/>
        <w:jc w:val="center"/>
      </w:pPr>
      <w:r>
        <w:rPr>
          <w:noProof/>
        </w:rPr>
        <mc:AlternateContent>
          <mc:Choice Requires="wps">
            <w:drawing>
              <wp:anchor distT="0" distB="0" distL="114300" distR="114300" simplePos="0" relativeHeight="251679744" behindDoc="0" locked="0" layoutInCell="1" allowOverlap="1" wp14:anchorId="175BD5F6" wp14:editId="61BCDB51">
                <wp:simplePos x="0" y="0"/>
                <wp:positionH relativeFrom="column">
                  <wp:posOffset>6843</wp:posOffset>
                </wp:positionH>
                <wp:positionV relativeFrom="paragraph">
                  <wp:posOffset>15653</wp:posOffset>
                </wp:positionV>
                <wp:extent cx="1362097" cy="368935"/>
                <wp:effectExtent l="12700" t="12700" r="9525" b="16510"/>
                <wp:wrapNone/>
                <wp:docPr id="1681287671" name="TextBox 1"/>
                <wp:cNvGraphicFramePr/>
                <a:graphic xmlns:a="http://schemas.openxmlformats.org/drawingml/2006/main">
                  <a:graphicData uri="http://schemas.microsoft.com/office/word/2010/wordprocessingShape">
                    <wps:wsp>
                      <wps:cNvSpPr txBox="1"/>
                      <wps:spPr>
                        <a:xfrm>
                          <a:off x="0" y="0"/>
                          <a:ext cx="1362097" cy="368935"/>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6AA195E2" w14:textId="77777777" w:rsidR="007E3C2A" w:rsidRDefault="007E3C2A" w:rsidP="007E3C2A">
                            <w:pPr>
                              <w:jc w:val="center"/>
                              <w:rPr>
                                <w:rFonts w:eastAsiaTheme="majorEastAsia"/>
                                <w:sz w:val="24"/>
                                <w:szCs w:val="24"/>
                                <w:lang w:val="en-US"/>
                              </w:rPr>
                            </w:pPr>
                            <w:r>
                              <w:rPr>
                                <w:rFonts w:eastAsiaTheme="majorEastAsia"/>
                                <w:lang w:val="en-US"/>
                              </w:rPr>
                              <w:t>ENVIRONMENT</w:t>
                            </w:r>
                          </w:p>
                        </w:txbxContent>
                      </wps:txbx>
                      <wps:bodyPr wrap="square" rtlCol="0">
                        <a:spAutoFit/>
                      </wps:bodyPr>
                    </wps:wsp>
                  </a:graphicData>
                </a:graphic>
                <wp14:sizeRelH relativeFrom="margin">
                  <wp14:pctWidth>0</wp14:pctWidth>
                </wp14:sizeRelH>
              </wp:anchor>
            </w:drawing>
          </mc:Choice>
          <mc:Fallback>
            <w:pict>
              <v:shape w14:anchorId="175BD5F6" id="_x0000_s1033" type="#_x0000_t202" style="position:absolute;left:0;text-align:left;margin-left:.55pt;margin-top:1.25pt;width:107.25pt;height:29.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" filled="f" strokecolor="black [3213]" strokeweight="2pt">
                <v:textbox style="mso-fit-shape-to-text:t">
                  <w:txbxContent>
                    <w:p w14:paraId="6AA195E2" w14:textId="77777777" w:rsidR="007E3C2A" w:rsidRDefault="007E3C2A" w:rsidP="007E3C2A">
                      <w:pPr>
                        <w:jc w:val="center"/>
                        <w:rPr>
                          <w:rFonts w:eastAsiaTheme="majorEastAsia"/>
                          <w:sz w:val="24"/>
                          <w:szCs w:val="24"/>
                          <w:lang w:val="en-US"/>
                        </w:rPr>
                      </w:pPr>
                      <w:r>
                        <w:rPr>
                          <w:rFonts w:eastAsiaTheme="majorEastAsia"/>
                          <w:lang w:val="en-US"/>
                        </w:rPr>
                        <w:t>ENVIRONMENT</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778DBEFA" wp14:editId="66E68B4A">
                <wp:simplePos x="0" y="0"/>
                <wp:positionH relativeFrom="column">
                  <wp:posOffset>1818298</wp:posOffset>
                </wp:positionH>
                <wp:positionV relativeFrom="paragraph">
                  <wp:posOffset>36603</wp:posOffset>
                </wp:positionV>
                <wp:extent cx="1121588" cy="369332"/>
                <wp:effectExtent l="12700" t="12700" r="8890" b="12065"/>
                <wp:wrapNone/>
                <wp:docPr id="8135097" name="TextBox 1"/>
                <wp:cNvGraphicFramePr/>
                <a:graphic xmlns:a="http://schemas.openxmlformats.org/drawingml/2006/main">
                  <a:graphicData uri="http://schemas.microsoft.com/office/word/2010/wordprocessingShape">
                    <wps:wsp>
                      <wps:cNvSpPr txBox="1"/>
                      <wps:spPr>
                        <a:xfrm>
                          <a:off x="0" y="0"/>
                          <a:ext cx="1121588" cy="369332"/>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29B90693" w14:textId="77777777" w:rsidR="007E3C2A" w:rsidRDefault="007E3C2A" w:rsidP="007E3C2A">
                            <w:pPr>
                              <w:jc w:val="center"/>
                              <w:rPr>
                                <w:rFonts w:eastAsiaTheme="majorEastAsia"/>
                                <w:sz w:val="24"/>
                                <w:szCs w:val="24"/>
                                <w:lang w:val="en-US"/>
                              </w:rPr>
                            </w:pPr>
                            <w:r>
                              <w:rPr>
                                <w:rFonts w:eastAsiaTheme="majorEastAsia"/>
                                <w:lang w:val="en-US"/>
                              </w:rPr>
                              <w:t>POLICY</w:t>
                            </w:r>
                          </w:p>
                        </w:txbxContent>
                      </wps:txbx>
                      <wps:bodyPr wrap="square" rtlCol="0">
                        <a:spAutoFit/>
                      </wps:bodyPr>
                    </wps:wsp>
                  </a:graphicData>
                </a:graphic>
              </wp:anchor>
            </w:drawing>
          </mc:Choice>
          <mc:Fallback>
            <w:pict>
              <v:shape w14:anchorId="778DBEFA" id="_x0000_s1034" type="#_x0000_t202" style="position:absolute;left:0;text-align:left;margin-left:143.15pt;margin-top:2.9pt;width:88.3pt;height:29.1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" filled="f" strokecolor="black [3213]" strokeweight="2pt">
                <v:textbox style="mso-fit-shape-to-text:t">
                  <w:txbxContent>
                    <w:p w14:paraId="29B90693" w14:textId="77777777" w:rsidR="007E3C2A" w:rsidRDefault="007E3C2A" w:rsidP="007E3C2A">
                      <w:pPr>
                        <w:jc w:val="center"/>
                        <w:rPr>
                          <w:rFonts w:eastAsiaTheme="majorEastAsia"/>
                          <w:sz w:val="24"/>
                          <w:szCs w:val="24"/>
                          <w:lang w:val="en-US"/>
                        </w:rPr>
                      </w:pPr>
                      <w:r>
                        <w:rPr>
                          <w:rFonts w:eastAsiaTheme="majorEastAsia"/>
                          <w:lang w:val="en-US"/>
                        </w:rPr>
                        <w:t>POLICY</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5B535968" wp14:editId="0AB3299F">
                <wp:simplePos x="0" y="0"/>
                <wp:positionH relativeFrom="column">
                  <wp:posOffset>3439515</wp:posOffset>
                </wp:positionH>
                <wp:positionV relativeFrom="paragraph">
                  <wp:posOffset>28073</wp:posOffset>
                </wp:positionV>
                <wp:extent cx="1185829" cy="368935"/>
                <wp:effectExtent l="12700" t="12700" r="8255" b="16510"/>
                <wp:wrapNone/>
                <wp:docPr id="474753506" name="TextBox 1"/>
                <wp:cNvGraphicFramePr/>
                <a:graphic xmlns:a="http://schemas.openxmlformats.org/drawingml/2006/main">
                  <a:graphicData uri="http://schemas.microsoft.com/office/word/2010/wordprocessingShape">
                    <wps:wsp>
                      <wps:cNvSpPr txBox="1"/>
                      <wps:spPr>
                        <a:xfrm>
                          <a:off x="0" y="0"/>
                          <a:ext cx="1185829" cy="368935"/>
                        </a:xfrm>
                        <a:prstGeom prst="rect">
                          <a:avLst/>
                        </a:prstGeom>
                        <a:noFill/>
                        <a:ln w="25400">
                          <a:solidFill>
                            <a:schemeClr val="tx1"/>
                          </a:solidFill>
                        </a:ln>
                      </wps:spPr>
                      <wps:style>
                        <a:lnRef idx="0">
                          <a:scrgbClr r="0" g="0" b="0"/>
                        </a:lnRef>
                        <a:fillRef idx="0">
                          <a:scrgbClr r="0" g="0" b="0"/>
                        </a:fillRef>
                        <a:effectRef idx="0">
                          <a:scrgbClr r="0" g="0" b="0"/>
                        </a:effectRef>
                        <a:fontRef idx="major"/>
                      </wps:style>
                      <wps:txbx>
                        <w:txbxContent>
                          <w:p w14:paraId="6CA4B6BC" w14:textId="77777777" w:rsidR="007E3C2A" w:rsidRDefault="007E3C2A" w:rsidP="007E3C2A">
                            <w:pPr>
                              <w:jc w:val="center"/>
                              <w:rPr>
                                <w:rFonts w:eastAsiaTheme="majorEastAsia"/>
                                <w:sz w:val="24"/>
                                <w:szCs w:val="24"/>
                                <w:lang w:val="en-US"/>
                              </w:rPr>
                            </w:pPr>
                            <w:r>
                              <w:rPr>
                                <w:rFonts w:eastAsiaTheme="majorEastAsia"/>
                                <w:lang w:val="en-US"/>
                              </w:rPr>
                              <w:t>GOVERNANCE</w:t>
                            </w:r>
                          </w:p>
                        </w:txbxContent>
                      </wps:txbx>
                      <wps:bodyPr wrap="square" rtlCol="0">
                        <a:spAutoFit/>
                      </wps:bodyPr>
                    </wps:wsp>
                  </a:graphicData>
                </a:graphic>
                <wp14:sizeRelH relativeFrom="margin">
                  <wp14:pctWidth>0</wp14:pctWidth>
                </wp14:sizeRelH>
              </wp:anchor>
            </w:drawing>
          </mc:Choice>
          <mc:Fallback>
            <w:pict>
              <v:shape w14:anchorId="5B535968" id="_x0000_s1035" type="#_x0000_t202" style="position:absolute;left:0;text-align:left;margin-left:270.85pt;margin-top:2.2pt;width:93.35pt;height:29.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" filled="f" strokecolor="black [3213]" strokeweight="2pt">
                <v:textbox style="mso-fit-shape-to-text:t">
                  <w:txbxContent>
                    <w:p w14:paraId="6CA4B6BC" w14:textId="77777777" w:rsidR="007E3C2A" w:rsidRDefault="007E3C2A" w:rsidP="007E3C2A">
                      <w:pPr>
                        <w:jc w:val="center"/>
                        <w:rPr>
                          <w:rFonts w:eastAsiaTheme="majorEastAsia"/>
                          <w:sz w:val="24"/>
                          <w:szCs w:val="24"/>
                          <w:lang w:val="en-US"/>
                        </w:rPr>
                      </w:pPr>
                      <w:r>
                        <w:rPr>
                          <w:rFonts w:eastAsiaTheme="majorEastAsia"/>
                          <w:lang w:val="en-US"/>
                        </w:rPr>
                        <w:t>GOVERNANCE</w:t>
                      </w:r>
                    </w:p>
                  </w:txbxContent>
                </v:textbox>
              </v:shape>
            </w:pict>
          </mc:Fallback>
        </mc:AlternateContent>
      </w:r>
    </w:p>
    <w:p w14:paraId="2963A7AC" w14:textId="3E80B300" w:rsidR="006D3845" w:rsidRDefault="00F2021F">
      <w:pPr>
        <w:spacing w:before="120" w:after="60"/>
        <w:jc w:val="center"/>
      </w:pPr>
      <w:r>
        <w:rPr>
          <w:noProof/>
        </w:rPr>
        <mc:AlternateContent>
          <mc:Choice Requires="wps">
            <w:drawing>
              <wp:anchor distT="0" distB="0" distL="114300" distR="114300" simplePos="0" relativeHeight="251699200" behindDoc="0" locked="0" layoutInCell="1" allowOverlap="1" wp14:anchorId="3BEE813B" wp14:editId="6BFADFF0">
                <wp:simplePos x="0" y="0"/>
                <wp:positionH relativeFrom="column">
                  <wp:posOffset>1483138</wp:posOffset>
                </wp:positionH>
                <wp:positionV relativeFrom="paragraph">
                  <wp:posOffset>99197</wp:posOffset>
                </wp:positionV>
                <wp:extent cx="1860550" cy="882428"/>
                <wp:effectExtent l="0" t="0" r="19050" b="6985"/>
                <wp:wrapNone/>
                <wp:docPr id="1097118158" name="Text Box 17"/>
                <wp:cNvGraphicFramePr/>
                <a:graphic xmlns:a="http://schemas.openxmlformats.org/drawingml/2006/main">
                  <a:graphicData uri="http://schemas.microsoft.com/office/word/2010/wordprocessingShape">
                    <wps:wsp>
                      <wps:cNvSpPr txBox="1"/>
                      <wps:spPr>
                        <a:xfrm>
                          <a:off x="0" y="0"/>
                          <a:ext cx="1860550" cy="882428"/>
                        </a:xfrm>
                        <a:prstGeom prst="rect">
                          <a:avLst/>
                        </a:prstGeom>
                        <a:solidFill>
                          <a:schemeClr val="lt1"/>
                        </a:solidFill>
                        <a:ln w="6350">
                          <a:solidFill>
                            <a:prstClr val="black"/>
                          </a:solidFill>
                        </a:ln>
                      </wps:spPr>
                      <wps:txbx>
                        <w:txbxContent>
                          <w:p w14:paraId="751B8AB8" w14:textId="0C036AFF" w:rsidR="003C182F" w:rsidRDefault="00F2021F" w:rsidP="00F2021F">
                            <w:pPr>
                              <w:pStyle w:val="ListParagraph"/>
                              <w:numPr>
                                <w:ilvl w:val="0"/>
                                <w:numId w:val="15"/>
                              </w:numPr>
                            </w:pPr>
                            <w:r>
                              <w:t>Weak whistleblowing and speaking-up procedures.</w:t>
                            </w:r>
                          </w:p>
                          <w:p w14:paraId="759E7C52" w14:textId="30737463" w:rsidR="00F2021F" w:rsidRDefault="00F2021F" w:rsidP="00F2021F">
                            <w:pPr>
                              <w:pStyle w:val="ListParagraph"/>
                              <w:numPr>
                                <w:ilvl w:val="0"/>
                                <w:numId w:val="15"/>
                              </w:numPr>
                            </w:pPr>
                            <w:r>
                              <w:t>Ineffective patient safety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E813B" id="Text Box 17" o:spid="_x0000_s1036" type="#_x0000_t202" style="position:absolute;left:0;text-align:left;margin-left:116.8pt;margin-top:7.8pt;width:146.5pt;height:6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" fillcolor="white [3201]" strokeweight=".5pt">
                <v:textbox>
                  <w:txbxContent>
                    <w:p w14:paraId="751B8AB8" w14:textId="0C036AFF" w:rsidR="003C182F" w:rsidRDefault="00F2021F" w:rsidP="00F2021F">
                      <w:pPr>
                        <w:pStyle w:val="ListParagraph"/>
                        <w:numPr>
                          <w:ilvl w:val="0"/>
                          <w:numId w:val="15"/>
                        </w:numPr>
                      </w:pPr>
                      <w:r>
                        <w:t>Weak whistleblowing and speaking-up procedures.</w:t>
                      </w:r>
                    </w:p>
                    <w:p w14:paraId="759E7C52" w14:textId="30737463" w:rsidR="00F2021F" w:rsidRDefault="00F2021F" w:rsidP="00F2021F">
                      <w:pPr>
                        <w:pStyle w:val="ListParagraph"/>
                        <w:numPr>
                          <w:ilvl w:val="0"/>
                          <w:numId w:val="15"/>
                        </w:numPr>
                      </w:pPr>
                      <w:r>
                        <w:t>Ineffective patient safety policies</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3F5FFD37" wp14:editId="12DC551E">
                <wp:simplePos x="0" y="0"/>
                <wp:positionH relativeFrom="column">
                  <wp:posOffset>3465767</wp:posOffset>
                </wp:positionH>
                <wp:positionV relativeFrom="paragraph">
                  <wp:posOffset>106280</wp:posOffset>
                </wp:positionV>
                <wp:extent cx="2135731" cy="715649"/>
                <wp:effectExtent l="0" t="0" r="10795" b="8255"/>
                <wp:wrapNone/>
                <wp:docPr id="910119409" name="Text Box 17"/>
                <wp:cNvGraphicFramePr/>
                <a:graphic xmlns:a="http://schemas.openxmlformats.org/drawingml/2006/main">
                  <a:graphicData uri="http://schemas.microsoft.com/office/word/2010/wordprocessingShape">
                    <wps:wsp>
                      <wps:cNvSpPr txBox="1"/>
                      <wps:spPr>
                        <a:xfrm>
                          <a:off x="0" y="0"/>
                          <a:ext cx="2135731" cy="715649"/>
                        </a:xfrm>
                        <a:prstGeom prst="rect">
                          <a:avLst/>
                        </a:prstGeom>
                        <a:solidFill>
                          <a:schemeClr val="lt1"/>
                        </a:solidFill>
                        <a:ln w="6350">
                          <a:solidFill>
                            <a:prstClr val="black"/>
                          </a:solidFill>
                        </a:ln>
                      </wps:spPr>
                      <wps:txbx>
                        <w:txbxContent>
                          <w:p w14:paraId="7979C854" w14:textId="2D52325F" w:rsidR="003C182F" w:rsidRDefault="00F2021F" w:rsidP="00F2021F">
                            <w:pPr>
                              <w:pStyle w:val="ListParagraph"/>
                              <w:numPr>
                                <w:ilvl w:val="0"/>
                                <w:numId w:val="14"/>
                              </w:numPr>
                            </w:pPr>
                            <w:r>
                              <w:t>Poor clinical governance and oversight.</w:t>
                            </w:r>
                          </w:p>
                          <w:p w14:paraId="0C498721" w14:textId="12790788" w:rsidR="00F2021F" w:rsidRDefault="00F2021F" w:rsidP="00F2021F">
                            <w:pPr>
                              <w:pStyle w:val="ListParagraph"/>
                              <w:numPr>
                                <w:ilvl w:val="0"/>
                                <w:numId w:val="14"/>
                              </w:numPr>
                            </w:pPr>
                            <w:r>
                              <w:t>Limited organisational learning from incidents.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FFD37" id="_x0000_s1037" type="#_x0000_t202" style="position:absolute;left:0;text-align:left;margin-left:272.9pt;margin-top:8.35pt;width:168.15pt;height:56.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" fillcolor="white [3201]" strokeweight=".5pt">
                <v:textbox>
                  <w:txbxContent>
                    <w:p w14:paraId="7979C854" w14:textId="2D52325F" w:rsidR="003C182F" w:rsidRDefault="00F2021F" w:rsidP="00F2021F">
                      <w:pPr>
                        <w:pStyle w:val="ListParagraph"/>
                        <w:numPr>
                          <w:ilvl w:val="0"/>
                          <w:numId w:val="14"/>
                        </w:numPr>
                      </w:pPr>
                      <w:r>
                        <w:t>Poor clinical governance and oversight.</w:t>
                      </w:r>
                    </w:p>
                    <w:p w14:paraId="0C498721" w14:textId="12790788" w:rsidR="00F2021F" w:rsidRDefault="00F2021F" w:rsidP="00F2021F">
                      <w:pPr>
                        <w:pStyle w:val="ListParagraph"/>
                        <w:numPr>
                          <w:ilvl w:val="0"/>
                          <w:numId w:val="14"/>
                        </w:numPr>
                      </w:pPr>
                      <w:r>
                        <w:t>Limited organisational learning from incidents.</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705662B1" wp14:editId="5103330C">
                <wp:simplePos x="0" y="0"/>
                <wp:positionH relativeFrom="column">
                  <wp:posOffset>-293631</wp:posOffset>
                </wp:positionH>
                <wp:positionV relativeFrom="paragraph">
                  <wp:posOffset>93629</wp:posOffset>
                </wp:positionV>
                <wp:extent cx="1694180" cy="684201"/>
                <wp:effectExtent l="0" t="0" r="7620" b="14605"/>
                <wp:wrapNone/>
                <wp:docPr id="1218850040" name="Text Box 17"/>
                <wp:cNvGraphicFramePr/>
                <a:graphic xmlns:a="http://schemas.openxmlformats.org/drawingml/2006/main">
                  <a:graphicData uri="http://schemas.microsoft.com/office/word/2010/wordprocessingShape">
                    <wps:wsp>
                      <wps:cNvSpPr txBox="1"/>
                      <wps:spPr>
                        <a:xfrm>
                          <a:off x="0" y="0"/>
                          <a:ext cx="1694180" cy="684201"/>
                        </a:xfrm>
                        <a:prstGeom prst="rect">
                          <a:avLst/>
                        </a:prstGeom>
                        <a:solidFill>
                          <a:schemeClr val="lt1"/>
                        </a:solidFill>
                        <a:ln w="6350">
                          <a:solidFill>
                            <a:prstClr val="black"/>
                          </a:solidFill>
                        </a:ln>
                      </wps:spPr>
                      <wps:txbx>
                        <w:txbxContent>
                          <w:p w14:paraId="69FDBB1D" w14:textId="1292E0B2" w:rsidR="003C182F" w:rsidRDefault="003C182F" w:rsidP="00F2021F">
                            <w:pPr>
                              <w:pStyle w:val="ListParagraph"/>
                              <w:numPr>
                                <w:ilvl w:val="0"/>
                                <w:numId w:val="13"/>
                              </w:numPr>
                            </w:pPr>
                            <w:r>
                              <w:t>Staffing shortage in the neonatal unit.</w:t>
                            </w:r>
                          </w:p>
                          <w:p w14:paraId="7820966A" w14:textId="782731C8" w:rsidR="003C182F" w:rsidRDefault="00F2021F" w:rsidP="00F2021F">
                            <w:pPr>
                              <w:pStyle w:val="ListParagraph"/>
                              <w:numPr>
                                <w:ilvl w:val="0"/>
                                <w:numId w:val="13"/>
                              </w:numPr>
                            </w:pPr>
                            <w:r>
                              <w:t>High workload and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5662B1" id="_x0000_s1038" type="#_x0000_t202" style="position:absolute;left:0;text-align:left;margin-left:-23.1pt;margin-top:7.35pt;width:133.4pt;height:53.8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" fillcolor="white [3201]" strokeweight=".5pt">
                <v:textbox>
                  <w:txbxContent>
                    <w:p w14:paraId="69FDBB1D" w14:textId="1292E0B2" w:rsidR="003C182F" w:rsidRDefault="003C182F" w:rsidP="00F2021F">
                      <w:pPr>
                        <w:pStyle w:val="ListParagraph"/>
                        <w:numPr>
                          <w:ilvl w:val="0"/>
                          <w:numId w:val="13"/>
                        </w:numPr>
                      </w:pPr>
                      <w:r>
                        <w:t>Staffing shortage in the neonatal unit.</w:t>
                      </w:r>
                    </w:p>
                    <w:p w14:paraId="7820966A" w14:textId="782731C8" w:rsidR="003C182F" w:rsidRDefault="00F2021F" w:rsidP="00F2021F">
                      <w:pPr>
                        <w:pStyle w:val="ListParagraph"/>
                        <w:numPr>
                          <w:ilvl w:val="0"/>
                          <w:numId w:val="13"/>
                        </w:numPr>
                      </w:pPr>
                      <w:r>
                        <w:t>High workload and pressure.</w:t>
                      </w:r>
                    </w:p>
                  </w:txbxContent>
                </v:textbox>
              </v:shape>
            </w:pict>
          </mc:Fallback>
        </mc:AlternateContent>
      </w:r>
    </w:p>
    <w:p w14:paraId="5B73A2F7" w14:textId="622E7F1C" w:rsidR="006D3845" w:rsidRDefault="006D3845">
      <w:pPr>
        <w:spacing w:before="120" w:after="60"/>
        <w:jc w:val="center"/>
      </w:pPr>
    </w:p>
    <w:p w14:paraId="6F71D6B0" w14:textId="5D2E2DB3" w:rsidR="006D3845" w:rsidRDefault="006D3845">
      <w:pPr>
        <w:spacing w:before="120" w:after="60"/>
        <w:jc w:val="center"/>
      </w:pPr>
    </w:p>
    <w:p w14:paraId="053BA59F" w14:textId="0BA95035" w:rsidR="006D3845" w:rsidRDefault="006D3845">
      <w:pPr>
        <w:spacing w:before="120" w:after="60"/>
        <w:jc w:val="center"/>
      </w:pPr>
    </w:p>
    <w:p w14:paraId="25C7EE47" w14:textId="5BC6BC28" w:rsidR="006D3845" w:rsidRDefault="006D3845">
      <w:pPr>
        <w:spacing w:before="120" w:after="60"/>
        <w:jc w:val="center"/>
      </w:pPr>
    </w:p>
    <w:p w14:paraId="63778847" w14:textId="2B6E02BF" w:rsidR="00606D62" w:rsidRDefault="00000000">
      <w:pPr>
        <w:spacing w:after="260"/>
        <w:jc w:val="center"/>
      </w:pPr>
      <w:r>
        <w:rPr>
          <w:i/>
          <w:iCs/>
        </w:rPr>
        <w:t xml:space="preserve">Figure 1. Fishbone (Ishikawa) diagram showing root causes of repeated patient harm at the Countess of Chester Hospital. Source: Author's own illustration, based </w:t>
      </w:r>
      <w:r w:rsidRPr="00D716E2">
        <w:rPr>
          <w:i/>
          <w:iCs/>
        </w:rPr>
        <w:t>on Ishikawa (1986).</w:t>
      </w:r>
    </w:p>
    <w:p w14:paraId="14FE9B69" w14:textId="77777777" w:rsidR="00726871" w:rsidRPr="00726871" w:rsidRDefault="00726871" w:rsidP="00D716E2">
      <w:pPr>
        <w:pStyle w:val="Heading2"/>
        <w:spacing w:before="220" w:after="100"/>
        <w:rPr>
          <w:b/>
          <w:bCs/>
          <w:color w:val="000000"/>
          <w:sz w:val="28"/>
          <w:szCs w:val="28"/>
        </w:rPr>
      </w:pPr>
      <w:bookmarkStart w:id="1" w:name="_Toc237529931"/>
      <w:r w:rsidRPr="00726871">
        <w:rPr>
          <w:b/>
          <w:bCs/>
          <w:color w:val="000000"/>
          <w:sz w:val="28"/>
          <w:szCs w:val="28"/>
        </w:rPr>
        <w:t>Root Causes of Repeated Patient Harm: A Six-Category Fishbone Analysis</w:t>
      </w:r>
    </w:p>
    <w:p w14:paraId="33950C25" w14:textId="72828A40" w:rsidR="00D716E2" w:rsidRPr="00D716E2" w:rsidRDefault="00D716E2" w:rsidP="00D716E2">
      <w:pPr>
        <w:pStyle w:val="Heading2"/>
        <w:spacing w:before="220" w:after="100"/>
        <w:rPr>
          <w:color w:val="000000" w:themeColor="text1"/>
        </w:rPr>
      </w:pPr>
      <w:r w:rsidRPr="00D716E2">
        <w:rPr>
          <w:b/>
          <w:bCs/>
          <w:color w:val="000000" w:themeColor="text1"/>
          <w:sz w:val="25"/>
          <w:szCs w:val="25"/>
        </w:rPr>
        <w:t>People</w:t>
      </w:r>
      <w:bookmarkEnd w:id="1"/>
    </w:p>
    <w:p w14:paraId="77FFA45B" w14:textId="77777777" w:rsidR="00D716E2" w:rsidRPr="00D716E2" w:rsidRDefault="00D716E2" w:rsidP="00D716E2">
      <w:pPr>
        <w:spacing w:after="200" w:line="300" w:lineRule="auto"/>
        <w:jc w:val="both"/>
        <w:rPr>
          <w:color w:val="000000" w:themeColor="text1"/>
        </w:rPr>
      </w:pPr>
      <w:r w:rsidRPr="00D716E2">
        <w:rPr>
          <w:color w:val="000000" w:themeColor="text1"/>
          <w:sz w:val="24"/>
          <w:szCs w:val="24"/>
        </w:rPr>
        <w:t>Consultants recognised the pattern but found it difficult to raise concerns about a colleague, delaying collective escalation (Gregory, 2023).</w:t>
      </w:r>
    </w:p>
    <w:p w14:paraId="255141C1" w14:textId="77777777" w:rsidR="00D716E2" w:rsidRPr="00D716E2" w:rsidRDefault="00D716E2" w:rsidP="00D716E2">
      <w:pPr>
        <w:pStyle w:val="Heading2"/>
        <w:spacing w:before="220" w:after="100"/>
        <w:rPr>
          <w:color w:val="000000" w:themeColor="text1"/>
        </w:rPr>
      </w:pPr>
      <w:bookmarkStart w:id="2" w:name="_Toc237529932"/>
      <w:r w:rsidRPr="00D716E2">
        <w:rPr>
          <w:b/>
          <w:bCs/>
          <w:color w:val="000000" w:themeColor="text1"/>
          <w:sz w:val="25"/>
          <w:szCs w:val="25"/>
        </w:rPr>
        <w:t>Process</w:t>
      </w:r>
      <w:bookmarkEnd w:id="2"/>
    </w:p>
    <w:p w14:paraId="395444FB" w14:textId="77777777" w:rsidR="00D716E2" w:rsidRPr="00D716E2" w:rsidRDefault="00D716E2" w:rsidP="00D716E2">
      <w:pPr>
        <w:spacing w:after="200" w:line="300" w:lineRule="auto"/>
        <w:jc w:val="both"/>
        <w:rPr>
          <w:color w:val="000000" w:themeColor="text1"/>
          <w:sz w:val="24"/>
          <w:szCs w:val="24"/>
        </w:rPr>
      </w:pPr>
      <w:r w:rsidRPr="00D716E2">
        <w:rPr>
          <w:color w:val="000000" w:themeColor="text1"/>
          <w:sz w:val="24"/>
          <w:szCs w:val="24"/>
        </w:rPr>
        <w:t>No formal, timely investigation followed several unexplained deaths; reporting systems failed to trigger scrutiny early enough (BBC News, 2017b).</w:t>
      </w:r>
    </w:p>
    <w:p w14:paraId="57985FDE" w14:textId="77777777" w:rsidR="00D716E2" w:rsidRDefault="00D716E2" w:rsidP="00D716E2">
      <w:pPr>
        <w:spacing w:after="200" w:line="300" w:lineRule="auto"/>
        <w:jc w:val="both"/>
      </w:pPr>
    </w:p>
    <w:p w14:paraId="51FD6035" w14:textId="77777777" w:rsidR="00A73E36" w:rsidRPr="00D716E2" w:rsidRDefault="00A73E36" w:rsidP="00D716E2">
      <w:pPr>
        <w:spacing w:after="200" w:line="300" w:lineRule="auto"/>
        <w:jc w:val="both"/>
      </w:pPr>
    </w:p>
    <w:p w14:paraId="70E7300A" w14:textId="77777777" w:rsidR="00D716E2" w:rsidRPr="00D716E2" w:rsidRDefault="00D716E2" w:rsidP="00D716E2">
      <w:pPr>
        <w:pStyle w:val="Heading2"/>
        <w:spacing w:before="220" w:after="100"/>
        <w:rPr>
          <w:color w:val="000000" w:themeColor="text1"/>
        </w:rPr>
      </w:pPr>
      <w:bookmarkStart w:id="3" w:name="_Toc237529933"/>
      <w:r w:rsidRPr="00D716E2">
        <w:rPr>
          <w:b/>
          <w:bCs/>
          <w:color w:val="000000" w:themeColor="text1"/>
          <w:sz w:val="25"/>
          <w:szCs w:val="25"/>
        </w:rPr>
        <w:lastRenderedPageBreak/>
        <w:t>Management</w:t>
      </w:r>
      <w:bookmarkEnd w:id="3"/>
    </w:p>
    <w:p w14:paraId="702AEE2F" w14:textId="77777777" w:rsidR="00D716E2" w:rsidRPr="00D716E2" w:rsidRDefault="00D716E2" w:rsidP="00D716E2">
      <w:pPr>
        <w:spacing w:after="200" w:line="300" w:lineRule="auto"/>
        <w:jc w:val="both"/>
        <w:rPr>
          <w:color w:val="000000" w:themeColor="text1"/>
        </w:rPr>
      </w:pPr>
      <w:r w:rsidRPr="00D716E2">
        <w:rPr>
          <w:color w:val="000000" w:themeColor="text1"/>
          <w:sz w:val="24"/>
          <w:szCs w:val="24"/>
        </w:rPr>
        <w:t>Executive leaders were slow to act on consultants' concerns, later described as "defensive leadership" (Gregory, 2023).</w:t>
      </w:r>
    </w:p>
    <w:p w14:paraId="3A007956" w14:textId="77777777" w:rsidR="00D716E2" w:rsidRPr="00D716E2" w:rsidRDefault="00D716E2" w:rsidP="00D716E2">
      <w:pPr>
        <w:pStyle w:val="Heading2"/>
        <w:spacing w:before="220" w:after="100"/>
        <w:rPr>
          <w:color w:val="000000" w:themeColor="text1"/>
        </w:rPr>
      </w:pPr>
      <w:bookmarkStart w:id="4" w:name="_Toc237529934"/>
      <w:r w:rsidRPr="00D716E2">
        <w:rPr>
          <w:b/>
          <w:bCs/>
          <w:color w:val="000000" w:themeColor="text1"/>
          <w:sz w:val="25"/>
          <w:szCs w:val="25"/>
        </w:rPr>
        <w:t>Environment</w:t>
      </w:r>
      <w:bookmarkEnd w:id="4"/>
    </w:p>
    <w:p w14:paraId="3F3BA040" w14:textId="77777777" w:rsidR="00D716E2" w:rsidRPr="00D716E2" w:rsidRDefault="00D716E2" w:rsidP="00D716E2">
      <w:pPr>
        <w:spacing w:after="200" w:line="300" w:lineRule="auto"/>
        <w:jc w:val="both"/>
        <w:rPr>
          <w:color w:val="000000" w:themeColor="text1"/>
        </w:rPr>
      </w:pPr>
      <w:r w:rsidRPr="00D716E2">
        <w:rPr>
          <w:color w:val="000000" w:themeColor="text1"/>
          <w:sz w:val="24"/>
          <w:szCs w:val="24"/>
        </w:rPr>
        <w:t>The unit operated under recognised staffing pressure, with senior cover inadequate for patient acuity (BBC News, 2017b).</w:t>
      </w:r>
    </w:p>
    <w:p w14:paraId="6D7F8014" w14:textId="77777777" w:rsidR="00D716E2" w:rsidRPr="00D716E2" w:rsidRDefault="00D716E2" w:rsidP="00D716E2">
      <w:pPr>
        <w:pStyle w:val="Heading2"/>
        <w:spacing w:before="220" w:after="100"/>
        <w:rPr>
          <w:color w:val="000000" w:themeColor="text1"/>
        </w:rPr>
      </w:pPr>
      <w:bookmarkStart w:id="5" w:name="_Toc237529935"/>
      <w:r w:rsidRPr="00D716E2">
        <w:rPr>
          <w:b/>
          <w:bCs/>
          <w:color w:val="000000" w:themeColor="text1"/>
          <w:sz w:val="25"/>
          <w:szCs w:val="25"/>
        </w:rPr>
        <w:t>Policy</w:t>
      </w:r>
      <w:bookmarkEnd w:id="5"/>
    </w:p>
    <w:p w14:paraId="4F616E62" w14:textId="77777777" w:rsidR="00D716E2" w:rsidRPr="00D716E2" w:rsidRDefault="00D716E2" w:rsidP="00D716E2">
      <w:pPr>
        <w:spacing w:after="200" w:line="300" w:lineRule="auto"/>
        <w:jc w:val="both"/>
        <w:rPr>
          <w:color w:val="000000" w:themeColor="text1"/>
        </w:rPr>
      </w:pPr>
      <w:r w:rsidRPr="00D716E2">
        <w:rPr>
          <w:color w:val="000000" w:themeColor="text1"/>
          <w:sz w:val="24"/>
          <w:szCs w:val="24"/>
        </w:rPr>
        <w:t xml:space="preserve">No standardised framework existed for investigating death </w:t>
      </w:r>
      <w:proofErr w:type="gramStart"/>
      <w:r w:rsidRPr="00D716E2">
        <w:rPr>
          <w:color w:val="000000" w:themeColor="text1"/>
          <w:sz w:val="24"/>
          <w:szCs w:val="24"/>
        </w:rPr>
        <w:t>clusters, and</w:t>
      </w:r>
      <w:proofErr w:type="gramEnd"/>
      <w:r w:rsidRPr="00D716E2">
        <w:rPr>
          <w:color w:val="000000" w:themeColor="text1"/>
          <w:sz w:val="24"/>
          <w:szCs w:val="24"/>
        </w:rPr>
        <w:t xml:space="preserve"> speaking-up procedures were weak (National Guardian's Office, 2022).</w:t>
      </w:r>
    </w:p>
    <w:p w14:paraId="67D48DD3" w14:textId="77777777" w:rsidR="00D716E2" w:rsidRPr="00D716E2" w:rsidRDefault="00D716E2" w:rsidP="00D716E2">
      <w:pPr>
        <w:pStyle w:val="Heading2"/>
        <w:spacing w:before="220" w:after="100"/>
        <w:rPr>
          <w:color w:val="000000" w:themeColor="text1"/>
        </w:rPr>
      </w:pPr>
      <w:bookmarkStart w:id="6" w:name="_Toc237529936"/>
      <w:r w:rsidRPr="00D716E2">
        <w:rPr>
          <w:b/>
          <w:bCs/>
          <w:color w:val="000000" w:themeColor="text1"/>
          <w:sz w:val="25"/>
          <w:szCs w:val="25"/>
        </w:rPr>
        <w:t>Governance</w:t>
      </w:r>
      <w:bookmarkEnd w:id="6"/>
    </w:p>
    <w:p w14:paraId="01F1C812" w14:textId="0893A78F" w:rsidR="00D716E2" w:rsidRPr="00D716E2" w:rsidRDefault="00D716E2" w:rsidP="00D716E2">
      <w:pPr>
        <w:spacing w:after="200" w:line="300" w:lineRule="auto"/>
        <w:jc w:val="both"/>
        <w:rPr>
          <w:color w:val="000000" w:themeColor="text1"/>
        </w:rPr>
      </w:pPr>
      <w:r w:rsidRPr="00D716E2">
        <w:rPr>
          <w:color w:val="000000" w:themeColor="text1"/>
          <w:sz w:val="24"/>
          <w:szCs w:val="24"/>
        </w:rPr>
        <w:t>Oversight failed to escalate concerns from ward to board level, reflecting limited organisational learning (National Guardian's Office, 2022).</w:t>
      </w:r>
    </w:p>
    <w:p w14:paraId="3AE779E9" w14:textId="77777777" w:rsidR="00F2021F" w:rsidRPr="00D716E2" w:rsidRDefault="00F2021F" w:rsidP="00F2021F">
      <w:pPr>
        <w:spacing w:after="200" w:line="300" w:lineRule="auto"/>
        <w:jc w:val="both"/>
        <w:rPr>
          <w:sz w:val="24"/>
          <w:szCs w:val="24"/>
        </w:rPr>
      </w:pPr>
      <w:r w:rsidRPr="00D716E2">
        <w:rPr>
          <w:sz w:val="24"/>
          <w:szCs w:val="24"/>
        </w:rPr>
        <w:t xml:space="preserve">Under People, consultants individually recognised a pattern linking staffing rotas to the unusual deaths, yet this recognition did not translate quickly into collective action, partly because raising concerns about a colleague's conduct is professionally and emotionally difficult, particularly within a small, close-knit clinical team (Gregory, 2023). </w:t>
      </w:r>
    </w:p>
    <w:p w14:paraId="5D3CA673" w14:textId="1FFD10B8" w:rsidR="00F2021F" w:rsidRPr="00D716E2" w:rsidRDefault="00F2021F" w:rsidP="00F2021F">
      <w:pPr>
        <w:spacing w:after="200" w:line="300" w:lineRule="auto"/>
        <w:jc w:val="both"/>
      </w:pPr>
      <w:r w:rsidRPr="00D716E2">
        <w:rPr>
          <w:sz w:val="24"/>
          <w:szCs w:val="24"/>
        </w:rPr>
        <w:t xml:space="preserve">Under Process, the RCPCH review found that no formal, timely investigation had followed several of the deaths, and that existing incident reporting mechanisms did not trigger the kind of independent scrutiny that might have identified a pattern earlier (BBC News, 2017b). Under Management, executive leaders were reportedly slow to accept and act on consultants' concerns, a dynamic later described, drawing on the NHS Ombudsman's own commentary, as "defensive leadership" (Gregory, 2023). Under Environment, the unit was operating under recognised staffing pressure; the RCPCH review specifically found medical and nursing staffing "inadequate" for the level of dependency being managed (BBC News, 2017b). Under Policy, the absence, at that time, of a framework equivalent to today's Patient Safety Incident Response Framework meant there was no standardised national expectation for how a cluster of unexplained deaths should be investigated (NHS England, 2024). Under Governance, oversight structures failed to escalate concerns from ward level to board level with any urgency, a gap consistent with the National Guardian's Office's wider finding that NHS staff frequently feel unable to speak up </w:t>
      </w:r>
      <w:r w:rsidR="004E715A" w:rsidRPr="00D716E2">
        <w:rPr>
          <w:sz w:val="24"/>
          <w:szCs w:val="24"/>
        </w:rPr>
        <w:t>safely or</w:t>
      </w:r>
      <w:r w:rsidRPr="00D716E2">
        <w:rPr>
          <w:sz w:val="24"/>
          <w:szCs w:val="24"/>
        </w:rPr>
        <w:t xml:space="preserve"> fear the consequences of doing so (National Guardian's Office, 2022).</w:t>
      </w:r>
    </w:p>
    <w:p w14:paraId="7ACA7C90" w14:textId="77777777" w:rsidR="00F2021F" w:rsidRPr="00D716E2" w:rsidRDefault="00F2021F" w:rsidP="00F2021F">
      <w:pPr>
        <w:spacing w:after="200" w:line="300" w:lineRule="auto"/>
        <w:jc w:val="both"/>
        <w:rPr>
          <w:sz w:val="24"/>
          <w:szCs w:val="24"/>
        </w:rPr>
      </w:pPr>
      <w:r w:rsidRPr="00D716E2">
        <w:rPr>
          <w:sz w:val="24"/>
          <w:szCs w:val="24"/>
        </w:rPr>
        <w:t xml:space="preserve">The value of the Fishbone Diagram here is not that it proves any single cause, but that it demonstrates the opposite: harm of this severity rarely stems from one failing alone. This is consistent with established patient safety scholarship distinguishing between active failures, the immediate unsafe acts, and latent conditions, the underlying organisational weaknesses that make such acts more likely (Vincent, 2010). It also aligns with the wider patient safety </w:t>
      </w:r>
      <w:r w:rsidRPr="00D716E2">
        <w:rPr>
          <w:sz w:val="24"/>
          <w:szCs w:val="24"/>
        </w:rPr>
        <w:lastRenderedPageBreak/>
        <w:t>literature, which has long argued that adverse events typically result from the alignment of multiple, smaller organisational weaknesses rather than one dramatic error, an idea captured visually in Reason's Swiss Cheese Model, in which each organisational defence layer contains latent "holes", and harm occurs only when those holes align across layers simultaneously (Reason, 2000; Wiegmann et al., 2022). Read alongside the Fishbone categories, the Swiss Cheese Model suggests that no single fix, better staffing alone, or better reporting alone, would have been sufficient; multiple layers needed to fail simultaneously for harm to continue for as long as it did. The main limitation of Fishbone analysis is that it is descriptive rather than explanatory: it organises known factors well but does not, by itself, indicate which cause carried the most weight, or in what sequence failures occurred. For that, a complementary model is needed.</w:t>
      </w:r>
    </w:p>
    <w:p w14:paraId="7BB3E94D" w14:textId="427EBC21" w:rsidR="00606D62" w:rsidRPr="00834C69" w:rsidRDefault="00000000">
      <w:pPr>
        <w:pStyle w:val="Heading2"/>
        <w:spacing w:before="260" w:after="140"/>
        <w:rPr>
          <w:color w:val="000000" w:themeColor="text1"/>
          <w:sz w:val="24"/>
          <w:szCs w:val="24"/>
        </w:rPr>
      </w:pPr>
      <w:r w:rsidRPr="00834C69">
        <w:rPr>
          <w:b/>
          <w:bCs/>
          <w:color w:val="000000" w:themeColor="text1"/>
          <w:sz w:val="24"/>
          <w:szCs w:val="24"/>
        </w:rPr>
        <w:t>2.2 The Donabedian Model: Structure, Process, Outcome</w:t>
      </w:r>
    </w:p>
    <w:p w14:paraId="400A2330" w14:textId="208621F0" w:rsidR="00606D62" w:rsidRPr="00D716E2" w:rsidRDefault="00000000">
      <w:pPr>
        <w:spacing w:after="200" w:line="300" w:lineRule="auto"/>
        <w:jc w:val="both"/>
      </w:pPr>
      <w:r w:rsidRPr="00D716E2">
        <w:rPr>
          <w:sz w:val="24"/>
          <w:szCs w:val="24"/>
        </w:rPr>
        <w:t xml:space="preserve">Donabedian's model evaluates healthcare quality across three linked dimensions: structure (the resources and organisational arrangements in place), process (what is </w:t>
      </w:r>
      <w:proofErr w:type="gramStart"/>
      <w:r w:rsidRPr="00D716E2">
        <w:rPr>
          <w:sz w:val="24"/>
          <w:szCs w:val="24"/>
        </w:rPr>
        <w:t>actually done</w:t>
      </w:r>
      <w:proofErr w:type="gramEnd"/>
      <w:r w:rsidRPr="00D716E2">
        <w:rPr>
          <w:sz w:val="24"/>
          <w:szCs w:val="24"/>
        </w:rPr>
        <w:t xml:space="preserve"> in delivering care), and outcome (the results for patients) (Donabedian, 1988). The model is useful here because it connects everyday operational weaknesses directly to patient harm, rather than treating them as separate, unrelated issues, and because it allows the sequence of failure to be reconstructed rather than simply listed.</w:t>
      </w:r>
    </w:p>
    <w:p w14:paraId="5FF4B7C9" w14:textId="08EBBD08" w:rsidR="00606D62" w:rsidRPr="00D716E2" w:rsidRDefault="00000000">
      <w:pPr>
        <w:spacing w:after="200" w:line="300" w:lineRule="auto"/>
        <w:jc w:val="both"/>
      </w:pPr>
      <w:r w:rsidRPr="00D716E2">
        <w:rPr>
          <w:sz w:val="24"/>
          <w:szCs w:val="24"/>
        </w:rPr>
        <w:t>In terms of structure, the unit lacked sufficient senior medical cover and nursing capacity for the acuity of the babies it was caring for, a resourcing weakness confirmed independently by the RCPCH review (BBC News, 2017b). In terms of process, the absence of prompt, independent case reviews after unexplained deaths meant that early opportunities to identify a pattern were missed; each death appears to have been considered largely in isolation rather than as part of a developing cluster. In terms of outcome, the consequence was not only the direct harm suffered by infants and their families but also a prolonged period, roughly a year between the first informal concerns and Letby's eventual removal from clinical duties, during which the underlying structural and process weaknesses remained unaddressed and further harm occurred (BBC News, 2017a).</w:t>
      </w:r>
    </w:p>
    <w:p w14:paraId="4A3B8192" w14:textId="72AF382F" w:rsidR="00606D62" w:rsidRPr="00D716E2" w:rsidRDefault="00000000">
      <w:pPr>
        <w:spacing w:after="200" w:line="300" w:lineRule="auto"/>
        <w:jc w:val="both"/>
      </w:pPr>
      <w:r w:rsidRPr="00D716E2">
        <w:rPr>
          <w:sz w:val="24"/>
          <w:szCs w:val="24"/>
        </w:rPr>
        <w:t xml:space="preserve">Donabedian's own argument was that structure shapes process, and process in turn shapes outcome (Donabedian, 1988); the case supports this directly. Inadequate structure, in staffing and in escalation routes, shaped weak process, in delayed, non-standardised investigation, which in turn permitted poor outcomes to continue for longer than they otherwise might have. This is a more useful diagnostic lens than simply asking "what went wrong", because it forces attention onto the resourcing and procedural conditions that made delayed recognition more, rather than less, likely. Its main limitation, acknowledged even in later applications of the model, is that it can understate the influence of organisational culture and power dynamics; a unit can have adequate structure and process on paper while still discouraging junior or even </w:t>
      </w:r>
      <w:r w:rsidRPr="00D716E2">
        <w:rPr>
          <w:sz w:val="24"/>
          <w:szCs w:val="24"/>
        </w:rPr>
        <w:lastRenderedPageBreak/>
        <w:t>senior staff from challenging concerns upward, which appears to have been a contributing factor here alongside the more measurable structural gaps (Gregory, 2023).</w:t>
      </w:r>
    </w:p>
    <w:p w14:paraId="67E698ED" w14:textId="1A547B49" w:rsidR="00606D62" w:rsidRDefault="00000000">
      <w:pPr>
        <w:spacing w:before="120" w:after="60"/>
        <w:jc w:val="center"/>
      </w:pPr>
      <w:r>
        <w:rPr>
          <w:noProof/>
        </w:rPr>
        <w:drawing>
          <wp:inline distT="0" distB="0" distL="0" distR="0" wp14:anchorId="06DBE433" wp14:editId="37007C5A">
            <wp:extent cx="4871850" cy="1962146"/>
            <wp:effectExtent l="0" t="0" r="0" b="0"/>
            <wp:docPr id="585157983" name="Picture 585157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b="29972"/>
                    <a:stretch>
                      <a:fillRect/>
                    </a:stretch>
                  </pic:blipFill>
                  <pic:spPr bwMode="auto">
                    <a:xfrm>
                      <a:off x="0" y="0"/>
                      <a:ext cx="4871850" cy="1962146"/>
                    </a:xfrm>
                    <a:prstGeom prst="rect">
                      <a:avLst/>
                    </a:prstGeom>
                    <a:ln>
                      <a:noFill/>
                    </a:ln>
                    <a:extLst>
                      <a:ext uri="{53640926-AAD7-44D8-BBD7-CCE9431645EC}">
                        <a14:shadowObscured xmlns:a14="http://schemas.microsoft.com/office/drawing/2010/main"/>
                      </a:ext>
                    </a:extLst>
                  </pic:spPr>
                </pic:pic>
              </a:graphicData>
            </a:graphic>
          </wp:inline>
        </w:drawing>
      </w:r>
    </w:p>
    <w:p w14:paraId="1485A29A" w14:textId="67272B7D" w:rsidR="00606D62" w:rsidRDefault="00000000">
      <w:pPr>
        <w:spacing w:after="260"/>
        <w:jc w:val="center"/>
      </w:pPr>
      <w:r>
        <w:rPr>
          <w:i/>
          <w:iCs/>
        </w:rPr>
        <w:t xml:space="preserve">Figure 2. The Donabedian Model </w:t>
      </w:r>
      <w:r w:rsidRPr="00F51ACC">
        <w:rPr>
          <w:i/>
          <w:iCs/>
        </w:rPr>
        <w:t>applied to the Countess of Chester Hospital case. Source: Author's own illustration, based on Donabedian (1988).</w:t>
      </w:r>
    </w:p>
    <w:p w14:paraId="65BBB400" w14:textId="4FC3DD2C"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2.3 Strategic Analysis: SWOT</w:t>
      </w:r>
    </w:p>
    <w:p w14:paraId="6CF55DD5" w14:textId="77223E2A" w:rsidR="00606D62" w:rsidRPr="00D716E2" w:rsidRDefault="00000000">
      <w:pPr>
        <w:spacing w:after="200" w:line="300" w:lineRule="auto"/>
        <w:jc w:val="both"/>
      </w:pPr>
      <w:r w:rsidRPr="00D716E2">
        <w:rPr>
          <w:sz w:val="24"/>
          <w:szCs w:val="24"/>
        </w:rPr>
        <w:t>SWOT analysis is widely used in healthcare strategic planning because it structures an assessment of internal capability against external context, helping organisations understand not just what went wrong but what they can realistically build on going forward (van Wijngaarden, Scholten and van Wijk, 2012). Applied retrospectively to the Trust around 2015 to 2016, several strengths can be identified: the presence of clinically confident consultants willing, eventually, to escalate concerns strongly and persistently; and the Trust's own decision to commission an external RCPCH review rather than rely solely on internal assessment, which at least created an independent evidential record. Weaknesses include inadequate neonatal staffing relative to patient acuity, unclear escalation pathways between clinical and executive levels, and, per contemporaneous reporting, a culture in which raising concerns about a colleague was met with resistance rather than curiosity (Gregory, 2023).</w:t>
      </w:r>
    </w:p>
    <w:p w14:paraId="1C1D9B8F" w14:textId="77777777" w:rsidR="00606D62" w:rsidRPr="00D716E2" w:rsidRDefault="00000000">
      <w:pPr>
        <w:spacing w:after="200" w:line="300" w:lineRule="auto"/>
        <w:jc w:val="both"/>
      </w:pPr>
      <w:r w:rsidRPr="00D716E2">
        <w:rPr>
          <w:sz w:val="24"/>
          <w:szCs w:val="24"/>
        </w:rPr>
        <w:t xml:space="preserve">Externally, opportunities include the subsequent development of NHS-wide frameworks such as PSIRF, which now provide standardised expectations for investigating incident clusters rather than treating each event in isolation (NHS England, 2024), and the National Guardian's Office's continuing programme of work to embed speaking-up cultures across NHS organisations (National Guardian's Office, 2022). Threats include continuing workforce shortages across neonatal and maternity services nationally, and the risk, highlighted by the Nuffield Trust's survey of 120 NHS trusts commissioned for the Thirlwall Inquiry, that similar governance gaps persist elsewhere in the system even after this case became public (Nuffield Trust, 2025). A further threat is reputational and financial: prolonged litigation, regulatory scrutiny and public inquiry activity place sustained pressure on Trust resources that might otherwise support frontline improvement (Care Quality Commission, 2026). These external factors mirror the logic of environmental scanning frameworks such as PESTLE, which trace back to early strategic management approaches emphasising that organisations must monitor conditions beyond their own walls, not only internal performance (Aguilar, 1967). It is also </w:t>
      </w:r>
      <w:r w:rsidRPr="00D716E2">
        <w:rPr>
          <w:sz w:val="24"/>
          <w:szCs w:val="24"/>
        </w:rPr>
        <w:lastRenderedPageBreak/>
        <w:t>worth noting that safety culture within the NHS has repeatedly been found to be local rather than uniform, meaning strong practice in one unit can coexist with weak practice in another within the same Trust (Dixon-Woods et al., 2014), and that a persistent lack of organisational accountability for systemic, rather than individual, failure continues to limit progress across the health service more broadly (British Journal of Healthcare Assistants, 2023).</w:t>
      </w:r>
    </w:p>
    <w:p w14:paraId="36E57512" w14:textId="77777777" w:rsidR="00606D62" w:rsidRDefault="00000000">
      <w:pPr>
        <w:spacing w:before="120" w:after="60"/>
        <w:jc w:val="center"/>
      </w:pPr>
      <w:r>
        <w:rPr>
          <w:noProof/>
        </w:rPr>
        <w:drawing>
          <wp:inline distT="0" distB="0" distL="0" distR="0" wp14:anchorId="4AA0A960" wp14:editId="108E96B4">
            <wp:extent cx="5669280" cy="3191256"/>
            <wp:effectExtent l="0" t="0" r="0" b="0"/>
            <wp:docPr id="913091663" name="Picture 913091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669280" cy="3191256"/>
                    </a:xfrm>
                    <a:prstGeom prst="rect">
                      <a:avLst/>
                    </a:prstGeom>
                  </pic:spPr>
                </pic:pic>
              </a:graphicData>
            </a:graphic>
          </wp:inline>
        </w:drawing>
      </w:r>
    </w:p>
    <w:p w14:paraId="1BC90F41" w14:textId="77777777" w:rsidR="00606D62" w:rsidRDefault="00000000">
      <w:pPr>
        <w:spacing w:after="260"/>
        <w:jc w:val="center"/>
        <w:rPr>
          <w:i/>
          <w:iCs/>
        </w:rPr>
      </w:pPr>
      <w:r>
        <w:rPr>
          <w:i/>
          <w:iCs/>
        </w:rPr>
        <w:t xml:space="preserve">Figure 3. SWOT analysis of the Countess of Chester Hospital, 2015–2016. Source: Author's own illustration, </w:t>
      </w:r>
      <w:r w:rsidRPr="00D716E2">
        <w:rPr>
          <w:i/>
          <w:iCs/>
        </w:rPr>
        <w:t>based on van Wijngaarden, Scholten and van Wijk (2012).</w:t>
      </w:r>
    </w:p>
    <w:p w14:paraId="6AA3FA23" w14:textId="77777777" w:rsidR="00D716E2" w:rsidRDefault="00D716E2">
      <w:pPr>
        <w:spacing w:after="260"/>
        <w:jc w:val="center"/>
      </w:pPr>
    </w:p>
    <w:p w14:paraId="0B5AF0AE"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2.4 Critical Synthesis</w:t>
      </w:r>
    </w:p>
    <w:p w14:paraId="3AD0024D" w14:textId="77777777" w:rsidR="00606D62" w:rsidRPr="00D716E2" w:rsidRDefault="00000000">
      <w:pPr>
        <w:spacing w:after="200" w:line="300" w:lineRule="auto"/>
        <w:jc w:val="both"/>
      </w:pPr>
      <w:r w:rsidRPr="00D716E2">
        <w:rPr>
          <w:sz w:val="24"/>
          <w:szCs w:val="24"/>
        </w:rPr>
        <w:t>Taken together, these frameworks tell a consistent story from different angles rather than a repetitive one. The Fishbone Diagram identifies multiple, interacting root causes rather than one; the Swiss Cheese Model shows why those causes needed to align, rather than merely coexist, to produce harm; the Donabedian Model shows how weak structure produced weak process and, eventually, poor outcomes over an extended period; and SWOT analysis shows that individual clinical vigilance existed but was not matched by organisational systems capable of acting on it quickly. No single framework fully explains the case: Fishbone risks flattening causes into an unweighted list, Donabedian can understate culture, and SWOT is inherently retrospective and easily shaped by hindsight. This connects to Senge's argument that organisations often fail to learn from recurring patterns because they focus on isolated events rather than building the systemic, "double-loop" learning structures needed to notice a pattern developing in the first place (Senge, 2006). Used together, however, these frameworks provide a rounded, evidence-based account that supports the recommendations developed in the following section.</w:t>
      </w:r>
    </w:p>
    <w:p w14:paraId="58F51B90" w14:textId="77777777" w:rsidR="00606D62" w:rsidRPr="00D716E2" w:rsidRDefault="00000000">
      <w:pPr>
        <w:spacing w:after="200" w:line="300" w:lineRule="auto"/>
        <w:jc w:val="both"/>
      </w:pPr>
      <w:r w:rsidRPr="00D716E2">
        <w:rPr>
          <w:sz w:val="24"/>
          <w:szCs w:val="24"/>
        </w:rPr>
        <w:lastRenderedPageBreak/>
        <w:t>It is also important to be transparent about the evidence base underpinning this analysis. The Thirlwall Inquiry's hearings, held throughout 2024 and into early 2025, examined leadership, governance, and safety culture at the Trust in far greater depth than is publicly available through media reporting alone, yet its final report and formal recommendations remain unpublished, having been repeatedly delayed and now expected only after the 2026 parliamentary summer recess (The Thirlwall Inquiry, 2026). This report has therefore relied on what is independently verifiable: the RCPCH review's findings, contemporaneous reporting on staffing and escalation failures, and established NHS policy responses such as PSIRF. Where the Inquiry's eventual findings differ in emphasis, the frameworks applied here remain valid as analytical tools, since they were developed to interpret exactly this type of organisational failure regardless of which specific evidence base is used to populate them.</w:t>
      </w:r>
    </w:p>
    <w:p w14:paraId="1C2E7873" w14:textId="77777777" w:rsidR="006D3845" w:rsidRDefault="006D3845">
      <w:pPr>
        <w:pStyle w:val="Heading1"/>
        <w:spacing w:before="320" w:after="180"/>
        <w:rPr>
          <w:b/>
          <w:bCs/>
          <w:color w:val="0B2A4A"/>
          <w:sz w:val="28"/>
          <w:szCs w:val="28"/>
        </w:rPr>
      </w:pPr>
    </w:p>
    <w:p w14:paraId="60339B60" w14:textId="77777777" w:rsidR="006D3845" w:rsidRDefault="006D3845">
      <w:pPr>
        <w:pStyle w:val="Heading1"/>
        <w:spacing w:before="320" w:after="180"/>
        <w:rPr>
          <w:b/>
          <w:bCs/>
          <w:color w:val="0B2A4A"/>
          <w:sz w:val="28"/>
          <w:szCs w:val="28"/>
        </w:rPr>
      </w:pPr>
    </w:p>
    <w:p w14:paraId="4880DD09" w14:textId="77777777" w:rsidR="006D3845" w:rsidRDefault="006D3845">
      <w:pPr>
        <w:pStyle w:val="Heading1"/>
        <w:spacing w:before="320" w:after="180"/>
        <w:rPr>
          <w:b/>
          <w:bCs/>
          <w:color w:val="0B2A4A"/>
          <w:sz w:val="28"/>
          <w:szCs w:val="28"/>
        </w:rPr>
      </w:pPr>
    </w:p>
    <w:p w14:paraId="011BCD94" w14:textId="77777777" w:rsidR="006D3845" w:rsidRDefault="006D3845">
      <w:pPr>
        <w:pStyle w:val="Heading1"/>
        <w:spacing w:before="320" w:after="180"/>
        <w:rPr>
          <w:b/>
          <w:bCs/>
          <w:color w:val="0B2A4A"/>
          <w:sz w:val="28"/>
          <w:szCs w:val="28"/>
        </w:rPr>
      </w:pPr>
    </w:p>
    <w:p w14:paraId="79948DE1" w14:textId="77777777" w:rsidR="006D3845" w:rsidRDefault="006D3845">
      <w:pPr>
        <w:pStyle w:val="Heading1"/>
        <w:spacing w:before="320" w:after="180"/>
        <w:rPr>
          <w:b/>
          <w:bCs/>
          <w:color w:val="0B2A4A"/>
          <w:sz w:val="28"/>
          <w:szCs w:val="28"/>
        </w:rPr>
      </w:pPr>
    </w:p>
    <w:p w14:paraId="3CCBE952" w14:textId="77777777" w:rsidR="006D3845" w:rsidRDefault="006D3845">
      <w:pPr>
        <w:pStyle w:val="Heading1"/>
        <w:spacing w:before="320" w:after="180"/>
        <w:rPr>
          <w:b/>
          <w:bCs/>
          <w:color w:val="0B2A4A"/>
          <w:sz w:val="28"/>
          <w:szCs w:val="28"/>
        </w:rPr>
      </w:pPr>
    </w:p>
    <w:p w14:paraId="4B024C65" w14:textId="77777777" w:rsidR="006D3845" w:rsidRDefault="006D3845">
      <w:pPr>
        <w:pStyle w:val="Heading1"/>
        <w:spacing w:before="320" w:after="180"/>
        <w:rPr>
          <w:b/>
          <w:bCs/>
          <w:color w:val="0B2A4A"/>
          <w:sz w:val="28"/>
          <w:szCs w:val="28"/>
        </w:rPr>
      </w:pPr>
    </w:p>
    <w:p w14:paraId="6766A206" w14:textId="77777777" w:rsidR="006D3845" w:rsidRDefault="006D3845">
      <w:pPr>
        <w:pStyle w:val="Heading1"/>
        <w:spacing w:before="320" w:after="180"/>
        <w:rPr>
          <w:b/>
          <w:bCs/>
          <w:color w:val="0B2A4A"/>
          <w:sz w:val="28"/>
          <w:szCs w:val="28"/>
        </w:rPr>
      </w:pPr>
    </w:p>
    <w:p w14:paraId="157F4027" w14:textId="77777777" w:rsidR="00F51ACC" w:rsidRDefault="00F51ACC">
      <w:pPr>
        <w:pStyle w:val="Heading1"/>
        <w:spacing w:before="320" w:after="180"/>
        <w:rPr>
          <w:b/>
          <w:bCs/>
          <w:color w:val="0B2A4A"/>
          <w:sz w:val="28"/>
          <w:szCs w:val="28"/>
        </w:rPr>
      </w:pPr>
    </w:p>
    <w:p w14:paraId="43C754F6" w14:textId="77777777" w:rsidR="00F51ACC" w:rsidRDefault="00F51ACC">
      <w:pPr>
        <w:pStyle w:val="Heading1"/>
        <w:spacing w:before="320" w:after="180"/>
        <w:rPr>
          <w:b/>
          <w:bCs/>
          <w:color w:val="0B2A4A"/>
          <w:sz w:val="28"/>
          <w:szCs w:val="28"/>
        </w:rPr>
      </w:pPr>
    </w:p>
    <w:p w14:paraId="676C0D99" w14:textId="77777777" w:rsidR="00F51ACC" w:rsidRDefault="00F51ACC">
      <w:pPr>
        <w:pStyle w:val="Heading1"/>
        <w:spacing w:before="320" w:after="180"/>
        <w:rPr>
          <w:b/>
          <w:bCs/>
          <w:color w:val="0B2A4A"/>
          <w:sz w:val="28"/>
          <w:szCs w:val="28"/>
        </w:rPr>
      </w:pPr>
    </w:p>
    <w:p w14:paraId="78B2C03D" w14:textId="77777777" w:rsidR="00F51ACC" w:rsidRDefault="00F51ACC">
      <w:pPr>
        <w:pStyle w:val="Heading1"/>
        <w:spacing w:before="320" w:after="180"/>
        <w:rPr>
          <w:b/>
          <w:bCs/>
          <w:color w:val="0B2A4A"/>
          <w:sz w:val="28"/>
          <w:szCs w:val="28"/>
        </w:rPr>
      </w:pPr>
    </w:p>
    <w:p w14:paraId="392EC32B" w14:textId="77777777" w:rsidR="00F51ACC" w:rsidRDefault="00F51ACC">
      <w:pPr>
        <w:pStyle w:val="Heading1"/>
        <w:spacing w:before="320" w:after="180"/>
        <w:rPr>
          <w:b/>
          <w:bCs/>
          <w:color w:val="0B2A4A"/>
          <w:sz w:val="28"/>
          <w:szCs w:val="28"/>
        </w:rPr>
      </w:pPr>
    </w:p>
    <w:p w14:paraId="36781FF9" w14:textId="77777777" w:rsidR="00F51ACC" w:rsidRDefault="00F51ACC">
      <w:pPr>
        <w:pStyle w:val="Heading1"/>
        <w:spacing w:before="320" w:after="180"/>
        <w:rPr>
          <w:b/>
          <w:bCs/>
          <w:color w:val="0B2A4A"/>
          <w:sz w:val="28"/>
          <w:szCs w:val="28"/>
        </w:rPr>
      </w:pPr>
    </w:p>
    <w:p w14:paraId="70C0785C" w14:textId="77777777" w:rsidR="006D3845" w:rsidRDefault="006D3845">
      <w:pPr>
        <w:pStyle w:val="Heading1"/>
        <w:spacing w:before="320" w:after="180"/>
        <w:rPr>
          <w:b/>
          <w:bCs/>
          <w:color w:val="0B2A4A"/>
          <w:sz w:val="28"/>
          <w:szCs w:val="28"/>
        </w:rPr>
      </w:pPr>
    </w:p>
    <w:p w14:paraId="4E2F4A1D" w14:textId="45A547CE" w:rsidR="00606D62" w:rsidRPr="009B41CD" w:rsidRDefault="00000000">
      <w:pPr>
        <w:pStyle w:val="Heading1"/>
        <w:spacing w:before="320" w:after="180"/>
        <w:rPr>
          <w:sz w:val="28"/>
          <w:szCs w:val="28"/>
        </w:rPr>
      </w:pPr>
      <w:r w:rsidRPr="009B41CD">
        <w:rPr>
          <w:b/>
          <w:bCs/>
          <w:color w:val="0B2A4A"/>
          <w:sz w:val="28"/>
          <w:szCs w:val="28"/>
        </w:rPr>
        <w:lastRenderedPageBreak/>
        <w:t>3. Recommendations</w:t>
      </w:r>
    </w:p>
    <w:p w14:paraId="073B1C78" w14:textId="77777777" w:rsidR="00606D62" w:rsidRDefault="00000000">
      <w:pPr>
        <w:spacing w:after="200" w:line="300" w:lineRule="auto"/>
        <w:jc w:val="both"/>
      </w:pPr>
      <w:r>
        <w:rPr>
          <w:sz w:val="24"/>
          <w:szCs w:val="24"/>
        </w:rPr>
        <w:t>The root causes identified above, weak incident escalation, inadequate staffing relative to acuity, and a culture resistant to challenge, point toward practical, sequenced improvements rather than a single organisational fix. Two complementary quality improvement approaches are proposed: an immediate Plan-Do-Study-Act (PDSA) cycle for incident escalation, and a longer-term Lean and Six Sigma programme addressing staffing and process variation.</w:t>
      </w:r>
    </w:p>
    <w:p w14:paraId="01BFEA95" w14:textId="77777777" w:rsidR="00606D62" w:rsidRPr="009B41CD" w:rsidRDefault="00000000">
      <w:pPr>
        <w:pStyle w:val="Heading2"/>
        <w:spacing w:before="260" w:after="140"/>
        <w:rPr>
          <w:sz w:val="24"/>
          <w:szCs w:val="24"/>
        </w:rPr>
      </w:pPr>
      <w:r w:rsidRPr="009B41CD">
        <w:rPr>
          <w:b/>
          <w:bCs/>
          <w:color w:val="0B2A4A"/>
          <w:sz w:val="24"/>
          <w:szCs w:val="24"/>
        </w:rPr>
        <w:t>3.1 PDSA for Incident Escalation</w:t>
      </w:r>
    </w:p>
    <w:p w14:paraId="3A971871" w14:textId="77777777" w:rsidR="00606D62" w:rsidRPr="00D716E2" w:rsidRDefault="00000000">
      <w:pPr>
        <w:spacing w:after="200" w:line="300" w:lineRule="auto"/>
        <w:jc w:val="both"/>
      </w:pPr>
      <w:r w:rsidRPr="00D716E2">
        <w:rPr>
          <w:sz w:val="24"/>
          <w:szCs w:val="24"/>
        </w:rPr>
        <w:t>PDSA is well suited to testing a change in a controlled way before wider rollout, an approach with strong evidence in healthcare quality improvement (Taylor et al., 2013). In the Plan stage, a Trust would define a clear, time-bound trigger: for example, two or more unexplained deaths or collapses on a single unit within a defined period automatically initiates an independent case review, rather than relying on individual clinicians to informally connect events. This directly targets the Process weakness identified through the Donabedian analysis. In the Do stage, this trigger would be piloted on a single high-acuity unit, such as neonatal or paediatric intensive care, with a named executive responsible for acting on the outcome within 48 hours, addressing the Management and Governance root causes together. In the Study stage, the pilot would be evaluated against simple, measurable questions: how quickly was the trigger activated, how quickly did executive-level response follow, and did frontline staff report feeling confident using it? In the Act stage, the trigger and associated escalation pathway would be adjusted based on this feedback before extending it Trust-wide, consistent with NHS England's existing Patient Safety Incident Response Framework, which already expects a proportionate, learning-focused response to safety incidents rather than a purely punitive one (NHS England, 2024).</w:t>
      </w:r>
    </w:p>
    <w:p w14:paraId="51917760" w14:textId="3E445A9F" w:rsidR="00606D62" w:rsidRPr="00D716E2" w:rsidRDefault="00000000">
      <w:pPr>
        <w:spacing w:after="200" w:line="300" w:lineRule="auto"/>
        <w:jc w:val="both"/>
      </w:pPr>
      <w:r w:rsidRPr="00D716E2">
        <w:rPr>
          <w:sz w:val="24"/>
          <w:szCs w:val="24"/>
        </w:rPr>
        <w:t>This is preferable to a single, large-scale policy announcement because PDSA's incremental structure allows problems with the trigger itself, false positives, unclear ownership, staff reluctance to be identified and corrected while the stakes of getting it wrong are still low (Moen and Norman, 2009).</w:t>
      </w:r>
    </w:p>
    <w:p w14:paraId="549D83ED" w14:textId="77777777" w:rsidR="00606D62" w:rsidRDefault="00000000">
      <w:pPr>
        <w:spacing w:before="120" w:after="60"/>
        <w:jc w:val="center"/>
      </w:pPr>
      <w:r>
        <w:rPr>
          <w:noProof/>
        </w:rPr>
        <w:lastRenderedPageBreak/>
        <w:drawing>
          <wp:inline distT="0" distB="0" distL="0" distR="0" wp14:anchorId="49382E2A" wp14:editId="24BB35AD">
            <wp:extent cx="5588978" cy="3695655"/>
            <wp:effectExtent l="0" t="0" r="0" b="635"/>
            <wp:docPr id="1455022683" name="Picture 1455022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471" r="-18" b="7326"/>
                    <a:stretch>
                      <a:fillRect/>
                    </a:stretch>
                  </pic:blipFill>
                  <pic:spPr bwMode="auto">
                    <a:xfrm>
                      <a:off x="0" y="0"/>
                      <a:ext cx="5591061" cy="3697032"/>
                    </a:xfrm>
                    <a:prstGeom prst="rect">
                      <a:avLst/>
                    </a:prstGeom>
                    <a:ln>
                      <a:noFill/>
                    </a:ln>
                    <a:extLst>
                      <a:ext uri="{53640926-AAD7-44D8-BBD7-CCE9431645EC}">
                        <a14:shadowObscured xmlns:a14="http://schemas.microsoft.com/office/drawing/2010/main"/>
                      </a:ext>
                    </a:extLst>
                  </pic:spPr>
                </pic:pic>
              </a:graphicData>
            </a:graphic>
          </wp:inline>
        </w:drawing>
      </w:r>
    </w:p>
    <w:p w14:paraId="39DB0413" w14:textId="77777777" w:rsidR="00606D62" w:rsidRDefault="00000000">
      <w:pPr>
        <w:spacing w:after="260"/>
        <w:jc w:val="center"/>
      </w:pPr>
      <w:r>
        <w:rPr>
          <w:i/>
          <w:iCs/>
        </w:rPr>
        <w:t>Figure 4. PDSA cycle applied to incident escalation improvement. Source: Author's own illustration, based on Taylor et al. (2014).</w:t>
      </w:r>
    </w:p>
    <w:p w14:paraId="223812BD" w14:textId="77777777" w:rsidR="00606D62" w:rsidRPr="009B41CD" w:rsidRDefault="00000000">
      <w:pPr>
        <w:pStyle w:val="Heading2"/>
        <w:spacing w:before="260" w:after="140"/>
        <w:rPr>
          <w:sz w:val="24"/>
          <w:szCs w:val="24"/>
        </w:rPr>
      </w:pPr>
      <w:r w:rsidRPr="009B41CD">
        <w:rPr>
          <w:b/>
          <w:bCs/>
          <w:color w:val="0B2A4A"/>
          <w:sz w:val="24"/>
          <w:szCs w:val="24"/>
        </w:rPr>
        <w:t>3.2 Lean and Six Sigma for Staffing and Process Variation</w:t>
      </w:r>
    </w:p>
    <w:p w14:paraId="5C339B39" w14:textId="396F5A1D" w:rsidR="00606D62" w:rsidRPr="00D716E2" w:rsidRDefault="00000000">
      <w:pPr>
        <w:spacing w:after="200" w:line="300" w:lineRule="auto"/>
        <w:jc w:val="both"/>
      </w:pPr>
      <w:r w:rsidRPr="00D716E2">
        <w:rPr>
          <w:sz w:val="24"/>
          <w:szCs w:val="24"/>
        </w:rPr>
        <w:t>Alongside faster escalation, the underlying staffing and process weaknesses identified by the RCPCH review require a more structural response. Lean thinking focuses on identifying and removing waste, delay, duplication, and unnecessary variation from a process (Womack and Jones, 2003), while Six Sigma applies statistical analysis to reduce variation and defects to a measurable minimum (</w:t>
      </w:r>
      <w:proofErr w:type="spellStart"/>
      <w:r w:rsidRPr="00D716E2">
        <w:rPr>
          <w:sz w:val="24"/>
          <w:szCs w:val="24"/>
        </w:rPr>
        <w:t>DelliFraine</w:t>
      </w:r>
      <w:proofErr w:type="spellEnd"/>
      <w:r w:rsidRPr="00D716E2">
        <w:rPr>
          <w:sz w:val="24"/>
          <w:szCs w:val="24"/>
        </w:rPr>
        <w:t xml:space="preserve">, </w:t>
      </w:r>
      <w:proofErr w:type="spellStart"/>
      <w:r w:rsidRPr="00D716E2">
        <w:rPr>
          <w:sz w:val="24"/>
          <w:szCs w:val="24"/>
        </w:rPr>
        <w:t>Langabeer</w:t>
      </w:r>
      <w:proofErr w:type="spellEnd"/>
      <w:r w:rsidRPr="00D716E2">
        <w:rPr>
          <w:sz w:val="24"/>
          <w:szCs w:val="24"/>
        </w:rPr>
        <w:t xml:space="preserve"> and Nembhard, 2010). Applied here, a Lean value-stream mapping exercise across the neonatal unit's staffing and shift-handover processes would make visible exactly where senior cover gaps occur, information the RCPCH review already suggests </w:t>
      </w:r>
      <w:proofErr w:type="gramStart"/>
      <w:r w:rsidRPr="00D716E2">
        <w:rPr>
          <w:sz w:val="24"/>
          <w:szCs w:val="24"/>
        </w:rPr>
        <w:t>exists</w:t>
      </w:r>
      <w:proofErr w:type="gramEnd"/>
      <w:r w:rsidRPr="00D716E2">
        <w:rPr>
          <w:sz w:val="24"/>
          <w:szCs w:val="24"/>
        </w:rPr>
        <w:t xml:space="preserve"> but which needs to be tracked continuously rather than identified only after harm has occurred. A Six Sigma approach would then set a measurable target, for example, a defined minimum ratio of senior clinician availability per shift, against which staffing rotas are audited monthly, with deviations treated as reportable incidents </w:t>
      </w:r>
      <w:proofErr w:type="gramStart"/>
      <w:r w:rsidRPr="00D716E2">
        <w:rPr>
          <w:sz w:val="24"/>
          <w:szCs w:val="24"/>
        </w:rPr>
        <w:t>in their own right rather</w:t>
      </w:r>
      <w:proofErr w:type="gramEnd"/>
      <w:r w:rsidRPr="00D716E2">
        <w:rPr>
          <w:sz w:val="24"/>
          <w:szCs w:val="24"/>
        </w:rPr>
        <w:t xml:space="preserve"> than accepted as routine.</w:t>
      </w:r>
    </w:p>
    <w:p w14:paraId="42D6CD3F" w14:textId="77777777" w:rsidR="00606D62" w:rsidRDefault="00000000">
      <w:pPr>
        <w:spacing w:after="200" w:line="300" w:lineRule="auto"/>
        <w:jc w:val="both"/>
        <w:rPr>
          <w:sz w:val="24"/>
          <w:szCs w:val="24"/>
        </w:rPr>
      </w:pPr>
      <w:r w:rsidRPr="00D716E2">
        <w:rPr>
          <w:sz w:val="24"/>
          <w:szCs w:val="24"/>
        </w:rPr>
        <w:t>Evidence on Lean and Six Sigma in healthcare is mixed regarding cost savings, but more consistently positive regarding process reliability and staff clarity about expected standards (</w:t>
      </w:r>
      <w:proofErr w:type="spellStart"/>
      <w:r w:rsidRPr="00D716E2">
        <w:rPr>
          <w:sz w:val="24"/>
          <w:szCs w:val="24"/>
        </w:rPr>
        <w:t>DelliFraine</w:t>
      </w:r>
      <w:proofErr w:type="spellEnd"/>
      <w:r w:rsidRPr="00D716E2">
        <w:rPr>
          <w:sz w:val="24"/>
          <w:szCs w:val="24"/>
        </w:rPr>
        <w:t xml:space="preserve">, </w:t>
      </w:r>
      <w:proofErr w:type="spellStart"/>
      <w:r w:rsidRPr="00D716E2">
        <w:rPr>
          <w:sz w:val="24"/>
          <w:szCs w:val="24"/>
        </w:rPr>
        <w:t>Langabeer</w:t>
      </w:r>
      <w:proofErr w:type="spellEnd"/>
      <w:r w:rsidRPr="00D716E2">
        <w:rPr>
          <w:sz w:val="24"/>
          <w:szCs w:val="24"/>
        </w:rPr>
        <w:t xml:space="preserve"> and Nembhard, 2010), which is the more relevant benefit here: making unsafe staffing visible and actionable before, rather than after, harm occurs</w:t>
      </w:r>
      <w:r>
        <w:rPr>
          <w:sz w:val="24"/>
          <w:szCs w:val="24"/>
        </w:rPr>
        <w:t>.</w:t>
      </w:r>
    </w:p>
    <w:p w14:paraId="74C2DF78" w14:textId="77777777" w:rsidR="00D716E2" w:rsidRDefault="00D716E2">
      <w:pPr>
        <w:spacing w:after="200" w:line="300" w:lineRule="auto"/>
        <w:jc w:val="both"/>
        <w:rPr>
          <w:sz w:val="24"/>
          <w:szCs w:val="24"/>
        </w:rPr>
      </w:pPr>
    </w:p>
    <w:p w14:paraId="77FCF030" w14:textId="77777777" w:rsidR="00D716E2" w:rsidRDefault="00D716E2">
      <w:pPr>
        <w:spacing w:after="200" w:line="300" w:lineRule="auto"/>
        <w:jc w:val="both"/>
      </w:pPr>
    </w:p>
    <w:p w14:paraId="458CC72C"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lastRenderedPageBreak/>
        <w:t>3.3 Governance and Culture</w:t>
      </w:r>
    </w:p>
    <w:p w14:paraId="44C1C24B" w14:textId="77777777" w:rsidR="00606D62" w:rsidRPr="00D716E2" w:rsidRDefault="00000000">
      <w:pPr>
        <w:spacing w:after="200" w:line="300" w:lineRule="auto"/>
        <w:jc w:val="both"/>
      </w:pPr>
      <w:r w:rsidRPr="00D716E2">
        <w:rPr>
          <w:sz w:val="24"/>
          <w:szCs w:val="24"/>
        </w:rPr>
        <w:t>Neither PDSA nor Lean/Six Sigma will succeed without addressing the cultural weakness identified through SWOT and Fishbone analysis: a reluctance to challenge upward. This requires sustained leadership commitment rather than a single policy, consistent with Kotter's argument that lasting organisational change depends on visible senior leadership and reinforced habits, not one-off announcements (Kotter, 1996). Practically, this means board-level, named responsibility for reviewing every escalation within the new PDSA trigger, protected time for consultants to raise concerns formally without this being treated as exceptional, and closer alignment with the National Guardian's Office's speaking-up standards, including regular, anonymised reporting of how concerns raised were actually resolved (National Guardian's Office, 2022).</w:t>
      </w:r>
    </w:p>
    <w:p w14:paraId="584792E2"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3.4 Implementation Sequence</w:t>
      </w:r>
    </w:p>
    <w:p w14:paraId="4CDAC78F" w14:textId="77777777" w:rsidR="00606D62" w:rsidRPr="00D716E2" w:rsidRDefault="00000000">
      <w:pPr>
        <w:spacing w:after="200" w:line="300" w:lineRule="auto"/>
        <w:jc w:val="both"/>
      </w:pPr>
      <w:r w:rsidRPr="00D716E2">
        <w:rPr>
          <w:sz w:val="24"/>
          <w:szCs w:val="24"/>
        </w:rPr>
        <w:t>In practice, these recommendations should be sequenced rather than launched simultaneously. The PDSA escalation trigger should be piloted within three to six months, since it is low-cost and directly addresses the most time-critical failure, delay between concern and action. The Lean staffing review should follow over six to twelve months, since it requires more extensive data collection. Six Sigma staffing targets and governance reforms should be embedded over twelve to twenty-four months, allowing the earlier pilots to generate the evidence needed to set realistic, locally calibrated standards rather than importing generic targets that may not fit neonatal care specifically. This sequencing itself reflects a core PDSA principle, that small, tested changes should precede large, permanent ones (Taylor et al., 2013), and it ensures the sustainability of these NHS-wide learning frameworks in the years following the Thirlwall Inquiry's eventual report. It would also position the Trust's local reforms within the wider direction set by the WHO's Global Patient Safety Action Plan 2021-2030, which similarly calls for health systems to build continuous, systems-level learning rather than relying on individual vigilance alone (World Health Organization, 2021).</w:t>
      </w:r>
    </w:p>
    <w:p w14:paraId="11BD334B" w14:textId="77777777" w:rsidR="006D3845" w:rsidRDefault="006D3845">
      <w:pPr>
        <w:pStyle w:val="Heading1"/>
        <w:spacing w:before="320" w:after="180"/>
        <w:rPr>
          <w:b/>
          <w:bCs/>
          <w:color w:val="000000" w:themeColor="text1"/>
          <w:sz w:val="28"/>
          <w:szCs w:val="28"/>
        </w:rPr>
      </w:pPr>
    </w:p>
    <w:p w14:paraId="2C01CB1C" w14:textId="77777777" w:rsidR="006D3845" w:rsidRDefault="006D3845">
      <w:pPr>
        <w:pStyle w:val="Heading1"/>
        <w:spacing w:before="320" w:after="180"/>
        <w:rPr>
          <w:b/>
          <w:bCs/>
          <w:color w:val="000000" w:themeColor="text1"/>
          <w:sz w:val="28"/>
          <w:szCs w:val="28"/>
        </w:rPr>
      </w:pPr>
    </w:p>
    <w:p w14:paraId="4BE0F430" w14:textId="77777777" w:rsidR="006D3845" w:rsidRDefault="006D3845">
      <w:pPr>
        <w:pStyle w:val="Heading1"/>
        <w:spacing w:before="320" w:after="180"/>
        <w:rPr>
          <w:b/>
          <w:bCs/>
          <w:color w:val="000000" w:themeColor="text1"/>
          <w:sz w:val="28"/>
          <w:szCs w:val="28"/>
        </w:rPr>
      </w:pPr>
    </w:p>
    <w:p w14:paraId="1CA5C0E9" w14:textId="77777777" w:rsidR="006D3845" w:rsidRDefault="006D3845">
      <w:pPr>
        <w:pStyle w:val="Heading1"/>
        <w:spacing w:before="320" w:after="180"/>
        <w:rPr>
          <w:b/>
          <w:bCs/>
          <w:color w:val="000000" w:themeColor="text1"/>
          <w:sz w:val="28"/>
          <w:szCs w:val="28"/>
        </w:rPr>
      </w:pPr>
    </w:p>
    <w:p w14:paraId="2B61E9AA" w14:textId="77777777" w:rsidR="006D3845" w:rsidRDefault="006D3845">
      <w:pPr>
        <w:pStyle w:val="Heading1"/>
        <w:spacing w:before="320" w:after="180"/>
        <w:rPr>
          <w:b/>
          <w:bCs/>
          <w:color w:val="000000" w:themeColor="text1"/>
          <w:sz w:val="28"/>
          <w:szCs w:val="28"/>
        </w:rPr>
      </w:pPr>
    </w:p>
    <w:p w14:paraId="582CF86B" w14:textId="77777777" w:rsidR="006D3845" w:rsidRDefault="006D3845">
      <w:pPr>
        <w:pStyle w:val="Heading1"/>
        <w:spacing w:before="320" w:after="180"/>
        <w:rPr>
          <w:b/>
          <w:bCs/>
          <w:color w:val="000000" w:themeColor="text1"/>
          <w:sz w:val="28"/>
          <w:szCs w:val="28"/>
        </w:rPr>
      </w:pPr>
    </w:p>
    <w:p w14:paraId="77FFC026" w14:textId="77777777" w:rsidR="006D3845" w:rsidRDefault="006D3845">
      <w:pPr>
        <w:pStyle w:val="Heading1"/>
        <w:spacing w:before="320" w:after="180"/>
        <w:rPr>
          <w:b/>
          <w:bCs/>
          <w:color w:val="000000" w:themeColor="text1"/>
          <w:sz w:val="28"/>
          <w:szCs w:val="28"/>
        </w:rPr>
      </w:pPr>
    </w:p>
    <w:p w14:paraId="0026A287" w14:textId="432EDDCC" w:rsidR="00606D62" w:rsidRPr="009B41CD" w:rsidRDefault="00000000">
      <w:pPr>
        <w:pStyle w:val="Heading1"/>
        <w:spacing w:before="320" w:after="180"/>
        <w:rPr>
          <w:color w:val="000000" w:themeColor="text1"/>
          <w:sz w:val="28"/>
          <w:szCs w:val="28"/>
        </w:rPr>
      </w:pPr>
      <w:r w:rsidRPr="009B41CD">
        <w:rPr>
          <w:b/>
          <w:bCs/>
          <w:color w:val="000000" w:themeColor="text1"/>
          <w:sz w:val="28"/>
          <w:szCs w:val="28"/>
        </w:rPr>
        <w:lastRenderedPageBreak/>
        <w:t>4. Conclusion</w:t>
      </w:r>
    </w:p>
    <w:p w14:paraId="76D9555E" w14:textId="1A8A471F" w:rsidR="00D716E2" w:rsidRPr="00D716E2" w:rsidRDefault="00D716E2" w:rsidP="00D716E2">
      <w:pPr>
        <w:spacing w:after="200" w:line="300" w:lineRule="auto"/>
        <w:jc w:val="both"/>
      </w:pPr>
      <w:r w:rsidRPr="00D716E2">
        <w:rPr>
          <w:sz w:val="24"/>
          <w:szCs w:val="24"/>
        </w:rPr>
        <w:t>This report has examined the Countess of Chester Hospital case as an organisational quality failure rather than solely a criminal matter. Applying the Fishbone Diagram, the Swiss Cheese Model, the Donabedian Model, and SWOT analysis demonstrates that no single failure was responsible; rather, multiple weaknesses across people, process, management, environment, policy, and governance aligned over time, consistent with established patient safety literature on how serious harm typically occurs.</w:t>
      </w:r>
    </w:p>
    <w:p w14:paraId="0AACEC44" w14:textId="61BCC54B" w:rsidR="00D716E2" w:rsidRPr="00D716E2" w:rsidRDefault="00D716E2" w:rsidP="00D716E2">
      <w:pPr>
        <w:spacing w:after="200" w:line="300" w:lineRule="auto"/>
        <w:jc w:val="both"/>
      </w:pPr>
      <w:r w:rsidRPr="00D716E2">
        <w:rPr>
          <w:sz w:val="24"/>
          <w:szCs w:val="24"/>
        </w:rPr>
        <w:t>The recommendations proposed</w:t>
      </w:r>
      <w:r>
        <w:rPr>
          <w:sz w:val="24"/>
          <w:szCs w:val="24"/>
        </w:rPr>
        <w:t>-</w:t>
      </w:r>
      <w:r w:rsidRPr="00D716E2">
        <w:rPr>
          <w:sz w:val="24"/>
          <w:szCs w:val="24"/>
        </w:rPr>
        <w:t xml:space="preserve"> a PDSA-based escalation trigger, a Lean and Six Sigma programme targeting staffing and process variation, and sustained governance reform</w:t>
      </w:r>
      <w:r>
        <w:rPr>
          <w:sz w:val="24"/>
          <w:szCs w:val="24"/>
        </w:rPr>
        <w:t>-</w:t>
      </w:r>
      <w:r w:rsidRPr="00D716E2">
        <w:rPr>
          <w:sz w:val="24"/>
          <w:szCs w:val="24"/>
        </w:rPr>
        <w:t xml:space="preserve"> are sequenced to prioritise time-critical change first. This mirrors lessons from comparable NHS safety failures, including Mid Staffordshire and Morecambe Bay</w:t>
      </w:r>
      <w:r w:rsidR="00A73E36">
        <w:rPr>
          <w:sz w:val="24"/>
          <w:szCs w:val="24"/>
        </w:rPr>
        <w:t>,</w:t>
      </w:r>
      <w:r w:rsidRPr="00D716E2">
        <w:rPr>
          <w:sz w:val="24"/>
          <w:szCs w:val="24"/>
        </w:rPr>
        <w:t xml:space="preserve"> where technical fixes alone proved insufficient without parallel change to organisational culture.</w:t>
      </w:r>
    </w:p>
    <w:p w14:paraId="26F09C96" w14:textId="1641A24D" w:rsidR="00D716E2" w:rsidRPr="00D716E2" w:rsidRDefault="00D716E2" w:rsidP="00D716E2">
      <w:pPr>
        <w:spacing w:after="200" w:line="300" w:lineRule="auto"/>
        <w:jc w:val="both"/>
      </w:pPr>
      <w:r w:rsidRPr="00D716E2">
        <w:rPr>
          <w:sz w:val="24"/>
          <w:szCs w:val="24"/>
        </w:rPr>
        <w:t>Aspects of the case, including the Thirlwall Inquiry's final report and an ongoing Criminal Cases Review Commission application, remain unresolved at the time of writing. This report has therefore relied on independently verifiable evidence rather than pre-empting either outcome. Regardless, faster escalation, staffing matched to acuity, and a culture that supports challenge remain an urgent priority across NHS services nationally</w:t>
      </w:r>
      <w:r w:rsidR="00A73E36">
        <w:rPr>
          <w:sz w:val="24"/>
          <w:szCs w:val="24"/>
        </w:rPr>
        <w:t>.</w:t>
      </w:r>
    </w:p>
    <w:p w14:paraId="738A1C4E" w14:textId="77777777" w:rsidR="009B41CD" w:rsidRDefault="009B41CD">
      <w:pPr>
        <w:spacing w:after="200" w:line="300" w:lineRule="auto"/>
        <w:jc w:val="both"/>
        <w:rPr>
          <w:sz w:val="24"/>
          <w:szCs w:val="24"/>
        </w:rPr>
      </w:pPr>
    </w:p>
    <w:p w14:paraId="73984AA1" w14:textId="77777777" w:rsidR="00D716E2" w:rsidRDefault="00D716E2">
      <w:pPr>
        <w:spacing w:after="200" w:line="300" w:lineRule="auto"/>
        <w:jc w:val="both"/>
        <w:rPr>
          <w:sz w:val="24"/>
          <w:szCs w:val="24"/>
        </w:rPr>
      </w:pPr>
    </w:p>
    <w:p w14:paraId="5ECC522C" w14:textId="77777777" w:rsidR="00D716E2" w:rsidRDefault="00D716E2">
      <w:pPr>
        <w:spacing w:after="200" w:line="300" w:lineRule="auto"/>
        <w:jc w:val="both"/>
        <w:rPr>
          <w:sz w:val="24"/>
          <w:szCs w:val="24"/>
        </w:rPr>
      </w:pPr>
    </w:p>
    <w:p w14:paraId="4D348E91" w14:textId="77777777" w:rsidR="00D716E2" w:rsidRDefault="00D716E2">
      <w:pPr>
        <w:spacing w:after="200" w:line="300" w:lineRule="auto"/>
        <w:jc w:val="both"/>
        <w:rPr>
          <w:sz w:val="24"/>
          <w:szCs w:val="24"/>
        </w:rPr>
      </w:pPr>
    </w:p>
    <w:p w14:paraId="78935B29" w14:textId="77777777" w:rsidR="00D716E2" w:rsidRDefault="00D716E2">
      <w:pPr>
        <w:spacing w:after="200" w:line="300" w:lineRule="auto"/>
        <w:jc w:val="both"/>
        <w:rPr>
          <w:sz w:val="24"/>
          <w:szCs w:val="24"/>
        </w:rPr>
      </w:pPr>
    </w:p>
    <w:p w14:paraId="238CB305" w14:textId="77777777" w:rsidR="00D716E2" w:rsidRDefault="00D716E2">
      <w:pPr>
        <w:spacing w:after="200" w:line="300" w:lineRule="auto"/>
        <w:jc w:val="both"/>
        <w:rPr>
          <w:sz w:val="24"/>
          <w:szCs w:val="24"/>
        </w:rPr>
      </w:pPr>
    </w:p>
    <w:p w14:paraId="488094D1" w14:textId="77777777" w:rsidR="00D716E2" w:rsidRDefault="00D716E2">
      <w:pPr>
        <w:spacing w:after="200" w:line="300" w:lineRule="auto"/>
        <w:jc w:val="both"/>
        <w:rPr>
          <w:sz w:val="24"/>
          <w:szCs w:val="24"/>
        </w:rPr>
      </w:pPr>
    </w:p>
    <w:p w14:paraId="2B281BFE" w14:textId="77777777" w:rsidR="009B41CD" w:rsidRDefault="009B41CD">
      <w:pPr>
        <w:spacing w:after="200" w:line="300" w:lineRule="auto"/>
        <w:jc w:val="both"/>
        <w:rPr>
          <w:sz w:val="24"/>
          <w:szCs w:val="24"/>
        </w:rPr>
      </w:pPr>
    </w:p>
    <w:p w14:paraId="29B938C2" w14:textId="77777777" w:rsidR="009B41CD" w:rsidRDefault="009B41CD">
      <w:pPr>
        <w:spacing w:after="200" w:line="300" w:lineRule="auto"/>
        <w:jc w:val="both"/>
        <w:rPr>
          <w:sz w:val="24"/>
          <w:szCs w:val="24"/>
        </w:rPr>
      </w:pPr>
    </w:p>
    <w:p w14:paraId="79ED16EF" w14:textId="77777777" w:rsidR="009B41CD" w:rsidRDefault="009B41CD">
      <w:pPr>
        <w:spacing w:after="200" w:line="300" w:lineRule="auto"/>
        <w:jc w:val="both"/>
        <w:rPr>
          <w:sz w:val="24"/>
          <w:szCs w:val="24"/>
        </w:rPr>
      </w:pPr>
    </w:p>
    <w:p w14:paraId="663A537C" w14:textId="77777777" w:rsidR="009B41CD" w:rsidRDefault="009B41CD">
      <w:pPr>
        <w:spacing w:after="200" w:line="300" w:lineRule="auto"/>
        <w:jc w:val="both"/>
        <w:rPr>
          <w:sz w:val="24"/>
          <w:szCs w:val="24"/>
        </w:rPr>
      </w:pPr>
    </w:p>
    <w:p w14:paraId="59419B42" w14:textId="77777777" w:rsidR="00A73E36" w:rsidRDefault="00A73E36">
      <w:pPr>
        <w:spacing w:after="200" w:line="300" w:lineRule="auto"/>
        <w:jc w:val="both"/>
        <w:rPr>
          <w:sz w:val="24"/>
          <w:szCs w:val="24"/>
        </w:rPr>
      </w:pPr>
    </w:p>
    <w:p w14:paraId="36A42161" w14:textId="77777777" w:rsidR="009B41CD" w:rsidRDefault="009B41CD">
      <w:pPr>
        <w:spacing w:after="200" w:line="300" w:lineRule="auto"/>
        <w:jc w:val="both"/>
      </w:pPr>
    </w:p>
    <w:p w14:paraId="6539FE45" w14:textId="77777777" w:rsidR="00606D62" w:rsidRPr="009B41CD" w:rsidRDefault="00000000">
      <w:pPr>
        <w:pStyle w:val="Heading1"/>
        <w:spacing w:before="320" w:after="180"/>
        <w:rPr>
          <w:color w:val="000000" w:themeColor="text1"/>
          <w:sz w:val="28"/>
          <w:szCs w:val="28"/>
        </w:rPr>
      </w:pPr>
      <w:r w:rsidRPr="009B41CD">
        <w:rPr>
          <w:b/>
          <w:bCs/>
          <w:color w:val="000000" w:themeColor="text1"/>
          <w:sz w:val="28"/>
          <w:szCs w:val="28"/>
        </w:rPr>
        <w:lastRenderedPageBreak/>
        <w:t>References</w:t>
      </w:r>
    </w:p>
    <w:p w14:paraId="37F04FB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Aguilar, F. (1967).</w:t>
      </w:r>
      <w:r w:rsidRPr="0077298A">
        <w:rPr>
          <w:rStyle w:val="apple-converted-space"/>
          <w:color w:val="000000"/>
        </w:rPr>
        <w:t> </w:t>
      </w:r>
      <w:r w:rsidRPr="0077298A">
        <w:rPr>
          <w:i/>
          <w:iCs/>
          <w:color w:val="000000"/>
        </w:rPr>
        <w:t>F. J. Aguilar, “Scanning the Business Environment,” MacMillan Co., New York, 1967. - References - Scientific Research Publishing</w:t>
      </w:r>
      <w:r w:rsidRPr="0077298A">
        <w:rPr>
          <w:color w:val="000000"/>
        </w:rPr>
        <w:t>. [online]</w:t>
      </w:r>
      <w:r w:rsidRPr="0077298A">
        <w:rPr>
          <w:rStyle w:val="apple-converted-space"/>
          <w:color w:val="000000"/>
        </w:rPr>
        <w:t> </w:t>
      </w:r>
      <w:r w:rsidRPr="0077298A">
        <w:rPr>
          <w:i/>
          <w:iCs/>
          <w:color w:val="000000"/>
        </w:rPr>
        <w:t>Www.scirp.org</w:t>
      </w:r>
      <w:r w:rsidRPr="0077298A">
        <w:rPr>
          <w:color w:val="000000"/>
        </w:rPr>
        <w:t>. Available at: https://www.scirp.org/reference/ReferencesPapers?ReferenceID=217884 [Accessed 4 Aug. 2026].</w:t>
      </w:r>
    </w:p>
    <w:p w14:paraId="192F2B9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BBC News (2017a). Chester hospital baby deaths to be investigated by police.</w:t>
      </w:r>
      <w:r w:rsidRPr="0077298A">
        <w:rPr>
          <w:rStyle w:val="apple-converted-space"/>
          <w:color w:val="000000"/>
        </w:rPr>
        <w:t> </w:t>
      </w:r>
      <w:r w:rsidRPr="0077298A">
        <w:rPr>
          <w:i/>
          <w:iCs/>
          <w:color w:val="000000"/>
        </w:rPr>
        <w:t>BBC News</w:t>
      </w:r>
      <w:r w:rsidRPr="0077298A">
        <w:rPr>
          <w:color w:val="000000"/>
        </w:rPr>
        <w:t>. [online] 18 Maya. Available at: https://www.bbc.co.uk/news/uk-england-merseyside-39959130 [Accessed 4 Aug. 2026a].</w:t>
      </w:r>
    </w:p>
    <w:p w14:paraId="41A859AF"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BBC News (2017b). Staffing “inadequate” at Chester baby death hospital.</w:t>
      </w:r>
      <w:r w:rsidRPr="0077298A">
        <w:rPr>
          <w:rStyle w:val="apple-converted-space"/>
          <w:color w:val="000000"/>
        </w:rPr>
        <w:t> </w:t>
      </w:r>
      <w:r w:rsidRPr="0077298A">
        <w:rPr>
          <w:i/>
          <w:iCs/>
          <w:color w:val="000000"/>
        </w:rPr>
        <w:t>BBC News</w:t>
      </w:r>
      <w:r w:rsidRPr="0077298A">
        <w:rPr>
          <w:color w:val="000000"/>
        </w:rPr>
        <w:t xml:space="preserve">. [online] 8 </w:t>
      </w:r>
      <w:proofErr w:type="spellStart"/>
      <w:r w:rsidRPr="0077298A">
        <w:rPr>
          <w:color w:val="000000"/>
        </w:rPr>
        <w:t>Feb.b</w:t>
      </w:r>
      <w:proofErr w:type="spellEnd"/>
      <w:r w:rsidRPr="0077298A">
        <w:rPr>
          <w:color w:val="000000"/>
        </w:rPr>
        <w:t>. Available at: https://www.bbc.co.uk/news/uk-england-merseyside-38901317 [Accessed 4 Aug. 2026b].</w:t>
      </w:r>
    </w:p>
    <w:p w14:paraId="728564E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 xml:space="preserve">Berwick, D. (2013). A promise to learn - a commitment to act improving the safety of patients in </w:t>
      </w:r>
      <w:proofErr w:type="spellStart"/>
      <w:r w:rsidRPr="0077298A">
        <w:rPr>
          <w:color w:val="000000"/>
        </w:rPr>
        <w:t>england</w:t>
      </w:r>
      <w:proofErr w:type="spellEnd"/>
      <w:r w:rsidRPr="0077298A">
        <w:rPr>
          <w:color w:val="000000"/>
        </w:rPr>
        <w:t xml:space="preserve"> national advisory group on the safety of patients in </w:t>
      </w:r>
      <w:proofErr w:type="spellStart"/>
      <w:r w:rsidRPr="0077298A">
        <w:rPr>
          <w:color w:val="000000"/>
        </w:rPr>
        <w:t>england</w:t>
      </w:r>
      <w:proofErr w:type="spellEnd"/>
      <w:r w:rsidRPr="0077298A">
        <w:rPr>
          <w:color w:val="000000"/>
        </w:rPr>
        <w:t>. [online] Available at: https://assets.publishing.service.gov.uk/media/5a7cc74540f0b6629523bc31/Berwick_Report.pdf [Accessed 4 Aug. 2026].</w:t>
      </w:r>
    </w:p>
    <w:p w14:paraId="027C6243"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British Journal of Healthcare Assistants (2023). NHS must accept accountability and learn from mistakes, says Ombudsman.</w:t>
      </w:r>
      <w:r w:rsidRPr="0077298A">
        <w:rPr>
          <w:rStyle w:val="apple-converted-space"/>
          <w:color w:val="000000"/>
        </w:rPr>
        <w:t> </w:t>
      </w:r>
      <w:r w:rsidRPr="0077298A">
        <w:rPr>
          <w:i/>
          <w:iCs/>
          <w:color w:val="000000"/>
        </w:rPr>
        <w:t>British Journal of Healthcare Assistants</w:t>
      </w:r>
      <w:r w:rsidRPr="0077298A">
        <w:rPr>
          <w:color w:val="000000"/>
        </w:rPr>
        <w:t>, 17(8), pp.319–319. doi:10.12968/bjha.2023.17.8.319.</w:t>
      </w:r>
    </w:p>
    <w:p w14:paraId="78D25950"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Care Quality Commission (2026).</w:t>
      </w:r>
      <w:r w:rsidRPr="0077298A">
        <w:rPr>
          <w:rStyle w:val="apple-converted-space"/>
          <w:color w:val="000000"/>
        </w:rPr>
        <w:t> </w:t>
      </w:r>
      <w:r w:rsidRPr="0077298A">
        <w:rPr>
          <w:i/>
          <w:iCs/>
          <w:color w:val="000000"/>
        </w:rPr>
        <w:t>The Countess of Chester Hospital - Care Quality Commission</w:t>
      </w:r>
      <w:r w:rsidRPr="0077298A">
        <w:rPr>
          <w:color w:val="000000"/>
        </w:rPr>
        <w:t>. [online] Cqc.org.uk. Available at: https://www.cqc.org.uk/location/rjr05/inspection-summary [Accessed 4 Aug. 2026].</w:t>
      </w:r>
    </w:p>
    <w:p w14:paraId="38B93C0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Countess of Chester Hospital (2026).</w:t>
      </w:r>
      <w:r w:rsidRPr="0077298A">
        <w:rPr>
          <w:rStyle w:val="apple-converted-space"/>
          <w:color w:val="000000"/>
        </w:rPr>
        <w:t> </w:t>
      </w:r>
      <w:r w:rsidRPr="0077298A">
        <w:rPr>
          <w:i/>
          <w:iCs/>
          <w:color w:val="000000"/>
        </w:rPr>
        <w:t>Countess of Chester Hospital</w:t>
      </w:r>
      <w:r w:rsidRPr="0077298A">
        <w:rPr>
          <w:color w:val="000000"/>
        </w:rPr>
        <w:t>. [online] Coch.nhs.uk. Available at: https://www.coch.nhs.uk [Accessed 4 Aug. 2026].</w:t>
      </w:r>
    </w:p>
    <w:p w14:paraId="354029B7"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Criminal Cases Review Commission (2025).</w:t>
      </w:r>
      <w:r w:rsidRPr="0077298A">
        <w:rPr>
          <w:rStyle w:val="apple-converted-space"/>
          <w:color w:val="000000"/>
        </w:rPr>
        <w:t> </w:t>
      </w:r>
      <w:r w:rsidRPr="0077298A">
        <w:rPr>
          <w:i/>
          <w:iCs/>
          <w:color w:val="000000"/>
        </w:rPr>
        <w:t xml:space="preserve">Lucy Letby application received by Criminal Cases Review </w:t>
      </w:r>
      <w:proofErr w:type="gramStart"/>
      <w:r w:rsidRPr="0077298A">
        <w:rPr>
          <w:i/>
          <w:iCs/>
          <w:color w:val="000000"/>
        </w:rPr>
        <w:t>Commission  -</w:t>
      </w:r>
      <w:proofErr w:type="gramEnd"/>
      <w:r w:rsidRPr="0077298A">
        <w:rPr>
          <w:i/>
          <w:iCs/>
          <w:color w:val="000000"/>
        </w:rPr>
        <w:t xml:space="preserve"> Criminal Cases Review Commission</w:t>
      </w:r>
      <w:r w:rsidRPr="0077298A">
        <w:rPr>
          <w:color w:val="000000"/>
        </w:rPr>
        <w:t>. [online] Criminal Cases Review Commission. Available at: https://ccrc.gov.uk/news/lucy-letby-application-received-by-criminal-cases-review-commission/ [Accessed 4 Aug. 2026].</w:t>
      </w:r>
    </w:p>
    <w:p w14:paraId="798D172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Criminal Cases Review Commission (2026).</w:t>
      </w:r>
      <w:r w:rsidRPr="0077298A">
        <w:rPr>
          <w:rStyle w:val="apple-converted-space"/>
          <w:color w:val="000000"/>
        </w:rPr>
        <w:t> </w:t>
      </w:r>
      <w:r w:rsidRPr="0077298A">
        <w:rPr>
          <w:i/>
          <w:iCs/>
          <w:color w:val="000000"/>
        </w:rPr>
        <w:t>Chair’s statement on Lucy Letby application review - Criminal Cases Review Commission</w:t>
      </w:r>
      <w:r w:rsidRPr="0077298A">
        <w:rPr>
          <w:color w:val="000000"/>
        </w:rPr>
        <w:t>. [online] Criminal Cases Review Commission. Available at: https://ccrc.gov.uk/news/chairs-statement-on-lucy-letby-application-review [Accessed 4 Aug. 2026].</w:t>
      </w:r>
    </w:p>
    <w:p w14:paraId="34BE7D40" w14:textId="77777777" w:rsidR="0077298A" w:rsidRPr="0077298A" w:rsidRDefault="0077298A" w:rsidP="0077298A">
      <w:pPr>
        <w:pStyle w:val="NormalWeb"/>
        <w:spacing w:before="0" w:beforeAutospacing="0" w:after="240" w:afterAutospacing="0" w:line="420" w:lineRule="atLeast"/>
        <w:jc w:val="both"/>
        <w:rPr>
          <w:color w:val="000000"/>
        </w:rPr>
      </w:pPr>
      <w:proofErr w:type="spellStart"/>
      <w:r w:rsidRPr="0077298A">
        <w:rPr>
          <w:color w:val="000000"/>
        </w:rPr>
        <w:t>DelliFraine</w:t>
      </w:r>
      <w:proofErr w:type="spellEnd"/>
      <w:r w:rsidRPr="0077298A">
        <w:rPr>
          <w:color w:val="000000"/>
        </w:rPr>
        <w:t xml:space="preserve">, J.L., </w:t>
      </w:r>
      <w:proofErr w:type="spellStart"/>
      <w:r w:rsidRPr="0077298A">
        <w:rPr>
          <w:color w:val="000000"/>
        </w:rPr>
        <w:t>Langabeer</w:t>
      </w:r>
      <w:proofErr w:type="spellEnd"/>
      <w:r w:rsidRPr="0077298A">
        <w:rPr>
          <w:color w:val="000000"/>
        </w:rPr>
        <w:t>, J.R. and Nembhard, I.M. (2010). Assessing the Evidence of Six Sigma and Lean in the Health Care Industry.</w:t>
      </w:r>
      <w:r w:rsidRPr="0077298A">
        <w:rPr>
          <w:rStyle w:val="apple-converted-space"/>
          <w:color w:val="000000"/>
        </w:rPr>
        <w:t> </w:t>
      </w:r>
      <w:r w:rsidRPr="0077298A">
        <w:rPr>
          <w:i/>
          <w:iCs/>
          <w:color w:val="000000"/>
        </w:rPr>
        <w:t>Quality Management in Health Care</w:t>
      </w:r>
      <w:r w:rsidRPr="0077298A">
        <w:rPr>
          <w:color w:val="000000"/>
        </w:rPr>
        <w:t>, 19(3), pp.211–225. doi:10.1097/qmh.0b013e3181eb140e.</w:t>
      </w:r>
    </w:p>
    <w:p w14:paraId="0AD7D5BF"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 xml:space="preserve">Dixon-Woods, M., Baker, R., Charles, K., Dawson, J., </w:t>
      </w:r>
      <w:proofErr w:type="spellStart"/>
      <w:r w:rsidRPr="0077298A">
        <w:rPr>
          <w:color w:val="000000"/>
        </w:rPr>
        <w:t>Jerzembek</w:t>
      </w:r>
      <w:proofErr w:type="spellEnd"/>
      <w:r w:rsidRPr="0077298A">
        <w:rPr>
          <w:color w:val="000000"/>
        </w:rPr>
        <w:t xml:space="preserve">, G., Martin, G., McCarthy, I., McKee, L., Minion, J., </w:t>
      </w:r>
      <w:proofErr w:type="spellStart"/>
      <w:r w:rsidRPr="0077298A">
        <w:rPr>
          <w:color w:val="000000"/>
        </w:rPr>
        <w:t>Ozieranski</w:t>
      </w:r>
      <w:proofErr w:type="spellEnd"/>
      <w:r w:rsidRPr="0077298A">
        <w:rPr>
          <w:color w:val="000000"/>
        </w:rPr>
        <w:t>, P., Willars, J., Wilkie, P. and West, M. (2014). Culture and Behaviour in the English National Health Service: Overview of Lessons from a Large Multimethod Study.</w:t>
      </w:r>
      <w:r w:rsidRPr="0077298A">
        <w:rPr>
          <w:rStyle w:val="apple-converted-space"/>
          <w:color w:val="000000"/>
        </w:rPr>
        <w:t> </w:t>
      </w:r>
      <w:r w:rsidRPr="0077298A">
        <w:rPr>
          <w:i/>
          <w:iCs/>
          <w:color w:val="000000"/>
        </w:rPr>
        <w:t>BMJ Quality &amp; Safety</w:t>
      </w:r>
      <w:r w:rsidRPr="0077298A">
        <w:rPr>
          <w:color w:val="000000"/>
        </w:rPr>
        <w:t>, [online] 23(2), pp.106–115. Available at: https://qualitysafety.bmj.com/content/23/2/106 [Accessed 4 Aug. 2026].</w:t>
      </w:r>
    </w:p>
    <w:p w14:paraId="152FBD88"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Donabedian, A. (1988). The quality of care. How can it be assessed?</w:t>
      </w:r>
      <w:r w:rsidRPr="0077298A">
        <w:rPr>
          <w:rStyle w:val="apple-converted-space"/>
          <w:color w:val="000000"/>
        </w:rPr>
        <w:t> </w:t>
      </w:r>
      <w:r w:rsidRPr="0077298A">
        <w:rPr>
          <w:i/>
          <w:iCs/>
          <w:color w:val="000000"/>
        </w:rPr>
        <w:t>JAMA: The Journal of the American Medical Association</w:t>
      </w:r>
      <w:r w:rsidRPr="0077298A">
        <w:rPr>
          <w:color w:val="000000"/>
        </w:rPr>
        <w:t>, [online] 260(12), pp.1743–1748. doi:10.1001/jama.260.12.1743.</w:t>
      </w:r>
    </w:p>
    <w:p w14:paraId="6386C64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Evans, H. (2026).</w:t>
      </w:r>
      <w:r w:rsidRPr="0077298A">
        <w:rPr>
          <w:rStyle w:val="apple-converted-space"/>
          <w:color w:val="000000"/>
        </w:rPr>
        <w:t> </w:t>
      </w:r>
      <w:r w:rsidRPr="0077298A">
        <w:rPr>
          <w:i/>
          <w:iCs/>
          <w:color w:val="000000"/>
        </w:rPr>
        <w:t>No further criminal charges to be brought against killer nurse Lucy Letby, CPS says</w:t>
      </w:r>
      <w:r w:rsidRPr="0077298A">
        <w:rPr>
          <w:color w:val="000000"/>
        </w:rPr>
        <w:t>. [online]</w:t>
      </w:r>
      <w:r w:rsidRPr="0077298A">
        <w:rPr>
          <w:rStyle w:val="apple-converted-space"/>
          <w:color w:val="000000"/>
        </w:rPr>
        <w:t> </w:t>
      </w:r>
      <w:r w:rsidRPr="0077298A">
        <w:rPr>
          <w:i/>
          <w:iCs/>
          <w:color w:val="000000"/>
        </w:rPr>
        <w:t>The Independent</w:t>
      </w:r>
      <w:r w:rsidRPr="0077298A">
        <w:rPr>
          <w:color w:val="000000"/>
        </w:rPr>
        <w:t>. Available at: https://www.independent.co.uk/news/uk/crime/lucy-letby-no-further-charges-hospital-deaths-cps-b2904036.html [Accessed 4 Aug. 2026].</w:t>
      </w:r>
    </w:p>
    <w:p w14:paraId="44714A4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Francis, R. (2013). The Mid Staffordshire NHS Foundation Trust Public Inquiry Report of the Mid Staffordshire NHS Foundation Trust Public Inquiry Executive summary. [online] Available at: https://assets.publishing.service.gov.uk/media/5a7ba0faed915d13110607c8/0947.pdf [Accessed 4 Aug. 2026].</w:t>
      </w:r>
    </w:p>
    <w:p w14:paraId="493BD113"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Gregory, A. (2023).</w:t>
      </w:r>
      <w:r w:rsidRPr="0077298A">
        <w:rPr>
          <w:rStyle w:val="apple-converted-space"/>
          <w:color w:val="000000"/>
        </w:rPr>
        <w:t> </w:t>
      </w:r>
      <w:r w:rsidRPr="0077298A">
        <w:rPr>
          <w:i/>
          <w:iCs/>
          <w:color w:val="000000"/>
        </w:rPr>
        <w:t>Lucy Letby case: More babies face harm unless NHS ends ‘defensive leadership’</w:t>
      </w:r>
      <w:r w:rsidRPr="0077298A">
        <w:rPr>
          <w:color w:val="000000"/>
        </w:rPr>
        <w:t>. [online] The Guardian. Available at: https://www.theguardian.com/society/2023/aug/27/lucy-letby-case-more-babies-face-harm-defensive-leadership-nhs-ombudsman [Accessed 4 Aug. 2026].</w:t>
      </w:r>
    </w:p>
    <w:p w14:paraId="16D097B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Institute of Medicine (2000).</w:t>
      </w:r>
      <w:r w:rsidRPr="0077298A">
        <w:rPr>
          <w:rStyle w:val="apple-converted-space"/>
          <w:color w:val="000000"/>
        </w:rPr>
        <w:t> </w:t>
      </w:r>
      <w:r w:rsidRPr="0077298A">
        <w:rPr>
          <w:i/>
          <w:iCs/>
          <w:color w:val="000000"/>
        </w:rPr>
        <w:t>To err is human: Building a safer health system</w:t>
      </w:r>
      <w:r w:rsidRPr="0077298A">
        <w:rPr>
          <w:color w:val="000000"/>
        </w:rPr>
        <w:t>. [online] Washington, D.C.: National Academies Press. doi:10.17226/9728.</w:t>
      </w:r>
    </w:p>
    <w:p w14:paraId="5B597B88"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Ishikawa, K. (1986).</w:t>
      </w:r>
      <w:r w:rsidRPr="0077298A">
        <w:rPr>
          <w:rStyle w:val="apple-converted-space"/>
          <w:color w:val="000000"/>
        </w:rPr>
        <w:t> </w:t>
      </w:r>
      <w:r w:rsidRPr="0077298A">
        <w:rPr>
          <w:i/>
          <w:iCs/>
          <w:color w:val="000000"/>
        </w:rPr>
        <w:t>Guide to Quality Control</w:t>
      </w:r>
      <w:r w:rsidRPr="0077298A">
        <w:rPr>
          <w:color w:val="000000"/>
        </w:rPr>
        <w:t xml:space="preserve">. New York: </w:t>
      </w:r>
      <w:proofErr w:type="spellStart"/>
      <w:r w:rsidRPr="0077298A">
        <w:rPr>
          <w:color w:val="000000"/>
        </w:rPr>
        <w:t>Unipub</w:t>
      </w:r>
      <w:proofErr w:type="spellEnd"/>
      <w:r w:rsidRPr="0077298A">
        <w:rPr>
          <w:color w:val="000000"/>
        </w:rPr>
        <w:t>/Quality Resources.</w:t>
      </w:r>
    </w:p>
    <w:p w14:paraId="12E4FCC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Kirkup, B. (2015). The Report of the Morecambe Bay Investigation. In:</w:t>
      </w:r>
      <w:r w:rsidRPr="0077298A">
        <w:rPr>
          <w:rStyle w:val="apple-converted-space"/>
          <w:color w:val="000000"/>
        </w:rPr>
        <w:t> </w:t>
      </w:r>
      <w:r w:rsidRPr="0077298A">
        <w:rPr>
          <w:i/>
          <w:iCs/>
          <w:color w:val="000000"/>
        </w:rPr>
        <w:t>Gov.uk</w:t>
      </w:r>
      <w:r w:rsidRPr="0077298A">
        <w:rPr>
          <w:color w:val="000000"/>
        </w:rPr>
        <w:t>. [online] Available at: https://assets.publishing.service.gov.uk/media/5a7f3d7240f0b62305b85efb/47487_MBI_Accessible_v0.1.pdf [Accessed 4 Aug. 2026].</w:t>
      </w:r>
    </w:p>
    <w:p w14:paraId="75C1449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Kotter, J. (1996). Leading Change.</w:t>
      </w:r>
      <w:r w:rsidRPr="0077298A">
        <w:rPr>
          <w:rStyle w:val="apple-converted-space"/>
          <w:color w:val="000000"/>
        </w:rPr>
        <w:t> </w:t>
      </w:r>
      <w:r w:rsidRPr="0077298A">
        <w:rPr>
          <w:i/>
          <w:iCs/>
          <w:color w:val="000000"/>
        </w:rPr>
        <w:t>Competitive Intelligence Review</w:t>
      </w:r>
      <w:r w:rsidRPr="0077298A">
        <w:rPr>
          <w:color w:val="000000"/>
        </w:rPr>
        <w:t>, 8(2).</w:t>
      </w:r>
    </w:p>
    <w:p w14:paraId="1272265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Moen, R. and Norman, C. (2009).</w:t>
      </w:r>
      <w:r w:rsidRPr="0077298A">
        <w:rPr>
          <w:rStyle w:val="apple-converted-space"/>
          <w:color w:val="000000"/>
        </w:rPr>
        <w:t> </w:t>
      </w:r>
      <w:r w:rsidRPr="0077298A">
        <w:rPr>
          <w:i/>
          <w:iCs/>
          <w:color w:val="000000"/>
        </w:rPr>
        <w:t>Evolution of the PDCA cycle</w:t>
      </w:r>
      <w:r w:rsidRPr="0077298A">
        <w:rPr>
          <w:color w:val="000000"/>
        </w:rPr>
        <w:t>. [online] Available at: https://www.researchgate.net/publication/228475044_Evolution_of_the_PDCA_cycle [Accessed 4 Aug. 2026].</w:t>
      </w:r>
    </w:p>
    <w:p w14:paraId="403568E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National Guardian’s Office (2022).</w:t>
      </w:r>
      <w:r w:rsidRPr="0077298A">
        <w:rPr>
          <w:rStyle w:val="apple-converted-space"/>
          <w:color w:val="000000"/>
        </w:rPr>
        <w:t> </w:t>
      </w:r>
      <w:r w:rsidRPr="0077298A">
        <w:rPr>
          <w:i/>
          <w:iCs/>
          <w:color w:val="000000"/>
        </w:rPr>
        <w:t>Making Speaking Up business as usual National Guardian’s Office Annual Report</w:t>
      </w:r>
      <w:r w:rsidRPr="0077298A">
        <w:rPr>
          <w:color w:val="000000"/>
        </w:rPr>
        <w:t>. [online] Available at: https://nationalguardian.org.uk/wp-content/uploads/2023/11/NGO_AR_2023_Accessible.pdf [Accessed 5 Aug. 2026].</w:t>
      </w:r>
    </w:p>
    <w:p w14:paraId="5C06B14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NHS England (2023).</w:t>
      </w:r>
      <w:r w:rsidRPr="0077298A">
        <w:rPr>
          <w:rStyle w:val="apple-converted-space"/>
          <w:color w:val="000000"/>
        </w:rPr>
        <w:t> </w:t>
      </w:r>
      <w:r w:rsidRPr="0077298A">
        <w:rPr>
          <w:i/>
          <w:iCs/>
          <w:color w:val="000000"/>
        </w:rPr>
        <w:t>NHS England » Verdict in the trial of Lucy Letby</w:t>
      </w:r>
      <w:r w:rsidRPr="0077298A">
        <w:rPr>
          <w:color w:val="000000"/>
        </w:rPr>
        <w:t>. [online]</w:t>
      </w:r>
      <w:r w:rsidRPr="0077298A">
        <w:rPr>
          <w:rStyle w:val="apple-converted-space"/>
          <w:color w:val="000000"/>
        </w:rPr>
        <w:t> </w:t>
      </w:r>
      <w:r w:rsidRPr="0077298A">
        <w:rPr>
          <w:i/>
          <w:iCs/>
          <w:color w:val="000000"/>
        </w:rPr>
        <w:t>Www.england.nhs.uk</w:t>
      </w:r>
      <w:r w:rsidRPr="0077298A">
        <w:rPr>
          <w:color w:val="000000"/>
        </w:rPr>
        <w:t>. Available at: https://www.england.nhs.uk/long-read/verdict-in-the-trial-of-lucy-letby/ [Accessed 5 Aug. 2026].</w:t>
      </w:r>
    </w:p>
    <w:p w14:paraId="07CBA33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NHS England (2024).</w:t>
      </w:r>
      <w:r w:rsidRPr="0077298A">
        <w:rPr>
          <w:rStyle w:val="apple-converted-space"/>
          <w:color w:val="000000"/>
        </w:rPr>
        <w:t> </w:t>
      </w:r>
      <w:r w:rsidRPr="0077298A">
        <w:rPr>
          <w:i/>
          <w:iCs/>
          <w:color w:val="000000"/>
        </w:rPr>
        <w:t>Patient Safety Incident Response Framework and supporting guidance</w:t>
      </w:r>
      <w:r w:rsidRPr="0077298A">
        <w:rPr>
          <w:color w:val="000000"/>
        </w:rPr>
        <w:t>. [online]</w:t>
      </w:r>
      <w:r w:rsidRPr="0077298A">
        <w:rPr>
          <w:rStyle w:val="apple-converted-space"/>
          <w:color w:val="000000"/>
        </w:rPr>
        <w:t> </w:t>
      </w:r>
      <w:r w:rsidRPr="0077298A">
        <w:rPr>
          <w:i/>
          <w:iCs/>
          <w:color w:val="000000"/>
        </w:rPr>
        <w:t>Www.england.nhs.uk</w:t>
      </w:r>
      <w:r w:rsidRPr="0077298A">
        <w:rPr>
          <w:color w:val="000000"/>
        </w:rPr>
        <w:t>. Available at: https://www.england.nhs.uk/publication/patient-safety-incident-response-framework-and-supporting-guidance/ [Accessed 5 Aug. 2026].</w:t>
      </w:r>
    </w:p>
    <w:p w14:paraId="2A417E8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Nuffield Trust (2025).</w:t>
      </w:r>
      <w:r w:rsidRPr="0077298A">
        <w:rPr>
          <w:rStyle w:val="apple-converted-space"/>
          <w:color w:val="000000"/>
        </w:rPr>
        <w:t> </w:t>
      </w:r>
      <w:r w:rsidRPr="0077298A">
        <w:rPr>
          <w:i/>
          <w:iCs/>
          <w:color w:val="000000"/>
        </w:rPr>
        <w:t>Report for the Thirlwall Inquiry: Analysis of questionnaires from 120 NHS trusts</w:t>
      </w:r>
      <w:r w:rsidRPr="0077298A">
        <w:rPr>
          <w:color w:val="000000"/>
        </w:rPr>
        <w:t>. [online]</w:t>
      </w:r>
      <w:r w:rsidRPr="0077298A">
        <w:rPr>
          <w:rStyle w:val="apple-converted-space"/>
          <w:color w:val="000000"/>
        </w:rPr>
        <w:t> </w:t>
      </w:r>
      <w:r w:rsidRPr="0077298A">
        <w:rPr>
          <w:i/>
          <w:iCs/>
          <w:color w:val="000000"/>
        </w:rPr>
        <w:t>Nuffield Trust</w:t>
      </w:r>
      <w:r w:rsidRPr="0077298A">
        <w:rPr>
          <w:color w:val="000000"/>
        </w:rPr>
        <w:t>. Available at: https://www.nuffieldtrust.org.uk/research/report-for-the-thirlwall-inquiry-analysis-of-questionnaires-from-120-nhs-trusts [Accessed 5 Aug. 2026].</w:t>
      </w:r>
    </w:p>
    <w:p w14:paraId="2DA0AD95"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Pilgrim, T. (2024). Lucy Letby seeks attempted murder conviction appeal.</w:t>
      </w:r>
      <w:r w:rsidRPr="0077298A">
        <w:rPr>
          <w:rStyle w:val="apple-converted-space"/>
          <w:color w:val="000000"/>
        </w:rPr>
        <w:t> </w:t>
      </w:r>
      <w:r w:rsidRPr="0077298A">
        <w:rPr>
          <w:i/>
          <w:iCs/>
          <w:color w:val="000000"/>
        </w:rPr>
        <w:t>BBC News</w:t>
      </w:r>
      <w:r w:rsidRPr="0077298A">
        <w:rPr>
          <w:color w:val="000000"/>
        </w:rPr>
        <w:t>. [online] 20 Sept. Available at: https://www.bbc.co.uk/news/articles/cr75enxd95jo [Accessed 4 Aug. 2026].</w:t>
      </w:r>
    </w:p>
    <w:p w14:paraId="082FF61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Reason, J. (2000). Human error: Models and management.</w:t>
      </w:r>
      <w:r w:rsidRPr="0077298A">
        <w:rPr>
          <w:rStyle w:val="apple-converted-space"/>
          <w:color w:val="000000"/>
        </w:rPr>
        <w:t> </w:t>
      </w:r>
      <w:r w:rsidRPr="0077298A">
        <w:rPr>
          <w:i/>
          <w:iCs/>
          <w:color w:val="000000"/>
        </w:rPr>
        <w:t>BMJ</w:t>
      </w:r>
      <w:r w:rsidRPr="0077298A">
        <w:rPr>
          <w:color w:val="000000"/>
        </w:rPr>
        <w:t>, 320(7237), pp.768–770. doi:10.1136/bmj.320.7237.768.</w:t>
      </w:r>
    </w:p>
    <w:p w14:paraId="330166D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Senge, P.M. (2006).</w:t>
      </w:r>
      <w:r w:rsidRPr="0077298A">
        <w:rPr>
          <w:rStyle w:val="apple-converted-space"/>
          <w:color w:val="000000"/>
        </w:rPr>
        <w:t> </w:t>
      </w:r>
      <w:r w:rsidRPr="0077298A">
        <w:rPr>
          <w:i/>
          <w:iCs/>
          <w:color w:val="000000"/>
        </w:rPr>
        <w:t>The fifth discipline: The art and practice of the learning organization</w:t>
      </w:r>
      <w:r w:rsidRPr="0077298A">
        <w:rPr>
          <w:color w:val="000000"/>
        </w:rPr>
        <w:t>. London: Random House Business.</w:t>
      </w:r>
    </w:p>
    <w:p w14:paraId="57D40C3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Taylor, M.J., McNicholas, C., Nicolay, C., Darzi, A., Bell, D. and Reed, J.E. (2013). Systematic review of the application of the plan–do–study–act method to improve quality in healthcare.</w:t>
      </w:r>
      <w:r w:rsidRPr="0077298A">
        <w:rPr>
          <w:rStyle w:val="apple-converted-space"/>
          <w:color w:val="000000"/>
        </w:rPr>
        <w:t> </w:t>
      </w:r>
      <w:r w:rsidRPr="0077298A">
        <w:rPr>
          <w:i/>
          <w:iCs/>
          <w:color w:val="000000"/>
        </w:rPr>
        <w:t>BMJ Quality &amp; Safety</w:t>
      </w:r>
      <w:r w:rsidRPr="0077298A">
        <w:rPr>
          <w:color w:val="000000"/>
        </w:rPr>
        <w:t>, 23(4), pp.290–298. doi:10.1136/bmjqs-2013-001862.</w:t>
      </w:r>
    </w:p>
    <w:p w14:paraId="7CE4A0D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The Thirlwall Inquiry (2023).</w:t>
      </w:r>
      <w:r w:rsidRPr="0077298A">
        <w:rPr>
          <w:rStyle w:val="apple-converted-space"/>
          <w:color w:val="000000"/>
        </w:rPr>
        <w:t> </w:t>
      </w:r>
      <w:r w:rsidRPr="0077298A">
        <w:rPr>
          <w:i/>
          <w:iCs/>
          <w:color w:val="000000"/>
        </w:rPr>
        <w:t>Terms of reference | The Thirlwall Inquiry</w:t>
      </w:r>
      <w:r w:rsidRPr="0077298A">
        <w:rPr>
          <w:color w:val="000000"/>
        </w:rPr>
        <w:t>. [online] Available at: https://thirlwall.public-inquiry.uk/about/terms-of-reference/ [Accessed 5 Aug. 2026].</w:t>
      </w:r>
    </w:p>
    <w:p w14:paraId="69FA7D2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The Thirlwall Inquiry (2026).</w:t>
      </w:r>
      <w:r w:rsidRPr="0077298A">
        <w:rPr>
          <w:rStyle w:val="apple-converted-space"/>
          <w:color w:val="000000"/>
        </w:rPr>
        <w:t> </w:t>
      </w:r>
      <w:r w:rsidRPr="0077298A">
        <w:rPr>
          <w:i/>
          <w:iCs/>
          <w:color w:val="000000"/>
        </w:rPr>
        <w:t>The Thirlwall Inquiry | Examining the events at the Countess of Chester Hospital and their implications following the trial, and subsequent convictions, of former neonatal nurse Lucy Letby of murder and attempted murder of babies at the hospital.</w:t>
      </w:r>
      <w:r w:rsidRPr="0077298A">
        <w:rPr>
          <w:rStyle w:val="apple-converted-space"/>
          <w:color w:val="000000"/>
        </w:rPr>
        <w:t> </w:t>
      </w:r>
      <w:r w:rsidRPr="0077298A">
        <w:rPr>
          <w:color w:val="000000"/>
        </w:rPr>
        <w:t>[online] Public-inquiry.uk. Available at: https://thirlwall.public-inquiry.uk [Accessed 5 Aug. 2026].</w:t>
      </w:r>
    </w:p>
    <w:p w14:paraId="499FBAA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van Wijngaarden, J.D.H., Scholten, G.R.M. and van Wijk, K.P. (2012). Strategic analysis for health care organizations: The suitability of the SWOT-analysis.</w:t>
      </w:r>
      <w:r w:rsidRPr="0077298A">
        <w:rPr>
          <w:rStyle w:val="apple-converted-space"/>
          <w:color w:val="000000"/>
        </w:rPr>
        <w:t> </w:t>
      </w:r>
      <w:r w:rsidRPr="0077298A">
        <w:rPr>
          <w:i/>
          <w:iCs/>
          <w:color w:val="000000"/>
        </w:rPr>
        <w:t>The International Journal of Health Planning and Management</w:t>
      </w:r>
      <w:r w:rsidRPr="0077298A">
        <w:rPr>
          <w:color w:val="000000"/>
        </w:rPr>
        <w:t xml:space="preserve">, 27(1), pp.34–49. </w:t>
      </w:r>
      <w:proofErr w:type="spellStart"/>
      <w:proofErr w:type="gramStart"/>
      <w:r w:rsidRPr="0077298A">
        <w:rPr>
          <w:color w:val="000000"/>
        </w:rPr>
        <w:t>doi:https</w:t>
      </w:r>
      <w:proofErr w:type="spellEnd"/>
      <w:r w:rsidRPr="0077298A">
        <w:rPr>
          <w:color w:val="000000"/>
        </w:rPr>
        <w:t>://doi.org/10.1002/hpm.1032</w:t>
      </w:r>
      <w:proofErr w:type="gramEnd"/>
      <w:r w:rsidRPr="0077298A">
        <w:rPr>
          <w:color w:val="000000"/>
        </w:rPr>
        <w:t>.</w:t>
      </w:r>
    </w:p>
    <w:p w14:paraId="0FC853B7"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Vincent, C. (2010).</w:t>
      </w:r>
      <w:r w:rsidRPr="0077298A">
        <w:rPr>
          <w:rStyle w:val="apple-converted-space"/>
          <w:color w:val="000000"/>
        </w:rPr>
        <w:t> </w:t>
      </w:r>
      <w:r w:rsidRPr="0077298A">
        <w:rPr>
          <w:i/>
          <w:iCs/>
          <w:color w:val="000000"/>
        </w:rPr>
        <w:t>Patient safety</w:t>
      </w:r>
      <w:r w:rsidRPr="0077298A">
        <w:rPr>
          <w:color w:val="000000"/>
        </w:rPr>
        <w:t xml:space="preserve">. 2nd ed. Chichester, West Sussex, </w:t>
      </w:r>
      <w:proofErr w:type="gramStart"/>
      <w:r w:rsidRPr="0077298A">
        <w:rPr>
          <w:color w:val="000000"/>
        </w:rPr>
        <w:t>Uk ;</w:t>
      </w:r>
      <w:proofErr w:type="gramEnd"/>
      <w:r w:rsidRPr="0077298A">
        <w:rPr>
          <w:color w:val="000000"/>
        </w:rPr>
        <w:t xml:space="preserve"> Hoboken, Nj: Wiley-Blackwell.</w:t>
      </w:r>
    </w:p>
    <w:p w14:paraId="13404C0E"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Wiegmann, D.A., J. Wood, L., N. Cohen, T. and Shappell, S.A. (2022). Understanding the “Swiss cheese model” and its application to patient safety.</w:t>
      </w:r>
      <w:r w:rsidRPr="0077298A">
        <w:rPr>
          <w:rStyle w:val="apple-converted-space"/>
          <w:color w:val="000000"/>
        </w:rPr>
        <w:t> </w:t>
      </w:r>
      <w:r w:rsidRPr="0077298A">
        <w:rPr>
          <w:i/>
          <w:iCs/>
          <w:color w:val="000000"/>
        </w:rPr>
        <w:t>Journal of Patient Safety</w:t>
      </w:r>
      <w:r w:rsidRPr="0077298A">
        <w:rPr>
          <w:color w:val="000000"/>
        </w:rPr>
        <w:t>, [online] 18(2), pp.119–123. Available at: https://www.ncbi.nlm.nih.gov/pmc/articles/PMC8514562/ [Accessed 5 Aug. 2026].</w:t>
      </w:r>
    </w:p>
    <w:p w14:paraId="24B26DE2"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Womack, J.P. and Jones, D.T. (2003).</w:t>
      </w:r>
      <w:r w:rsidRPr="0077298A">
        <w:rPr>
          <w:rStyle w:val="apple-converted-space"/>
          <w:color w:val="000000"/>
        </w:rPr>
        <w:t> </w:t>
      </w:r>
      <w:r w:rsidRPr="0077298A">
        <w:rPr>
          <w:i/>
          <w:iCs/>
          <w:color w:val="000000"/>
        </w:rPr>
        <w:t xml:space="preserve">Lean </w:t>
      </w:r>
      <w:proofErr w:type="gramStart"/>
      <w:r w:rsidRPr="0077298A">
        <w:rPr>
          <w:i/>
          <w:iCs/>
          <w:color w:val="000000"/>
        </w:rPr>
        <w:t>Thinking :</w:t>
      </w:r>
      <w:proofErr w:type="gramEnd"/>
      <w:r w:rsidRPr="0077298A">
        <w:rPr>
          <w:i/>
          <w:iCs/>
          <w:color w:val="000000"/>
        </w:rPr>
        <w:t xml:space="preserve"> Banish Waste and Create Wealth in Your Corporation</w:t>
      </w:r>
      <w:r w:rsidRPr="0077298A">
        <w:rPr>
          <w:color w:val="000000"/>
        </w:rPr>
        <w:t>. London: Simon &amp; Schuster, Limited.</w:t>
      </w:r>
    </w:p>
    <w:p w14:paraId="6C2E44CD" w14:textId="77777777" w:rsidR="0077298A" w:rsidRDefault="0077298A" w:rsidP="0077298A">
      <w:pPr>
        <w:pStyle w:val="NormalWeb"/>
        <w:spacing w:before="0" w:beforeAutospacing="0" w:after="240" w:afterAutospacing="0" w:line="420" w:lineRule="atLeast"/>
        <w:jc w:val="both"/>
        <w:rPr>
          <w:color w:val="000000"/>
          <w:sz w:val="28"/>
          <w:szCs w:val="28"/>
        </w:rPr>
      </w:pPr>
      <w:r w:rsidRPr="0077298A">
        <w:rPr>
          <w:color w:val="000000"/>
        </w:rPr>
        <w:t>World Health Organization (2021).</w:t>
      </w:r>
      <w:r w:rsidRPr="0077298A">
        <w:rPr>
          <w:rStyle w:val="apple-converted-space"/>
          <w:color w:val="000000"/>
        </w:rPr>
        <w:t> </w:t>
      </w:r>
      <w:r w:rsidRPr="0077298A">
        <w:rPr>
          <w:i/>
          <w:iCs/>
          <w:color w:val="000000"/>
        </w:rPr>
        <w:t>Global patient safety action plan 2021-2030</w:t>
      </w:r>
      <w:r w:rsidRPr="0077298A">
        <w:rPr>
          <w:color w:val="000000"/>
        </w:rPr>
        <w:t>. World Health Organization.</w:t>
      </w:r>
    </w:p>
    <w:sectPr w:rsidR="0077298A">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B5E62" w14:textId="77777777" w:rsidR="007C0937" w:rsidRDefault="007C0937">
      <w:r>
        <w:separator/>
      </w:r>
    </w:p>
  </w:endnote>
  <w:endnote w:type="continuationSeparator" w:id="0">
    <w:p w14:paraId="680BA8BA" w14:textId="77777777" w:rsidR="007C0937" w:rsidRDefault="007C0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1D1D8" w14:textId="77777777" w:rsidR="00606D62" w:rsidRDefault="00000000">
    <w:pPr>
      <w:jc w:val="center"/>
    </w:pPr>
    <w:r>
      <w:fldChar w:fldCharType="begin"/>
    </w:r>
    <w:r>
      <w:instrText>PAGE</w:instrText>
    </w:r>
    <w:r>
      <w:fldChar w:fldCharType="separate"/>
    </w:r>
    <w:r w:rsidR="00834C6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4AFCF" w14:textId="77777777" w:rsidR="007C0937" w:rsidRDefault="007C0937">
      <w:r>
        <w:separator/>
      </w:r>
    </w:p>
  </w:footnote>
  <w:footnote w:type="continuationSeparator" w:id="0">
    <w:p w14:paraId="20998EB5" w14:textId="77777777" w:rsidR="007C0937" w:rsidRDefault="007C0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4222A"/>
    <w:multiLevelType w:val="hybridMultilevel"/>
    <w:tmpl w:val="C6A0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834E4"/>
    <w:multiLevelType w:val="hybridMultilevel"/>
    <w:tmpl w:val="BC9AF07E"/>
    <w:lvl w:ilvl="0" w:tplc="B8B81BCE">
      <w:start w:val="1"/>
      <w:numFmt w:val="bullet"/>
      <w:lvlText w:val="•"/>
      <w:lvlJc w:val="left"/>
      <w:pPr>
        <w:tabs>
          <w:tab w:val="num" w:pos="720"/>
        </w:tabs>
        <w:ind w:left="720" w:hanging="360"/>
      </w:pPr>
      <w:rPr>
        <w:rFonts w:ascii="Arial" w:hAnsi="Arial" w:hint="default"/>
      </w:rPr>
    </w:lvl>
    <w:lvl w:ilvl="1" w:tplc="3640A590" w:tentative="1">
      <w:start w:val="1"/>
      <w:numFmt w:val="bullet"/>
      <w:lvlText w:val="•"/>
      <w:lvlJc w:val="left"/>
      <w:pPr>
        <w:tabs>
          <w:tab w:val="num" w:pos="1440"/>
        </w:tabs>
        <w:ind w:left="1440" w:hanging="360"/>
      </w:pPr>
      <w:rPr>
        <w:rFonts w:ascii="Arial" w:hAnsi="Arial" w:hint="default"/>
      </w:rPr>
    </w:lvl>
    <w:lvl w:ilvl="2" w:tplc="FBFA507A" w:tentative="1">
      <w:start w:val="1"/>
      <w:numFmt w:val="bullet"/>
      <w:lvlText w:val="•"/>
      <w:lvlJc w:val="left"/>
      <w:pPr>
        <w:tabs>
          <w:tab w:val="num" w:pos="2160"/>
        </w:tabs>
        <w:ind w:left="2160" w:hanging="360"/>
      </w:pPr>
      <w:rPr>
        <w:rFonts w:ascii="Arial" w:hAnsi="Arial" w:hint="default"/>
      </w:rPr>
    </w:lvl>
    <w:lvl w:ilvl="3" w:tplc="C73AB570" w:tentative="1">
      <w:start w:val="1"/>
      <w:numFmt w:val="bullet"/>
      <w:lvlText w:val="•"/>
      <w:lvlJc w:val="left"/>
      <w:pPr>
        <w:tabs>
          <w:tab w:val="num" w:pos="2880"/>
        </w:tabs>
        <w:ind w:left="2880" w:hanging="360"/>
      </w:pPr>
      <w:rPr>
        <w:rFonts w:ascii="Arial" w:hAnsi="Arial" w:hint="default"/>
      </w:rPr>
    </w:lvl>
    <w:lvl w:ilvl="4" w:tplc="088406EE" w:tentative="1">
      <w:start w:val="1"/>
      <w:numFmt w:val="bullet"/>
      <w:lvlText w:val="•"/>
      <w:lvlJc w:val="left"/>
      <w:pPr>
        <w:tabs>
          <w:tab w:val="num" w:pos="3600"/>
        </w:tabs>
        <w:ind w:left="3600" w:hanging="360"/>
      </w:pPr>
      <w:rPr>
        <w:rFonts w:ascii="Arial" w:hAnsi="Arial" w:hint="default"/>
      </w:rPr>
    </w:lvl>
    <w:lvl w:ilvl="5" w:tplc="281AC426" w:tentative="1">
      <w:start w:val="1"/>
      <w:numFmt w:val="bullet"/>
      <w:lvlText w:val="•"/>
      <w:lvlJc w:val="left"/>
      <w:pPr>
        <w:tabs>
          <w:tab w:val="num" w:pos="4320"/>
        </w:tabs>
        <w:ind w:left="4320" w:hanging="360"/>
      </w:pPr>
      <w:rPr>
        <w:rFonts w:ascii="Arial" w:hAnsi="Arial" w:hint="default"/>
      </w:rPr>
    </w:lvl>
    <w:lvl w:ilvl="6" w:tplc="705876B8" w:tentative="1">
      <w:start w:val="1"/>
      <w:numFmt w:val="bullet"/>
      <w:lvlText w:val="•"/>
      <w:lvlJc w:val="left"/>
      <w:pPr>
        <w:tabs>
          <w:tab w:val="num" w:pos="5040"/>
        </w:tabs>
        <w:ind w:left="5040" w:hanging="360"/>
      </w:pPr>
      <w:rPr>
        <w:rFonts w:ascii="Arial" w:hAnsi="Arial" w:hint="default"/>
      </w:rPr>
    </w:lvl>
    <w:lvl w:ilvl="7" w:tplc="FDBA5E60" w:tentative="1">
      <w:start w:val="1"/>
      <w:numFmt w:val="bullet"/>
      <w:lvlText w:val="•"/>
      <w:lvlJc w:val="left"/>
      <w:pPr>
        <w:tabs>
          <w:tab w:val="num" w:pos="5760"/>
        </w:tabs>
        <w:ind w:left="5760" w:hanging="360"/>
      </w:pPr>
      <w:rPr>
        <w:rFonts w:ascii="Arial" w:hAnsi="Arial" w:hint="default"/>
      </w:rPr>
    </w:lvl>
    <w:lvl w:ilvl="8" w:tplc="13AADB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2E3F12"/>
    <w:multiLevelType w:val="hybridMultilevel"/>
    <w:tmpl w:val="911A2E02"/>
    <w:lvl w:ilvl="0" w:tplc="0A0CF08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B1091"/>
    <w:multiLevelType w:val="hybridMultilevel"/>
    <w:tmpl w:val="88468380"/>
    <w:lvl w:ilvl="0" w:tplc="3718DB60">
      <w:start w:val="1"/>
      <w:numFmt w:val="bullet"/>
      <w:lvlText w:val="•"/>
      <w:lvlJc w:val="left"/>
      <w:pPr>
        <w:tabs>
          <w:tab w:val="num" w:pos="720"/>
        </w:tabs>
        <w:ind w:left="720" w:hanging="360"/>
      </w:pPr>
      <w:rPr>
        <w:rFonts w:ascii="Arial" w:hAnsi="Arial" w:hint="default"/>
      </w:rPr>
    </w:lvl>
    <w:lvl w:ilvl="1" w:tplc="6C242546" w:tentative="1">
      <w:start w:val="1"/>
      <w:numFmt w:val="bullet"/>
      <w:lvlText w:val="•"/>
      <w:lvlJc w:val="left"/>
      <w:pPr>
        <w:tabs>
          <w:tab w:val="num" w:pos="1440"/>
        </w:tabs>
        <w:ind w:left="1440" w:hanging="360"/>
      </w:pPr>
      <w:rPr>
        <w:rFonts w:ascii="Arial" w:hAnsi="Arial" w:hint="default"/>
      </w:rPr>
    </w:lvl>
    <w:lvl w:ilvl="2" w:tplc="44E6A1C0" w:tentative="1">
      <w:start w:val="1"/>
      <w:numFmt w:val="bullet"/>
      <w:lvlText w:val="•"/>
      <w:lvlJc w:val="left"/>
      <w:pPr>
        <w:tabs>
          <w:tab w:val="num" w:pos="2160"/>
        </w:tabs>
        <w:ind w:left="2160" w:hanging="360"/>
      </w:pPr>
      <w:rPr>
        <w:rFonts w:ascii="Arial" w:hAnsi="Arial" w:hint="default"/>
      </w:rPr>
    </w:lvl>
    <w:lvl w:ilvl="3" w:tplc="C55C0970" w:tentative="1">
      <w:start w:val="1"/>
      <w:numFmt w:val="bullet"/>
      <w:lvlText w:val="•"/>
      <w:lvlJc w:val="left"/>
      <w:pPr>
        <w:tabs>
          <w:tab w:val="num" w:pos="2880"/>
        </w:tabs>
        <w:ind w:left="2880" w:hanging="360"/>
      </w:pPr>
      <w:rPr>
        <w:rFonts w:ascii="Arial" w:hAnsi="Arial" w:hint="default"/>
      </w:rPr>
    </w:lvl>
    <w:lvl w:ilvl="4" w:tplc="717C19C4" w:tentative="1">
      <w:start w:val="1"/>
      <w:numFmt w:val="bullet"/>
      <w:lvlText w:val="•"/>
      <w:lvlJc w:val="left"/>
      <w:pPr>
        <w:tabs>
          <w:tab w:val="num" w:pos="3600"/>
        </w:tabs>
        <w:ind w:left="3600" w:hanging="360"/>
      </w:pPr>
      <w:rPr>
        <w:rFonts w:ascii="Arial" w:hAnsi="Arial" w:hint="default"/>
      </w:rPr>
    </w:lvl>
    <w:lvl w:ilvl="5" w:tplc="F080131C" w:tentative="1">
      <w:start w:val="1"/>
      <w:numFmt w:val="bullet"/>
      <w:lvlText w:val="•"/>
      <w:lvlJc w:val="left"/>
      <w:pPr>
        <w:tabs>
          <w:tab w:val="num" w:pos="4320"/>
        </w:tabs>
        <w:ind w:left="4320" w:hanging="360"/>
      </w:pPr>
      <w:rPr>
        <w:rFonts w:ascii="Arial" w:hAnsi="Arial" w:hint="default"/>
      </w:rPr>
    </w:lvl>
    <w:lvl w:ilvl="6" w:tplc="7B500EAE" w:tentative="1">
      <w:start w:val="1"/>
      <w:numFmt w:val="bullet"/>
      <w:lvlText w:val="•"/>
      <w:lvlJc w:val="left"/>
      <w:pPr>
        <w:tabs>
          <w:tab w:val="num" w:pos="5040"/>
        </w:tabs>
        <w:ind w:left="5040" w:hanging="360"/>
      </w:pPr>
      <w:rPr>
        <w:rFonts w:ascii="Arial" w:hAnsi="Arial" w:hint="default"/>
      </w:rPr>
    </w:lvl>
    <w:lvl w:ilvl="7" w:tplc="9328DCDA" w:tentative="1">
      <w:start w:val="1"/>
      <w:numFmt w:val="bullet"/>
      <w:lvlText w:val="•"/>
      <w:lvlJc w:val="left"/>
      <w:pPr>
        <w:tabs>
          <w:tab w:val="num" w:pos="5760"/>
        </w:tabs>
        <w:ind w:left="5760" w:hanging="360"/>
      </w:pPr>
      <w:rPr>
        <w:rFonts w:ascii="Arial" w:hAnsi="Arial" w:hint="default"/>
      </w:rPr>
    </w:lvl>
    <w:lvl w:ilvl="8" w:tplc="4F0032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1421AD"/>
    <w:multiLevelType w:val="hybridMultilevel"/>
    <w:tmpl w:val="1E74A7EC"/>
    <w:lvl w:ilvl="0" w:tplc="8CFABC50">
      <w:start w:val="1"/>
      <w:numFmt w:val="bullet"/>
      <w:lvlText w:val="●"/>
      <w:lvlJc w:val="left"/>
      <w:pPr>
        <w:ind w:left="720" w:hanging="360"/>
      </w:pPr>
    </w:lvl>
    <w:lvl w:ilvl="1" w:tplc="FFC614AE">
      <w:start w:val="1"/>
      <w:numFmt w:val="bullet"/>
      <w:lvlText w:val="○"/>
      <w:lvlJc w:val="left"/>
      <w:pPr>
        <w:ind w:left="1440" w:hanging="360"/>
      </w:pPr>
    </w:lvl>
    <w:lvl w:ilvl="2" w:tplc="ADA41684">
      <w:start w:val="1"/>
      <w:numFmt w:val="bullet"/>
      <w:lvlText w:val="■"/>
      <w:lvlJc w:val="left"/>
      <w:pPr>
        <w:ind w:left="2160" w:hanging="360"/>
      </w:pPr>
    </w:lvl>
    <w:lvl w:ilvl="3" w:tplc="3C608822">
      <w:start w:val="1"/>
      <w:numFmt w:val="bullet"/>
      <w:lvlText w:val="●"/>
      <w:lvlJc w:val="left"/>
      <w:pPr>
        <w:ind w:left="2880" w:hanging="360"/>
      </w:pPr>
    </w:lvl>
    <w:lvl w:ilvl="4" w:tplc="25E2ABBA">
      <w:start w:val="1"/>
      <w:numFmt w:val="bullet"/>
      <w:lvlText w:val="○"/>
      <w:lvlJc w:val="left"/>
      <w:pPr>
        <w:ind w:left="3600" w:hanging="360"/>
      </w:pPr>
    </w:lvl>
    <w:lvl w:ilvl="5" w:tplc="9E26BF9A">
      <w:start w:val="1"/>
      <w:numFmt w:val="bullet"/>
      <w:lvlText w:val="■"/>
      <w:lvlJc w:val="left"/>
      <w:pPr>
        <w:ind w:left="4320" w:hanging="360"/>
      </w:pPr>
    </w:lvl>
    <w:lvl w:ilvl="6" w:tplc="2B0CB424">
      <w:start w:val="1"/>
      <w:numFmt w:val="bullet"/>
      <w:lvlText w:val="●"/>
      <w:lvlJc w:val="left"/>
      <w:pPr>
        <w:ind w:left="5040" w:hanging="360"/>
      </w:pPr>
    </w:lvl>
    <w:lvl w:ilvl="7" w:tplc="65FCFCC2">
      <w:start w:val="1"/>
      <w:numFmt w:val="bullet"/>
      <w:lvlText w:val="●"/>
      <w:lvlJc w:val="left"/>
      <w:pPr>
        <w:ind w:left="5760" w:hanging="360"/>
      </w:pPr>
    </w:lvl>
    <w:lvl w:ilvl="8" w:tplc="2C4A86A8">
      <w:start w:val="1"/>
      <w:numFmt w:val="bullet"/>
      <w:lvlText w:val="●"/>
      <w:lvlJc w:val="left"/>
      <w:pPr>
        <w:ind w:left="6480" w:hanging="360"/>
      </w:pPr>
    </w:lvl>
  </w:abstractNum>
  <w:abstractNum w:abstractNumId="5" w15:restartNumberingAfterBreak="0">
    <w:nsid w:val="2FC84CA2"/>
    <w:multiLevelType w:val="hybridMultilevel"/>
    <w:tmpl w:val="758283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F86E0B"/>
    <w:multiLevelType w:val="hybridMultilevel"/>
    <w:tmpl w:val="EDB6EBEC"/>
    <w:lvl w:ilvl="0" w:tplc="0A0CF082">
      <w:start w:val="1"/>
      <w:numFmt w:val="bullet"/>
      <w:lvlText w:val="•"/>
      <w:lvlJc w:val="left"/>
      <w:pPr>
        <w:tabs>
          <w:tab w:val="num" w:pos="720"/>
        </w:tabs>
        <w:ind w:left="720" w:hanging="360"/>
      </w:pPr>
      <w:rPr>
        <w:rFonts w:ascii="Arial" w:hAnsi="Arial" w:hint="default"/>
      </w:rPr>
    </w:lvl>
    <w:lvl w:ilvl="1" w:tplc="56EE3BA2" w:tentative="1">
      <w:start w:val="1"/>
      <w:numFmt w:val="bullet"/>
      <w:lvlText w:val="•"/>
      <w:lvlJc w:val="left"/>
      <w:pPr>
        <w:tabs>
          <w:tab w:val="num" w:pos="1440"/>
        </w:tabs>
        <w:ind w:left="1440" w:hanging="360"/>
      </w:pPr>
      <w:rPr>
        <w:rFonts w:ascii="Arial" w:hAnsi="Arial" w:hint="default"/>
      </w:rPr>
    </w:lvl>
    <w:lvl w:ilvl="2" w:tplc="0CAA2E42" w:tentative="1">
      <w:start w:val="1"/>
      <w:numFmt w:val="bullet"/>
      <w:lvlText w:val="•"/>
      <w:lvlJc w:val="left"/>
      <w:pPr>
        <w:tabs>
          <w:tab w:val="num" w:pos="2160"/>
        </w:tabs>
        <w:ind w:left="2160" w:hanging="360"/>
      </w:pPr>
      <w:rPr>
        <w:rFonts w:ascii="Arial" w:hAnsi="Arial" w:hint="default"/>
      </w:rPr>
    </w:lvl>
    <w:lvl w:ilvl="3" w:tplc="0770B4C0" w:tentative="1">
      <w:start w:val="1"/>
      <w:numFmt w:val="bullet"/>
      <w:lvlText w:val="•"/>
      <w:lvlJc w:val="left"/>
      <w:pPr>
        <w:tabs>
          <w:tab w:val="num" w:pos="2880"/>
        </w:tabs>
        <w:ind w:left="2880" w:hanging="360"/>
      </w:pPr>
      <w:rPr>
        <w:rFonts w:ascii="Arial" w:hAnsi="Arial" w:hint="default"/>
      </w:rPr>
    </w:lvl>
    <w:lvl w:ilvl="4" w:tplc="DC040DC0" w:tentative="1">
      <w:start w:val="1"/>
      <w:numFmt w:val="bullet"/>
      <w:lvlText w:val="•"/>
      <w:lvlJc w:val="left"/>
      <w:pPr>
        <w:tabs>
          <w:tab w:val="num" w:pos="3600"/>
        </w:tabs>
        <w:ind w:left="3600" w:hanging="360"/>
      </w:pPr>
      <w:rPr>
        <w:rFonts w:ascii="Arial" w:hAnsi="Arial" w:hint="default"/>
      </w:rPr>
    </w:lvl>
    <w:lvl w:ilvl="5" w:tplc="E6586B36" w:tentative="1">
      <w:start w:val="1"/>
      <w:numFmt w:val="bullet"/>
      <w:lvlText w:val="•"/>
      <w:lvlJc w:val="left"/>
      <w:pPr>
        <w:tabs>
          <w:tab w:val="num" w:pos="4320"/>
        </w:tabs>
        <w:ind w:left="4320" w:hanging="360"/>
      </w:pPr>
      <w:rPr>
        <w:rFonts w:ascii="Arial" w:hAnsi="Arial" w:hint="default"/>
      </w:rPr>
    </w:lvl>
    <w:lvl w:ilvl="6" w:tplc="53427630" w:tentative="1">
      <w:start w:val="1"/>
      <w:numFmt w:val="bullet"/>
      <w:lvlText w:val="•"/>
      <w:lvlJc w:val="left"/>
      <w:pPr>
        <w:tabs>
          <w:tab w:val="num" w:pos="5040"/>
        </w:tabs>
        <w:ind w:left="5040" w:hanging="360"/>
      </w:pPr>
      <w:rPr>
        <w:rFonts w:ascii="Arial" w:hAnsi="Arial" w:hint="default"/>
      </w:rPr>
    </w:lvl>
    <w:lvl w:ilvl="7" w:tplc="72468A1A" w:tentative="1">
      <w:start w:val="1"/>
      <w:numFmt w:val="bullet"/>
      <w:lvlText w:val="•"/>
      <w:lvlJc w:val="left"/>
      <w:pPr>
        <w:tabs>
          <w:tab w:val="num" w:pos="5760"/>
        </w:tabs>
        <w:ind w:left="5760" w:hanging="360"/>
      </w:pPr>
      <w:rPr>
        <w:rFonts w:ascii="Arial" w:hAnsi="Arial" w:hint="default"/>
      </w:rPr>
    </w:lvl>
    <w:lvl w:ilvl="8" w:tplc="A6BE47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CC72B9"/>
    <w:multiLevelType w:val="hybridMultilevel"/>
    <w:tmpl w:val="EE84E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965B1"/>
    <w:multiLevelType w:val="hybridMultilevel"/>
    <w:tmpl w:val="1F4C1B40"/>
    <w:lvl w:ilvl="0" w:tplc="C3AACAD2">
      <w:start w:val="1"/>
      <w:numFmt w:val="bullet"/>
      <w:lvlText w:val="•"/>
      <w:lvlJc w:val="left"/>
      <w:pPr>
        <w:tabs>
          <w:tab w:val="num" w:pos="720"/>
        </w:tabs>
        <w:ind w:left="720" w:hanging="360"/>
      </w:pPr>
      <w:rPr>
        <w:rFonts w:ascii="Arial" w:hAnsi="Arial" w:hint="default"/>
      </w:rPr>
    </w:lvl>
    <w:lvl w:ilvl="1" w:tplc="7054A49C" w:tentative="1">
      <w:start w:val="1"/>
      <w:numFmt w:val="bullet"/>
      <w:lvlText w:val="•"/>
      <w:lvlJc w:val="left"/>
      <w:pPr>
        <w:tabs>
          <w:tab w:val="num" w:pos="1440"/>
        </w:tabs>
        <w:ind w:left="1440" w:hanging="360"/>
      </w:pPr>
      <w:rPr>
        <w:rFonts w:ascii="Arial" w:hAnsi="Arial" w:hint="default"/>
      </w:rPr>
    </w:lvl>
    <w:lvl w:ilvl="2" w:tplc="A6B84D00" w:tentative="1">
      <w:start w:val="1"/>
      <w:numFmt w:val="bullet"/>
      <w:lvlText w:val="•"/>
      <w:lvlJc w:val="left"/>
      <w:pPr>
        <w:tabs>
          <w:tab w:val="num" w:pos="2160"/>
        </w:tabs>
        <w:ind w:left="2160" w:hanging="360"/>
      </w:pPr>
      <w:rPr>
        <w:rFonts w:ascii="Arial" w:hAnsi="Arial" w:hint="default"/>
      </w:rPr>
    </w:lvl>
    <w:lvl w:ilvl="3" w:tplc="4A6C8784" w:tentative="1">
      <w:start w:val="1"/>
      <w:numFmt w:val="bullet"/>
      <w:lvlText w:val="•"/>
      <w:lvlJc w:val="left"/>
      <w:pPr>
        <w:tabs>
          <w:tab w:val="num" w:pos="2880"/>
        </w:tabs>
        <w:ind w:left="2880" w:hanging="360"/>
      </w:pPr>
      <w:rPr>
        <w:rFonts w:ascii="Arial" w:hAnsi="Arial" w:hint="default"/>
      </w:rPr>
    </w:lvl>
    <w:lvl w:ilvl="4" w:tplc="54E2C6A6" w:tentative="1">
      <w:start w:val="1"/>
      <w:numFmt w:val="bullet"/>
      <w:lvlText w:val="•"/>
      <w:lvlJc w:val="left"/>
      <w:pPr>
        <w:tabs>
          <w:tab w:val="num" w:pos="3600"/>
        </w:tabs>
        <w:ind w:left="3600" w:hanging="360"/>
      </w:pPr>
      <w:rPr>
        <w:rFonts w:ascii="Arial" w:hAnsi="Arial" w:hint="default"/>
      </w:rPr>
    </w:lvl>
    <w:lvl w:ilvl="5" w:tplc="724C31A2" w:tentative="1">
      <w:start w:val="1"/>
      <w:numFmt w:val="bullet"/>
      <w:lvlText w:val="•"/>
      <w:lvlJc w:val="left"/>
      <w:pPr>
        <w:tabs>
          <w:tab w:val="num" w:pos="4320"/>
        </w:tabs>
        <w:ind w:left="4320" w:hanging="360"/>
      </w:pPr>
      <w:rPr>
        <w:rFonts w:ascii="Arial" w:hAnsi="Arial" w:hint="default"/>
      </w:rPr>
    </w:lvl>
    <w:lvl w:ilvl="6" w:tplc="8B84C8CE" w:tentative="1">
      <w:start w:val="1"/>
      <w:numFmt w:val="bullet"/>
      <w:lvlText w:val="•"/>
      <w:lvlJc w:val="left"/>
      <w:pPr>
        <w:tabs>
          <w:tab w:val="num" w:pos="5040"/>
        </w:tabs>
        <w:ind w:left="5040" w:hanging="360"/>
      </w:pPr>
      <w:rPr>
        <w:rFonts w:ascii="Arial" w:hAnsi="Arial" w:hint="default"/>
      </w:rPr>
    </w:lvl>
    <w:lvl w:ilvl="7" w:tplc="1B62C6EE" w:tentative="1">
      <w:start w:val="1"/>
      <w:numFmt w:val="bullet"/>
      <w:lvlText w:val="•"/>
      <w:lvlJc w:val="left"/>
      <w:pPr>
        <w:tabs>
          <w:tab w:val="num" w:pos="5760"/>
        </w:tabs>
        <w:ind w:left="5760" w:hanging="360"/>
      </w:pPr>
      <w:rPr>
        <w:rFonts w:ascii="Arial" w:hAnsi="Arial" w:hint="default"/>
      </w:rPr>
    </w:lvl>
    <w:lvl w:ilvl="8" w:tplc="3006ACC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203B27"/>
    <w:multiLevelType w:val="hybridMultilevel"/>
    <w:tmpl w:val="07909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9511FE"/>
    <w:multiLevelType w:val="hybridMultilevel"/>
    <w:tmpl w:val="E1E4A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FB450F"/>
    <w:multiLevelType w:val="hybridMultilevel"/>
    <w:tmpl w:val="0CB26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A01619"/>
    <w:multiLevelType w:val="hybridMultilevel"/>
    <w:tmpl w:val="CB52A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2E5417"/>
    <w:multiLevelType w:val="hybridMultilevel"/>
    <w:tmpl w:val="A6B4F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F47F2C"/>
    <w:multiLevelType w:val="hybridMultilevel"/>
    <w:tmpl w:val="0E563514"/>
    <w:lvl w:ilvl="0" w:tplc="0A0CF08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536075">
    <w:abstractNumId w:val="4"/>
    <w:lvlOverride w:ilvl="0">
      <w:startOverride w:val="1"/>
    </w:lvlOverride>
  </w:num>
  <w:num w:numId="2" w16cid:durableId="1021514190">
    <w:abstractNumId w:val="1"/>
  </w:num>
  <w:num w:numId="3" w16cid:durableId="1585725870">
    <w:abstractNumId w:val="3"/>
  </w:num>
  <w:num w:numId="4" w16cid:durableId="1948656771">
    <w:abstractNumId w:val="8"/>
  </w:num>
  <w:num w:numId="5" w16cid:durableId="1282347326">
    <w:abstractNumId w:val="5"/>
  </w:num>
  <w:num w:numId="6" w16cid:durableId="1344867755">
    <w:abstractNumId w:val="6"/>
  </w:num>
  <w:num w:numId="7" w16cid:durableId="1775397688">
    <w:abstractNumId w:val="14"/>
  </w:num>
  <w:num w:numId="8" w16cid:durableId="238835694">
    <w:abstractNumId w:val="2"/>
  </w:num>
  <w:num w:numId="9" w16cid:durableId="239684332">
    <w:abstractNumId w:val="0"/>
  </w:num>
  <w:num w:numId="10" w16cid:durableId="112021338">
    <w:abstractNumId w:val="13"/>
  </w:num>
  <w:num w:numId="11" w16cid:durableId="480465660">
    <w:abstractNumId w:val="10"/>
  </w:num>
  <w:num w:numId="12" w16cid:durableId="1922719949">
    <w:abstractNumId w:val="11"/>
  </w:num>
  <w:num w:numId="13" w16cid:durableId="1618753093">
    <w:abstractNumId w:val="9"/>
  </w:num>
  <w:num w:numId="14" w16cid:durableId="252276187">
    <w:abstractNumId w:val="7"/>
  </w:num>
  <w:num w:numId="15" w16cid:durableId="8445883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D62"/>
    <w:rsid w:val="00085F42"/>
    <w:rsid w:val="002376EA"/>
    <w:rsid w:val="00354D1C"/>
    <w:rsid w:val="003C182F"/>
    <w:rsid w:val="003F660B"/>
    <w:rsid w:val="004E715A"/>
    <w:rsid w:val="00580AF4"/>
    <w:rsid w:val="00606D62"/>
    <w:rsid w:val="006D3845"/>
    <w:rsid w:val="006D6CBA"/>
    <w:rsid w:val="006F7345"/>
    <w:rsid w:val="00726871"/>
    <w:rsid w:val="0077298A"/>
    <w:rsid w:val="00792D2A"/>
    <w:rsid w:val="007C0937"/>
    <w:rsid w:val="007E3C2A"/>
    <w:rsid w:val="00834C69"/>
    <w:rsid w:val="008830EB"/>
    <w:rsid w:val="008C009B"/>
    <w:rsid w:val="0092424C"/>
    <w:rsid w:val="009502A3"/>
    <w:rsid w:val="009B41CD"/>
    <w:rsid w:val="009C5535"/>
    <w:rsid w:val="00A73E36"/>
    <w:rsid w:val="00AA115C"/>
    <w:rsid w:val="00AF1F17"/>
    <w:rsid w:val="00B07A8B"/>
    <w:rsid w:val="00B217CF"/>
    <w:rsid w:val="00B659FF"/>
    <w:rsid w:val="00B77B8B"/>
    <w:rsid w:val="00D22C60"/>
    <w:rsid w:val="00D44479"/>
    <w:rsid w:val="00D716E2"/>
    <w:rsid w:val="00F2021F"/>
    <w:rsid w:val="00F51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B04B8"/>
  <w15:docId w15:val="{B46B6FC5-7AA9-CA4A-BE91-8CE286BD2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77298A"/>
    <w:pPr>
      <w:spacing w:before="100" w:beforeAutospacing="1" w:after="100" w:afterAutospacing="1"/>
    </w:pPr>
    <w:rPr>
      <w:sz w:val="24"/>
      <w:szCs w:val="24"/>
    </w:rPr>
  </w:style>
  <w:style w:type="character" w:customStyle="1" w:styleId="apple-converted-space">
    <w:name w:val="apple-converted-space"/>
    <w:basedOn w:val="DefaultParagraphFont"/>
    <w:rsid w:val="00772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19</Pages>
  <Words>4939</Words>
  <Characters>28154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Amit Tiwari (2526931)</cp:lastModifiedBy>
  <cp:revision>2</cp:revision>
  <dcterms:created xsi:type="dcterms:W3CDTF">2026-08-13T22:01:00Z</dcterms:created>
  <dcterms:modified xsi:type="dcterms:W3CDTF">2026-08-13T22:01:00Z</dcterms:modified>
</cp:coreProperties>
</file>