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6E97A" w14:textId="77777777" w:rsidR="00127055" w:rsidRDefault="00127055" w:rsidP="00127055">
      <w:pPr>
        <w:jc w:val="center"/>
        <w:rPr>
          <w:b/>
          <w:bCs/>
          <w:sz w:val="48"/>
          <w:szCs w:val="48"/>
        </w:rPr>
      </w:pPr>
    </w:p>
    <w:p w14:paraId="74C9B3D0" w14:textId="77777777" w:rsidR="00127055" w:rsidRDefault="00127055" w:rsidP="00127055">
      <w:pPr>
        <w:jc w:val="center"/>
        <w:rPr>
          <w:b/>
          <w:bCs/>
          <w:sz w:val="48"/>
          <w:szCs w:val="48"/>
        </w:rPr>
      </w:pPr>
    </w:p>
    <w:p w14:paraId="2D848456" w14:textId="77777777" w:rsidR="00127055" w:rsidRDefault="00127055" w:rsidP="00127055">
      <w:pPr>
        <w:jc w:val="center"/>
        <w:rPr>
          <w:b/>
          <w:bCs/>
          <w:sz w:val="48"/>
          <w:szCs w:val="48"/>
        </w:rPr>
      </w:pPr>
    </w:p>
    <w:p w14:paraId="515C624E" w14:textId="77777777" w:rsidR="00127055" w:rsidRDefault="00127055" w:rsidP="00127055">
      <w:pPr>
        <w:jc w:val="center"/>
        <w:rPr>
          <w:b/>
          <w:bCs/>
          <w:sz w:val="48"/>
          <w:szCs w:val="48"/>
        </w:rPr>
      </w:pPr>
    </w:p>
    <w:p w14:paraId="4AD869F8" w14:textId="77777777" w:rsidR="00127055" w:rsidRDefault="00127055" w:rsidP="00127055">
      <w:pPr>
        <w:jc w:val="center"/>
        <w:rPr>
          <w:b/>
          <w:bCs/>
          <w:sz w:val="48"/>
          <w:szCs w:val="48"/>
        </w:rPr>
      </w:pPr>
    </w:p>
    <w:p w14:paraId="7EE869E8" w14:textId="48AD3F9D" w:rsidR="00127055" w:rsidRDefault="00127055" w:rsidP="00127055">
      <w:pPr>
        <w:jc w:val="center"/>
        <w:rPr>
          <w:b/>
          <w:bCs/>
          <w:sz w:val="48"/>
          <w:szCs w:val="48"/>
        </w:rPr>
      </w:pPr>
      <w:r w:rsidRPr="00127055">
        <w:rPr>
          <w:b/>
          <w:bCs/>
          <w:sz w:val="48"/>
          <w:szCs w:val="48"/>
        </w:rPr>
        <w:t>ACCOUNTING FUNDAMENTALS</w:t>
      </w:r>
    </w:p>
    <w:p w14:paraId="755E1C5B" w14:textId="271F9A97" w:rsidR="004B4D45" w:rsidRDefault="004B4D45" w:rsidP="004B4D45">
      <w:r>
        <w:t>Name:</w:t>
      </w:r>
      <w:r w:rsidR="00D023C0">
        <w:t xml:space="preserve"> Andrei Nalivaico </w:t>
      </w:r>
    </w:p>
    <w:p w14:paraId="136660CF" w14:textId="4F0FDB7B" w:rsidR="004B4D45" w:rsidRDefault="004B4D45" w:rsidP="004B4D45">
      <w:r>
        <w:t>Student ID:</w:t>
      </w:r>
      <w:r w:rsidR="00D023C0">
        <w:t xml:space="preserve"> 2021614</w:t>
      </w:r>
    </w:p>
    <w:p w14:paraId="396E38B6" w14:textId="11D5E0C0" w:rsidR="00127055" w:rsidRDefault="004B4D45" w:rsidP="004B4D45">
      <w:r>
        <w:t>Date &amp; Time:</w:t>
      </w:r>
      <w:r w:rsidR="00D023C0">
        <w:t xml:space="preserve"> 27/08/2021     10:01AM – 11:</w:t>
      </w:r>
      <w:r w:rsidR="000B4AD1">
        <w:t>4</w:t>
      </w:r>
      <w:r w:rsidR="00D023C0">
        <w:t>8AM</w:t>
      </w:r>
      <w:r w:rsidR="00127055">
        <w:br w:type="page"/>
      </w:r>
    </w:p>
    <w:sdt>
      <w:sdtPr>
        <w:rPr>
          <w:rFonts w:ascii="Times New Roman" w:eastAsiaTheme="minorHAnsi" w:hAnsi="Times New Roman" w:cstheme="minorBidi"/>
          <w:color w:val="auto"/>
          <w:sz w:val="24"/>
          <w:szCs w:val="22"/>
          <w:lang w:val="en-GB"/>
        </w:rPr>
        <w:id w:val="1016498805"/>
        <w:docPartObj>
          <w:docPartGallery w:val="Table of Contents"/>
          <w:docPartUnique/>
        </w:docPartObj>
      </w:sdtPr>
      <w:sdtEndPr>
        <w:rPr>
          <w:b/>
          <w:bCs/>
          <w:noProof/>
        </w:rPr>
      </w:sdtEndPr>
      <w:sdtContent>
        <w:p w14:paraId="59E56325" w14:textId="76225606" w:rsidR="00E93063" w:rsidRDefault="00E93063">
          <w:pPr>
            <w:pStyle w:val="TOCHeading"/>
          </w:pPr>
          <w:r>
            <w:t>Table of Contents</w:t>
          </w:r>
        </w:p>
        <w:p w14:paraId="67B623C0" w14:textId="19669F7D" w:rsidR="00E93063" w:rsidRDefault="00E93063">
          <w:pPr>
            <w:pStyle w:val="TOC1"/>
            <w:tabs>
              <w:tab w:val="right" w:leader="dot" w:pos="9016"/>
            </w:tabs>
            <w:rPr>
              <w:noProof/>
            </w:rPr>
          </w:pPr>
          <w:r>
            <w:fldChar w:fldCharType="begin"/>
          </w:r>
          <w:r>
            <w:instrText xml:space="preserve"> TOC \o "1-3" \h \z \u </w:instrText>
          </w:r>
          <w:r>
            <w:fldChar w:fldCharType="separate"/>
          </w:r>
          <w:hyperlink w:anchor="_Toc80969773" w:history="1">
            <w:r w:rsidRPr="001E6B89">
              <w:rPr>
                <w:rStyle w:val="Hyperlink"/>
                <w:noProof/>
              </w:rPr>
              <w:t>Question-1</w:t>
            </w:r>
            <w:r>
              <w:rPr>
                <w:noProof/>
                <w:webHidden/>
              </w:rPr>
              <w:tab/>
            </w:r>
            <w:r>
              <w:rPr>
                <w:noProof/>
                <w:webHidden/>
              </w:rPr>
              <w:fldChar w:fldCharType="begin"/>
            </w:r>
            <w:r>
              <w:rPr>
                <w:noProof/>
                <w:webHidden/>
              </w:rPr>
              <w:instrText xml:space="preserve"> PAGEREF _Toc80969773 \h </w:instrText>
            </w:r>
            <w:r>
              <w:rPr>
                <w:noProof/>
                <w:webHidden/>
              </w:rPr>
            </w:r>
            <w:r>
              <w:rPr>
                <w:noProof/>
                <w:webHidden/>
              </w:rPr>
              <w:fldChar w:fldCharType="separate"/>
            </w:r>
            <w:r>
              <w:rPr>
                <w:noProof/>
                <w:webHidden/>
              </w:rPr>
              <w:t>3</w:t>
            </w:r>
            <w:r>
              <w:rPr>
                <w:noProof/>
                <w:webHidden/>
              </w:rPr>
              <w:fldChar w:fldCharType="end"/>
            </w:r>
          </w:hyperlink>
        </w:p>
        <w:p w14:paraId="51865910" w14:textId="6A219735" w:rsidR="00E93063" w:rsidRDefault="000B4AD1">
          <w:pPr>
            <w:pStyle w:val="TOC2"/>
            <w:tabs>
              <w:tab w:val="right" w:leader="dot" w:pos="9016"/>
            </w:tabs>
            <w:rPr>
              <w:noProof/>
            </w:rPr>
          </w:pPr>
          <w:hyperlink w:anchor="_Toc80969774" w:history="1">
            <w:r w:rsidR="00E93063" w:rsidRPr="001E6B89">
              <w:rPr>
                <w:rStyle w:val="Hyperlink"/>
                <w:noProof/>
              </w:rPr>
              <w:t>(a) Calculation of Break-even Point (in Units and Revenues)</w:t>
            </w:r>
            <w:r w:rsidR="00E93063">
              <w:rPr>
                <w:noProof/>
                <w:webHidden/>
              </w:rPr>
              <w:tab/>
            </w:r>
            <w:r w:rsidR="00E93063">
              <w:rPr>
                <w:noProof/>
                <w:webHidden/>
              </w:rPr>
              <w:fldChar w:fldCharType="begin"/>
            </w:r>
            <w:r w:rsidR="00E93063">
              <w:rPr>
                <w:noProof/>
                <w:webHidden/>
              </w:rPr>
              <w:instrText xml:space="preserve"> PAGEREF _Toc80969774 \h </w:instrText>
            </w:r>
            <w:r w:rsidR="00E93063">
              <w:rPr>
                <w:noProof/>
                <w:webHidden/>
              </w:rPr>
            </w:r>
            <w:r w:rsidR="00E93063">
              <w:rPr>
                <w:noProof/>
                <w:webHidden/>
              </w:rPr>
              <w:fldChar w:fldCharType="separate"/>
            </w:r>
            <w:r w:rsidR="00E93063">
              <w:rPr>
                <w:noProof/>
                <w:webHidden/>
              </w:rPr>
              <w:t>3</w:t>
            </w:r>
            <w:r w:rsidR="00E93063">
              <w:rPr>
                <w:noProof/>
                <w:webHidden/>
              </w:rPr>
              <w:fldChar w:fldCharType="end"/>
            </w:r>
          </w:hyperlink>
        </w:p>
        <w:p w14:paraId="2A138C43" w14:textId="7476888F" w:rsidR="00E93063" w:rsidRDefault="000B4AD1">
          <w:pPr>
            <w:pStyle w:val="TOC2"/>
            <w:tabs>
              <w:tab w:val="right" w:leader="dot" w:pos="9016"/>
            </w:tabs>
            <w:rPr>
              <w:noProof/>
            </w:rPr>
          </w:pPr>
          <w:hyperlink w:anchor="_Toc80969775" w:history="1">
            <w:r w:rsidR="00E93063" w:rsidRPr="001E6B89">
              <w:rPr>
                <w:rStyle w:val="Hyperlink"/>
                <w:noProof/>
              </w:rPr>
              <w:t>(b) Calculation of Profits for 75,000 sold units</w:t>
            </w:r>
            <w:r w:rsidR="00E93063">
              <w:rPr>
                <w:noProof/>
                <w:webHidden/>
              </w:rPr>
              <w:tab/>
            </w:r>
            <w:r w:rsidR="00E93063">
              <w:rPr>
                <w:noProof/>
                <w:webHidden/>
              </w:rPr>
              <w:fldChar w:fldCharType="begin"/>
            </w:r>
            <w:r w:rsidR="00E93063">
              <w:rPr>
                <w:noProof/>
                <w:webHidden/>
              </w:rPr>
              <w:instrText xml:space="preserve"> PAGEREF _Toc80969775 \h </w:instrText>
            </w:r>
            <w:r w:rsidR="00E93063">
              <w:rPr>
                <w:noProof/>
                <w:webHidden/>
              </w:rPr>
            </w:r>
            <w:r w:rsidR="00E93063">
              <w:rPr>
                <w:noProof/>
                <w:webHidden/>
              </w:rPr>
              <w:fldChar w:fldCharType="separate"/>
            </w:r>
            <w:r w:rsidR="00E93063">
              <w:rPr>
                <w:noProof/>
                <w:webHidden/>
              </w:rPr>
              <w:t>3</w:t>
            </w:r>
            <w:r w:rsidR="00E93063">
              <w:rPr>
                <w:noProof/>
                <w:webHidden/>
              </w:rPr>
              <w:fldChar w:fldCharType="end"/>
            </w:r>
          </w:hyperlink>
        </w:p>
        <w:p w14:paraId="4AF8AAD3" w14:textId="627902C8" w:rsidR="00E93063" w:rsidRDefault="000B4AD1">
          <w:pPr>
            <w:pStyle w:val="TOC2"/>
            <w:tabs>
              <w:tab w:val="right" w:leader="dot" w:pos="9016"/>
            </w:tabs>
            <w:rPr>
              <w:noProof/>
            </w:rPr>
          </w:pPr>
          <w:hyperlink w:anchor="_Toc80969776" w:history="1">
            <w:r w:rsidR="00E93063" w:rsidRPr="001E6B89">
              <w:rPr>
                <w:rStyle w:val="Hyperlink"/>
                <w:noProof/>
              </w:rPr>
              <w:t>(c) Calculation of New Profit figure for improved product</w:t>
            </w:r>
            <w:r w:rsidR="00E93063">
              <w:rPr>
                <w:noProof/>
                <w:webHidden/>
              </w:rPr>
              <w:tab/>
            </w:r>
            <w:r w:rsidR="00E93063">
              <w:rPr>
                <w:noProof/>
                <w:webHidden/>
              </w:rPr>
              <w:fldChar w:fldCharType="begin"/>
            </w:r>
            <w:r w:rsidR="00E93063">
              <w:rPr>
                <w:noProof/>
                <w:webHidden/>
              </w:rPr>
              <w:instrText xml:space="preserve"> PAGEREF _Toc80969776 \h </w:instrText>
            </w:r>
            <w:r w:rsidR="00E93063">
              <w:rPr>
                <w:noProof/>
                <w:webHidden/>
              </w:rPr>
            </w:r>
            <w:r w:rsidR="00E93063">
              <w:rPr>
                <w:noProof/>
                <w:webHidden/>
              </w:rPr>
              <w:fldChar w:fldCharType="separate"/>
            </w:r>
            <w:r w:rsidR="00E93063">
              <w:rPr>
                <w:noProof/>
                <w:webHidden/>
              </w:rPr>
              <w:t>4</w:t>
            </w:r>
            <w:r w:rsidR="00E93063">
              <w:rPr>
                <w:noProof/>
                <w:webHidden/>
              </w:rPr>
              <w:fldChar w:fldCharType="end"/>
            </w:r>
          </w:hyperlink>
        </w:p>
        <w:p w14:paraId="40BE3B3E" w14:textId="686DCEA1" w:rsidR="00E93063" w:rsidRDefault="000B4AD1">
          <w:pPr>
            <w:pStyle w:val="TOC2"/>
            <w:tabs>
              <w:tab w:val="right" w:leader="dot" w:pos="9016"/>
            </w:tabs>
            <w:rPr>
              <w:noProof/>
            </w:rPr>
          </w:pPr>
          <w:hyperlink w:anchor="_Toc80969777" w:history="1">
            <w:r w:rsidR="00E93063" w:rsidRPr="001E6B89">
              <w:rPr>
                <w:rStyle w:val="Hyperlink"/>
                <w:noProof/>
              </w:rPr>
              <w:t>(d) Limitations identified for Break-even Analysis</w:t>
            </w:r>
            <w:r w:rsidR="00E93063">
              <w:rPr>
                <w:noProof/>
                <w:webHidden/>
              </w:rPr>
              <w:tab/>
            </w:r>
            <w:r w:rsidR="00E93063">
              <w:rPr>
                <w:noProof/>
                <w:webHidden/>
              </w:rPr>
              <w:fldChar w:fldCharType="begin"/>
            </w:r>
            <w:r w:rsidR="00E93063">
              <w:rPr>
                <w:noProof/>
                <w:webHidden/>
              </w:rPr>
              <w:instrText xml:space="preserve"> PAGEREF _Toc80969777 \h </w:instrText>
            </w:r>
            <w:r w:rsidR="00E93063">
              <w:rPr>
                <w:noProof/>
                <w:webHidden/>
              </w:rPr>
            </w:r>
            <w:r w:rsidR="00E93063">
              <w:rPr>
                <w:noProof/>
                <w:webHidden/>
              </w:rPr>
              <w:fldChar w:fldCharType="separate"/>
            </w:r>
            <w:r w:rsidR="00E93063">
              <w:rPr>
                <w:noProof/>
                <w:webHidden/>
              </w:rPr>
              <w:t>4</w:t>
            </w:r>
            <w:r w:rsidR="00E93063">
              <w:rPr>
                <w:noProof/>
                <w:webHidden/>
              </w:rPr>
              <w:fldChar w:fldCharType="end"/>
            </w:r>
          </w:hyperlink>
        </w:p>
        <w:p w14:paraId="5CF38427" w14:textId="4980105A" w:rsidR="00E93063" w:rsidRDefault="000B4AD1">
          <w:pPr>
            <w:pStyle w:val="TOC1"/>
            <w:tabs>
              <w:tab w:val="right" w:leader="dot" w:pos="9016"/>
            </w:tabs>
            <w:rPr>
              <w:noProof/>
            </w:rPr>
          </w:pPr>
          <w:hyperlink w:anchor="_Toc80969778" w:history="1">
            <w:r w:rsidR="00E93063" w:rsidRPr="001E6B89">
              <w:rPr>
                <w:rStyle w:val="Hyperlink"/>
                <w:noProof/>
              </w:rPr>
              <w:t>Question-2</w:t>
            </w:r>
            <w:r w:rsidR="00E93063">
              <w:rPr>
                <w:noProof/>
                <w:webHidden/>
              </w:rPr>
              <w:tab/>
            </w:r>
            <w:r w:rsidR="00E93063">
              <w:rPr>
                <w:noProof/>
                <w:webHidden/>
              </w:rPr>
              <w:fldChar w:fldCharType="begin"/>
            </w:r>
            <w:r w:rsidR="00E93063">
              <w:rPr>
                <w:noProof/>
                <w:webHidden/>
              </w:rPr>
              <w:instrText xml:space="preserve"> PAGEREF _Toc80969778 \h </w:instrText>
            </w:r>
            <w:r w:rsidR="00E93063">
              <w:rPr>
                <w:noProof/>
                <w:webHidden/>
              </w:rPr>
            </w:r>
            <w:r w:rsidR="00E93063">
              <w:rPr>
                <w:noProof/>
                <w:webHidden/>
              </w:rPr>
              <w:fldChar w:fldCharType="separate"/>
            </w:r>
            <w:r w:rsidR="00E93063">
              <w:rPr>
                <w:noProof/>
                <w:webHidden/>
              </w:rPr>
              <w:t>5</w:t>
            </w:r>
            <w:r w:rsidR="00E93063">
              <w:rPr>
                <w:noProof/>
                <w:webHidden/>
              </w:rPr>
              <w:fldChar w:fldCharType="end"/>
            </w:r>
          </w:hyperlink>
        </w:p>
        <w:p w14:paraId="0521A2B7" w14:textId="0EDC9DC3" w:rsidR="00E93063" w:rsidRDefault="000B4AD1">
          <w:pPr>
            <w:pStyle w:val="TOC2"/>
            <w:tabs>
              <w:tab w:val="right" w:leader="dot" w:pos="9016"/>
            </w:tabs>
            <w:rPr>
              <w:noProof/>
            </w:rPr>
          </w:pPr>
          <w:hyperlink w:anchor="_Toc80969779" w:history="1">
            <w:r w:rsidR="00E93063" w:rsidRPr="001E6B89">
              <w:rPr>
                <w:rStyle w:val="Hyperlink"/>
                <w:noProof/>
              </w:rPr>
              <w:t>(a) Discuss the importance of management accounting and how it differs from what financial accounting provides</w:t>
            </w:r>
            <w:r w:rsidR="00E93063">
              <w:rPr>
                <w:noProof/>
                <w:webHidden/>
              </w:rPr>
              <w:tab/>
            </w:r>
            <w:r w:rsidR="00E93063">
              <w:rPr>
                <w:noProof/>
                <w:webHidden/>
              </w:rPr>
              <w:fldChar w:fldCharType="begin"/>
            </w:r>
            <w:r w:rsidR="00E93063">
              <w:rPr>
                <w:noProof/>
                <w:webHidden/>
              </w:rPr>
              <w:instrText xml:space="preserve"> PAGEREF _Toc80969779 \h </w:instrText>
            </w:r>
            <w:r w:rsidR="00E93063">
              <w:rPr>
                <w:noProof/>
                <w:webHidden/>
              </w:rPr>
            </w:r>
            <w:r w:rsidR="00E93063">
              <w:rPr>
                <w:noProof/>
                <w:webHidden/>
              </w:rPr>
              <w:fldChar w:fldCharType="separate"/>
            </w:r>
            <w:r w:rsidR="00E93063">
              <w:rPr>
                <w:noProof/>
                <w:webHidden/>
              </w:rPr>
              <w:t>5</w:t>
            </w:r>
            <w:r w:rsidR="00E93063">
              <w:rPr>
                <w:noProof/>
                <w:webHidden/>
              </w:rPr>
              <w:fldChar w:fldCharType="end"/>
            </w:r>
          </w:hyperlink>
        </w:p>
        <w:p w14:paraId="766BF216" w14:textId="7D6EA2F9" w:rsidR="00E93063" w:rsidRDefault="000B4AD1">
          <w:pPr>
            <w:pStyle w:val="TOC2"/>
            <w:tabs>
              <w:tab w:val="right" w:leader="dot" w:pos="9016"/>
            </w:tabs>
            <w:rPr>
              <w:noProof/>
            </w:rPr>
          </w:pPr>
          <w:hyperlink w:anchor="_Toc80969780" w:history="1">
            <w:r w:rsidR="00E93063" w:rsidRPr="001E6B89">
              <w:rPr>
                <w:rStyle w:val="Hyperlink"/>
                <w:noProof/>
              </w:rPr>
              <w:t>(b) Discuss three techniques by which the management accountant can achieve the objectives of management accounting</w:t>
            </w:r>
            <w:r w:rsidR="00E93063">
              <w:rPr>
                <w:noProof/>
                <w:webHidden/>
              </w:rPr>
              <w:tab/>
            </w:r>
            <w:r w:rsidR="00E93063">
              <w:rPr>
                <w:noProof/>
                <w:webHidden/>
              </w:rPr>
              <w:fldChar w:fldCharType="begin"/>
            </w:r>
            <w:r w:rsidR="00E93063">
              <w:rPr>
                <w:noProof/>
                <w:webHidden/>
              </w:rPr>
              <w:instrText xml:space="preserve"> PAGEREF _Toc80969780 \h </w:instrText>
            </w:r>
            <w:r w:rsidR="00E93063">
              <w:rPr>
                <w:noProof/>
                <w:webHidden/>
              </w:rPr>
            </w:r>
            <w:r w:rsidR="00E93063">
              <w:rPr>
                <w:noProof/>
                <w:webHidden/>
              </w:rPr>
              <w:fldChar w:fldCharType="separate"/>
            </w:r>
            <w:r w:rsidR="00E93063">
              <w:rPr>
                <w:noProof/>
                <w:webHidden/>
              </w:rPr>
              <w:t>6</w:t>
            </w:r>
            <w:r w:rsidR="00E93063">
              <w:rPr>
                <w:noProof/>
                <w:webHidden/>
              </w:rPr>
              <w:fldChar w:fldCharType="end"/>
            </w:r>
          </w:hyperlink>
        </w:p>
        <w:p w14:paraId="26332B42" w14:textId="10C59EFD" w:rsidR="00E93063" w:rsidRDefault="000B4AD1">
          <w:pPr>
            <w:pStyle w:val="TOC1"/>
            <w:tabs>
              <w:tab w:val="right" w:leader="dot" w:pos="9016"/>
            </w:tabs>
            <w:rPr>
              <w:noProof/>
            </w:rPr>
          </w:pPr>
          <w:hyperlink w:anchor="_Toc80969781" w:history="1">
            <w:r w:rsidR="00E93063" w:rsidRPr="001E6B89">
              <w:rPr>
                <w:rStyle w:val="Hyperlink"/>
                <w:noProof/>
              </w:rPr>
              <w:t>References</w:t>
            </w:r>
            <w:r w:rsidR="00E93063">
              <w:rPr>
                <w:noProof/>
                <w:webHidden/>
              </w:rPr>
              <w:tab/>
            </w:r>
            <w:r w:rsidR="00E93063">
              <w:rPr>
                <w:noProof/>
                <w:webHidden/>
              </w:rPr>
              <w:fldChar w:fldCharType="begin"/>
            </w:r>
            <w:r w:rsidR="00E93063">
              <w:rPr>
                <w:noProof/>
                <w:webHidden/>
              </w:rPr>
              <w:instrText xml:space="preserve"> PAGEREF _Toc80969781 \h </w:instrText>
            </w:r>
            <w:r w:rsidR="00E93063">
              <w:rPr>
                <w:noProof/>
                <w:webHidden/>
              </w:rPr>
            </w:r>
            <w:r w:rsidR="00E93063">
              <w:rPr>
                <w:noProof/>
                <w:webHidden/>
              </w:rPr>
              <w:fldChar w:fldCharType="separate"/>
            </w:r>
            <w:r w:rsidR="00E93063">
              <w:rPr>
                <w:noProof/>
                <w:webHidden/>
              </w:rPr>
              <w:t>8</w:t>
            </w:r>
            <w:r w:rsidR="00E93063">
              <w:rPr>
                <w:noProof/>
                <w:webHidden/>
              </w:rPr>
              <w:fldChar w:fldCharType="end"/>
            </w:r>
          </w:hyperlink>
        </w:p>
        <w:p w14:paraId="26C4F74A" w14:textId="72CBCD9D" w:rsidR="00E93063" w:rsidRPr="00E93063" w:rsidRDefault="00E93063" w:rsidP="00E93063">
          <w:r>
            <w:rPr>
              <w:b/>
              <w:bCs/>
              <w:noProof/>
            </w:rPr>
            <w:fldChar w:fldCharType="end"/>
          </w:r>
          <w:r>
            <w:br w:type="page"/>
          </w:r>
        </w:p>
      </w:sdtContent>
    </w:sdt>
    <w:p w14:paraId="48D5AF27" w14:textId="7E01D13C" w:rsidR="0041423F" w:rsidRDefault="00C7096E" w:rsidP="00C7096E">
      <w:pPr>
        <w:pStyle w:val="Heading1"/>
      </w:pPr>
      <w:bookmarkStart w:id="0" w:name="_Toc80969773"/>
      <w:r>
        <w:lastRenderedPageBreak/>
        <w:t>Question-1</w:t>
      </w:r>
      <w:bookmarkEnd w:id="0"/>
    </w:p>
    <w:p w14:paraId="3B7A3A91" w14:textId="04F621B4" w:rsidR="00C7096E" w:rsidRDefault="00C7096E" w:rsidP="00C7096E">
      <w:pPr>
        <w:pStyle w:val="Heading2"/>
      </w:pPr>
      <w:bookmarkStart w:id="1" w:name="_Toc80969774"/>
      <w:r>
        <w:t>(a) Calculation of Break-even Point (in Units and Revenues)</w:t>
      </w:r>
      <w:bookmarkEnd w:id="1"/>
    </w:p>
    <w:p w14:paraId="7A92A99D" w14:textId="097D3968" w:rsidR="007D7CE9" w:rsidRDefault="007D7CE9" w:rsidP="00C7096E">
      <w:pPr>
        <w:rPr>
          <w:b/>
          <w:bCs/>
        </w:rPr>
      </w:pPr>
      <w:r>
        <w:rPr>
          <w:b/>
          <w:bCs/>
        </w:rPr>
        <w:t>Solution:</w:t>
      </w:r>
    </w:p>
    <w:p w14:paraId="7177AB23" w14:textId="0FA26B4B" w:rsidR="00C7096E" w:rsidRPr="00C7096E" w:rsidRDefault="00D023C0" w:rsidP="00C7096E">
      <w:pPr>
        <w:rPr>
          <w:rFonts w:eastAsiaTheme="minorEastAsia"/>
        </w:rPr>
      </w:pPr>
      <w:r>
        <w:rPr>
          <w:b/>
          <w:bCs/>
        </w:rPr>
        <w:t>I</w:t>
      </w:r>
      <w:r w:rsidR="00C7096E" w:rsidRPr="00C7096E">
        <w:rPr>
          <w:b/>
          <w:bCs/>
        </w:rPr>
        <w:t>) Formula:</w:t>
      </w:r>
      <w:r w:rsidR="00C7096E">
        <w:t xml:space="preserve"> Break-even Point (as </w:t>
      </w:r>
      <w:proofErr w:type="gramStart"/>
      <w:r w:rsidR="00C7096E">
        <w:t>Units)=</w:t>
      </w:r>
      <w:proofErr w:type="gramEnd"/>
      <w:r w:rsidR="00C7096E">
        <w:t xml:space="preserve"> </w:t>
      </w:r>
      <m:oMath>
        <m:d>
          <m:dPr>
            <m:ctrlPr>
              <w:rPr>
                <w:rFonts w:ascii="Cambria Math" w:hAnsi="Cambria Math"/>
                <w:i/>
              </w:rPr>
            </m:ctrlPr>
          </m:dPr>
          <m:e>
            <m:f>
              <m:fPr>
                <m:ctrlPr>
                  <w:rPr>
                    <w:rFonts w:ascii="Cambria Math" w:hAnsi="Cambria Math"/>
                    <w:i/>
                  </w:rPr>
                </m:ctrlPr>
              </m:fPr>
              <m:num>
                <m:r>
                  <w:rPr>
                    <w:rFonts w:ascii="Cambria Math" w:hAnsi="Cambria Math"/>
                  </w:rPr>
                  <m:t>Total Fixed Costs</m:t>
                </m:r>
                <m:d>
                  <m:dPr>
                    <m:ctrlPr>
                      <w:rPr>
                        <w:rFonts w:ascii="Cambria Math" w:hAnsi="Cambria Math"/>
                        <w:i/>
                      </w:rPr>
                    </m:ctrlPr>
                  </m:dPr>
                  <m:e>
                    <m:r>
                      <w:rPr>
                        <w:rFonts w:ascii="Cambria Math" w:hAnsi="Cambria Math"/>
                      </w:rPr>
                      <m:t>FC</m:t>
                    </m:r>
                  </m:e>
                </m:d>
              </m:num>
              <m:den>
                <m:r>
                  <w:rPr>
                    <w:rFonts w:ascii="Cambria Math" w:hAnsi="Cambria Math"/>
                  </w:rPr>
                  <m:t>Contribution Margin p.u.</m:t>
                </m:r>
              </m:den>
            </m:f>
          </m:e>
        </m:d>
      </m:oMath>
    </w:p>
    <w:tbl>
      <w:tblPr>
        <w:tblW w:w="4740" w:type="dxa"/>
        <w:tblLook w:val="04A0" w:firstRow="1" w:lastRow="0" w:firstColumn="1" w:lastColumn="0" w:noHBand="0" w:noVBand="1"/>
      </w:tblPr>
      <w:tblGrid>
        <w:gridCol w:w="2200"/>
        <w:gridCol w:w="1280"/>
        <w:gridCol w:w="1260"/>
      </w:tblGrid>
      <w:tr w:rsidR="00C7096E" w:rsidRPr="00C7096E" w14:paraId="427128EB" w14:textId="77777777" w:rsidTr="00C7096E">
        <w:trPr>
          <w:trHeight w:val="300"/>
        </w:trPr>
        <w:tc>
          <w:tcPr>
            <w:tcW w:w="22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15CC1A0" w14:textId="77777777" w:rsidR="00C7096E" w:rsidRPr="00C7096E" w:rsidRDefault="00C7096E" w:rsidP="00C7096E">
            <w:pPr>
              <w:spacing w:after="0" w:line="240" w:lineRule="auto"/>
              <w:jc w:val="left"/>
              <w:rPr>
                <w:rFonts w:ascii="Calibri" w:eastAsia="Times New Roman" w:hAnsi="Calibri" w:cs="Calibri"/>
                <w:b/>
                <w:bCs/>
                <w:i/>
                <w:iCs/>
                <w:color w:val="000000"/>
                <w:sz w:val="22"/>
                <w:lang w:val="en-IN" w:eastAsia="en-IN"/>
              </w:rPr>
            </w:pPr>
            <w:r w:rsidRPr="00C7096E">
              <w:rPr>
                <w:rFonts w:ascii="Calibri" w:eastAsia="Times New Roman" w:hAnsi="Calibri" w:cs="Calibri"/>
                <w:b/>
                <w:bCs/>
                <w:i/>
                <w:iCs/>
                <w:color w:val="000000"/>
                <w:sz w:val="22"/>
                <w:lang w:val="en-IN" w:eastAsia="en-IN"/>
              </w:rPr>
              <w:t>Particulars</w:t>
            </w:r>
          </w:p>
        </w:tc>
        <w:tc>
          <w:tcPr>
            <w:tcW w:w="12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E7CF5B0" w14:textId="77777777" w:rsidR="00C7096E" w:rsidRPr="00C7096E" w:rsidRDefault="00C7096E" w:rsidP="00C7096E">
            <w:pPr>
              <w:spacing w:after="0" w:line="240" w:lineRule="auto"/>
              <w:jc w:val="center"/>
              <w:rPr>
                <w:rFonts w:ascii="Calibri" w:eastAsia="Times New Roman" w:hAnsi="Calibri" w:cs="Calibri"/>
                <w:b/>
                <w:bCs/>
                <w:i/>
                <w:iCs/>
                <w:color w:val="000000"/>
                <w:sz w:val="22"/>
                <w:lang w:val="en-IN" w:eastAsia="en-IN"/>
              </w:rPr>
            </w:pPr>
            <w:r w:rsidRPr="00C7096E">
              <w:rPr>
                <w:rFonts w:ascii="Calibri" w:eastAsia="Times New Roman" w:hAnsi="Calibri" w:cs="Calibri"/>
                <w:b/>
                <w:bCs/>
                <w:i/>
                <w:iCs/>
                <w:color w:val="000000"/>
                <w:sz w:val="22"/>
                <w:lang w:val="en-IN" w:eastAsia="en-IN"/>
              </w:rPr>
              <w:t>Details</w:t>
            </w:r>
          </w:p>
        </w:tc>
        <w:tc>
          <w:tcPr>
            <w:tcW w:w="12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AEA1D41" w14:textId="77777777" w:rsidR="00C7096E" w:rsidRPr="00C7096E" w:rsidRDefault="00C7096E" w:rsidP="00C7096E">
            <w:pPr>
              <w:spacing w:after="0" w:line="240" w:lineRule="auto"/>
              <w:jc w:val="center"/>
              <w:rPr>
                <w:rFonts w:ascii="Calibri" w:eastAsia="Times New Roman" w:hAnsi="Calibri" w:cs="Calibri"/>
                <w:b/>
                <w:bCs/>
                <w:i/>
                <w:iCs/>
                <w:color w:val="000000"/>
                <w:sz w:val="22"/>
                <w:lang w:val="en-IN" w:eastAsia="en-IN"/>
              </w:rPr>
            </w:pPr>
            <w:r w:rsidRPr="00C7096E">
              <w:rPr>
                <w:rFonts w:ascii="Calibri" w:eastAsia="Times New Roman" w:hAnsi="Calibri" w:cs="Calibri"/>
                <w:b/>
                <w:bCs/>
                <w:i/>
                <w:iCs/>
                <w:color w:val="000000"/>
                <w:sz w:val="22"/>
                <w:lang w:val="en-IN" w:eastAsia="en-IN"/>
              </w:rPr>
              <w:t>Amts. (£)</w:t>
            </w:r>
          </w:p>
        </w:tc>
      </w:tr>
      <w:tr w:rsidR="00C7096E" w:rsidRPr="00C7096E" w14:paraId="783D8A18" w14:textId="77777777" w:rsidTr="00C7096E">
        <w:trPr>
          <w:trHeight w:val="300"/>
        </w:trPr>
        <w:tc>
          <w:tcPr>
            <w:tcW w:w="22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A3BA534" w14:textId="77777777" w:rsidR="00C7096E" w:rsidRPr="00C7096E" w:rsidRDefault="00C7096E" w:rsidP="00C7096E">
            <w:pPr>
              <w:spacing w:after="0" w:line="240" w:lineRule="auto"/>
              <w:jc w:val="left"/>
              <w:rPr>
                <w:rFonts w:ascii="Calibri" w:eastAsia="Times New Roman" w:hAnsi="Calibri" w:cs="Calibri"/>
                <w:color w:val="000000"/>
                <w:sz w:val="22"/>
                <w:lang w:val="en-IN" w:eastAsia="en-IN"/>
              </w:rPr>
            </w:pPr>
            <w:r w:rsidRPr="00C7096E">
              <w:rPr>
                <w:rFonts w:ascii="Calibri" w:eastAsia="Times New Roman" w:hAnsi="Calibri" w:cs="Calibri"/>
                <w:color w:val="000000"/>
                <w:sz w:val="22"/>
                <w:lang w:val="en-IN" w:eastAsia="en-IN"/>
              </w:rPr>
              <w:t>Selling Price</w:t>
            </w:r>
          </w:p>
        </w:tc>
        <w:tc>
          <w:tcPr>
            <w:tcW w:w="12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D3D6999" w14:textId="77777777" w:rsidR="00C7096E" w:rsidRPr="00C7096E" w:rsidRDefault="00C7096E" w:rsidP="00C7096E">
            <w:pPr>
              <w:spacing w:after="0" w:line="240" w:lineRule="auto"/>
              <w:jc w:val="center"/>
              <w:rPr>
                <w:rFonts w:ascii="Calibri" w:eastAsia="Times New Roman" w:hAnsi="Calibri" w:cs="Calibri"/>
                <w:color w:val="000000"/>
                <w:sz w:val="22"/>
                <w:lang w:val="en-IN" w:eastAsia="en-IN"/>
              </w:rPr>
            </w:pPr>
            <w:r w:rsidRPr="00C7096E">
              <w:rPr>
                <w:rFonts w:ascii="Calibri" w:eastAsia="Times New Roman" w:hAnsi="Calibri" w:cs="Calibri"/>
                <w:color w:val="000000"/>
                <w:sz w:val="22"/>
                <w:lang w:val="en-IN" w:eastAsia="en-IN"/>
              </w:rPr>
              <w:t>(given)</w:t>
            </w:r>
          </w:p>
        </w:tc>
        <w:tc>
          <w:tcPr>
            <w:tcW w:w="12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808E4C8" w14:textId="77777777" w:rsidR="00C7096E" w:rsidRPr="00C7096E" w:rsidRDefault="00C7096E" w:rsidP="00C7096E">
            <w:pPr>
              <w:spacing w:after="0" w:line="240" w:lineRule="auto"/>
              <w:jc w:val="center"/>
              <w:rPr>
                <w:rFonts w:ascii="Calibri" w:eastAsia="Times New Roman" w:hAnsi="Calibri" w:cs="Calibri"/>
                <w:color w:val="000000"/>
                <w:sz w:val="22"/>
                <w:lang w:val="en-IN" w:eastAsia="en-IN"/>
              </w:rPr>
            </w:pPr>
            <w:r w:rsidRPr="00C7096E">
              <w:rPr>
                <w:rFonts w:ascii="Calibri" w:eastAsia="Times New Roman" w:hAnsi="Calibri" w:cs="Calibri"/>
                <w:color w:val="000000"/>
                <w:sz w:val="22"/>
                <w:lang w:val="en-IN" w:eastAsia="en-IN"/>
              </w:rPr>
              <w:t>11</w:t>
            </w:r>
          </w:p>
        </w:tc>
      </w:tr>
      <w:tr w:rsidR="00C7096E" w:rsidRPr="00C7096E" w14:paraId="2E30C64B" w14:textId="77777777" w:rsidTr="00C7096E">
        <w:trPr>
          <w:trHeight w:val="300"/>
        </w:trPr>
        <w:tc>
          <w:tcPr>
            <w:tcW w:w="22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BE7B8D2" w14:textId="77777777" w:rsidR="00C7096E" w:rsidRPr="00C7096E" w:rsidRDefault="00C7096E" w:rsidP="00C7096E">
            <w:pPr>
              <w:spacing w:after="0" w:line="240" w:lineRule="auto"/>
              <w:jc w:val="left"/>
              <w:rPr>
                <w:rFonts w:ascii="Calibri" w:eastAsia="Times New Roman" w:hAnsi="Calibri" w:cs="Calibri"/>
                <w:color w:val="000000"/>
                <w:sz w:val="22"/>
                <w:lang w:val="en-IN" w:eastAsia="en-IN"/>
              </w:rPr>
            </w:pPr>
            <w:r w:rsidRPr="00C7096E">
              <w:rPr>
                <w:rFonts w:ascii="Calibri" w:eastAsia="Times New Roman" w:hAnsi="Calibri" w:cs="Calibri"/>
                <w:color w:val="000000"/>
                <w:sz w:val="22"/>
                <w:lang w:val="en-IN" w:eastAsia="en-IN"/>
              </w:rPr>
              <w:t>(Less): Variable Costs</w:t>
            </w:r>
          </w:p>
        </w:tc>
        <w:tc>
          <w:tcPr>
            <w:tcW w:w="12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3AA451A" w14:textId="77777777" w:rsidR="00C7096E" w:rsidRPr="00C7096E" w:rsidRDefault="00C7096E" w:rsidP="00C7096E">
            <w:pPr>
              <w:spacing w:after="0" w:line="240" w:lineRule="auto"/>
              <w:jc w:val="center"/>
              <w:rPr>
                <w:rFonts w:ascii="Calibri" w:eastAsia="Times New Roman" w:hAnsi="Calibri" w:cs="Calibri"/>
                <w:color w:val="000000"/>
                <w:sz w:val="22"/>
                <w:lang w:val="en-IN" w:eastAsia="en-IN"/>
              </w:rPr>
            </w:pPr>
            <w:r w:rsidRPr="00C7096E">
              <w:rPr>
                <w:rFonts w:ascii="Calibri" w:eastAsia="Times New Roman" w:hAnsi="Calibri" w:cs="Calibri"/>
                <w:color w:val="000000"/>
                <w:sz w:val="22"/>
                <w:lang w:val="en-IN" w:eastAsia="en-IN"/>
              </w:rPr>
              <w:t>(given)</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29D72E" w14:textId="77777777" w:rsidR="00C7096E" w:rsidRPr="00C7096E" w:rsidRDefault="00C7096E" w:rsidP="00C7096E">
            <w:pPr>
              <w:spacing w:after="0" w:line="240" w:lineRule="auto"/>
              <w:jc w:val="center"/>
              <w:rPr>
                <w:rFonts w:ascii="Calibri" w:eastAsia="Times New Roman" w:hAnsi="Calibri" w:cs="Calibri"/>
                <w:color w:val="000000"/>
                <w:sz w:val="22"/>
                <w:lang w:val="en-IN" w:eastAsia="en-IN"/>
              </w:rPr>
            </w:pPr>
            <w:r w:rsidRPr="00C7096E">
              <w:rPr>
                <w:rFonts w:ascii="Calibri" w:eastAsia="Times New Roman" w:hAnsi="Calibri" w:cs="Calibri"/>
                <w:color w:val="000000"/>
                <w:sz w:val="22"/>
                <w:lang w:val="en-IN" w:eastAsia="en-IN"/>
              </w:rPr>
              <w:t>6</w:t>
            </w:r>
          </w:p>
        </w:tc>
      </w:tr>
      <w:tr w:rsidR="00C7096E" w:rsidRPr="00C7096E" w14:paraId="06656FFC" w14:textId="77777777" w:rsidTr="00C7096E">
        <w:trPr>
          <w:trHeight w:val="300"/>
        </w:trPr>
        <w:tc>
          <w:tcPr>
            <w:tcW w:w="22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0340922" w14:textId="77777777" w:rsidR="00C7096E" w:rsidRPr="00C7096E" w:rsidRDefault="00C7096E" w:rsidP="00C7096E">
            <w:pPr>
              <w:spacing w:after="0" w:line="240" w:lineRule="auto"/>
              <w:jc w:val="left"/>
              <w:rPr>
                <w:rFonts w:ascii="Calibri" w:eastAsia="Times New Roman" w:hAnsi="Calibri" w:cs="Calibri"/>
                <w:b/>
                <w:bCs/>
                <w:i/>
                <w:iCs/>
                <w:color w:val="000000"/>
                <w:sz w:val="22"/>
                <w:lang w:val="en-IN" w:eastAsia="en-IN"/>
              </w:rPr>
            </w:pPr>
            <w:r w:rsidRPr="00C7096E">
              <w:rPr>
                <w:rFonts w:ascii="Calibri" w:eastAsia="Times New Roman" w:hAnsi="Calibri" w:cs="Calibri"/>
                <w:b/>
                <w:bCs/>
                <w:i/>
                <w:iCs/>
                <w:color w:val="000000"/>
                <w:sz w:val="22"/>
                <w:lang w:val="en-IN" w:eastAsia="en-IN"/>
              </w:rPr>
              <w:t>Contribution Margin</w:t>
            </w:r>
          </w:p>
        </w:tc>
        <w:tc>
          <w:tcPr>
            <w:tcW w:w="12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74F27AF" w14:textId="77777777" w:rsidR="00C7096E" w:rsidRPr="00C7096E" w:rsidRDefault="00C7096E" w:rsidP="00C7096E">
            <w:pPr>
              <w:spacing w:after="0" w:line="240" w:lineRule="auto"/>
              <w:jc w:val="left"/>
              <w:rPr>
                <w:rFonts w:ascii="Calibri" w:eastAsia="Times New Roman" w:hAnsi="Calibri" w:cs="Calibri"/>
                <w:b/>
                <w:bCs/>
                <w:i/>
                <w:iCs/>
                <w:color w:val="000000"/>
                <w:sz w:val="22"/>
                <w:lang w:val="en-IN" w:eastAsia="en-IN"/>
              </w:rPr>
            </w:pPr>
          </w:p>
        </w:tc>
        <w:tc>
          <w:tcPr>
            <w:tcW w:w="12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2B21F3F" w14:textId="77777777" w:rsidR="00C7096E" w:rsidRPr="00C7096E" w:rsidRDefault="00C7096E" w:rsidP="00C7096E">
            <w:pPr>
              <w:spacing w:after="0" w:line="240" w:lineRule="auto"/>
              <w:jc w:val="center"/>
              <w:rPr>
                <w:rFonts w:ascii="Calibri" w:eastAsia="Times New Roman" w:hAnsi="Calibri" w:cs="Calibri"/>
                <w:b/>
                <w:bCs/>
                <w:i/>
                <w:iCs/>
                <w:color w:val="000000"/>
                <w:sz w:val="22"/>
                <w:lang w:val="en-IN" w:eastAsia="en-IN"/>
              </w:rPr>
            </w:pPr>
            <w:r w:rsidRPr="00C7096E">
              <w:rPr>
                <w:rFonts w:ascii="Calibri" w:eastAsia="Times New Roman" w:hAnsi="Calibri" w:cs="Calibri"/>
                <w:b/>
                <w:bCs/>
                <w:i/>
                <w:iCs/>
                <w:color w:val="000000"/>
                <w:sz w:val="22"/>
                <w:lang w:val="en-IN" w:eastAsia="en-IN"/>
              </w:rPr>
              <w:t>5</w:t>
            </w:r>
          </w:p>
        </w:tc>
      </w:tr>
    </w:tbl>
    <w:p w14:paraId="2E742AC4" w14:textId="77777777" w:rsidR="00C7096E" w:rsidRDefault="00C7096E" w:rsidP="00C7096E">
      <w:pPr>
        <w:rPr>
          <w:rFonts w:eastAsiaTheme="minorEastAsia"/>
        </w:rPr>
      </w:pPr>
    </w:p>
    <w:p w14:paraId="2DF8A1CA" w14:textId="0E51A6C0" w:rsidR="00C7096E" w:rsidRDefault="00C7096E" w:rsidP="00C7096E">
      <w:pPr>
        <w:rPr>
          <w:rFonts w:eastAsiaTheme="minorEastAsia"/>
        </w:rPr>
      </w:pPr>
      <w:r>
        <w:rPr>
          <w:rFonts w:eastAsiaTheme="minorEastAsia"/>
        </w:rPr>
        <w:t xml:space="preserve">Given Total FC (for 75,000 sold </w:t>
      </w:r>
      <w:proofErr w:type="gramStart"/>
      <w:r>
        <w:rPr>
          <w:rFonts w:eastAsiaTheme="minorEastAsia"/>
        </w:rPr>
        <w:t>units)=</w:t>
      </w:r>
      <w:proofErr w:type="gramEnd"/>
      <w:r>
        <w:rPr>
          <w:rFonts w:eastAsiaTheme="minorEastAsia"/>
        </w:rPr>
        <w:t xml:space="preserve"> </w:t>
      </w:r>
      <w:r>
        <w:rPr>
          <w:rFonts w:eastAsiaTheme="minorEastAsia" w:cs="Times New Roman"/>
        </w:rPr>
        <w:t>£</w:t>
      </w:r>
      <w:r>
        <w:rPr>
          <w:rFonts w:eastAsiaTheme="minorEastAsia"/>
        </w:rPr>
        <w:t>350,000</w:t>
      </w:r>
    </w:p>
    <w:p w14:paraId="6D76DF93" w14:textId="74AF3DCC" w:rsidR="00C7096E" w:rsidRDefault="00C7096E" w:rsidP="00C7096E">
      <w:pPr>
        <w:rPr>
          <w:rFonts w:eastAsiaTheme="minorEastAsia" w:cs="Times New Roman"/>
        </w:rPr>
      </w:pPr>
      <w:r>
        <w:rPr>
          <w:rFonts w:eastAsiaTheme="minorEastAsia"/>
        </w:rPr>
        <w:t xml:space="preserve">Found out Contribution per-unit= </w:t>
      </w:r>
      <w:r>
        <w:rPr>
          <w:rFonts w:eastAsiaTheme="minorEastAsia" w:cs="Times New Roman"/>
        </w:rPr>
        <w:t>£</w:t>
      </w:r>
      <w:r w:rsidR="005B38AB">
        <w:rPr>
          <w:rFonts w:eastAsiaTheme="minorEastAsia" w:cs="Times New Roman"/>
        </w:rPr>
        <w:t xml:space="preserve">5 </w:t>
      </w:r>
      <w:proofErr w:type="spellStart"/>
      <w:r w:rsidR="005B38AB">
        <w:rPr>
          <w:rFonts w:eastAsiaTheme="minorEastAsia" w:cs="Times New Roman"/>
        </w:rPr>
        <w:t>p.u</w:t>
      </w:r>
      <w:proofErr w:type="spellEnd"/>
      <w:r w:rsidR="005B38AB">
        <w:rPr>
          <w:rFonts w:eastAsiaTheme="minorEastAsia" w:cs="Times New Roman"/>
        </w:rPr>
        <w:t>.</w:t>
      </w:r>
    </w:p>
    <w:p w14:paraId="01E2C3DC" w14:textId="629DF213" w:rsidR="005B38AB" w:rsidRDefault="005B38AB" w:rsidP="00C7096E">
      <w:pPr>
        <w:rPr>
          <w:rFonts w:eastAsiaTheme="minorEastAsia"/>
        </w:rPr>
      </w:pPr>
      <w:r>
        <w:rPr>
          <w:rFonts w:eastAsiaTheme="minorEastAsia" w:cs="Times New Roman"/>
        </w:rPr>
        <w:t xml:space="preserve">Therefore, </w:t>
      </w:r>
      <w:r>
        <w:t xml:space="preserve">Break-even Point (as </w:t>
      </w:r>
      <w:proofErr w:type="gramStart"/>
      <w:r>
        <w:t>Units)=</w:t>
      </w:r>
      <w:proofErr w:type="gramEnd"/>
      <w:r>
        <w:t xml:space="preserve"> </w:t>
      </w:r>
      <m:oMath>
        <m:d>
          <m:dPr>
            <m:ctrlPr>
              <w:rPr>
                <w:rFonts w:ascii="Cambria Math" w:hAnsi="Cambria Math"/>
                <w:i/>
              </w:rPr>
            </m:ctrlPr>
          </m:dPr>
          <m:e>
            <m:f>
              <m:fPr>
                <m:ctrlPr>
                  <w:rPr>
                    <w:rFonts w:ascii="Cambria Math" w:hAnsi="Cambria Math"/>
                    <w:i/>
                  </w:rPr>
                </m:ctrlPr>
              </m:fPr>
              <m:num>
                <m:r>
                  <m:rPr>
                    <m:sty m:val="p"/>
                  </m:rPr>
                  <w:rPr>
                    <w:rFonts w:ascii="Cambria Math" w:eastAsiaTheme="minorEastAsia" w:hAnsi="Cambria Math" w:cs="Times New Roman"/>
                  </w:rPr>
                  <m:t xml:space="preserve">£ </m:t>
                </m:r>
                <m:r>
                  <m:rPr>
                    <m:sty m:val="p"/>
                  </m:rPr>
                  <w:rPr>
                    <w:rFonts w:ascii="Cambria Math" w:eastAsiaTheme="minorEastAsia" w:hAnsi="Cambria Math"/>
                  </w:rPr>
                  <m:t>350,000</m:t>
                </m:r>
              </m:num>
              <m:den>
                <m:r>
                  <m:rPr>
                    <m:sty m:val="p"/>
                  </m:rPr>
                  <w:rPr>
                    <w:rFonts w:ascii="Cambria Math" w:eastAsiaTheme="minorEastAsia" w:hAnsi="Cambria Math" w:cs="Times New Roman"/>
                  </w:rPr>
                  <m:t>£ 5 p.u.</m:t>
                </m:r>
              </m:den>
            </m:f>
          </m:e>
        </m:d>
      </m:oMath>
    </w:p>
    <w:p w14:paraId="7C56D170" w14:textId="16E533DD" w:rsidR="007D7CE9" w:rsidRDefault="007D7CE9" w:rsidP="007D7CE9">
      <w:pPr>
        <w:pStyle w:val="Header"/>
        <w:tabs>
          <w:tab w:val="clear" w:pos="4513"/>
          <w:tab w:val="clear" w:pos="9026"/>
        </w:tabs>
        <w:spacing w:after="160" w:line="480" w:lineRule="auto"/>
        <w:rPr>
          <w:rFonts w:eastAsiaTheme="minorEastAsia"/>
        </w:rPr>
      </w:pPr>
      <w:r>
        <w:t xml:space="preserve">Break-even Point (as </w:t>
      </w:r>
      <w:proofErr w:type="gramStart"/>
      <w:r>
        <w:t>Units)=</w:t>
      </w:r>
      <w:proofErr w:type="gramEnd"/>
      <w:r>
        <w:t xml:space="preserve"> </w:t>
      </w:r>
      <w:r w:rsidRPr="007D7CE9">
        <w:rPr>
          <w:b/>
          <w:bCs/>
          <w:i/>
          <w:iCs/>
          <w:u w:val="single"/>
        </w:rPr>
        <w:t>70,000 units</w:t>
      </w:r>
    </w:p>
    <w:p w14:paraId="226F5257" w14:textId="12B7B30B" w:rsidR="00C7096E" w:rsidRDefault="007D7CE9" w:rsidP="007D7CE9">
      <w:pPr>
        <w:pStyle w:val="Header"/>
        <w:tabs>
          <w:tab w:val="clear" w:pos="4513"/>
          <w:tab w:val="clear" w:pos="9026"/>
        </w:tabs>
        <w:spacing w:after="160" w:line="480" w:lineRule="auto"/>
        <w:rPr>
          <w:b/>
          <w:bCs/>
          <w:u w:val="single"/>
        </w:rPr>
      </w:pPr>
      <w:r w:rsidRPr="007D7CE9">
        <w:rPr>
          <w:rFonts w:eastAsiaTheme="minorEastAsia"/>
        </w:rPr>
        <w:t xml:space="preserve">Hence, </w:t>
      </w:r>
      <w:r w:rsidRPr="007D7CE9">
        <w:rPr>
          <w:rFonts w:eastAsiaTheme="minorEastAsia"/>
          <w:b/>
          <w:bCs/>
        </w:rPr>
        <w:t>Answer=</w:t>
      </w:r>
      <w:r>
        <w:rPr>
          <w:rFonts w:eastAsiaTheme="minorEastAsia"/>
        </w:rPr>
        <w:t xml:space="preserve"> </w:t>
      </w:r>
      <w:r w:rsidRPr="007D7CE9">
        <w:rPr>
          <w:b/>
          <w:bCs/>
          <w:u w:val="single"/>
        </w:rPr>
        <w:t>70,000 units</w:t>
      </w:r>
    </w:p>
    <w:p w14:paraId="159A46AB" w14:textId="5EA9751B" w:rsidR="007976C2" w:rsidRPr="00C7096E" w:rsidRDefault="00D023C0" w:rsidP="007976C2">
      <w:pPr>
        <w:rPr>
          <w:rFonts w:eastAsiaTheme="minorEastAsia"/>
        </w:rPr>
      </w:pPr>
      <w:r>
        <w:rPr>
          <w:b/>
          <w:bCs/>
        </w:rPr>
        <w:t>II</w:t>
      </w:r>
      <w:r w:rsidR="007976C2" w:rsidRPr="00C7096E">
        <w:rPr>
          <w:b/>
          <w:bCs/>
        </w:rPr>
        <w:t>) Formula:</w:t>
      </w:r>
      <w:r w:rsidR="007976C2">
        <w:t xml:space="preserve"> Break-even Point (as </w:t>
      </w:r>
      <w:proofErr w:type="gramStart"/>
      <w:r w:rsidR="007976C2">
        <w:t>Revenues)=</w:t>
      </w:r>
      <w:proofErr w:type="gramEnd"/>
      <w:r w:rsidR="007976C2">
        <w:t xml:space="preserve"> </w:t>
      </w:r>
      <m:oMath>
        <m:d>
          <m:dPr>
            <m:ctrlPr>
              <w:rPr>
                <w:rFonts w:ascii="Cambria Math" w:hAnsi="Cambria Math"/>
                <w:i/>
              </w:rPr>
            </m:ctrlPr>
          </m:dPr>
          <m:e>
            <m:f>
              <m:fPr>
                <m:ctrlPr>
                  <w:rPr>
                    <w:rFonts w:ascii="Cambria Math" w:hAnsi="Cambria Math"/>
                    <w:i/>
                  </w:rPr>
                </m:ctrlPr>
              </m:fPr>
              <m:num>
                <m:r>
                  <w:rPr>
                    <w:rFonts w:ascii="Cambria Math" w:hAnsi="Cambria Math"/>
                  </w:rPr>
                  <m:t>Total Fixed Costs</m:t>
                </m:r>
                <m:d>
                  <m:dPr>
                    <m:ctrlPr>
                      <w:rPr>
                        <w:rFonts w:ascii="Cambria Math" w:hAnsi="Cambria Math"/>
                        <w:i/>
                      </w:rPr>
                    </m:ctrlPr>
                  </m:dPr>
                  <m:e>
                    <m:r>
                      <w:rPr>
                        <w:rFonts w:ascii="Cambria Math" w:hAnsi="Cambria Math"/>
                      </w:rPr>
                      <m:t>FC</m:t>
                    </m:r>
                  </m:e>
                </m:d>
              </m:num>
              <m:den>
                <m:r>
                  <w:rPr>
                    <w:rFonts w:ascii="Cambria Math" w:hAnsi="Cambria Math"/>
                  </w:rPr>
                  <m:t>Contribution to Sales ratio</m:t>
                </m:r>
              </m:den>
            </m:f>
          </m:e>
        </m:d>
      </m:oMath>
    </w:p>
    <w:p w14:paraId="2C5C7275" w14:textId="3BD442CD" w:rsidR="007D7CE9" w:rsidRDefault="007976C2" w:rsidP="007D7CE9">
      <w:pPr>
        <w:rPr>
          <w:rFonts w:eastAsiaTheme="minorEastAsia" w:cs="Times New Roman"/>
        </w:rPr>
      </w:pPr>
      <w:r>
        <w:t xml:space="preserve">‘Contribution to Sales Ratio’ will be= </w:t>
      </w:r>
      <w:r>
        <w:rPr>
          <w:rFonts w:eastAsiaTheme="minorEastAsia" w:cs="Times New Roman"/>
        </w:rPr>
        <w:t xml:space="preserve">£5 </w:t>
      </w:r>
      <w:proofErr w:type="spellStart"/>
      <w:r>
        <w:rPr>
          <w:rFonts w:eastAsiaTheme="minorEastAsia" w:cs="Times New Roman"/>
        </w:rPr>
        <w:t>p.u</w:t>
      </w:r>
      <w:proofErr w:type="spellEnd"/>
      <w:r>
        <w:rPr>
          <w:rFonts w:eastAsiaTheme="minorEastAsia" w:cs="Times New Roman"/>
        </w:rPr>
        <w:t>./</w:t>
      </w:r>
      <w:r w:rsidRPr="007976C2">
        <w:rPr>
          <w:rFonts w:eastAsiaTheme="minorEastAsia" w:cs="Times New Roman"/>
        </w:rPr>
        <w:t xml:space="preserve"> </w:t>
      </w:r>
      <w:r>
        <w:rPr>
          <w:rFonts w:eastAsiaTheme="minorEastAsia" w:cs="Times New Roman"/>
        </w:rPr>
        <w:t xml:space="preserve">£11 </w:t>
      </w:r>
      <w:proofErr w:type="spellStart"/>
      <w:r>
        <w:rPr>
          <w:rFonts w:eastAsiaTheme="minorEastAsia" w:cs="Times New Roman"/>
        </w:rPr>
        <w:t>p.u</w:t>
      </w:r>
      <w:proofErr w:type="spellEnd"/>
      <w:r>
        <w:rPr>
          <w:rFonts w:eastAsiaTheme="minorEastAsia" w:cs="Times New Roman"/>
        </w:rPr>
        <w:t xml:space="preserve">. =£0.4545 </w:t>
      </w:r>
      <w:proofErr w:type="spellStart"/>
      <w:r>
        <w:rPr>
          <w:rFonts w:eastAsiaTheme="minorEastAsia" w:cs="Times New Roman"/>
        </w:rPr>
        <w:t>p.u</w:t>
      </w:r>
      <w:proofErr w:type="spellEnd"/>
      <w:r>
        <w:rPr>
          <w:rFonts w:eastAsiaTheme="minorEastAsia" w:cs="Times New Roman"/>
        </w:rPr>
        <w:t>.</w:t>
      </w:r>
    </w:p>
    <w:p w14:paraId="4D1A2A8B" w14:textId="76E892B0" w:rsidR="007976C2" w:rsidRDefault="007976C2" w:rsidP="007976C2">
      <w:pPr>
        <w:rPr>
          <w:rFonts w:eastAsiaTheme="minorEastAsia"/>
        </w:rPr>
      </w:pPr>
      <w:r>
        <w:rPr>
          <w:rFonts w:eastAsiaTheme="minorEastAsia" w:cs="Times New Roman"/>
        </w:rPr>
        <w:t xml:space="preserve">Therefore, </w:t>
      </w:r>
      <w:r>
        <w:t xml:space="preserve">Break-even Point (as </w:t>
      </w:r>
      <w:proofErr w:type="gramStart"/>
      <w:r>
        <w:t>Revenues)=</w:t>
      </w:r>
      <w:proofErr w:type="gramEnd"/>
      <w:r>
        <w:t xml:space="preserve"> </w:t>
      </w:r>
      <m:oMath>
        <m:d>
          <m:dPr>
            <m:ctrlPr>
              <w:rPr>
                <w:rFonts w:ascii="Cambria Math" w:hAnsi="Cambria Math"/>
                <w:i/>
              </w:rPr>
            </m:ctrlPr>
          </m:dPr>
          <m:e>
            <m:f>
              <m:fPr>
                <m:ctrlPr>
                  <w:rPr>
                    <w:rFonts w:ascii="Cambria Math" w:hAnsi="Cambria Math"/>
                    <w:i/>
                  </w:rPr>
                </m:ctrlPr>
              </m:fPr>
              <m:num>
                <m:r>
                  <m:rPr>
                    <m:sty m:val="p"/>
                  </m:rPr>
                  <w:rPr>
                    <w:rFonts w:ascii="Cambria Math" w:eastAsiaTheme="minorEastAsia" w:hAnsi="Cambria Math" w:cs="Times New Roman"/>
                  </w:rPr>
                  <m:t xml:space="preserve">£ </m:t>
                </m:r>
                <m:r>
                  <m:rPr>
                    <m:sty m:val="p"/>
                  </m:rPr>
                  <w:rPr>
                    <w:rFonts w:ascii="Cambria Math" w:eastAsiaTheme="minorEastAsia" w:hAnsi="Cambria Math"/>
                  </w:rPr>
                  <m:t>350,000</m:t>
                </m:r>
              </m:num>
              <m:den>
                <m:r>
                  <m:rPr>
                    <m:sty m:val="p"/>
                  </m:rPr>
                  <w:rPr>
                    <w:rFonts w:ascii="Cambria Math" w:eastAsiaTheme="minorEastAsia" w:hAnsi="Cambria Math" w:cs="Times New Roman"/>
                  </w:rPr>
                  <m:t>0.4545</m:t>
                </m:r>
              </m:den>
            </m:f>
          </m:e>
        </m:d>
      </m:oMath>
    </w:p>
    <w:p w14:paraId="4C755650" w14:textId="27695DB7" w:rsidR="007976C2" w:rsidRDefault="007976C2" w:rsidP="007976C2">
      <w:pPr>
        <w:pStyle w:val="Header"/>
        <w:tabs>
          <w:tab w:val="clear" w:pos="4513"/>
          <w:tab w:val="clear" w:pos="9026"/>
        </w:tabs>
        <w:spacing w:after="160" w:line="480" w:lineRule="auto"/>
        <w:rPr>
          <w:rFonts w:eastAsiaTheme="minorEastAsia"/>
        </w:rPr>
      </w:pPr>
      <w:r>
        <w:t xml:space="preserve">Break-even Point (as </w:t>
      </w:r>
      <w:proofErr w:type="gramStart"/>
      <w:r>
        <w:t>Revenues)=</w:t>
      </w:r>
      <w:proofErr w:type="gramEnd"/>
      <w:r>
        <w:t xml:space="preserve"> </w:t>
      </w:r>
      <w:r w:rsidRPr="007976C2">
        <w:rPr>
          <w:rFonts w:eastAsiaTheme="minorEastAsia" w:cs="Times New Roman"/>
          <w:b/>
          <w:bCs/>
          <w:i/>
          <w:iCs/>
          <w:u w:val="single"/>
        </w:rPr>
        <w:t>£</w:t>
      </w:r>
      <w:r w:rsidRPr="007D7CE9">
        <w:rPr>
          <w:b/>
          <w:bCs/>
          <w:i/>
          <w:iCs/>
          <w:u w:val="single"/>
        </w:rPr>
        <w:t>7</w:t>
      </w:r>
      <w:r>
        <w:rPr>
          <w:b/>
          <w:bCs/>
          <w:i/>
          <w:iCs/>
          <w:u w:val="single"/>
        </w:rPr>
        <w:t>7</w:t>
      </w:r>
      <w:r w:rsidRPr="007D7CE9">
        <w:rPr>
          <w:b/>
          <w:bCs/>
          <w:i/>
          <w:iCs/>
          <w:u w:val="single"/>
        </w:rPr>
        <w:t>0,0</w:t>
      </w:r>
      <w:r>
        <w:rPr>
          <w:b/>
          <w:bCs/>
          <w:i/>
          <w:iCs/>
          <w:u w:val="single"/>
        </w:rPr>
        <w:t>77</w:t>
      </w:r>
    </w:p>
    <w:p w14:paraId="591380FF" w14:textId="1D3C0A0B" w:rsidR="007976C2" w:rsidRDefault="007976C2" w:rsidP="007D7CE9">
      <w:pPr>
        <w:rPr>
          <w:b/>
          <w:bCs/>
          <w:i/>
          <w:iCs/>
          <w:u w:val="single"/>
        </w:rPr>
      </w:pPr>
      <w:r w:rsidRPr="007D7CE9">
        <w:rPr>
          <w:rFonts w:eastAsiaTheme="minorEastAsia"/>
        </w:rPr>
        <w:t xml:space="preserve">Hence, </w:t>
      </w:r>
      <w:r w:rsidRPr="007D7CE9">
        <w:rPr>
          <w:rFonts w:eastAsiaTheme="minorEastAsia"/>
          <w:b/>
          <w:bCs/>
        </w:rPr>
        <w:t>Answer=</w:t>
      </w:r>
      <w:r>
        <w:rPr>
          <w:rFonts w:eastAsiaTheme="minorEastAsia"/>
          <w:b/>
          <w:bCs/>
        </w:rPr>
        <w:t xml:space="preserve"> </w:t>
      </w:r>
      <w:r w:rsidRPr="007976C2">
        <w:rPr>
          <w:rFonts w:eastAsiaTheme="minorEastAsia" w:cs="Times New Roman"/>
          <w:b/>
          <w:bCs/>
          <w:i/>
          <w:iCs/>
          <w:u w:val="single"/>
        </w:rPr>
        <w:t>£</w:t>
      </w:r>
      <w:r w:rsidRPr="007D7CE9">
        <w:rPr>
          <w:b/>
          <w:bCs/>
          <w:i/>
          <w:iCs/>
          <w:u w:val="single"/>
        </w:rPr>
        <w:t>7</w:t>
      </w:r>
      <w:r>
        <w:rPr>
          <w:b/>
          <w:bCs/>
          <w:i/>
          <w:iCs/>
          <w:u w:val="single"/>
        </w:rPr>
        <w:t>7</w:t>
      </w:r>
      <w:r w:rsidRPr="007D7CE9">
        <w:rPr>
          <w:b/>
          <w:bCs/>
          <w:i/>
          <w:iCs/>
          <w:u w:val="single"/>
        </w:rPr>
        <w:t>0,0</w:t>
      </w:r>
      <w:r>
        <w:rPr>
          <w:b/>
          <w:bCs/>
          <w:i/>
          <w:iCs/>
          <w:u w:val="single"/>
        </w:rPr>
        <w:t>77</w:t>
      </w:r>
    </w:p>
    <w:p w14:paraId="235A0E0E" w14:textId="36B0A271" w:rsidR="00474314" w:rsidRDefault="00474314" w:rsidP="00474314">
      <w:pPr>
        <w:pStyle w:val="Heading2"/>
      </w:pPr>
      <w:bookmarkStart w:id="2" w:name="_Toc80969775"/>
      <w:r>
        <w:t>(b) Calculation of Profits for 75,000 sold units</w:t>
      </w:r>
      <w:bookmarkEnd w:id="2"/>
    </w:p>
    <w:tbl>
      <w:tblPr>
        <w:tblW w:w="4740" w:type="dxa"/>
        <w:tblLook w:val="04A0" w:firstRow="1" w:lastRow="0" w:firstColumn="1" w:lastColumn="0" w:noHBand="0" w:noVBand="1"/>
      </w:tblPr>
      <w:tblGrid>
        <w:gridCol w:w="2200"/>
        <w:gridCol w:w="1481"/>
        <w:gridCol w:w="1059"/>
      </w:tblGrid>
      <w:tr w:rsidR="00474314" w:rsidRPr="00474314" w14:paraId="1DAF72CD" w14:textId="77777777" w:rsidTr="00474314">
        <w:trPr>
          <w:trHeight w:val="300"/>
        </w:trPr>
        <w:tc>
          <w:tcPr>
            <w:tcW w:w="22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2E7F481" w14:textId="77777777" w:rsidR="00474314" w:rsidRPr="00474314" w:rsidRDefault="00474314" w:rsidP="00474314">
            <w:pPr>
              <w:spacing w:after="0" w:line="240" w:lineRule="auto"/>
              <w:jc w:val="left"/>
              <w:rPr>
                <w:rFonts w:ascii="Calibri" w:eastAsia="Times New Roman" w:hAnsi="Calibri" w:cs="Calibri"/>
                <w:b/>
                <w:bCs/>
                <w:i/>
                <w:iCs/>
                <w:color w:val="000000"/>
                <w:sz w:val="22"/>
                <w:lang w:val="en-IN" w:eastAsia="en-IN"/>
              </w:rPr>
            </w:pPr>
            <w:r w:rsidRPr="00474314">
              <w:rPr>
                <w:rFonts w:ascii="Calibri" w:eastAsia="Times New Roman" w:hAnsi="Calibri" w:cs="Calibri"/>
                <w:b/>
                <w:bCs/>
                <w:i/>
                <w:iCs/>
                <w:color w:val="000000"/>
                <w:sz w:val="22"/>
                <w:lang w:val="en-IN" w:eastAsia="en-IN"/>
              </w:rPr>
              <w:t>Particulars</w:t>
            </w:r>
          </w:p>
        </w:tc>
        <w:tc>
          <w:tcPr>
            <w:tcW w:w="1481"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79BD926" w14:textId="77777777" w:rsidR="00474314" w:rsidRPr="00474314" w:rsidRDefault="00474314" w:rsidP="00474314">
            <w:pPr>
              <w:spacing w:after="0" w:line="240" w:lineRule="auto"/>
              <w:jc w:val="center"/>
              <w:rPr>
                <w:rFonts w:ascii="Calibri" w:eastAsia="Times New Roman" w:hAnsi="Calibri" w:cs="Calibri"/>
                <w:b/>
                <w:bCs/>
                <w:i/>
                <w:iCs/>
                <w:color w:val="000000"/>
                <w:sz w:val="22"/>
                <w:lang w:val="en-IN" w:eastAsia="en-IN"/>
              </w:rPr>
            </w:pPr>
            <w:r w:rsidRPr="00474314">
              <w:rPr>
                <w:rFonts w:ascii="Calibri" w:eastAsia="Times New Roman" w:hAnsi="Calibri" w:cs="Calibri"/>
                <w:b/>
                <w:bCs/>
                <w:i/>
                <w:iCs/>
                <w:color w:val="000000"/>
                <w:sz w:val="22"/>
                <w:lang w:val="en-IN" w:eastAsia="en-IN"/>
              </w:rPr>
              <w:t>Details</w:t>
            </w:r>
          </w:p>
        </w:tc>
        <w:tc>
          <w:tcPr>
            <w:tcW w:w="1059"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0E649F2" w14:textId="77777777" w:rsidR="00474314" w:rsidRPr="00474314" w:rsidRDefault="00474314" w:rsidP="00474314">
            <w:pPr>
              <w:spacing w:after="0" w:line="240" w:lineRule="auto"/>
              <w:jc w:val="center"/>
              <w:rPr>
                <w:rFonts w:ascii="Calibri" w:eastAsia="Times New Roman" w:hAnsi="Calibri" w:cs="Calibri"/>
                <w:b/>
                <w:bCs/>
                <w:i/>
                <w:iCs/>
                <w:color w:val="000000"/>
                <w:sz w:val="22"/>
                <w:lang w:val="en-IN" w:eastAsia="en-IN"/>
              </w:rPr>
            </w:pPr>
            <w:r w:rsidRPr="00474314">
              <w:rPr>
                <w:rFonts w:ascii="Calibri" w:eastAsia="Times New Roman" w:hAnsi="Calibri" w:cs="Calibri"/>
                <w:b/>
                <w:bCs/>
                <w:i/>
                <w:iCs/>
                <w:color w:val="000000"/>
                <w:sz w:val="22"/>
                <w:lang w:val="en-IN" w:eastAsia="en-IN"/>
              </w:rPr>
              <w:t>Amts. (£)</w:t>
            </w:r>
          </w:p>
        </w:tc>
      </w:tr>
      <w:tr w:rsidR="00474314" w:rsidRPr="00474314" w14:paraId="64F63721" w14:textId="77777777" w:rsidTr="00474314">
        <w:trPr>
          <w:trHeight w:val="300"/>
        </w:trPr>
        <w:tc>
          <w:tcPr>
            <w:tcW w:w="22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ED3EA8D" w14:textId="77777777" w:rsidR="00474314" w:rsidRPr="00474314" w:rsidRDefault="00474314" w:rsidP="00474314">
            <w:pPr>
              <w:spacing w:after="0" w:line="240" w:lineRule="auto"/>
              <w:jc w:val="left"/>
              <w:rPr>
                <w:rFonts w:ascii="Calibri" w:eastAsia="Times New Roman" w:hAnsi="Calibri" w:cs="Calibri"/>
                <w:color w:val="000000"/>
                <w:sz w:val="22"/>
                <w:lang w:val="en-IN" w:eastAsia="en-IN"/>
              </w:rPr>
            </w:pPr>
            <w:r w:rsidRPr="00474314">
              <w:rPr>
                <w:rFonts w:ascii="Calibri" w:eastAsia="Times New Roman" w:hAnsi="Calibri" w:cs="Calibri"/>
                <w:color w:val="000000"/>
                <w:sz w:val="22"/>
                <w:lang w:val="en-IN" w:eastAsia="en-IN"/>
              </w:rPr>
              <w:t>Selling Price</w:t>
            </w:r>
          </w:p>
        </w:tc>
        <w:tc>
          <w:tcPr>
            <w:tcW w:w="148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2DA24E3" w14:textId="77777777" w:rsidR="00474314" w:rsidRPr="00474314" w:rsidRDefault="00474314" w:rsidP="00474314">
            <w:pPr>
              <w:spacing w:after="0" w:line="240" w:lineRule="auto"/>
              <w:jc w:val="center"/>
              <w:rPr>
                <w:rFonts w:ascii="Calibri" w:eastAsia="Times New Roman" w:hAnsi="Calibri" w:cs="Calibri"/>
                <w:color w:val="000000"/>
                <w:sz w:val="22"/>
                <w:lang w:val="en-IN" w:eastAsia="en-IN"/>
              </w:rPr>
            </w:pPr>
            <w:r w:rsidRPr="00474314">
              <w:rPr>
                <w:rFonts w:ascii="Calibri" w:eastAsia="Times New Roman" w:hAnsi="Calibri" w:cs="Calibri"/>
                <w:color w:val="000000"/>
                <w:sz w:val="22"/>
                <w:lang w:val="en-IN" w:eastAsia="en-IN"/>
              </w:rPr>
              <w:t>(£11* 75,000)</w:t>
            </w:r>
          </w:p>
        </w:tc>
        <w:tc>
          <w:tcPr>
            <w:tcW w:w="105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5C5EBDD" w14:textId="77777777" w:rsidR="00474314" w:rsidRPr="00474314" w:rsidRDefault="00474314" w:rsidP="00474314">
            <w:pPr>
              <w:spacing w:after="0" w:line="240" w:lineRule="auto"/>
              <w:jc w:val="center"/>
              <w:rPr>
                <w:rFonts w:ascii="Calibri" w:eastAsia="Times New Roman" w:hAnsi="Calibri" w:cs="Calibri"/>
                <w:color w:val="000000"/>
                <w:sz w:val="22"/>
                <w:lang w:val="en-IN" w:eastAsia="en-IN"/>
              </w:rPr>
            </w:pPr>
            <w:r w:rsidRPr="00474314">
              <w:rPr>
                <w:rFonts w:ascii="Calibri" w:eastAsia="Times New Roman" w:hAnsi="Calibri" w:cs="Calibri"/>
                <w:color w:val="000000"/>
                <w:sz w:val="22"/>
                <w:lang w:val="en-IN" w:eastAsia="en-IN"/>
              </w:rPr>
              <w:t>825000</w:t>
            </w:r>
          </w:p>
        </w:tc>
      </w:tr>
      <w:tr w:rsidR="00474314" w:rsidRPr="00474314" w14:paraId="10381544" w14:textId="77777777" w:rsidTr="00474314">
        <w:trPr>
          <w:trHeight w:val="300"/>
        </w:trPr>
        <w:tc>
          <w:tcPr>
            <w:tcW w:w="2200"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14:paraId="54ADCF85" w14:textId="77777777" w:rsidR="00474314" w:rsidRPr="00474314" w:rsidRDefault="00474314" w:rsidP="00474314">
            <w:pPr>
              <w:spacing w:after="0" w:line="240" w:lineRule="auto"/>
              <w:jc w:val="left"/>
              <w:rPr>
                <w:rFonts w:ascii="Calibri" w:eastAsia="Times New Roman" w:hAnsi="Calibri" w:cs="Calibri"/>
                <w:color w:val="000000"/>
                <w:sz w:val="22"/>
                <w:lang w:val="en-IN" w:eastAsia="en-IN"/>
              </w:rPr>
            </w:pPr>
            <w:r w:rsidRPr="00474314">
              <w:rPr>
                <w:rFonts w:ascii="Calibri" w:eastAsia="Times New Roman" w:hAnsi="Calibri" w:cs="Calibri"/>
                <w:color w:val="000000"/>
                <w:sz w:val="22"/>
                <w:lang w:val="en-IN" w:eastAsia="en-IN"/>
              </w:rPr>
              <w:lastRenderedPageBreak/>
              <w:t>(Less): Variable Costs</w:t>
            </w:r>
          </w:p>
        </w:tc>
        <w:tc>
          <w:tcPr>
            <w:tcW w:w="1481"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14:paraId="2AFEF5B0" w14:textId="77777777" w:rsidR="00474314" w:rsidRPr="00474314" w:rsidRDefault="00474314" w:rsidP="00474314">
            <w:pPr>
              <w:spacing w:after="0" w:line="240" w:lineRule="auto"/>
              <w:jc w:val="center"/>
              <w:rPr>
                <w:rFonts w:ascii="Calibri" w:eastAsia="Times New Roman" w:hAnsi="Calibri" w:cs="Calibri"/>
                <w:color w:val="000000"/>
                <w:sz w:val="22"/>
                <w:lang w:val="en-IN" w:eastAsia="en-IN"/>
              </w:rPr>
            </w:pPr>
            <w:r w:rsidRPr="00474314">
              <w:rPr>
                <w:rFonts w:ascii="Calibri" w:eastAsia="Times New Roman" w:hAnsi="Calibri" w:cs="Calibri"/>
                <w:color w:val="000000"/>
                <w:sz w:val="22"/>
                <w:lang w:val="en-IN" w:eastAsia="en-IN"/>
              </w:rPr>
              <w:t>(£6* 75,000)</w:t>
            </w:r>
          </w:p>
        </w:tc>
        <w:tc>
          <w:tcPr>
            <w:tcW w:w="1059" w:type="dxa"/>
            <w:tcBorders>
              <w:top w:val="single" w:sz="4" w:space="0" w:color="000000"/>
              <w:left w:val="single" w:sz="4" w:space="0" w:color="000000"/>
              <w:bottom w:val="single" w:sz="4" w:space="0" w:color="auto"/>
              <w:right w:val="single" w:sz="4" w:space="0" w:color="000000"/>
            </w:tcBorders>
            <w:shd w:val="clear" w:color="auto" w:fill="auto"/>
            <w:noWrap/>
            <w:vAlign w:val="bottom"/>
            <w:hideMark/>
          </w:tcPr>
          <w:p w14:paraId="122428A6" w14:textId="77777777" w:rsidR="00474314" w:rsidRPr="00474314" w:rsidRDefault="00474314" w:rsidP="00474314">
            <w:pPr>
              <w:spacing w:after="0" w:line="240" w:lineRule="auto"/>
              <w:jc w:val="center"/>
              <w:rPr>
                <w:rFonts w:ascii="Calibri" w:eastAsia="Times New Roman" w:hAnsi="Calibri" w:cs="Calibri"/>
                <w:color w:val="000000"/>
                <w:sz w:val="22"/>
                <w:lang w:val="en-IN" w:eastAsia="en-IN"/>
              </w:rPr>
            </w:pPr>
            <w:r w:rsidRPr="00474314">
              <w:rPr>
                <w:rFonts w:ascii="Calibri" w:eastAsia="Times New Roman" w:hAnsi="Calibri" w:cs="Calibri"/>
                <w:color w:val="000000"/>
                <w:sz w:val="22"/>
                <w:lang w:val="en-IN" w:eastAsia="en-IN"/>
              </w:rPr>
              <w:t>450000</w:t>
            </w:r>
          </w:p>
        </w:tc>
      </w:tr>
      <w:tr w:rsidR="00474314" w:rsidRPr="00474314" w14:paraId="4DA743E0" w14:textId="77777777" w:rsidTr="00474314">
        <w:trPr>
          <w:trHeight w:val="300"/>
        </w:trPr>
        <w:tc>
          <w:tcPr>
            <w:tcW w:w="22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2948494" w14:textId="77777777" w:rsidR="00474314" w:rsidRPr="00474314" w:rsidRDefault="00474314" w:rsidP="00474314">
            <w:pPr>
              <w:spacing w:after="0" w:line="240" w:lineRule="auto"/>
              <w:jc w:val="left"/>
              <w:rPr>
                <w:rFonts w:ascii="Calibri" w:eastAsia="Times New Roman" w:hAnsi="Calibri" w:cs="Calibri"/>
                <w:b/>
                <w:bCs/>
                <w:color w:val="000000"/>
                <w:sz w:val="22"/>
                <w:lang w:val="en-IN" w:eastAsia="en-IN"/>
              </w:rPr>
            </w:pPr>
            <w:r w:rsidRPr="00474314">
              <w:rPr>
                <w:rFonts w:ascii="Calibri" w:eastAsia="Times New Roman" w:hAnsi="Calibri" w:cs="Calibri"/>
                <w:b/>
                <w:bCs/>
                <w:color w:val="000000"/>
                <w:sz w:val="22"/>
                <w:lang w:val="en-IN" w:eastAsia="en-IN"/>
              </w:rPr>
              <w:t>Contribution Margin</w:t>
            </w:r>
          </w:p>
        </w:tc>
        <w:tc>
          <w:tcPr>
            <w:tcW w:w="148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6AF086B" w14:textId="77777777" w:rsidR="00474314" w:rsidRPr="00474314" w:rsidRDefault="00474314" w:rsidP="00474314">
            <w:pPr>
              <w:spacing w:after="0" w:line="240" w:lineRule="auto"/>
              <w:jc w:val="center"/>
              <w:rPr>
                <w:rFonts w:ascii="Calibri" w:eastAsia="Times New Roman" w:hAnsi="Calibri" w:cs="Calibri"/>
                <w:color w:val="000000"/>
                <w:sz w:val="22"/>
                <w:lang w:val="en-IN" w:eastAsia="en-IN"/>
              </w:rPr>
            </w:pPr>
            <w:r w:rsidRPr="00474314">
              <w:rPr>
                <w:rFonts w:ascii="Calibri" w:eastAsia="Times New Roman" w:hAnsi="Calibri" w:cs="Calibri"/>
                <w:color w:val="000000"/>
                <w:sz w:val="22"/>
                <w:lang w:val="en-IN" w:eastAsia="en-IN"/>
              </w:rPr>
              <w:t>(£5* 75,000)</w:t>
            </w:r>
          </w:p>
        </w:tc>
        <w:tc>
          <w:tcPr>
            <w:tcW w:w="105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3E2C4DE" w14:textId="77777777" w:rsidR="00474314" w:rsidRPr="00474314" w:rsidRDefault="00474314" w:rsidP="00474314">
            <w:pPr>
              <w:spacing w:after="0" w:line="240" w:lineRule="auto"/>
              <w:jc w:val="center"/>
              <w:rPr>
                <w:rFonts w:ascii="Calibri" w:eastAsia="Times New Roman" w:hAnsi="Calibri" w:cs="Calibri"/>
                <w:b/>
                <w:bCs/>
                <w:color w:val="000000"/>
                <w:sz w:val="22"/>
                <w:lang w:val="en-IN" w:eastAsia="en-IN"/>
              </w:rPr>
            </w:pPr>
            <w:r w:rsidRPr="00474314">
              <w:rPr>
                <w:rFonts w:ascii="Calibri" w:eastAsia="Times New Roman" w:hAnsi="Calibri" w:cs="Calibri"/>
                <w:b/>
                <w:bCs/>
                <w:color w:val="000000"/>
                <w:sz w:val="22"/>
                <w:lang w:val="en-IN" w:eastAsia="en-IN"/>
              </w:rPr>
              <w:t>375000</w:t>
            </w:r>
          </w:p>
        </w:tc>
      </w:tr>
      <w:tr w:rsidR="00474314" w:rsidRPr="00474314" w14:paraId="11BAE4CC" w14:textId="77777777" w:rsidTr="00474314">
        <w:trPr>
          <w:trHeight w:val="300"/>
        </w:trPr>
        <w:tc>
          <w:tcPr>
            <w:tcW w:w="22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4E3D04D" w14:textId="77777777" w:rsidR="00474314" w:rsidRPr="00474314" w:rsidRDefault="00474314" w:rsidP="00474314">
            <w:pPr>
              <w:spacing w:after="0" w:line="240" w:lineRule="auto"/>
              <w:jc w:val="left"/>
              <w:rPr>
                <w:rFonts w:ascii="Calibri" w:eastAsia="Times New Roman" w:hAnsi="Calibri" w:cs="Calibri"/>
                <w:color w:val="000000"/>
                <w:sz w:val="22"/>
                <w:lang w:val="en-IN" w:eastAsia="en-IN"/>
              </w:rPr>
            </w:pPr>
            <w:r w:rsidRPr="00474314">
              <w:rPr>
                <w:rFonts w:ascii="Calibri" w:eastAsia="Times New Roman" w:hAnsi="Calibri" w:cs="Calibri"/>
                <w:color w:val="000000"/>
                <w:sz w:val="22"/>
                <w:lang w:val="en-IN" w:eastAsia="en-IN"/>
              </w:rPr>
              <w:t>(Less): Fixed Costs</w:t>
            </w:r>
          </w:p>
        </w:tc>
        <w:tc>
          <w:tcPr>
            <w:tcW w:w="148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BAF157" w14:textId="77777777" w:rsidR="00474314" w:rsidRPr="00474314" w:rsidRDefault="00474314" w:rsidP="00474314">
            <w:pPr>
              <w:spacing w:after="0" w:line="240" w:lineRule="auto"/>
              <w:jc w:val="center"/>
              <w:rPr>
                <w:rFonts w:ascii="Calibri" w:eastAsia="Times New Roman" w:hAnsi="Calibri" w:cs="Calibri"/>
                <w:color w:val="000000"/>
                <w:sz w:val="22"/>
                <w:lang w:val="en-IN" w:eastAsia="en-IN"/>
              </w:rPr>
            </w:pPr>
            <w:r w:rsidRPr="00474314">
              <w:rPr>
                <w:rFonts w:ascii="Calibri" w:eastAsia="Times New Roman" w:hAnsi="Calibri" w:cs="Calibri"/>
                <w:color w:val="000000"/>
                <w:sz w:val="22"/>
                <w:lang w:val="en-IN" w:eastAsia="en-IN"/>
              </w:rPr>
              <w:t>(given)</w:t>
            </w:r>
          </w:p>
        </w:tc>
        <w:tc>
          <w:tcPr>
            <w:tcW w:w="105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C96880" w14:textId="77777777" w:rsidR="00474314" w:rsidRPr="00474314" w:rsidRDefault="00474314" w:rsidP="00474314">
            <w:pPr>
              <w:spacing w:after="0" w:line="240" w:lineRule="auto"/>
              <w:jc w:val="center"/>
              <w:rPr>
                <w:rFonts w:ascii="Calibri" w:eastAsia="Times New Roman" w:hAnsi="Calibri" w:cs="Calibri"/>
                <w:color w:val="000000"/>
                <w:sz w:val="22"/>
                <w:lang w:val="en-IN" w:eastAsia="en-IN"/>
              </w:rPr>
            </w:pPr>
            <w:r w:rsidRPr="00474314">
              <w:rPr>
                <w:rFonts w:ascii="Calibri" w:eastAsia="Times New Roman" w:hAnsi="Calibri" w:cs="Calibri"/>
                <w:color w:val="000000"/>
                <w:sz w:val="22"/>
                <w:lang w:val="en-IN" w:eastAsia="en-IN"/>
              </w:rPr>
              <w:t>350000</w:t>
            </w:r>
          </w:p>
        </w:tc>
      </w:tr>
      <w:tr w:rsidR="00474314" w:rsidRPr="00474314" w14:paraId="33911276" w14:textId="77777777" w:rsidTr="00474314">
        <w:trPr>
          <w:trHeight w:val="300"/>
        </w:trPr>
        <w:tc>
          <w:tcPr>
            <w:tcW w:w="220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49E827F9" w14:textId="77777777" w:rsidR="00474314" w:rsidRPr="00474314" w:rsidRDefault="00474314" w:rsidP="00474314">
            <w:pPr>
              <w:spacing w:after="0" w:line="240" w:lineRule="auto"/>
              <w:jc w:val="left"/>
              <w:rPr>
                <w:rFonts w:ascii="Calibri" w:eastAsia="Times New Roman" w:hAnsi="Calibri" w:cs="Calibri"/>
                <w:b/>
                <w:bCs/>
                <w:i/>
                <w:iCs/>
                <w:color w:val="000000"/>
                <w:sz w:val="22"/>
                <w:lang w:val="en-IN" w:eastAsia="en-IN"/>
              </w:rPr>
            </w:pPr>
            <w:r w:rsidRPr="00474314">
              <w:rPr>
                <w:rFonts w:ascii="Calibri" w:eastAsia="Times New Roman" w:hAnsi="Calibri" w:cs="Calibri"/>
                <w:b/>
                <w:bCs/>
                <w:i/>
                <w:iCs/>
                <w:color w:val="000000"/>
                <w:sz w:val="22"/>
                <w:lang w:val="en-IN" w:eastAsia="en-IN"/>
              </w:rPr>
              <w:t>Net Income or Profit</w:t>
            </w:r>
          </w:p>
        </w:tc>
        <w:tc>
          <w:tcPr>
            <w:tcW w:w="1481"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A524855" w14:textId="77777777" w:rsidR="00474314" w:rsidRPr="00474314" w:rsidRDefault="00474314" w:rsidP="00474314">
            <w:pPr>
              <w:spacing w:after="0" w:line="240" w:lineRule="auto"/>
              <w:jc w:val="center"/>
              <w:rPr>
                <w:rFonts w:ascii="Calibri" w:eastAsia="Times New Roman" w:hAnsi="Calibri" w:cs="Calibri"/>
                <w:b/>
                <w:bCs/>
                <w:i/>
                <w:iCs/>
                <w:color w:val="000000"/>
                <w:sz w:val="22"/>
                <w:lang w:val="en-IN" w:eastAsia="en-IN"/>
              </w:rPr>
            </w:pPr>
            <w:r w:rsidRPr="00474314">
              <w:rPr>
                <w:rFonts w:ascii="Calibri" w:eastAsia="Times New Roman" w:hAnsi="Calibri" w:cs="Calibri"/>
                <w:b/>
                <w:bCs/>
                <w:i/>
                <w:iCs/>
                <w:color w:val="000000"/>
                <w:sz w:val="22"/>
                <w:lang w:val="en-IN" w:eastAsia="en-IN"/>
              </w:rPr>
              <w:t> </w:t>
            </w:r>
          </w:p>
        </w:tc>
        <w:tc>
          <w:tcPr>
            <w:tcW w:w="1059"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71ADCCA7" w14:textId="77777777" w:rsidR="00474314" w:rsidRPr="00474314" w:rsidRDefault="00474314" w:rsidP="00474314">
            <w:pPr>
              <w:spacing w:after="0" w:line="240" w:lineRule="auto"/>
              <w:jc w:val="center"/>
              <w:rPr>
                <w:rFonts w:ascii="Calibri" w:eastAsia="Times New Roman" w:hAnsi="Calibri" w:cs="Calibri"/>
                <w:b/>
                <w:bCs/>
                <w:i/>
                <w:iCs/>
                <w:color w:val="000000"/>
                <w:sz w:val="22"/>
                <w:lang w:val="en-IN" w:eastAsia="en-IN"/>
              </w:rPr>
            </w:pPr>
            <w:r w:rsidRPr="00474314">
              <w:rPr>
                <w:rFonts w:ascii="Calibri" w:eastAsia="Times New Roman" w:hAnsi="Calibri" w:cs="Calibri"/>
                <w:b/>
                <w:bCs/>
                <w:i/>
                <w:iCs/>
                <w:color w:val="000000"/>
                <w:sz w:val="22"/>
                <w:lang w:val="en-IN" w:eastAsia="en-IN"/>
              </w:rPr>
              <w:t>25000</w:t>
            </w:r>
          </w:p>
        </w:tc>
      </w:tr>
    </w:tbl>
    <w:p w14:paraId="0F507333" w14:textId="1C601DBB" w:rsidR="00474314" w:rsidRDefault="00474314" w:rsidP="00474314"/>
    <w:p w14:paraId="2E615D3C" w14:textId="0691C129" w:rsidR="00474314" w:rsidRDefault="00165E97" w:rsidP="00165E97">
      <w:pPr>
        <w:pStyle w:val="Heading2"/>
      </w:pPr>
      <w:bookmarkStart w:id="3" w:name="_Toc80969776"/>
      <w:r>
        <w:t>(c) Calculation of New Profit figure for improved product</w:t>
      </w:r>
      <w:bookmarkEnd w:id="3"/>
    </w:p>
    <w:p w14:paraId="020D76E0" w14:textId="77777777" w:rsidR="00CB19AF" w:rsidRDefault="00CB19AF" w:rsidP="00CB19AF">
      <w:pPr>
        <w:pStyle w:val="BodyText"/>
        <w:rPr>
          <w:rFonts w:ascii="Times New Roman" w:hAnsi="Times New Roman" w:cs="Times New Roman"/>
          <w:bCs/>
        </w:rPr>
      </w:pPr>
      <w:r>
        <w:rPr>
          <w:rFonts w:ascii="Times New Roman" w:hAnsi="Times New Roman" w:cs="Times New Roman"/>
          <w:bCs/>
        </w:rPr>
        <w:t>New Selling price= 13</w:t>
      </w:r>
    </w:p>
    <w:p w14:paraId="59961AE8" w14:textId="77777777" w:rsidR="00CB19AF" w:rsidRDefault="00CB19AF" w:rsidP="00CB19AF">
      <w:pPr>
        <w:pStyle w:val="BodyText"/>
        <w:rPr>
          <w:rFonts w:ascii="Times New Roman" w:hAnsi="Times New Roman" w:cs="Times New Roman"/>
          <w:bCs/>
        </w:rPr>
      </w:pPr>
      <w:r>
        <w:rPr>
          <w:rFonts w:ascii="Times New Roman" w:hAnsi="Times New Roman" w:cs="Times New Roman"/>
          <w:bCs/>
        </w:rPr>
        <w:t>New Variable costs= 7</w:t>
      </w:r>
    </w:p>
    <w:p w14:paraId="6E932493" w14:textId="77777777" w:rsidR="00CB19AF" w:rsidRDefault="00CB19AF" w:rsidP="00CB19AF">
      <w:pPr>
        <w:pStyle w:val="BodyText"/>
        <w:rPr>
          <w:rFonts w:ascii="Times New Roman" w:hAnsi="Times New Roman" w:cs="Times New Roman"/>
          <w:bCs/>
        </w:rPr>
      </w:pPr>
      <w:r>
        <w:rPr>
          <w:rFonts w:ascii="Times New Roman" w:hAnsi="Times New Roman" w:cs="Times New Roman"/>
          <w:bCs/>
        </w:rPr>
        <w:t>New Fixed Costs= 350,000+10,000=360,000</w:t>
      </w:r>
    </w:p>
    <w:p w14:paraId="1DEF1AA2" w14:textId="77777777" w:rsidR="00CB19AF" w:rsidRDefault="00CB19AF" w:rsidP="00CB19AF">
      <w:pPr>
        <w:pStyle w:val="BodyText"/>
        <w:rPr>
          <w:rFonts w:ascii="Times New Roman" w:hAnsi="Times New Roman" w:cs="Times New Roman"/>
          <w:bCs/>
        </w:rPr>
      </w:pPr>
      <w:r>
        <w:rPr>
          <w:rFonts w:ascii="Times New Roman" w:hAnsi="Times New Roman" w:cs="Times New Roman"/>
          <w:bCs/>
        </w:rPr>
        <w:t>New Contribution= 13-7=6</w:t>
      </w:r>
    </w:p>
    <w:p w14:paraId="78DD7CCF" w14:textId="77777777" w:rsidR="00CB19AF" w:rsidRDefault="00CB19AF" w:rsidP="00CB19AF">
      <w:pPr>
        <w:pStyle w:val="BodyText"/>
        <w:rPr>
          <w:rFonts w:ascii="Times New Roman" w:hAnsi="Times New Roman" w:cs="Times New Roman"/>
          <w:bCs/>
        </w:rPr>
      </w:pPr>
      <w:r>
        <w:rPr>
          <w:rFonts w:ascii="Times New Roman" w:hAnsi="Times New Roman" w:cs="Times New Roman"/>
          <w:bCs/>
        </w:rPr>
        <w:t xml:space="preserve">New </w:t>
      </w:r>
      <w:proofErr w:type="gramStart"/>
      <w:r>
        <w:rPr>
          <w:rFonts w:ascii="Times New Roman" w:hAnsi="Times New Roman" w:cs="Times New Roman"/>
          <w:bCs/>
        </w:rPr>
        <w:t>Break Even</w:t>
      </w:r>
      <w:proofErr w:type="gramEnd"/>
      <w:r>
        <w:rPr>
          <w:rFonts w:ascii="Times New Roman" w:hAnsi="Times New Roman" w:cs="Times New Roman"/>
          <w:bCs/>
        </w:rPr>
        <w:t xml:space="preserve"> Point= 360,000/6=60,000</w:t>
      </w:r>
    </w:p>
    <w:p w14:paraId="640A07BC" w14:textId="77777777" w:rsidR="00CB19AF" w:rsidRPr="00213CDE" w:rsidRDefault="00CB19AF" w:rsidP="00CB19AF">
      <w:pPr>
        <w:pStyle w:val="BodyText"/>
        <w:rPr>
          <w:rFonts w:ascii="Times New Roman" w:hAnsi="Times New Roman" w:cs="Times New Roman"/>
          <w:bCs/>
        </w:rPr>
      </w:pPr>
      <w:r>
        <w:rPr>
          <w:rFonts w:ascii="Times New Roman" w:hAnsi="Times New Roman" w:cs="Times New Roman"/>
          <w:bCs/>
        </w:rPr>
        <w:t>Profit= (80,000-60,000) x6= 120,000</w:t>
      </w:r>
    </w:p>
    <w:p w14:paraId="525AA440" w14:textId="6C0C2315" w:rsidR="00CB19AF" w:rsidRDefault="00CB19AF" w:rsidP="00CB19AF"/>
    <w:p w14:paraId="28AACC6C" w14:textId="7EB39B0E" w:rsidR="00CB19AF" w:rsidRPr="00CB19AF" w:rsidRDefault="00CB19AF" w:rsidP="00CB19AF">
      <w:r>
        <w:t>OR</w:t>
      </w:r>
    </w:p>
    <w:tbl>
      <w:tblPr>
        <w:tblW w:w="6099" w:type="dxa"/>
        <w:tblLook w:val="04A0" w:firstRow="1" w:lastRow="0" w:firstColumn="1" w:lastColumn="0" w:noHBand="0" w:noVBand="1"/>
      </w:tblPr>
      <w:tblGrid>
        <w:gridCol w:w="2689"/>
        <w:gridCol w:w="2268"/>
        <w:gridCol w:w="1142"/>
      </w:tblGrid>
      <w:tr w:rsidR="00CB19AF" w:rsidRPr="00654C53" w14:paraId="6A58973F" w14:textId="77777777" w:rsidTr="007B671F">
        <w:trPr>
          <w:trHeight w:val="300"/>
        </w:trPr>
        <w:tc>
          <w:tcPr>
            <w:tcW w:w="2689"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C932272" w14:textId="77777777" w:rsidR="00CB19AF" w:rsidRPr="00654C53" w:rsidRDefault="00CB19AF" w:rsidP="007B671F">
            <w:pPr>
              <w:spacing w:after="0" w:line="240" w:lineRule="auto"/>
              <w:jc w:val="left"/>
              <w:rPr>
                <w:rFonts w:ascii="Calibri" w:eastAsia="Times New Roman" w:hAnsi="Calibri" w:cs="Calibri"/>
                <w:b/>
                <w:bCs/>
                <w:i/>
                <w:iCs/>
                <w:color w:val="000000"/>
                <w:sz w:val="22"/>
                <w:lang w:val="en-IN" w:eastAsia="en-IN"/>
              </w:rPr>
            </w:pPr>
            <w:r w:rsidRPr="00654C53">
              <w:rPr>
                <w:rFonts w:ascii="Calibri" w:eastAsia="Times New Roman" w:hAnsi="Calibri" w:cs="Calibri"/>
                <w:b/>
                <w:bCs/>
                <w:i/>
                <w:iCs/>
                <w:color w:val="000000"/>
                <w:sz w:val="22"/>
                <w:lang w:val="en-IN" w:eastAsia="en-IN"/>
              </w:rPr>
              <w:t xml:space="preserve">Particulars </w:t>
            </w:r>
          </w:p>
        </w:tc>
        <w:tc>
          <w:tcPr>
            <w:tcW w:w="2268"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39D401D" w14:textId="77777777" w:rsidR="00CB19AF" w:rsidRPr="00654C53" w:rsidRDefault="00CB19AF" w:rsidP="007B671F">
            <w:pPr>
              <w:spacing w:after="0" w:line="240" w:lineRule="auto"/>
              <w:jc w:val="center"/>
              <w:rPr>
                <w:rFonts w:ascii="Calibri" w:eastAsia="Times New Roman" w:hAnsi="Calibri" w:cs="Calibri"/>
                <w:b/>
                <w:bCs/>
                <w:i/>
                <w:iCs/>
                <w:color w:val="000000"/>
                <w:sz w:val="22"/>
                <w:lang w:val="en-IN" w:eastAsia="en-IN"/>
              </w:rPr>
            </w:pPr>
            <w:r w:rsidRPr="00654C53">
              <w:rPr>
                <w:rFonts w:ascii="Calibri" w:eastAsia="Times New Roman" w:hAnsi="Calibri" w:cs="Calibri"/>
                <w:b/>
                <w:bCs/>
                <w:i/>
                <w:iCs/>
                <w:color w:val="000000"/>
                <w:sz w:val="22"/>
                <w:lang w:val="en-IN" w:eastAsia="en-IN"/>
              </w:rPr>
              <w:t>Details</w:t>
            </w:r>
          </w:p>
        </w:tc>
        <w:tc>
          <w:tcPr>
            <w:tcW w:w="1142"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2B16411" w14:textId="77777777" w:rsidR="00CB19AF" w:rsidRPr="00654C53" w:rsidRDefault="00CB19AF" w:rsidP="007B671F">
            <w:pPr>
              <w:spacing w:after="0" w:line="240" w:lineRule="auto"/>
              <w:jc w:val="center"/>
              <w:rPr>
                <w:rFonts w:ascii="Calibri" w:eastAsia="Times New Roman" w:hAnsi="Calibri" w:cs="Calibri"/>
                <w:b/>
                <w:bCs/>
                <w:i/>
                <w:iCs/>
                <w:color w:val="000000"/>
                <w:sz w:val="22"/>
                <w:lang w:val="en-IN" w:eastAsia="en-IN"/>
              </w:rPr>
            </w:pPr>
            <w:r w:rsidRPr="00654C53">
              <w:rPr>
                <w:rFonts w:ascii="Calibri" w:eastAsia="Times New Roman" w:hAnsi="Calibri" w:cs="Calibri"/>
                <w:b/>
                <w:bCs/>
                <w:i/>
                <w:iCs/>
                <w:color w:val="000000"/>
                <w:sz w:val="22"/>
                <w:lang w:val="en-IN" w:eastAsia="en-IN"/>
              </w:rPr>
              <w:t>Amts. (£)</w:t>
            </w:r>
          </w:p>
        </w:tc>
      </w:tr>
      <w:tr w:rsidR="00CB19AF" w:rsidRPr="00654C53" w14:paraId="03066930" w14:textId="77777777" w:rsidTr="007B671F">
        <w:trPr>
          <w:trHeight w:val="300"/>
        </w:trPr>
        <w:tc>
          <w:tcPr>
            <w:tcW w:w="268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3AF3922" w14:textId="77777777" w:rsidR="00CB19AF" w:rsidRPr="00654C53" w:rsidRDefault="00CB19AF" w:rsidP="007B671F">
            <w:pPr>
              <w:spacing w:after="0" w:line="240" w:lineRule="auto"/>
              <w:jc w:val="left"/>
              <w:rPr>
                <w:rFonts w:ascii="Calibri" w:eastAsia="Times New Roman" w:hAnsi="Calibri" w:cs="Calibri"/>
                <w:color w:val="000000"/>
                <w:sz w:val="22"/>
                <w:lang w:val="en-IN" w:eastAsia="en-IN"/>
              </w:rPr>
            </w:pPr>
            <w:r w:rsidRPr="00654C53">
              <w:rPr>
                <w:rFonts w:ascii="Calibri" w:eastAsia="Times New Roman" w:hAnsi="Calibri" w:cs="Calibri"/>
                <w:color w:val="000000"/>
                <w:sz w:val="22"/>
                <w:lang w:val="en-IN" w:eastAsia="en-IN"/>
              </w:rPr>
              <w:t>Selling Price (new)</w:t>
            </w:r>
          </w:p>
        </w:tc>
        <w:tc>
          <w:tcPr>
            <w:tcW w:w="2268"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42FB7C0" w14:textId="77777777" w:rsidR="00CB19AF" w:rsidRPr="00654C53" w:rsidRDefault="00CB19AF" w:rsidP="007B671F">
            <w:pPr>
              <w:spacing w:after="0" w:line="240" w:lineRule="auto"/>
              <w:jc w:val="center"/>
              <w:rPr>
                <w:rFonts w:ascii="Calibri" w:eastAsia="Times New Roman" w:hAnsi="Calibri" w:cs="Calibri"/>
                <w:color w:val="000000"/>
                <w:sz w:val="22"/>
                <w:lang w:val="en-IN" w:eastAsia="en-IN"/>
              </w:rPr>
            </w:pPr>
            <w:r w:rsidRPr="00654C53">
              <w:rPr>
                <w:rFonts w:ascii="Calibri" w:eastAsia="Times New Roman" w:hAnsi="Calibri" w:cs="Calibri"/>
                <w:color w:val="000000"/>
                <w:sz w:val="22"/>
                <w:lang w:val="en-IN" w:eastAsia="en-IN"/>
              </w:rPr>
              <w:t>(80000 units * £13)</w:t>
            </w:r>
          </w:p>
        </w:tc>
        <w:tc>
          <w:tcPr>
            <w:tcW w:w="1142"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5A917E4" w14:textId="77777777" w:rsidR="00CB19AF" w:rsidRPr="00654C53" w:rsidRDefault="00CB19AF" w:rsidP="007B671F">
            <w:pPr>
              <w:spacing w:after="0" w:line="240" w:lineRule="auto"/>
              <w:jc w:val="center"/>
              <w:rPr>
                <w:rFonts w:ascii="Calibri" w:eastAsia="Times New Roman" w:hAnsi="Calibri" w:cs="Calibri"/>
                <w:color w:val="000000"/>
                <w:sz w:val="22"/>
                <w:lang w:val="en-IN" w:eastAsia="en-IN"/>
              </w:rPr>
            </w:pPr>
            <w:r w:rsidRPr="00654C53">
              <w:rPr>
                <w:rFonts w:ascii="Calibri" w:eastAsia="Times New Roman" w:hAnsi="Calibri" w:cs="Calibri"/>
                <w:color w:val="000000"/>
                <w:sz w:val="22"/>
                <w:lang w:val="en-IN" w:eastAsia="en-IN"/>
              </w:rPr>
              <w:t>1040000</w:t>
            </w:r>
          </w:p>
        </w:tc>
      </w:tr>
      <w:tr w:rsidR="00CB19AF" w:rsidRPr="00654C53" w14:paraId="49238676" w14:textId="77777777" w:rsidTr="007B671F">
        <w:trPr>
          <w:trHeight w:val="300"/>
        </w:trPr>
        <w:tc>
          <w:tcPr>
            <w:tcW w:w="268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7FE045F" w14:textId="77777777" w:rsidR="00CB19AF" w:rsidRPr="00654C53" w:rsidRDefault="00CB19AF" w:rsidP="007B671F">
            <w:pPr>
              <w:spacing w:after="0" w:line="240" w:lineRule="auto"/>
              <w:jc w:val="left"/>
              <w:rPr>
                <w:rFonts w:ascii="Calibri" w:eastAsia="Times New Roman" w:hAnsi="Calibri" w:cs="Calibri"/>
                <w:color w:val="000000"/>
                <w:sz w:val="22"/>
                <w:lang w:val="en-IN" w:eastAsia="en-IN"/>
              </w:rPr>
            </w:pPr>
            <w:r w:rsidRPr="00654C53">
              <w:rPr>
                <w:rFonts w:ascii="Calibri" w:eastAsia="Times New Roman" w:hAnsi="Calibri" w:cs="Calibri"/>
                <w:color w:val="000000"/>
                <w:sz w:val="22"/>
                <w:lang w:val="en-IN" w:eastAsia="en-IN"/>
              </w:rPr>
              <w:t>(Less): Variable Costs (new)</w:t>
            </w:r>
          </w:p>
        </w:tc>
        <w:tc>
          <w:tcPr>
            <w:tcW w:w="226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6FA7140" w14:textId="77777777" w:rsidR="00CB19AF" w:rsidRPr="00654C53" w:rsidRDefault="00CB19AF" w:rsidP="007B671F">
            <w:pPr>
              <w:spacing w:after="0" w:line="240" w:lineRule="auto"/>
              <w:jc w:val="center"/>
              <w:rPr>
                <w:rFonts w:ascii="Calibri" w:eastAsia="Times New Roman" w:hAnsi="Calibri" w:cs="Calibri"/>
                <w:color w:val="000000"/>
                <w:sz w:val="22"/>
                <w:lang w:val="en-IN" w:eastAsia="en-IN"/>
              </w:rPr>
            </w:pPr>
            <w:r w:rsidRPr="00654C53">
              <w:rPr>
                <w:rFonts w:ascii="Calibri" w:eastAsia="Times New Roman" w:hAnsi="Calibri" w:cs="Calibri"/>
                <w:color w:val="000000"/>
                <w:sz w:val="22"/>
                <w:lang w:val="en-IN" w:eastAsia="en-IN"/>
              </w:rPr>
              <w:t xml:space="preserve">(80000 units * </w:t>
            </w:r>
            <w:proofErr w:type="gramStart"/>
            <w:r w:rsidRPr="00654C53">
              <w:rPr>
                <w:rFonts w:ascii="Calibri" w:eastAsia="Times New Roman" w:hAnsi="Calibri" w:cs="Calibri"/>
                <w:color w:val="000000"/>
                <w:sz w:val="22"/>
                <w:lang w:val="en-IN" w:eastAsia="en-IN"/>
              </w:rPr>
              <w:t>£(</w:t>
            </w:r>
            <w:proofErr w:type="gramEnd"/>
            <w:r w:rsidRPr="00654C53">
              <w:rPr>
                <w:rFonts w:ascii="Calibri" w:eastAsia="Times New Roman" w:hAnsi="Calibri" w:cs="Calibri"/>
                <w:color w:val="000000"/>
                <w:sz w:val="22"/>
                <w:lang w:val="en-IN" w:eastAsia="en-IN"/>
              </w:rPr>
              <w:t>1+6))</w:t>
            </w:r>
          </w:p>
        </w:tc>
        <w:tc>
          <w:tcPr>
            <w:tcW w:w="114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0D792B1" w14:textId="77777777" w:rsidR="00CB19AF" w:rsidRPr="00654C53" w:rsidRDefault="00CB19AF" w:rsidP="007B671F">
            <w:pPr>
              <w:spacing w:after="0" w:line="240" w:lineRule="auto"/>
              <w:jc w:val="center"/>
              <w:rPr>
                <w:rFonts w:ascii="Calibri" w:eastAsia="Times New Roman" w:hAnsi="Calibri" w:cs="Calibri"/>
                <w:color w:val="000000"/>
                <w:sz w:val="22"/>
                <w:lang w:val="en-IN" w:eastAsia="en-IN"/>
              </w:rPr>
            </w:pPr>
            <w:r w:rsidRPr="00654C53">
              <w:rPr>
                <w:rFonts w:ascii="Calibri" w:eastAsia="Times New Roman" w:hAnsi="Calibri" w:cs="Calibri"/>
                <w:color w:val="000000"/>
                <w:sz w:val="22"/>
                <w:lang w:val="en-IN" w:eastAsia="en-IN"/>
              </w:rPr>
              <w:t>560000</w:t>
            </w:r>
          </w:p>
        </w:tc>
      </w:tr>
      <w:tr w:rsidR="00CB19AF" w:rsidRPr="00654C53" w14:paraId="15F35371" w14:textId="77777777" w:rsidTr="007B671F">
        <w:trPr>
          <w:trHeight w:val="300"/>
        </w:trPr>
        <w:tc>
          <w:tcPr>
            <w:tcW w:w="2689"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2EA47DD" w14:textId="77777777" w:rsidR="00CB19AF" w:rsidRPr="00654C53" w:rsidRDefault="00CB19AF" w:rsidP="007B671F">
            <w:pPr>
              <w:spacing w:after="0" w:line="240" w:lineRule="auto"/>
              <w:jc w:val="left"/>
              <w:rPr>
                <w:rFonts w:ascii="Calibri" w:eastAsia="Times New Roman" w:hAnsi="Calibri" w:cs="Calibri"/>
                <w:b/>
                <w:bCs/>
                <w:color w:val="000000"/>
                <w:sz w:val="22"/>
                <w:lang w:val="en-IN" w:eastAsia="en-IN"/>
              </w:rPr>
            </w:pPr>
            <w:r w:rsidRPr="00654C53">
              <w:rPr>
                <w:rFonts w:ascii="Calibri" w:eastAsia="Times New Roman" w:hAnsi="Calibri" w:cs="Calibri"/>
                <w:b/>
                <w:bCs/>
                <w:color w:val="000000"/>
                <w:sz w:val="22"/>
                <w:lang w:val="en-IN" w:eastAsia="en-IN"/>
              </w:rPr>
              <w:t>Contribution Margins</w:t>
            </w:r>
          </w:p>
        </w:tc>
        <w:tc>
          <w:tcPr>
            <w:tcW w:w="2268"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0D3D1D0" w14:textId="77777777" w:rsidR="00CB19AF" w:rsidRPr="00654C53" w:rsidRDefault="00CB19AF" w:rsidP="007B671F">
            <w:pPr>
              <w:spacing w:after="0" w:line="240" w:lineRule="auto"/>
              <w:jc w:val="left"/>
              <w:rPr>
                <w:rFonts w:ascii="Calibri" w:eastAsia="Times New Roman" w:hAnsi="Calibri" w:cs="Calibri"/>
                <w:b/>
                <w:bCs/>
                <w:color w:val="000000"/>
                <w:sz w:val="22"/>
                <w:lang w:val="en-IN" w:eastAsia="en-IN"/>
              </w:rPr>
            </w:pPr>
          </w:p>
        </w:tc>
        <w:tc>
          <w:tcPr>
            <w:tcW w:w="1142"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924DB05" w14:textId="77777777" w:rsidR="00CB19AF" w:rsidRPr="00654C53" w:rsidRDefault="00CB19AF" w:rsidP="007B671F">
            <w:pPr>
              <w:spacing w:after="0" w:line="240" w:lineRule="auto"/>
              <w:jc w:val="center"/>
              <w:rPr>
                <w:rFonts w:ascii="Calibri" w:eastAsia="Times New Roman" w:hAnsi="Calibri" w:cs="Calibri"/>
                <w:color w:val="000000"/>
                <w:sz w:val="22"/>
                <w:lang w:val="en-IN" w:eastAsia="en-IN"/>
              </w:rPr>
            </w:pPr>
            <w:r w:rsidRPr="00654C53">
              <w:rPr>
                <w:rFonts w:ascii="Calibri" w:eastAsia="Times New Roman" w:hAnsi="Calibri" w:cs="Calibri"/>
                <w:color w:val="000000"/>
                <w:sz w:val="22"/>
                <w:lang w:val="en-IN" w:eastAsia="en-IN"/>
              </w:rPr>
              <w:t>480000</w:t>
            </w:r>
          </w:p>
        </w:tc>
      </w:tr>
      <w:tr w:rsidR="00CB19AF" w:rsidRPr="00654C53" w14:paraId="598D17F4" w14:textId="77777777" w:rsidTr="007B671F">
        <w:trPr>
          <w:trHeight w:val="300"/>
        </w:trPr>
        <w:tc>
          <w:tcPr>
            <w:tcW w:w="268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2D4DD02" w14:textId="77777777" w:rsidR="00CB19AF" w:rsidRPr="00654C53" w:rsidRDefault="00CB19AF" w:rsidP="007B671F">
            <w:pPr>
              <w:spacing w:after="0" w:line="240" w:lineRule="auto"/>
              <w:jc w:val="left"/>
              <w:rPr>
                <w:rFonts w:ascii="Calibri" w:eastAsia="Times New Roman" w:hAnsi="Calibri" w:cs="Calibri"/>
                <w:color w:val="000000"/>
                <w:sz w:val="22"/>
                <w:lang w:val="en-IN" w:eastAsia="en-IN"/>
              </w:rPr>
            </w:pPr>
            <w:r w:rsidRPr="00654C53">
              <w:rPr>
                <w:rFonts w:ascii="Calibri" w:eastAsia="Times New Roman" w:hAnsi="Calibri" w:cs="Calibri"/>
                <w:color w:val="000000"/>
                <w:sz w:val="22"/>
                <w:lang w:val="en-IN" w:eastAsia="en-IN"/>
              </w:rPr>
              <w:t>(Less): Fixed Costs</w:t>
            </w:r>
          </w:p>
        </w:tc>
        <w:tc>
          <w:tcPr>
            <w:tcW w:w="226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2F7017" w14:textId="77777777" w:rsidR="00CB19AF" w:rsidRPr="00654C53" w:rsidRDefault="00CB19AF" w:rsidP="007B671F">
            <w:pPr>
              <w:spacing w:after="0" w:line="240" w:lineRule="auto"/>
              <w:jc w:val="center"/>
              <w:rPr>
                <w:rFonts w:ascii="Calibri" w:eastAsia="Times New Roman" w:hAnsi="Calibri" w:cs="Calibri"/>
                <w:color w:val="000000"/>
                <w:sz w:val="22"/>
                <w:lang w:val="en-IN" w:eastAsia="en-IN"/>
              </w:rPr>
            </w:pPr>
            <w:proofErr w:type="gramStart"/>
            <w:r w:rsidRPr="00654C53">
              <w:rPr>
                <w:rFonts w:ascii="Calibri" w:eastAsia="Times New Roman" w:hAnsi="Calibri" w:cs="Calibri"/>
                <w:color w:val="000000"/>
                <w:sz w:val="22"/>
                <w:lang w:val="en-IN" w:eastAsia="en-IN"/>
              </w:rPr>
              <w:t>£(</w:t>
            </w:r>
            <w:proofErr w:type="gramEnd"/>
            <w:r w:rsidRPr="00654C53">
              <w:rPr>
                <w:rFonts w:ascii="Calibri" w:eastAsia="Times New Roman" w:hAnsi="Calibri" w:cs="Calibri"/>
                <w:color w:val="000000"/>
                <w:sz w:val="22"/>
                <w:lang w:val="en-IN" w:eastAsia="en-IN"/>
              </w:rPr>
              <w:t>350000+10000)</w:t>
            </w:r>
          </w:p>
        </w:tc>
        <w:tc>
          <w:tcPr>
            <w:tcW w:w="114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5EBFE71" w14:textId="77777777" w:rsidR="00CB19AF" w:rsidRPr="00654C53" w:rsidRDefault="00CB19AF" w:rsidP="007B671F">
            <w:pPr>
              <w:spacing w:after="0" w:line="240" w:lineRule="auto"/>
              <w:jc w:val="center"/>
              <w:rPr>
                <w:rFonts w:ascii="Calibri" w:eastAsia="Times New Roman" w:hAnsi="Calibri" w:cs="Calibri"/>
                <w:color w:val="000000"/>
                <w:sz w:val="22"/>
                <w:lang w:val="en-IN" w:eastAsia="en-IN"/>
              </w:rPr>
            </w:pPr>
            <w:r w:rsidRPr="00654C53">
              <w:rPr>
                <w:rFonts w:ascii="Calibri" w:eastAsia="Times New Roman" w:hAnsi="Calibri" w:cs="Calibri"/>
                <w:color w:val="000000"/>
                <w:sz w:val="22"/>
                <w:lang w:val="en-IN" w:eastAsia="en-IN"/>
              </w:rPr>
              <w:t>360000</w:t>
            </w:r>
          </w:p>
        </w:tc>
      </w:tr>
      <w:tr w:rsidR="00CB19AF" w:rsidRPr="00654C53" w14:paraId="4E00FE90" w14:textId="77777777" w:rsidTr="007B671F">
        <w:trPr>
          <w:trHeight w:val="315"/>
        </w:trPr>
        <w:tc>
          <w:tcPr>
            <w:tcW w:w="2689"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14DCE2DB" w14:textId="77777777" w:rsidR="00CB19AF" w:rsidRPr="00654C53" w:rsidRDefault="00CB19AF" w:rsidP="007B671F">
            <w:pPr>
              <w:spacing w:after="0" w:line="240" w:lineRule="auto"/>
              <w:jc w:val="left"/>
              <w:rPr>
                <w:rFonts w:ascii="Calibri" w:eastAsia="Times New Roman" w:hAnsi="Calibri" w:cs="Calibri"/>
                <w:b/>
                <w:bCs/>
                <w:i/>
                <w:iCs/>
                <w:color w:val="000000"/>
                <w:sz w:val="22"/>
                <w:lang w:val="en-IN" w:eastAsia="en-IN"/>
              </w:rPr>
            </w:pPr>
            <w:r w:rsidRPr="00654C53">
              <w:rPr>
                <w:rFonts w:ascii="Calibri" w:eastAsia="Times New Roman" w:hAnsi="Calibri" w:cs="Calibri"/>
                <w:b/>
                <w:bCs/>
                <w:i/>
                <w:iCs/>
                <w:color w:val="000000"/>
                <w:sz w:val="22"/>
                <w:lang w:val="en-IN" w:eastAsia="en-IN"/>
              </w:rPr>
              <w:t xml:space="preserve">New Income or Profit </w:t>
            </w:r>
          </w:p>
        </w:tc>
        <w:tc>
          <w:tcPr>
            <w:tcW w:w="2268"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78F79EA8" w14:textId="77777777" w:rsidR="00CB19AF" w:rsidRPr="00654C53" w:rsidRDefault="00CB19AF" w:rsidP="007B671F">
            <w:pPr>
              <w:spacing w:after="0" w:line="240" w:lineRule="auto"/>
              <w:jc w:val="left"/>
              <w:rPr>
                <w:rFonts w:ascii="Calibri" w:eastAsia="Times New Roman" w:hAnsi="Calibri" w:cs="Calibri"/>
                <w:b/>
                <w:bCs/>
                <w:i/>
                <w:iCs/>
                <w:color w:val="000000"/>
                <w:sz w:val="22"/>
                <w:lang w:val="en-IN" w:eastAsia="en-IN"/>
              </w:rPr>
            </w:pPr>
            <w:r w:rsidRPr="00654C53">
              <w:rPr>
                <w:rFonts w:ascii="Calibri" w:eastAsia="Times New Roman" w:hAnsi="Calibri" w:cs="Calibri"/>
                <w:b/>
                <w:bCs/>
                <w:i/>
                <w:iCs/>
                <w:color w:val="000000"/>
                <w:sz w:val="22"/>
                <w:lang w:val="en-IN" w:eastAsia="en-IN"/>
              </w:rPr>
              <w:t> </w:t>
            </w:r>
          </w:p>
        </w:tc>
        <w:tc>
          <w:tcPr>
            <w:tcW w:w="1142"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4E8E8E96" w14:textId="77777777" w:rsidR="00CB19AF" w:rsidRPr="00654C53" w:rsidRDefault="00CB19AF" w:rsidP="007B671F">
            <w:pPr>
              <w:spacing w:after="0" w:line="240" w:lineRule="auto"/>
              <w:jc w:val="center"/>
              <w:rPr>
                <w:rFonts w:ascii="Calibri" w:eastAsia="Times New Roman" w:hAnsi="Calibri" w:cs="Calibri"/>
                <w:b/>
                <w:bCs/>
                <w:i/>
                <w:iCs/>
                <w:color w:val="000000"/>
                <w:sz w:val="22"/>
                <w:lang w:val="en-IN" w:eastAsia="en-IN"/>
              </w:rPr>
            </w:pPr>
            <w:r w:rsidRPr="00654C53">
              <w:rPr>
                <w:rFonts w:ascii="Calibri" w:eastAsia="Times New Roman" w:hAnsi="Calibri" w:cs="Calibri"/>
                <w:b/>
                <w:bCs/>
                <w:i/>
                <w:iCs/>
                <w:color w:val="000000"/>
                <w:sz w:val="22"/>
                <w:lang w:val="en-IN" w:eastAsia="en-IN"/>
              </w:rPr>
              <w:t>120000</w:t>
            </w:r>
          </w:p>
        </w:tc>
      </w:tr>
    </w:tbl>
    <w:p w14:paraId="6F698EF9" w14:textId="383AD592" w:rsidR="00165E97" w:rsidRDefault="00165E97" w:rsidP="00165E97"/>
    <w:p w14:paraId="4420077F" w14:textId="2A64C36E" w:rsidR="00EF1BF8" w:rsidRDefault="00EF1BF8" w:rsidP="00EF1BF8">
      <w:pPr>
        <w:pStyle w:val="Heading2"/>
      </w:pPr>
      <w:bookmarkStart w:id="4" w:name="_Toc80969777"/>
      <w:r>
        <w:t>(d) Limitations identified for Break-even Analysis</w:t>
      </w:r>
      <w:bookmarkEnd w:id="4"/>
    </w:p>
    <w:p w14:paraId="76AA2D3F" w14:textId="00C68D88" w:rsidR="00EF1BF8" w:rsidRDefault="00EF1BF8" w:rsidP="00EF1BF8">
      <w:r>
        <w:t xml:space="preserve">The limitations identified for break-even analysis have been elaborated </w:t>
      </w:r>
      <w:proofErr w:type="gramStart"/>
      <w:r>
        <w:t>below:-</w:t>
      </w:r>
      <w:proofErr w:type="gramEnd"/>
    </w:p>
    <w:p w14:paraId="5C305CA4" w14:textId="5B77EC1E" w:rsidR="00EF1BF8" w:rsidRDefault="00F70E8E" w:rsidP="00EF1BF8">
      <w:r>
        <w:t>I</w:t>
      </w:r>
      <w:r w:rsidR="00EF1BF8">
        <w:t>) Its assumption concerning the clear separation of every fixed constituent as well as the variables ones may sometimes prove to be impractical. This is since in realistic scenarios, these costs cannot always be selectively separated</w:t>
      </w:r>
      <w:sdt>
        <w:sdtPr>
          <w:id w:val="-1293058172"/>
          <w:citation/>
        </w:sdtPr>
        <w:sdtEndPr/>
        <w:sdtContent>
          <w:r w:rsidR="007B3711">
            <w:fldChar w:fldCharType="begin"/>
          </w:r>
          <w:r w:rsidR="007B3711">
            <w:rPr>
              <w:lang w:val="en-US"/>
            </w:rPr>
            <w:instrText xml:space="preserve"> CITATION MAT211 \l 1033 </w:instrText>
          </w:r>
          <w:r w:rsidR="007B3711">
            <w:fldChar w:fldCharType="separate"/>
          </w:r>
          <w:r w:rsidR="007B3711">
            <w:rPr>
              <w:noProof/>
              <w:lang w:val="en-US"/>
            </w:rPr>
            <w:t xml:space="preserve"> </w:t>
          </w:r>
          <w:r w:rsidR="007B3711" w:rsidRPr="007B3711">
            <w:rPr>
              <w:noProof/>
              <w:lang w:val="en-US"/>
            </w:rPr>
            <w:t>(MATHSLOVER, 2021)</w:t>
          </w:r>
          <w:r w:rsidR="007B3711">
            <w:fldChar w:fldCharType="end"/>
          </w:r>
        </w:sdtContent>
      </w:sdt>
      <w:r w:rsidR="00EF1BF8">
        <w:t>.</w:t>
      </w:r>
    </w:p>
    <w:p w14:paraId="43277CA8" w14:textId="3F6D70B7" w:rsidR="00E9374E" w:rsidRDefault="00F70E8E" w:rsidP="00EF1BF8">
      <w:r>
        <w:t>II</w:t>
      </w:r>
      <w:r w:rsidR="00EF1BF8">
        <w:t xml:space="preserve">) Its assumption concerning an unvarying and linear selling price over the business years may prove to be impractical. This is since in realistic scenarios, </w:t>
      </w:r>
      <w:r w:rsidR="00E9374E">
        <w:t>selling prices can never be kept constant as this might severely affect its gain margins.</w:t>
      </w:r>
    </w:p>
    <w:p w14:paraId="46D5B65D" w14:textId="011197B6" w:rsidR="00916775" w:rsidRDefault="00F70E8E" w:rsidP="00EF1BF8">
      <w:r>
        <w:lastRenderedPageBreak/>
        <w:t>III</w:t>
      </w:r>
      <w:r w:rsidR="00E9374E">
        <w:t xml:space="preserve">) Another of its assumption concerning </w:t>
      </w:r>
      <w:r w:rsidR="006D640D">
        <w:t xml:space="preserve">an </w:t>
      </w:r>
      <w:r w:rsidR="00E9374E">
        <w:t xml:space="preserve">equivalent variation of </w:t>
      </w:r>
      <w:r w:rsidR="00712ADC">
        <w:t>fixed</w:t>
      </w:r>
      <w:r w:rsidR="00E9374E">
        <w:t xml:space="preserve"> spending as per the corporation’s yield volume is once again</w:t>
      </w:r>
      <w:r w:rsidR="00712ADC">
        <w:t xml:space="preserve"> very impractical. This is since in realistic scenarios, fixed spending holds a tendency to rise if the corporation’s yield volume goes beyond a definite point</w:t>
      </w:r>
      <w:sdt>
        <w:sdtPr>
          <w:id w:val="1347752107"/>
          <w:citation/>
        </w:sdtPr>
        <w:sdtEndPr/>
        <w:sdtContent>
          <w:r w:rsidR="009009D9">
            <w:fldChar w:fldCharType="begin"/>
          </w:r>
          <w:r w:rsidR="009009D9">
            <w:rPr>
              <w:lang w:val="en-US"/>
            </w:rPr>
            <w:instrText xml:space="preserve"> CITATION Mar194 \l 1033 </w:instrText>
          </w:r>
          <w:r w:rsidR="009009D9">
            <w:fldChar w:fldCharType="separate"/>
          </w:r>
          <w:r w:rsidR="009009D9">
            <w:rPr>
              <w:noProof/>
              <w:lang w:val="en-US"/>
            </w:rPr>
            <w:t xml:space="preserve"> </w:t>
          </w:r>
          <w:r w:rsidR="009009D9" w:rsidRPr="009009D9">
            <w:rPr>
              <w:noProof/>
              <w:lang w:val="en-US"/>
            </w:rPr>
            <w:t>(Luenendonk, 2019)</w:t>
          </w:r>
          <w:r w:rsidR="009009D9">
            <w:fldChar w:fldCharType="end"/>
          </w:r>
        </w:sdtContent>
      </w:sdt>
      <w:r w:rsidR="00712ADC">
        <w:t>.</w:t>
      </w:r>
    </w:p>
    <w:p w14:paraId="2CD2C9B3" w14:textId="77777777" w:rsidR="00916775" w:rsidRDefault="00916775">
      <w:pPr>
        <w:spacing w:line="259" w:lineRule="auto"/>
        <w:jc w:val="left"/>
      </w:pPr>
      <w:r>
        <w:br w:type="page"/>
      </w:r>
    </w:p>
    <w:p w14:paraId="552D483E" w14:textId="28A9DA07" w:rsidR="00AF2F35" w:rsidRDefault="00AF2F35" w:rsidP="00AF2F35">
      <w:pPr>
        <w:pStyle w:val="Heading1"/>
      </w:pPr>
      <w:bookmarkStart w:id="5" w:name="_Toc80969778"/>
      <w:r>
        <w:lastRenderedPageBreak/>
        <w:t>Question-2</w:t>
      </w:r>
      <w:bookmarkEnd w:id="5"/>
    </w:p>
    <w:p w14:paraId="29AB0637" w14:textId="37A1CC74" w:rsidR="00916775" w:rsidRDefault="00AF2F35" w:rsidP="00AF2F35">
      <w:pPr>
        <w:pStyle w:val="Heading2"/>
      </w:pPr>
      <w:bookmarkStart w:id="6" w:name="_Toc80969779"/>
      <w:r>
        <w:t xml:space="preserve">(a) </w:t>
      </w:r>
      <w:r w:rsidR="00916775">
        <w:t>Discuss the importance of management accounting and how it differs from what financial accounting provides</w:t>
      </w:r>
      <w:bookmarkEnd w:id="6"/>
    </w:p>
    <w:p w14:paraId="211A3C3B" w14:textId="77777777" w:rsidR="00916775" w:rsidRDefault="00916775" w:rsidP="00916775">
      <w:r>
        <w:t>Management accounting highlights the financial decision-making aspects of an organisation. Through the help of this method, communicating monetary aspects becomes easy for the administration of an organisation</w:t>
      </w:r>
      <w:sdt>
        <w:sdtPr>
          <w:id w:val="1245375666"/>
          <w:citation/>
        </w:sdtPr>
        <w:sdtEndPr/>
        <w:sdtContent>
          <w:r>
            <w:fldChar w:fldCharType="begin"/>
          </w:r>
          <w:r>
            <w:rPr>
              <w:lang w:val="en-US"/>
            </w:rPr>
            <w:instrText xml:space="preserve"> CITATION Pra21 \l 1033 </w:instrText>
          </w:r>
          <w:r>
            <w:fldChar w:fldCharType="separate"/>
          </w:r>
          <w:r>
            <w:rPr>
              <w:noProof/>
              <w:lang w:val="en-US"/>
            </w:rPr>
            <w:t xml:space="preserve"> </w:t>
          </w:r>
          <w:r w:rsidRPr="00D83955">
            <w:rPr>
              <w:noProof/>
              <w:lang w:val="en-US"/>
            </w:rPr>
            <w:t>(Devasenapathy, 2021)</w:t>
          </w:r>
          <w:r>
            <w:fldChar w:fldCharType="end"/>
          </w:r>
        </w:sdtContent>
      </w:sdt>
      <w:r>
        <w:t>. Management accounting is highly important for the success of an organisation, such as:</w:t>
      </w:r>
    </w:p>
    <w:p w14:paraId="06856B85" w14:textId="77777777" w:rsidR="00916775" w:rsidRPr="00D25988" w:rsidRDefault="00916775" w:rsidP="00916775">
      <w:r>
        <w:rPr>
          <w:b/>
          <w:bCs/>
        </w:rPr>
        <w:t xml:space="preserve">Facilitates making plans: </w:t>
      </w:r>
      <w:r>
        <w:t xml:space="preserve">Organisational planning is being facilitated and maintained by the tool of management accounting. By offering financial and non-financial information, this tool helps an organisation identifying risks and opportunities. Thus, organisational growth gets facilitated. </w:t>
      </w:r>
    </w:p>
    <w:p w14:paraId="477A76C0" w14:textId="77777777" w:rsidR="00916775" w:rsidRDefault="00916775" w:rsidP="00916775">
      <w:r>
        <w:rPr>
          <w:b/>
          <w:bCs/>
        </w:rPr>
        <w:t xml:space="preserve">Measuring performance: </w:t>
      </w:r>
      <w:r>
        <w:t>Management accounting tool is also being used to measure the performance of the employees and the organisation. Different techniques and tools such as variance analysis are being utilised by this tool to offer proper deviation and growth to an organisation</w:t>
      </w:r>
      <w:r w:rsidRPr="009E3078">
        <w:rPr>
          <w:shd w:val="clear" w:color="auto" w:fill="FFFFFF"/>
        </w:rPr>
        <w:t xml:space="preserve"> </w:t>
      </w:r>
      <w:r>
        <w:rPr>
          <w:shd w:val="clear" w:color="auto" w:fill="FFFFFF"/>
        </w:rPr>
        <w:t xml:space="preserve">(Burns, and </w:t>
      </w:r>
      <w:proofErr w:type="spellStart"/>
      <w:r>
        <w:rPr>
          <w:shd w:val="clear" w:color="auto" w:fill="FFFFFF"/>
        </w:rPr>
        <w:t>Vaivio</w:t>
      </w:r>
      <w:proofErr w:type="spellEnd"/>
      <w:r>
        <w:rPr>
          <w:shd w:val="clear" w:color="auto" w:fill="FFFFFF"/>
        </w:rPr>
        <w:t>, 2017)</w:t>
      </w:r>
      <w:r>
        <w:t xml:space="preserve">. </w:t>
      </w:r>
    </w:p>
    <w:p w14:paraId="402A8EBF" w14:textId="77777777" w:rsidR="00916775" w:rsidRPr="00384498" w:rsidRDefault="00916775" w:rsidP="00916775">
      <w:r>
        <w:t>Management accounting and financial accounting differ in terms of their liabilities and obligations. The key work of financial accounting is to offer financial details such as budget, gross expenditure and so on to an organisation</w:t>
      </w:r>
      <w:sdt>
        <w:sdtPr>
          <w:id w:val="-1195919256"/>
          <w:citation/>
        </w:sdtPr>
        <w:sdtEndPr/>
        <w:sdtContent>
          <w:r>
            <w:fldChar w:fldCharType="begin"/>
          </w:r>
          <w:r>
            <w:rPr>
              <w:lang w:val="en-US"/>
            </w:rPr>
            <w:instrText xml:space="preserve"> CITATION Pra21 \l 1033 </w:instrText>
          </w:r>
          <w:r>
            <w:fldChar w:fldCharType="separate"/>
          </w:r>
          <w:r>
            <w:rPr>
              <w:noProof/>
              <w:lang w:val="en-US"/>
            </w:rPr>
            <w:t xml:space="preserve"> </w:t>
          </w:r>
          <w:r w:rsidRPr="009E3078">
            <w:rPr>
              <w:noProof/>
              <w:lang w:val="en-US"/>
            </w:rPr>
            <w:t>(Devasenapathy, 2021)</w:t>
          </w:r>
          <w:r>
            <w:fldChar w:fldCharType="end"/>
          </w:r>
        </w:sdtContent>
      </w:sdt>
      <w:r>
        <w:t xml:space="preserve">. As a result, only limited knowledge can be gained from this tool. However, on the other hand, management accounting is the vast process through which the financial balance of an organisation gets managed and stabilised successfully. In short, management accounting analyses all the finance-related potential risks and offers suitable solutions to an organisation. </w:t>
      </w:r>
    </w:p>
    <w:p w14:paraId="4CFA4E91" w14:textId="77777777" w:rsidR="00AF2F35" w:rsidRDefault="00AF2F35" w:rsidP="00916775">
      <w:pPr>
        <w:pStyle w:val="Heading1"/>
      </w:pPr>
    </w:p>
    <w:p w14:paraId="3BB31DEA" w14:textId="2988AA45" w:rsidR="00916775" w:rsidRDefault="00AF2F35" w:rsidP="00AF2F35">
      <w:pPr>
        <w:pStyle w:val="Heading2"/>
      </w:pPr>
      <w:bookmarkStart w:id="7" w:name="_Toc80969780"/>
      <w:r>
        <w:t xml:space="preserve">(b) </w:t>
      </w:r>
      <w:r w:rsidR="00916775">
        <w:t>Discuss three techniques by which the management accountant can achieve the objectives of management accounting</w:t>
      </w:r>
      <w:bookmarkEnd w:id="7"/>
    </w:p>
    <w:p w14:paraId="618F5C64" w14:textId="77777777" w:rsidR="00916775" w:rsidRDefault="00916775" w:rsidP="00916775">
      <w:r>
        <w:t>Management accounting of different organisations possesses different objectives. However, some of the common objectives of management accounting can be witnessed inside every organisation. Such as-</w:t>
      </w:r>
    </w:p>
    <w:p w14:paraId="53D865FB" w14:textId="4EBCC95D" w:rsidR="00916775" w:rsidRDefault="00F70E8E" w:rsidP="00916775">
      <w:r>
        <w:t>I</w:t>
      </w:r>
      <w:r w:rsidR="00916775">
        <w:t>) To assist in the planning of organisational policies</w:t>
      </w:r>
    </w:p>
    <w:p w14:paraId="2FCD3F7A" w14:textId="01F7575D" w:rsidR="00916775" w:rsidRDefault="00F70E8E" w:rsidP="00916775">
      <w:r>
        <w:t>II</w:t>
      </w:r>
      <w:r w:rsidR="00916775">
        <w:t>) To facilitate the performance controlling aspects of an organisation</w:t>
      </w:r>
    </w:p>
    <w:p w14:paraId="7008F75F" w14:textId="65334163" w:rsidR="00916775" w:rsidRDefault="00F70E8E" w:rsidP="00916775">
      <w:r>
        <w:t>III</w:t>
      </w:r>
      <w:r w:rsidR="00916775">
        <w:t>) To organise financial matters inside a company</w:t>
      </w:r>
    </w:p>
    <w:p w14:paraId="2306DF5D" w14:textId="77777777" w:rsidR="00916775" w:rsidRDefault="00916775" w:rsidP="00916775">
      <w:r>
        <w:t>The above-mentioned common objectives of management accounting can be achieved through different techniques. Some of them are being discussed here:</w:t>
      </w:r>
    </w:p>
    <w:p w14:paraId="59B3C355" w14:textId="77777777" w:rsidR="00916775" w:rsidRPr="00A931BF" w:rsidRDefault="00916775" w:rsidP="00916775">
      <w:r>
        <w:rPr>
          <w:b/>
          <w:bCs/>
        </w:rPr>
        <w:t xml:space="preserve">Standard costing: </w:t>
      </w:r>
      <w:r>
        <w:t>This technique can be used to manage the cost control of an organisation. For this matter, comparing internal calculations, variances are being done by this technique</w:t>
      </w:r>
      <w:r w:rsidRPr="00D57EDF">
        <w:rPr>
          <w:shd w:val="clear" w:color="auto" w:fill="FFFFFF"/>
        </w:rPr>
        <w:t xml:space="preserve"> </w:t>
      </w:r>
      <w:r>
        <w:rPr>
          <w:shd w:val="clear" w:color="auto" w:fill="FFFFFF"/>
        </w:rPr>
        <w:t>(Adler, and Waldron, 2019, p. 140)</w:t>
      </w:r>
      <w:r>
        <w:t xml:space="preserve">. Thus, achieving success in managing the financial matters of an organisation becomes easy. </w:t>
      </w:r>
    </w:p>
    <w:p w14:paraId="605977D5" w14:textId="77777777" w:rsidR="00916775" w:rsidRPr="000619A3" w:rsidRDefault="00916775" w:rsidP="00916775">
      <w:r>
        <w:rPr>
          <w:b/>
          <w:bCs/>
        </w:rPr>
        <w:t xml:space="preserve">Budgetary control: </w:t>
      </w:r>
      <w:r>
        <w:t xml:space="preserve">Budget control is generally used to manage financial and other activities inside an organisation. Through the help of this technique, proper business-related advice and directions can be provided. As a result, organisational performance gets facilitated, and at the same time, management accounting objectives are being attained. </w:t>
      </w:r>
    </w:p>
    <w:p w14:paraId="63570C0E" w14:textId="77777777" w:rsidR="00916775" w:rsidRDefault="00916775" w:rsidP="00916775">
      <w:r>
        <w:rPr>
          <w:b/>
          <w:bCs/>
        </w:rPr>
        <w:t xml:space="preserve">Cash flow statement: </w:t>
      </w:r>
      <w:r>
        <w:t xml:space="preserve">A cash flow statement is a very popular technique of management accounting that is being used to facilitate the monetary plans of an organisation. This technique is managing the working capital of an organisation. This technique is maintaining the stable </w:t>
      </w:r>
      <w:r>
        <w:lastRenderedPageBreak/>
        <w:t xml:space="preserve">flow of cash inside a company </w:t>
      </w:r>
      <w:r>
        <w:rPr>
          <w:shd w:val="clear" w:color="auto" w:fill="FFFFFF"/>
        </w:rPr>
        <w:t>(Adler, and Waldron, 2019, p. 140)</w:t>
      </w:r>
      <w:r>
        <w:t xml:space="preserve">. Thus, the development of organisational policies, as well as organisational performance, can be achieved. </w:t>
      </w:r>
      <w:r>
        <w:br w:type="page"/>
      </w:r>
    </w:p>
    <w:p w14:paraId="1D766196" w14:textId="77777777" w:rsidR="00916775" w:rsidRDefault="00916775" w:rsidP="00916775">
      <w:pPr>
        <w:pStyle w:val="Heading1"/>
      </w:pPr>
      <w:bookmarkStart w:id="8" w:name="_Toc80969781"/>
      <w:r>
        <w:lastRenderedPageBreak/>
        <w:t>References</w:t>
      </w:r>
      <w:bookmarkEnd w:id="8"/>
    </w:p>
    <w:p w14:paraId="618A6B91" w14:textId="77777777" w:rsidR="00916775" w:rsidRDefault="00916775" w:rsidP="00916775">
      <w:pPr>
        <w:rPr>
          <w:b/>
          <w:bCs/>
        </w:rPr>
      </w:pPr>
      <w:r>
        <w:rPr>
          <w:b/>
          <w:bCs/>
        </w:rPr>
        <w:t>Books and Journals:</w:t>
      </w:r>
    </w:p>
    <w:p w14:paraId="228439C7" w14:textId="77777777" w:rsidR="00864D09" w:rsidRDefault="00864D09" w:rsidP="00864D09">
      <w:pPr>
        <w:rPr>
          <w:shd w:val="clear" w:color="auto" w:fill="FFFFFF"/>
        </w:rPr>
      </w:pPr>
      <w:r>
        <w:rPr>
          <w:shd w:val="clear" w:color="auto" w:fill="FFFFFF"/>
        </w:rPr>
        <w:t xml:space="preserve">Burns, J. and </w:t>
      </w:r>
      <w:proofErr w:type="spellStart"/>
      <w:r>
        <w:rPr>
          <w:shd w:val="clear" w:color="auto" w:fill="FFFFFF"/>
        </w:rPr>
        <w:t>Vaivio</w:t>
      </w:r>
      <w:proofErr w:type="spellEnd"/>
      <w:r>
        <w:rPr>
          <w:shd w:val="clear" w:color="auto" w:fill="FFFFFF"/>
        </w:rPr>
        <w:t>, J., 2017. Management accounting change. </w:t>
      </w:r>
      <w:r>
        <w:rPr>
          <w:i/>
          <w:iCs/>
          <w:shd w:val="clear" w:color="auto" w:fill="FFFFFF"/>
        </w:rPr>
        <w:t>Available at SSRN 289124</w:t>
      </w:r>
      <w:r>
        <w:rPr>
          <w:shd w:val="clear" w:color="auto" w:fill="FFFFFF"/>
        </w:rPr>
        <w:t>.</w:t>
      </w:r>
    </w:p>
    <w:p w14:paraId="45A955E5" w14:textId="77777777" w:rsidR="00864D09" w:rsidRDefault="00864D09" w:rsidP="00864D09">
      <w:pPr>
        <w:rPr>
          <w:shd w:val="clear" w:color="auto" w:fill="FFFFFF"/>
        </w:rPr>
      </w:pPr>
      <w:r>
        <w:rPr>
          <w:shd w:val="clear" w:color="auto" w:fill="FFFFFF"/>
        </w:rPr>
        <w:t>Adler, R., and Waldron, M., 2019, June. Advanced management accounting techniques in manufacturing: utilization, benefits, and barriers to implementation. In </w:t>
      </w:r>
      <w:r>
        <w:rPr>
          <w:i/>
          <w:iCs/>
          <w:shd w:val="clear" w:color="auto" w:fill="FFFFFF"/>
        </w:rPr>
        <w:t>Accounting Forum</w:t>
      </w:r>
      <w:r>
        <w:rPr>
          <w:shd w:val="clear" w:color="auto" w:fill="FFFFFF"/>
        </w:rPr>
        <w:t> (Vol. 24, No. 2, pp. 131-150). Taylor &amp; Francis.</w:t>
      </w:r>
    </w:p>
    <w:p w14:paraId="0E807326" w14:textId="3381F173" w:rsidR="00864D09" w:rsidRDefault="00864D09" w:rsidP="00864D09">
      <w:pPr>
        <w:rPr>
          <w:b/>
          <w:bCs/>
        </w:rPr>
      </w:pPr>
      <w:r w:rsidRPr="00864D09">
        <w:rPr>
          <w:b/>
          <w:bCs/>
        </w:rPr>
        <w:t>Websites:</w:t>
      </w:r>
    </w:p>
    <w:sdt>
      <w:sdtPr>
        <w:id w:val="111145805"/>
        <w:bibliography/>
      </w:sdtPr>
      <w:sdtEndPr/>
      <w:sdtContent>
        <w:p w14:paraId="1BC731B4" w14:textId="77777777" w:rsidR="00864D09" w:rsidRDefault="00864D09" w:rsidP="00864D09">
          <w:pPr>
            <w:pStyle w:val="Bibliography"/>
            <w:rPr>
              <w:noProof/>
              <w:szCs w:val="24"/>
            </w:rPr>
          </w:pPr>
          <w:r>
            <w:fldChar w:fldCharType="begin"/>
          </w:r>
          <w:r>
            <w:instrText xml:space="preserve"> BIBLIOGRAPHY </w:instrText>
          </w:r>
          <w:r>
            <w:fldChar w:fldCharType="separate"/>
          </w:r>
          <w:r>
            <w:rPr>
              <w:noProof/>
            </w:rPr>
            <w:t xml:space="preserve">Devasenapathy, P., 2021. </w:t>
          </w:r>
          <w:r>
            <w:rPr>
              <w:i/>
              <w:iCs/>
              <w:noProof/>
            </w:rPr>
            <w:t xml:space="preserve">What Is Management Accounting?. </w:t>
          </w:r>
          <w:r>
            <w:rPr>
              <w:noProof/>
            </w:rPr>
            <w:t xml:space="preserve">[Online] </w:t>
          </w:r>
          <w:r>
            <w:rPr>
              <w:noProof/>
            </w:rPr>
            <w:br/>
            <w:t xml:space="preserve">Available at: </w:t>
          </w:r>
          <w:r>
            <w:rPr>
              <w:noProof/>
              <w:u w:val="single"/>
            </w:rPr>
            <w:t>https://tallysolutions.com/accounting/management-accounting/</w:t>
          </w:r>
        </w:p>
        <w:p w14:paraId="43CA74B2" w14:textId="77777777" w:rsidR="00864D09" w:rsidRDefault="00864D09" w:rsidP="00864D09">
          <w:pPr>
            <w:pStyle w:val="Bibliography"/>
            <w:rPr>
              <w:noProof/>
            </w:rPr>
          </w:pPr>
          <w:r>
            <w:rPr>
              <w:noProof/>
            </w:rPr>
            <w:t xml:space="preserve">Luenendonk, M., 2019. </w:t>
          </w:r>
          <w:r>
            <w:rPr>
              <w:i/>
              <w:iCs/>
              <w:noProof/>
            </w:rPr>
            <w:t xml:space="preserve">BREAK-EVEN ANALYSIS, AND HOW IT WORKS. </w:t>
          </w:r>
          <w:r>
            <w:rPr>
              <w:noProof/>
            </w:rPr>
            <w:t xml:space="preserve">[Online] </w:t>
          </w:r>
          <w:r>
            <w:rPr>
              <w:noProof/>
            </w:rPr>
            <w:br/>
            <w:t xml:space="preserve">Available at: </w:t>
          </w:r>
          <w:r>
            <w:rPr>
              <w:noProof/>
              <w:u w:val="single"/>
            </w:rPr>
            <w:t>https://www.cleverism.com/break-even-analysis/</w:t>
          </w:r>
        </w:p>
        <w:p w14:paraId="48EBB43E" w14:textId="77777777" w:rsidR="00864D09" w:rsidRDefault="00864D09" w:rsidP="00864D09">
          <w:pPr>
            <w:pStyle w:val="Bibliography"/>
            <w:rPr>
              <w:noProof/>
            </w:rPr>
          </w:pPr>
          <w:r>
            <w:rPr>
              <w:noProof/>
            </w:rPr>
            <w:t xml:space="preserve">MATHSLOVER, 2021. </w:t>
          </w:r>
          <w:r>
            <w:rPr>
              <w:i/>
              <w:iCs/>
              <w:noProof/>
            </w:rPr>
            <w:t xml:space="preserve">Disadvantages and Advantages of Break-Even Analysis. </w:t>
          </w:r>
          <w:r>
            <w:rPr>
              <w:noProof/>
            </w:rPr>
            <w:t xml:space="preserve">[Online] </w:t>
          </w:r>
          <w:r>
            <w:rPr>
              <w:noProof/>
            </w:rPr>
            <w:br/>
            <w:t xml:space="preserve">Available at: </w:t>
          </w:r>
          <w:r>
            <w:rPr>
              <w:noProof/>
              <w:u w:val="single"/>
            </w:rPr>
            <w:t>https://toughnickel.com/business/Breakeven-analysis</w:t>
          </w:r>
        </w:p>
        <w:p w14:paraId="1B18A6E4" w14:textId="4EBF6EF2" w:rsidR="00864D09" w:rsidRPr="00864D09" w:rsidRDefault="00864D09" w:rsidP="00864D09">
          <w:r>
            <w:rPr>
              <w:b/>
              <w:bCs/>
              <w:noProof/>
            </w:rPr>
            <w:fldChar w:fldCharType="end"/>
          </w:r>
        </w:p>
      </w:sdtContent>
    </w:sdt>
    <w:sectPr w:rsidR="00864D09" w:rsidRPr="00864D09" w:rsidSect="00127055">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20FF0" w14:textId="77777777" w:rsidR="009B67D7" w:rsidRDefault="009B67D7" w:rsidP="00127055">
      <w:pPr>
        <w:spacing w:after="0" w:line="240" w:lineRule="auto"/>
      </w:pPr>
      <w:r>
        <w:separator/>
      </w:r>
    </w:p>
  </w:endnote>
  <w:endnote w:type="continuationSeparator" w:id="0">
    <w:p w14:paraId="4409FF13" w14:textId="77777777" w:rsidR="009B67D7" w:rsidRDefault="009B67D7" w:rsidP="00127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387930"/>
      <w:docPartObj>
        <w:docPartGallery w:val="Page Numbers (Bottom of Page)"/>
        <w:docPartUnique/>
      </w:docPartObj>
    </w:sdtPr>
    <w:sdtEndPr/>
    <w:sdtContent>
      <w:sdt>
        <w:sdtPr>
          <w:id w:val="-1769616900"/>
          <w:docPartObj>
            <w:docPartGallery w:val="Page Numbers (Top of Page)"/>
            <w:docPartUnique/>
          </w:docPartObj>
        </w:sdtPr>
        <w:sdtEndPr/>
        <w:sdtContent>
          <w:p w14:paraId="6B8BF1CC" w14:textId="012CBFFC" w:rsidR="00127055" w:rsidRDefault="0012705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2953711" w14:textId="77777777" w:rsidR="00127055" w:rsidRDefault="00127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C8BD5" w14:textId="77777777" w:rsidR="009B67D7" w:rsidRDefault="009B67D7" w:rsidP="00127055">
      <w:pPr>
        <w:spacing w:after="0" w:line="240" w:lineRule="auto"/>
      </w:pPr>
      <w:r>
        <w:separator/>
      </w:r>
    </w:p>
  </w:footnote>
  <w:footnote w:type="continuationSeparator" w:id="0">
    <w:p w14:paraId="694E0E1D" w14:textId="77777777" w:rsidR="009B67D7" w:rsidRDefault="009B67D7" w:rsidP="00127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A249C" w14:textId="1B24F7D2" w:rsidR="00127055" w:rsidRPr="00127055" w:rsidRDefault="00127055" w:rsidP="00127055">
    <w:pPr>
      <w:pStyle w:val="Header"/>
      <w:jc w:val="right"/>
    </w:pPr>
    <w:r>
      <w:t>ACCOUNTING 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D51AD"/>
    <w:multiLevelType w:val="hybridMultilevel"/>
    <w:tmpl w:val="9B2C500E"/>
    <w:lvl w:ilvl="0" w:tplc="DBBA2DE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CD339BA"/>
    <w:multiLevelType w:val="hybridMultilevel"/>
    <w:tmpl w:val="F7CAA42C"/>
    <w:lvl w:ilvl="0" w:tplc="09962FC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55"/>
    <w:rsid w:val="00025DC4"/>
    <w:rsid w:val="000B4AD1"/>
    <w:rsid w:val="00127055"/>
    <w:rsid w:val="00165E97"/>
    <w:rsid w:val="001B3B2F"/>
    <w:rsid w:val="00341827"/>
    <w:rsid w:val="003F2434"/>
    <w:rsid w:val="0041423F"/>
    <w:rsid w:val="00461138"/>
    <w:rsid w:val="00474314"/>
    <w:rsid w:val="004B4D45"/>
    <w:rsid w:val="00522F85"/>
    <w:rsid w:val="005B38AB"/>
    <w:rsid w:val="005E116E"/>
    <w:rsid w:val="006D640D"/>
    <w:rsid w:val="00712ADC"/>
    <w:rsid w:val="0077796E"/>
    <w:rsid w:val="007976C2"/>
    <w:rsid w:val="007B3711"/>
    <w:rsid w:val="007D7CE9"/>
    <w:rsid w:val="00864D09"/>
    <w:rsid w:val="009009D9"/>
    <w:rsid w:val="00916775"/>
    <w:rsid w:val="00996B1E"/>
    <w:rsid w:val="009B67D7"/>
    <w:rsid w:val="00AF2F35"/>
    <w:rsid w:val="00C117C7"/>
    <w:rsid w:val="00C7096E"/>
    <w:rsid w:val="00CB19AF"/>
    <w:rsid w:val="00D023C0"/>
    <w:rsid w:val="00DA7D8D"/>
    <w:rsid w:val="00E93063"/>
    <w:rsid w:val="00E9374E"/>
    <w:rsid w:val="00EF1BF8"/>
    <w:rsid w:val="00F70E8E"/>
    <w:rsid w:val="00F72C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D6F87"/>
  <w15:chartTrackingRefBased/>
  <w15:docId w15:val="{95F65116-DF0F-4350-B71F-2C52C106C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16E"/>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7796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AF2F3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72C01"/>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DA7D8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rsid w:val="00341827"/>
    <w:pPr>
      <w:keepNext/>
      <w:spacing w:line="259" w:lineRule="auto"/>
      <w:jc w:val="center"/>
      <w:outlineLvl w:val="4"/>
    </w:pPr>
    <w:rPr>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96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F2F35"/>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F72C01"/>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semiHidden/>
    <w:rsid w:val="00DA7D8D"/>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rsid w:val="00341827"/>
    <w:rPr>
      <w:rFonts w:ascii="Times New Roman" w:hAnsi="Times New Roman"/>
      <w:b/>
      <w:bCs/>
      <w:sz w:val="48"/>
      <w:szCs w:val="48"/>
      <w:lang w:val="en-GB"/>
    </w:rPr>
  </w:style>
  <w:style w:type="paragraph" w:styleId="Header">
    <w:name w:val="header"/>
    <w:basedOn w:val="Normal"/>
    <w:link w:val="HeaderChar"/>
    <w:uiPriority w:val="99"/>
    <w:unhideWhenUsed/>
    <w:rsid w:val="00127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055"/>
    <w:rPr>
      <w:rFonts w:ascii="Times New Roman" w:hAnsi="Times New Roman"/>
      <w:sz w:val="24"/>
      <w:lang w:val="en-GB"/>
    </w:rPr>
  </w:style>
  <w:style w:type="paragraph" w:styleId="Footer">
    <w:name w:val="footer"/>
    <w:basedOn w:val="Normal"/>
    <w:link w:val="FooterChar"/>
    <w:uiPriority w:val="99"/>
    <w:unhideWhenUsed/>
    <w:rsid w:val="00127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055"/>
    <w:rPr>
      <w:rFonts w:ascii="Times New Roman" w:hAnsi="Times New Roman"/>
      <w:sz w:val="24"/>
      <w:lang w:val="en-GB"/>
    </w:rPr>
  </w:style>
  <w:style w:type="paragraph" w:styleId="ListParagraph">
    <w:name w:val="List Paragraph"/>
    <w:basedOn w:val="Normal"/>
    <w:uiPriority w:val="34"/>
    <w:qFormat/>
    <w:rsid w:val="00C7096E"/>
    <w:pPr>
      <w:ind w:left="720"/>
      <w:contextualSpacing/>
    </w:pPr>
  </w:style>
  <w:style w:type="character" w:styleId="PlaceholderText">
    <w:name w:val="Placeholder Text"/>
    <w:basedOn w:val="DefaultParagraphFont"/>
    <w:uiPriority w:val="99"/>
    <w:semiHidden/>
    <w:rsid w:val="00C7096E"/>
    <w:rPr>
      <w:color w:val="808080"/>
    </w:rPr>
  </w:style>
  <w:style w:type="paragraph" w:styleId="Bibliography">
    <w:name w:val="Bibliography"/>
    <w:basedOn w:val="Normal"/>
    <w:next w:val="Normal"/>
    <w:uiPriority w:val="37"/>
    <w:unhideWhenUsed/>
    <w:rsid w:val="00864D09"/>
  </w:style>
  <w:style w:type="paragraph" w:styleId="TOCHeading">
    <w:name w:val="TOC Heading"/>
    <w:basedOn w:val="Heading1"/>
    <w:next w:val="Normal"/>
    <w:uiPriority w:val="39"/>
    <w:unhideWhenUsed/>
    <w:qFormat/>
    <w:rsid w:val="00E9306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93063"/>
    <w:pPr>
      <w:spacing w:after="100"/>
    </w:pPr>
  </w:style>
  <w:style w:type="paragraph" w:styleId="TOC2">
    <w:name w:val="toc 2"/>
    <w:basedOn w:val="Normal"/>
    <w:next w:val="Normal"/>
    <w:autoRedefine/>
    <w:uiPriority w:val="39"/>
    <w:unhideWhenUsed/>
    <w:rsid w:val="00E93063"/>
    <w:pPr>
      <w:spacing w:after="100"/>
      <w:ind w:left="240"/>
    </w:pPr>
  </w:style>
  <w:style w:type="character" w:styleId="Hyperlink">
    <w:name w:val="Hyperlink"/>
    <w:basedOn w:val="DefaultParagraphFont"/>
    <w:uiPriority w:val="99"/>
    <w:unhideWhenUsed/>
    <w:rsid w:val="00E93063"/>
    <w:rPr>
      <w:color w:val="0563C1" w:themeColor="hyperlink"/>
      <w:u w:val="single"/>
    </w:rPr>
  </w:style>
  <w:style w:type="paragraph" w:styleId="BodyText">
    <w:name w:val="Body Text"/>
    <w:basedOn w:val="Normal"/>
    <w:link w:val="BodyTextChar"/>
    <w:uiPriority w:val="1"/>
    <w:qFormat/>
    <w:rsid w:val="00CB19AF"/>
    <w:pPr>
      <w:widowControl w:val="0"/>
      <w:autoSpaceDE w:val="0"/>
      <w:autoSpaceDN w:val="0"/>
      <w:spacing w:after="0" w:line="240" w:lineRule="auto"/>
      <w:jc w:val="left"/>
    </w:pPr>
    <w:rPr>
      <w:rFonts w:ascii="Arial" w:eastAsia="Arial" w:hAnsi="Arial" w:cs="Arial"/>
      <w:szCs w:val="24"/>
    </w:rPr>
  </w:style>
  <w:style w:type="character" w:customStyle="1" w:styleId="BodyTextChar">
    <w:name w:val="Body Text Char"/>
    <w:basedOn w:val="DefaultParagraphFont"/>
    <w:link w:val="BodyText"/>
    <w:uiPriority w:val="1"/>
    <w:rsid w:val="00CB19AF"/>
    <w:rPr>
      <w:rFonts w:ascii="Arial" w:eastAsia="Arial" w:hAnsi="Arial" w:cs="Arial"/>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429822">
      <w:bodyDiv w:val="1"/>
      <w:marLeft w:val="0"/>
      <w:marRight w:val="0"/>
      <w:marTop w:val="0"/>
      <w:marBottom w:val="0"/>
      <w:divBdr>
        <w:top w:val="none" w:sz="0" w:space="0" w:color="auto"/>
        <w:left w:val="none" w:sz="0" w:space="0" w:color="auto"/>
        <w:bottom w:val="none" w:sz="0" w:space="0" w:color="auto"/>
        <w:right w:val="none" w:sz="0" w:space="0" w:color="auto"/>
      </w:divBdr>
    </w:div>
    <w:div w:id="614823787">
      <w:bodyDiv w:val="1"/>
      <w:marLeft w:val="0"/>
      <w:marRight w:val="0"/>
      <w:marTop w:val="0"/>
      <w:marBottom w:val="0"/>
      <w:divBdr>
        <w:top w:val="none" w:sz="0" w:space="0" w:color="auto"/>
        <w:left w:val="none" w:sz="0" w:space="0" w:color="auto"/>
        <w:bottom w:val="none" w:sz="0" w:space="0" w:color="auto"/>
        <w:right w:val="none" w:sz="0" w:space="0" w:color="auto"/>
      </w:divBdr>
    </w:div>
    <w:div w:id="958875485">
      <w:bodyDiv w:val="1"/>
      <w:marLeft w:val="0"/>
      <w:marRight w:val="0"/>
      <w:marTop w:val="0"/>
      <w:marBottom w:val="0"/>
      <w:divBdr>
        <w:top w:val="none" w:sz="0" w:space="0" w:color="auto"/>
        <w:left w:val="none" w:sz="0" w:space="0" w:color="auto"/>
        <w:bottom w:val="none" w:sz="0" w:space="0" w:color="auto"/>
        <w:right w:val="none" w:sz="0" w:space="0" w:color="auto"/>
      </w:divBdr>
    </w:div>
    <w:div w:id="1368066842">
      <w:bodyDiv w:val="1"/>
      <w:marLeft w:val="0"/>
      <w:marRight w:val="0"/>
      <w:marTop w:val="0"/>
      <w:marBottom w:val="0"/>
      <w:divBdr>
        <w:top w:val="none" w:sz="0" w:space="0" w:color="auto"/>
        <w:left w:val="none" w:sz="0" w:space="0" w:color="auto"/>
        <w:bottom w:val="none" w:sz="0" w:space="0" w:color="auto"/>
        <w:right w:val="none" w:sz="0" w:space="0" w:color="auto"/>
      </w:divBdr>
    </w:div>
    <w:div w:id="1555309571">
      <w:bodyDiv w:val="1"/>
      <w:marLeft w:val="0"/>
      <w:marRight w:val="0"/>
      <w:marTop w:val="0"/>
      <w:marBottom w:val="0"/>
      <w:divBdr>
        <w:top w:val="none" w:sz="0" w:space="0" w:color="auto"/>
        <w:left w:val="none" w:sz="0" w:space="0" w:color="auto"/>
        <w:bottom w:val="none" w:sz="0" w:space="0" w:color="auto"/>
        <w:right w:val="none" w:sz="0" w:space="0" w:color="auto"/>
      </w:divBdr>
    </w:div>
    <w:div w:id="174136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MAT211</b:Tag>
    <b:SourceType>InternetSite</b:SourceType>
    <b:Guid>{33C6EE3F-A0F8-4AF4-9507-24BA3F89D2DB}</b:Guid>
    <b:Author>
      <b:Author>
        <b:NameList>
          <b:Person>
            <b:Last>MATHSLOVER</b:Last>
          </b:Person>
        </b:NameList>
      </b:Author>
    </b:Author>
    <b:Title>Disadvantages and Advantages of Break-Even Analysis</b:Title>
    <b:Year>2021</b:Year>
    <b:URL>https://toughnickel.com/business/Breakeven-analysis</b:URL>
    <b:RefOrder>1</b:RefOrder>
  </b:Source>
  <b:Source>
    <b:Tag>Mar194</b:Tag>
    <b:SourceType>InternetSite</b:SourceType>
    <b:Guid>{9F473E37-A318-44DD-B1E6-66A3E76328DB}</b:Guid>
    <b:Author>
      <b:Author>
        <b:NameList>
          <b:Person>
            <b:Last>Luenendonk</b:Last>
            <b:First>Martin</b:First>
          </b:Person>
        </b:NameList>
      </b:Author>
    </b:Author>
    <b:Title>BREAK-EVEN ANALYSIS, AND HOW IT WORKS</b:Title>
    <b:Year>2019</b:Year>
    <b:URL>https://www.cleverism.com/break-even-analysis/</b:URL>
    <b:RefOrder>2</b:RefOrder>
  </b:Source>
  <b:Source>
    <b:Tag>Pra21</b:Tag>
    <b:SourceType>InternetSite</b:SourceType>
    <b:Guid>{ED80F170-78FB-47BA-A844-C38094620DF2}</b:Guid>
    <b:Author>
      <b:Author>
        <b:NameList>
          <b:Person>
            <b:Last>Devasenapathy</b:Last>
            <b:First>Pratibha</b:First>
          </b:Person>
        </b:NameList>
      </b:Author>
    </b:Author>
    <b:Title>What Is Management Accounting?</b:Title>
    <b:Year>2021</b:Year>
    <b:URL>https://tallysolutions.com/accounting/management-accounting/</b:URL>
    <b:RefOrder>3</b:RefOrder>
  </b:Source>
</b:Sources>
</file>

<file path=customXml/itemProps1.xml><?xml version="1.0" encoding="utf-8"?>
<ds:datastoreItem xmlns:ds="http://schemas.openxmlformats.org/officeDocument/2006/customXml" ds:itemID="{8D086859-FDB2-4CE7-915D-B71DF8F20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1215</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8131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Nalivaico Andrei</dc:creator>
  <cp:keywords/>
  <dc:description/>
  <cp:lastModifiedBy>Nalivaico Andrei</cp:lastModifiedBy>
  <cp:revision>3</cp:revision>
  <dcterms:created xsi:type="dcterms:W3CDTF">2021-08-27T11:08:00Z</dcterms:created>
  <dcterms:modified xsi:type="dcterms:W3CDTF">2021-08-27T11:10:00Z</dcterms:modified>
  <cp:category/>
</cp:coreProperties>
</file>