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E1988" w14:textId="77777777" w:rsidR="00A773BA" w:rsidRPr="00A773BA" w:rsidRDefault="00A773BA" w:rsidP="0043634A">
      <w:pPr>
        <w:spacing w:after="0" w:line="480" w:lineRule="auto"/>
        <w:rPr>
          <w:rFonts w:ascii="Arial" w:eastAsia="Times New Roman" w:hAnsi="Arial" w:cs="Arial"/>
          <w:b/>
          <w:bCs/>
          <w:kern w:val="0"/>
          <w:sz w:val="40"/>
          <w:szCs w:val="40"/>
          <w:lang w:val="en-US"/>
          <w14:ligatures w14:val="none"/>
        </w:rPr>
      </w:pPr>
      <w:r w:rsidRPr="00A773BA">
        <w:rPr>
          <w:rFonts w:ascii="Arial" w:eastAsia="Times New Roman" w:hAnsi="Arial" w:cs="Arial"/>
          <w:b/>
          <w:bCs/>
          <w:noProof/>
          <w:kern w:val="0"/>
          <w:sz w:val="40"/>
          <w:szCs w:val="40"/>
          <w:lang w:val="en-US"/>
          <w14:ligatures w14:val="none"/>
        </w:rPr>
        <w:drawing>
          <wp:inline distT="0" distB="0" distL="0" distR="0" wp14:anchorId="6A6864C7" wp14:editId="41EF1FE7">
            <wp:extent cx="2781688" cy="1086002"/>
            <wp:effectExtent l="0" t="0" r="0" b="0"/>
            <wp:docPr id="118384869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48694" name="Picture 1" descr="A close-up of a sign&#10;&#10;AI-generated content may be incorrect."/>
                    <pic:cNvPicPr/>
                  </pic:nvPicPr>
                  <pic:blipFill>
                    <a:blip r:embed="rId5"/>
                    <a:stretch>
                      <a:fillRect/>
                    </a:stretch>
                  </pic:blipFill>
                  <pic:spPr>
                    <a:xfrm>
                      <a:off x="0" y="0"/>
                      <a:ext cx="2781688" cy="1086002"/>
                    </a:xfrm>
                    <a:prstGeom prst="rect">
                      <a:avLst/>
                    </a:prstGeom>
                  </pic:spPr>
                </pic:pic>
              </a:graphicData>
            </a:graphic>
          </wp:inline>
        </w:drawing>
      </w:r>
    </w:p>
    <w:p w14:paraId="12565D5C" w14:textId="77777777" w:rsidR="00A773BA" w:rsidRPr="00A773BA" w:rsidRDefault="00A773BA" w:rsidP="0043634A">
      <w:pPr>
        <w:spacing w:after="0" w:line="480" w:lineRule="auto"/>
        <w:rPr>
          <w:rFonts w:ascii="Arial" w:eastAsia="Times New Roman" w:hAnsi="Arial" w:cs="Arial"/>
          <w:b/>
          <w:bCs/>
          <w:kern w:val="0"/>
          <w:sz w:val="40"/>
          <w:szCs w:val="40"/>
          <w:lang w:val="en-US"/>
          <w14:ligatures w14:val="none"/>
        </w:rPr>
      </w:pPr>
    </w:p>
    <w:p w14:paraId="16485BEE" w14:textId="1C389F00" w:rsidR="00A773BA" w:rsidRPr="00A773BA" w:rsidRDefault="00D914C4" w:rsidP="0043634A">
      <w:pPr>
        <w:spacing w:after="0" w:line="480" w:lineRule="auto"/>
        <w:rPr>
          <w:rFonts w:ascii="Arial" w:eastAsia="Times New Roman" w:hAnsi="Arial" w:cs="Arial"/>
          <w:b/>
          <w:bCs/>
          <w:kern w:val="0"/>
          <w:sz w:val="48"/>
          <w:szCs w:val="48"/>
          <w:lang w:val="en-US"/>
          <w14:ligatures w14:val="none"/>
        </w:rPr>
      </w:pPr>
      <w:r w:rsidRPr="00951390">
        <w:rPr>
          <w:rFonts w:ascii="Arial" w:eastAsia="Times New Roman" w:hAnsi="Arial" w:cs="Arial"/>
          <w:b/>
          <w:bCs/>
          <w:kern w:val="0"/>
          <w:sz w:val="48"/>
          <w:szCs w:val="48"/>
          <w:lang w:val="en-US"/>
          <w14:ligatures w14:val="none"/>
        </w:rPr>
        <w:t>NAME</w:t>
      </w:r>
      <w:proofErr w:type="gramStart"/>
      <w:r w:rsidRPr="00951390">
        <w:rPr>
          <w:rFonts w:ascii="Arial" w:eastAsia="Times New Roman" w:hAnsi="Arial" w:cs="Arial"/>
          <w:b/>
          <w:bCs/>
          <w:kern w:val="0"/>
          <w:sz w:val="48"/>
          <w:szCs w:val="48"/>
          <w:lang w:val="en-US"/>
          <w14:ligatures w14:val="none"/>
        </w:rPr>
        <w:t>:  FARIDAH</w:t>
      </w:r>
      <w:proofErr w:type="gramEnd"/>
      <w:r w:rsidRPr="00951390">
        <w:rPr>
          <w:rFonts w:ascii="Arial" w:eastAsia="Times New Roman" w:hAnsi="Arial" w:cs="Arial"/>
          <w:b/>
          <w:bCs/>
          <w:kern w:val="0"/>
          <w:sz w:val="48"/>
          <w:szCs w:val="48"/>
          <w:lang w:val="en-US"/>
          <w14:ligatures w14:val="none"/>
        </w:rPr>
        <w:t xml:space="preserve"> NAMUKASA</w:t>
      </w:r>
    </w:p>
    <w:p w14:paraId="70FB7434" w14:textId="4D5A25EC" w:rsidR="00A773BA" w:rsidRPr="00A773BA" w:rsidRDefault="00D914C4" w:rsidP="0043634A">
      <w:pPr>
        <w:spacing w:after="0" w:line="480" w:lineRule="auto"/>
        <w:rPr>
          <w:rFonts w:ascii="Arial" w:eastAsia="Times New Roman" w:hAnsi="Arial" w:cs="Arial"/>
          <w:b/>
          <w:bCs/>
          <w:kern w:val="0"/>
          <w:sz w:val="48"/>
          <w:szCs w:val="48"/>
          <w:lang w:val="en-US"/>
          <w14:ligatures w14:val="none"/>
        </w:rPr>
      </w:pPr>
      <w:r w:rsidRPr="00951390">
        <w:rPr>
          <w:rFonts w:ascii="Arial" w:eastAsia="Times New Roman" w:hAnsi="Arial" w:cs="Arial"/>
          <w:b/>
          <w:bCs/>
          <w:kern w:val="0"/>
          <w:sz w:val="48"/>
          <w:szCs w:val="48"/>
          <w:lang w:val="en-US"/>
          <w14:ligatures w14:val="none"/>
        </w:rPr>
        <w:t>STUDENT NUMBER:   2429800</w:t>
      </w:r>
    </w:p>
    <w:p w14:paraId="5D1CD478" w14:textId="173CE874" w:rsidR="00AA0AD1" w:rsidRPr="00951390" w:rsidRDefault="00D914C4" w:rsidP="0043634A">
      <w:pPr>
        <w:spacing w:before="100" w:beforeAutospacing="1" w:after="100" w:afterAutospacing="1" w:line="360" w:lineRule="auto"/>
        <w:outlineLvl w:val="1"/>
        <w:rPr>
          <w:rFonts w:ascii="Arial" w:hAnsi="Arial" w:cs="Arial"/>
          <w:b/>
          <w:bCs/>
          <w:sz w:val="48"/>
          <w:szCs w:val="48"/>
        </w:rPr>
      </w:pPr>
      <w:r w:rsidRPr="00951390">
        <w:rPr>
          <w:rFonts w:ascii="Arial" w:hAnsi="Arial" w:cs="Arial"/>
          <w:b/>
          <w:bCs/>
          <w:sz w:val="48"/>
          <w:szCs w:val="48"/>
        </w:rPr>
        <w:t xml:space="preserve">PSYCHOLOGY IN HEALTH AND SOCIAL </w:t>
      </w:r>
      <w:proofErr w:type="gramStart"/>
      <w:r w:rsidRPr="00951390">
        <w:rPr>
          <w:rFonts w:ascii="Arial" w:hAnsi="Arial" w:cs="Arial"/>
          <w:b/>
          <w:bCs/>
          <w:sz w:val="48"/>
          <w:szCs w:val="48"/>
        </w:rPr>
        <w:t>CARE</w:t>
      </w:r>
      <w:r w:rsidR="0089194A">
        <w:rPr>
          <w:rFonts w:ascii="Arial" w:hAnsi="Arial" w:cs="Arial"/>
          <w:b/>
          <w:bCs/>
          <w:sz w:val="48"/>
          <w:szCs w:val="48"/>
        </w:rPr>
        <w:t>(</w:t>
      </w:r>
      <w:proofErr w:type="gramEnd"/>
      <w:r w:rsidR="0089194A">
        <w:rPr>
          <w:rFonts w:ascii="Arial" w:hAnsi="Arial" w:cs="Arial"/>
          <w:b/>
          <w:bCs/>
          <w:sz w:val="48"/>
          <w:szCs w:val="48"/>
        </w:rPr>
        <w:t>resit)</w:t>
      </w:r>
    </w:p>
    <w:p w14:paraId="0CF345DD" w14:textId="05A5A1EC" w:rsidR="008D22CF" w:rsidRPr="00951390" w:rsidRDefault="00D914C4" w:rsidP="0043634A">
      <w:pPr>
        <w:spacing w:before="100" w:beforeAutospacing="1" w:after="100" w:afterAutospacing="1" w:line="360" w:lineRule="auto"/>
        <w:outlineLvl w:val="1"/>
        <w:rPr>
          <w:rFonts w:ascii="Arial" w:hAnsi="Arial" w:cs="Arial"/>
          <w:b/>
          <w:bCs/>
          <w:sz w:val="48"/>
          <w:szCs w:val="48"/>
        </w:rPr>
      </w:pPr>
      <w:r w:rsidRPr="00951390">
        <w:rPr>
          <w:rFonts w:ascii="Arial" w:hAnsi="Arial" w:cs="Arial"/>
          <w:b/>
          <w:bCs/>
          <w:sz w:val="48"/>
          <w:szCs w:val="48"/>
        </w:rPr>
        <w:t>CODE: LCHS4010</w:t>
      </w:r>
    </w:p>
    <w:p w14:paraId="1E1EA595" w14:textId="5A1661BA" w:rsidR="00307CE8" w:rsidRPr="00951390" w:rsidRDefault="00307CE8" w:rsidP="0043634A">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proofErr w:type="gramStart"/>
      <w:r w:rsidRPr="00951390">
        <w:rPr>
          <w:rFonts w:ascii="Arial" w:hAnsi="Arial" w:cs="Arial"/>
          <w:b/>
          <w:bCs/>
          <w:sz w:val="48"/>
          <w:szCs w:val="48"/>
        </w:rPr>
        <w:t>LECTURER :</w:t>
      </w:r>
      <w:proofErr w:type="gramEnd"/>
      <w:r w:rsidRPr="00951390">
        <w:rPr>
          <w:rFonts w:ascii="Arial" w:hAnsi="Arial" w:cs="Arial"/>
          <w:b/>
          <w:bCs/>
          <w:sz w:val="48"/>
          <w:szCs w:val="48"/>
        </w:rPr>
        <w:t xml:space="preserve"> FARA WITTA</w:t>
      </w:r>
    </w:p>
    <w:p w14:paraId="1D2E79CB" w14:textId="77777777" w:rsidR="00AA0AD1" w:rsidRPr="00951390" w:rsidRDefault="00AA0AD1" w:rsidP="0043634A">
      <w:pPr>
        <w:spacing w:before="100" w:beforeAutospacing="1" w:after="100" w:afterAutospacing="1" w:line="360" w:lineRule="auto"/>
        <w:outlineLvl w:val="1"/>
        <w:rPr>
          <w:rFonts w:ascii="Arial" w:eastAsia="Times New Roman" w:hAnsi="Arial" w:cs="Arial"/>
          <w:kern w:val="0"/>
          <w:sz w:val="48"/>
          <w:szCs w:val="48"/>
          <w:lang w:eastAsia="en-GB"/>
          <w14:ligatures w14:val="none"/>
        </w:rPr>
      </w:pPr>
    </w:p>
    <w:p w14:paraId="64A68CC7" w14:textId="77777777" w:rsidR="00AA0AD1" w:rsidRDefault="00AA0AD1" w:rsidP="0043634A">
      <w:pPr>
        <w:spacing w:before="100" w:beforeAutospacing="1" w:after="100" w:afterAutospacing="1" w:line="360" w:lineRule="auto"/>
        <w:outlineLvl w:val="1"/>
        <w:rPr>
          <w:rFonts w:ascii="Arial" w:eastAsia="Times New Roman" w:hAnsi="Arial" w:cs="Arial"/>
          <w:kern w:val="0"/>
          <w:lang w:eastAsia="en-GB"/>
          <w14:ligatures w14:val="none"/>
        </w:rPr>
      </w:pPr>
    </w:p>
    <w:p w14:paraId="3FF5299E" w14:textId="77777777" w:rsidR="00AA0AD1" w:rsidRDefault="00AA0AD1" w:rsidP="0043634A">
      <w:pPr>
        <w:spacing w:before="100" w:beforeAutospacing="1" w:after="100" w:afterAutospacing="1" w:line="360" w:lineRule="auto"/>
        <w:outlineLvl w:val="1"/>
        <w:rPr>
          <w:rFonts w:ascii="Arial" w:eastAsia="Times New Roman" w:hAnsi="Arial" w:cs="Arial"/>
          <w:kern w:val="0"/>
          <w:lang w:eastAsia="en-GB"/>
          <w14:ligatures w14:val="none"/>
        </w:rPr>
      </w:pPr>
    </w:p>
    <w:p w14:paraId="312FD172" w14:textId="77777777" w:rsidR="00AA0AD1" w:rsidRDefault="00AA0AD1" w:rsidP="0043634A">
      <w:pPr>
        <w:spacing w:before="100" w:beforeAutospacing="1" w:after="100" w:afterAutospacing="1" w:line="360" w:lineRule="auto"/>
        <w:outlineLvl w:val="1"/>
        <w:rPr>
          <w:rFonts w:ascii="Arial" w:eastAsia="Times New Roman" w:hAnsi="Arial" w:cs="Arial"/>
          <w:kern w:val="0"/>
          <w:lang w:eastAsia="en-GB"/>
          <w14:ligatures w14:val="none"/>
        </w:rPr>
      </w:pPr>
    </w:p>
    <w:p w14:paraId="3F5CF166" w14:textId="77777777" w:rsidR="00AA0AD1" w:rsidRDefault="00AA0AD1" w:rsidP="0043634A">
      <w:pPr>
        <w:spacing w:before="100" w:beforeAutospacing="1" w:after="100" w:afterAutospacing="1" w:line="360" w:lineRule="auto"/>
        <w:outlineLvl w:val="1"/>
        <w:rPr>
          <w:rFonts w:ascii="Arial" w:eastAsia="Times New Roman" w:hAnsi="Arial" w:cs="Arial"/>
          <w:kern w:val="0"/>
          <w:lang w:eastAsia="en-GB"/>
          <w14:ligatures w14:val="none"/>
        </w:rPr>
      </w:pPr>
    </w:p>
    <w:p w14:paraId="4F3C184B" w14:textId="77777777" w:rsidR="00AA0AD1" w:rsidRDefault="00AA0AD1" w:rsidP="0053582C">
      <w:pPr>
        <w:spacing w:before="100" w:beforeAutospacing="1" w:after="100" w:afterAutospacing="1" w:line="360" w:lineRule="auto"/>
        <w:outlineLvl w:val="1"/>
        <w:rPr>
          <w:rFonts w:ascii="Arial" w:eastAsia="Times New Roman" w:hAnsi="Arial" w:cs="Arial"/>
          <w:kern w:val="0"/>
          <w:lang w:eastAsia="en-GB"/>
          <w14:ligatures w14:val="none"/>
        </w:rPr>
      </w:pPr>
    </w:p>
    <w:p w14:paraId="3AD4BAA5" w14:textId="1DF2B4BC" w:rsidR="00F34AB8" w:rsidRPr="00F34AB8" w:rsidRDefault="00F34AB8" w:rsidP="006A226D">
      <w:pPr>
        <w:spacing w:before="100" w:beforeAutospacing="1" w:after="100" w:afterAutospacing="1" w:line="360" w:lineRule="auto"/>
        <w:outlineLvl w:val="1"/>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lastRenderedPageBreak/>
        <w:t xml:space="preserve">1. Bowlby, J. (1988) A Secure Base: Parent-Child Attachment and Human Development. </w:t>
      </w:r>
    </w:p>
    <w:p w14:paraId="0E091F31" w14:textId="77777777" w:rsidR="00F34AB8" w:rsidRPr="00F34AB8" w:rsidRDefault="00F34AB8" w:rsidP="00F34AB8">
      <w:pPr>
        <w:spacing w:before="100" w:beforeAutospacing="1" w:after="100" w:afterAutospacing="1" w:line="240" w:lineRule="auto"/>
        <w:rPr>
          <w:rFonts w:ascii="Arial" w:eastAsia="Times New Roman" w:hAnsi="Arial" w:cs="Arial"/>
          <w:kern w:val="0"/>
          <w:lang w:eastAsia="en-GB"/>
          <w14:ligatures w14:val="none"/>
        </w:rPr>
      </w:pPr>
      <w:r w:rsidRPr="00F34AB8">
        <w:rPr>
          <w:rFonts w:ascii="Arial" w:eastAsia="Times New Roman" w:hAnsi="Arial" w:cs="Arial"/>
          <w:b/>
          <w:bCs/>
          <w:kern w:val="0"/>
          <w:lang w:eastAsia="en-GB"/>
          <w14:ligatures w14:val="none"/>
        </w:rPr>
        <w:t>Summary:</w:t>
      </w:r>
      <w:r w:rsidRPr="00F34AB8">
        <w:rPr>
          <w:rFonts w:ascii="Arial" w:eastAsia="Times New Roman" w:hAnsi="Arial" w:cs="Arial"/>
          <w:kern w:val="0"/>
          <w:lang w:eastAsia="en-GB"/>
          <w14:ligatures w14:val="none"/>
        </w:rPr>
        <w:br/>
        <w:t xml:space="preserve">Bowlby’s work expands on his attachment theory, arguing that early emotional bonds between a child and caregiver form the foundation for psychological development across the lifespan. He introduces the concept of the </w:t>
      </w:r>
      <w:r w:rsidRPr="00F34AB8">
        <w:rPr>
          <w:rFonts w:ascii="Arial" w:eastAsia="Times New Roman" w:hAnsi="Arial" w:cs="Arial"/>
          <w:b/>
          <w:bCs/>
          <w:kern w:val="0"/>
          <w:lang w:eastAsia="en-GB"/>
          <w14:ligatures w14:val="none"/>
        </w:rPr>
        <w:t>secure base</w:t>
      </w:r>
      <w:r w:rsidRPr="00F34AB8">
        <w:rPr>
          <w:rFonts w:ascii="Arial" w:eastAsia="Times New Roman" w:hAnsi="Arial" w:cs="Arial"/>
          <w:kern w:val="0"/>
          <w:lang w:eastAsia="en-GB"/>
          <w14:ligatures w14:val="none"/>
        </w:rPr>
        <w:t xml:space="preserve">, where a caregiver provides safety and support, enabling the child to explore the world confidently. Bowlby also explains the </w:t>
      </w:r>
      <w:r w:rsidRPr="00F34AB8">
        <w:rPr>
          <w:rFonts w:ascii="Arial" w:eastAsia="Times New Roman" w:hAnsi="Arial" w:cs="Arial"/>
          <w:b/>
          <w:bCs/>
          <w:kern w:val="0"/>
          <w:lang w:eastAsia="en-GB"/>
          <w14:ligatures w14:val="none"/>
        </w:rPr>
        <w:t>internal working model</w:t>
      </w:r>
      <w:r w:rsidRPr="00F34AB8">
        <w:rPr>
          <w:rFonts w:ascii="Arial" w:eastAsia="Times New Roman" w:hAnsi="Arial" w:cs="Arial"/>
          <w:kern w:val="0"/>
          <w:lang w:eastAsia="en-GB"/>
          <w14:ligatures w14:val="none"/>
        </w:rPr>
        <w:t>, which shapes expectations of relationships and influences emotional regulation, behaviour, and resilience into adulthood.</w:t>
      </w:r>
    </w:p>
    <w:p w14:paraId="0EFE46B6" w14:textId="77777777" w:rsidR="00F34AB8" w:rsidRPr="00F34AB8" w:rsidRDefault="00F34AB8" w:rsidP="00F34AB8">
      <w:pPr>
        <w:spacing w:before="100" w:beforeAutospacing="1" w:after="100" w:afterAutospacing="1" w:line="240" w:lineRule="auto"/>
        <w:rPr>
          <w:rFonts w:ascii="Arial" w:eastAsia="Times New Roman" w:hAnsi="Arial" w:cs="Arial"/>
          <w:kern w:val="0"/>
          <w:lang w:eastAsia="en-GB"/>
          <w14:ligatures w14:val="none"/>
        </w:rPr>
      </w:pPr>
      <w:r w:rsidRPr="00F34AB8">
        <w:rPr>
          <w:rFonts w:ascii="Arial" w:eastAsia="Times New Roman" w:hAnsi="Arial" w:cs="Arial"/>
          <w:b/>
          <w:bCs/>
          <w:kern w:val="0"/>
          <w:lang w:eastAsia="en-GB"/>
          <w14:ligatures w14:val="none"/>
        </w:rPr>
        <w:t>Critical Commentary:</w:t>
      </w:r>
      <w:r w:rsidRPr="00F34AB8">
        <w:rPr>
          <w:rFonts w:ascii="Arial" w:eastAsia="Times New Roman" w:hAnsi="Arial" w:cs="Arial"/>
          <w:kern w:val="0"/>
          <w:lang w:eastAsia="en-GB"/>
          <w14:ligatures w14:val="none"/>
        </w:rPr>
        <w:br/>
        <w:t xml:space="preserve">This source is highly influential in understanding how early relationships impact long-term well-being, particularly in health and social care contexts. Its strength lies in its clear explanation of how early attachment experiences affect later emotional and relational outcomes. However, it has been criticised for </w:t>
      </w:r>
      <w:r w:rsidRPr="00F34AB8">
        <w:rPr>
          <w:rFonts w:ascii="Arial" w:eastAsia="Times New Roman" w:hAnsi="Arial" w:cs="Arial"/>
          <w:b/>
          <w:bCs/>
          <w:kern w:val="0"/>
          <w:lang w:eastAsia="en-GB"/>
          <w14:ligatures w14:val="none"/>
        </w:rPr>
        <w:t>determinism</w:t>
      </w:r>
      <w:r w:rsidRPr="00F34AB8">
        <w:rPr>
          <w:rFonts w:ascii="Arial" w:eastAsia="Times New Roman" w:hAnsi="Arial" w:cs="Arial"/>
          <w:kern w:val="0"/>
          <w:lang w:eastAsia="en-GB"/>
          <w14:ligatures w14:val="none"/>
        </w:rPr>
        <w:t>, suggesting early experiences overly fix future development, and for underestimating the role of later life experiences and social context. Additionally, it places strong emphasis on the mother as the primary caregiver, which may not reflect diverse family structures. Despite this, it remains highly relevant for understanding vulnerability and resilience.</w:t>
      </w:r>
    </w:p>
    <w:p w14:paraId="4BEB7887" w14:textId="77777777" w:rsidR="00F34AB8" w:rsidRPr="00F34AB8" w:rsidRDefault="00F34AB8" w:rsidP="00F34AB8">
      <w:pPr>
        <w:spacing w:after="0" w:line="24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29B0E962">
          <v:rect id="_x0000_i1025" style="width:0;height:1.5pt" o:hralign="center" o:hrstd="t" o:hr="t" fillcolor="#a0a0a0" stroked="f"/>
        </w:pict>
      </w:r>
    </w:p>
    <w:p w14:paraId="237BA6AA" w14:textId="77777777" w:rsidR="00F34AB8" w:rsidRPr="00F34AB8" w:rsidRDefault="00F34AB8" w:rsidP="0053582C">
      <w:pPr>
        <w:spacing w:before="100" w:beforeAutospacing="1" w:after="100" w:afterAutospacing="1" w:line="360" w:lineRule="auto"/>
        <w:outlineLvl w:val="1"/>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2. Mikulincer, M. and Shaver, P.R. (2007) Attachment in Adulthood: Structure, Dynamics, and Change. New York: Guilford Press.</w:t>
      </w:r>
    </w:p>
    <w:p w14:paraId="59B59682"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b/>
          <w:bCs/>
          <w:kern w:val="0"/>
          <w:lang w:eastAsia="en-GB"/>
          <w14:ligatures w14:val="none"/>
        </w:rPr>
        <w:t>Summary:</w:t>
      </w:r>
      <w:r w:rsidRPr="00F34AB8">
        <w:rPr>
          <w:rFonts w:ascii="Arial" w:eastAsia="Times New Roman" w:hAnsi="Arial" w:cs="Arial"/>
          <w:kern w:val="0"/>
          <w:lang w:eastAsia="en-GB"/>
          <w14:ligatures w14:val="none"/>
        </w:rPr>
        <w:br/>
      </w:r>
      <w:proofErr w:type="spellStart"/>
      <w:r w:rsidRPr="00F34AB8">
        <w:rPr>
          <w:rFonts w:ascii="Arial" w:eastAsia="Times New Roman" w:hAnsi="Arial" w:cs="Arial"/>
          <w:kern w:val="0"/>
          <w:lang w:eastAsia="en-GB"/>
          <w14:ligatures w14:val="none"/>
        </w:rPr>
        <w:t>Mikulincer</w:t>
      </w:r>
      <w:proofErr w:type="spellEnd"/>
      <w:r w:rsidRPr="00F34AB8">
        <w:rPr>
          <w:rFonts w:ascii="Arial" w:eastAsia="Times New Roman" w:hAnsi="Arial" w:cs="Arial"/>
          <w:kern w:val="0"/>
          <w:lang w:eastAsia="en-GB"/>
          <w14:ligatures w14:val="none"/>
        </w:rPr>
        <w:t xml:space="preserve"> and Shaver extend Bowlby’s theory into adulthood, exploring how attachment styles (secure, anxious, avoidant) influence emotional regulation, mental health, and interpersonal relationships. They argue that attachment is not fixed but can evolve through experiences, particularly supportive relationships and interventions. The authors highlight how insecure attachment is linked to anxiety, depression, and difficulties in coping with stress.</w:t>
      </w:r>
    </w:p>
    <w:p w14:paraId="265BCF65" w14:textId="7C6FB1B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proofErr w:type="spellStart"/>
      <w:r w:rsidRPr="00F34AB8">
        <w:rPr>
          <w:rFonts w:ascii="Arial" w:eastAsia="Times New Roman" w:hAnsi="Arial" w:cs="Arial"/>
          <w:b/>
          <w:bCs/>
          <w:kern w:val="0"/>
          <w:lang w:eastAsia="en-GB"/>
          <w14:ligatures w14:val="none"/>
        </w:rPr>
        <w:t>Critica</w:t>
      </w:r>
      <w:r w:rsidRPr="00A45366">
        <w:rPr>
          <w:rFonts w:ascii="Arial" w:eastAsia="Times New Roman" w:hAnsi="Arial" w:cs="Arial"/>
          <w:b/>
          <w:bCs/>
          <w:kern w:val="0"/>
          <w:lang w:eastAsia="en-GB"/>
          <w14:ligatures w14:val="none"/>
        </w:rPr>
        <w:t>l</w:t>
      </w:r>
      <w:r w:rsidRPr="00F34AB8">
        <w:rPr>
          <w:rFonts w:ascii="Arial" w:eastAsia="Times New Roman" w:hAnsi="Arial" w:cs="Arial"/>
          <w:b/>
          <w:bCs/>
          <w:kern w:val="0"/>
          <w:lang w:eastAsia="en-GB"/>
          <w14:ligatures w14:val="none"/>
        </w:rPr>
        <w:t>Commentary</w:t>
      </w:r>
      <w:proofErr w:type="spellEnd"/>
      <w:r w:rsidRPr="00F34AB8">
        <w:rPr>
          <w:rFonts w:ascii="Arial" w:eastAsia="Times New Roman" w:hAnsi="Arial" w:cs="Arial"/>
          <w:b/>
          <w:bCs/>
          <w:kern w:val="0"/>
          <w:lang w:eastAsia="en-GB"/>
          <w14:ligatures w14:val="none"/>
        </w:rPr>
        <w:t>:</w:t>
      </w:r>
      <w:r w:rsidRPr="00F34AB8">
        <w:rPr>
          <w:rFonts w:ascii="Arial" w:eastAsia="Times New Roman" w:hAnsi="Arial" w:cs="Arial"/>
          <w:kern w:val="0"/>
          <w:lang w:eastAsia="en-GB"/>
          <w14:ligatures w14:val="none"/>
        </w:rPr>
        <w:br/>
        <w:t xml:space="preserve">This source strengthens Bowlby’s original theory by providing empirical evidence and demonstrating that attachment patterns can change over time, making it highly applicable in therapeutic and care settings. It is particularly useful in understanding adult well-being and mental health. However, some critics argue that attachment styles may be overgeneralised and culturally biased, as much of the research is </w:t>
      </w:r>
      <w:r w:rsidRPr="00F34AB8">
        <w:rPr>
          <w:rFonts w:ascii="Arial" w:eastAsia="Times New Roman" w:hAnsi="Arial" w:cs="Arial"/>
          <w:kern w:val="0"/>
          <w:lang w:eastAsia="en-GB"/>
          <w14:ligatures w14:val="none"/>
        </w:rPr>
        <w:lastRenderedPageBreak/>
        <w:t>based on Western populations. Despite this limitation, the book is valuable for linking theory with practical interventions in health and social care.</w:t>
      </w:r>
    </w:p>
    <w:p w14:paraId="2B302B30" w14:textId="77777777" w:rsidR="00F34AB8" w:rsidRPr="00F34AB8" w:rsidRDefault="00F34AB8" w:rsidP="0053582C">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02F619B1">
          <v:rect id="_x0000_i1026" style="width:0;height:1.5pt" o:hrstd="t" o:hr="t" fillcolor="#a0a0a0" stroked="f"/>
        </w:pict>
      </w:r>
    </w:p>
    <w:p w14:paraId="71F58D94" w14:textId="77777777" w:rsidR="00F34AB8" w:rsidRPr="00F34AB8" w:rsidRDefault="00F34AB8" w:rsidP="0053582C">
      <w:pPr>
        <w:spacing w:before="100" w:beforeAutospacing="1" w:after="100" w:afterAutospacing="1" w:line="360" w:lineRule="auto"/>
        <w:outlineLvl w:val="1"/>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3. Seligman, M.E.P. (2011) Flourish: A Visionary New Understanding of Happiness and Well-being. New York: Free Press.</w:t>
      </w:r>
    </w:p>
    <w:p w14:paraId="744548FE"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b/>
          <w:bCs/>
          <w:kern w:val="0"/>
          <w:lang w:eastAsia="en-GB"/>
          <w14:ligatures w14:val="none"/>
        </w:rPr>
        <w:t>Summary:</w:t>
      </w:r>
      <w:r w:rsidRPr="00F34AB8">
        <w:rPr>
          <w:rFonts w:ascii="Arial" w:eastAsia="Times New Roman" w:hAnsi="Arial" w:cs="Arial"/>
          <w:kern w:val="0"/>
          <w:lang w:eastAsia="en-GB"/>
          <w14:ligatures w14:val="none"/>
        </w:rPr>
        <w:br/>
        <w:t>Seligman introduces the PERMA model (Positive Emotion, Engagement, Relationships, Meaning, Accomplishment) as a framework for understanding well-being. He argues that psychological health is not just the absence of illness but the presence of positive functioning. The book emphasises strengths, resilience, and the potential for growth across the lifespan, particularly in later adulthood.</w:t>
      </w:r>
    </w:p>
    <w:p w14:paraId="210E3D93" w14:textId="68E17B57" w:rsidR="00F34AB8" w:rsidRPr="00F34AB8" w:rsidRDefault="00A66FF9" w:rsidP="0053582C">
      <w:pPr>
        <w:spacing w:before="100" w:beforeAutospacing="1" w:after="100" w:afterAutospacing="1" w:line="360" w:lineRule="auto"/>
        <w:rPr>
          <w:rFonts w:ascii="Arial" w:eastAsia="Times New Roman" w:hAnsi="Arial" w:cs="Arial"/>
          <w:kern w:val="0"/>
          <w:lang w:eastAsia="en-GB"/>
          <w14:ligatures w14:val="none"/>
        </w:rPr>
      </w:pPr>
      <w:r w:rsidRPr="00A45366">
        <w:rPr>
          <w:rFonts w:ascii="Arial" w:eastAsia="Times New Roman" w:hAnsi="Arial" w:cs="Arial"/>
          <w:b/>
          <w:bCs/>
          <w:kern w:val="0"/>
          <w:lang w:eastAsia="en-GB"/>
          <w14:ligatures w14:val="none"/>
        </w:rPr>
        <w:t>Critical Commentary</w:t>
      </w:r>
      <w:r w:rsidR="00F34AB8" w:rsidRPr="00F34AB8">
        <w:rPr>
          <w:rFonts w:ascii="Arial" w:eastAsia="Times New Roman" w:hAnsi="Arial" w:cs="Arial"/>
          <w:b/>
          <w:bCs/>
          <w:kern w:val="0"/>
          <w:lang w:eastAsia="en-GB"/>
          <w14:ligatures w14:val="none"/>
        </w:rPr>
        <w:t>:</w:t>
      </w:r>
      <w:r w:rsidR="00F34AB8" w:rsidRPr="00F34AB8">
        <w:rPr>
          <w:rFonts w:ascii="Arial" w:eastAsia="Times New Roman" w:hAnsi="Arial" w:cs="Arial"/>
          <w:kern w:val="0"/>
          <w:lang w:eastAsia="en-GB"/>
          <w14:ligatures w14:val="none"/>
        </w:rPr>
        <w:br/>
        <w:t>This source offers a strength-based approach, which is highly valuable in health and social care as it focuses on enhancing well-being rather than only addressing deficits. It complements attachment theory by highlighting how positive relationships and meaning can improve life outcomes. However, critics argue that positive psychology may underestimate structural inequalities (e.g., poverty, caregiving burden) that limit individuals’ ability to flourish. Additionally, the approach may appear overly optimistic when applied to individuals facing significant adversity. Nonetheless, it provides a useful framework for promoting resilience and well-being.</w:t>
      </w:r>
    </w:p>
    <w:p w14:paraId="3A5CE946" w14:textId="77777777" w:rsidR="00F34AB8" w:rsidRPr="00F34AB8" w:rsidRDefault="00F34AB8" w:rsidP="0053582C">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36443A8C">
          <v:rect id="_x0000_i1027" style="width:0;height:1.5pt" o:hrstd="t" o:hr="t" fillcolor="#a0a0a0" stroked="f"/>
        </w:pict>
      </w:r>
    </w:p>
    <w:p w14:paraId="196DF71A" w14:textId="77777777" w:rsidR="00F34AB8" w:rsidRPr="00F34AB8" w:rsidRDefault="00F34AB8" w:rsidP="0053582C">
      <w:pPr>
        <w:spacing w:before="100" w:beforeAutospacing="1" w:after="100" w:afterAutospacing="1" w:line="360" w:lineRule="auto"/>
        <w:outlineLvl w:val="1"/>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4. Rowe, J.W. and Kahn, R.L. (1997) ‘Successful aging’, The Gerontologist, 37(4), pp. 433–440.</w:t>
      </w:r>
    </w:p>
    <w:p w14:paraId="2AAD5DAA"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Summary:</w:t>
      </w:r>
      <w:r w:rsidRPr="00F34AB8">
        <w:rPr>
          <w:rFonts w:ascii="Arial" w:eastAsia="Times New Roman" w:hAnsi="Arial" w:cs="Arial"/>
          <w:kern w:val="0"/>
          <w:lang w:eastAsia="en-GB"/>
          <w14:ligatures w14:val="none"/>
        </w:rPr>
        <w:br/>
        <w:t>Rowe and Kahn propose a model of successful ageing, defined by low disease risk, high cognitive and physical functioning, and active engagement with life. Their work emphasises the importance of lifestyle, social participation, and environmental factors in shaping well-being in later life. The model highlights that ageing is not solely biologically determined but influenced by behaviour and social context.</w:t>
      </w:r>
    </w:p>
    <w:p w14:paraId="57EF0598" w14:textId="102C6FDC" w:rsidR="00F34AB8" w:rsidRPr="00A45366" w:rsidRDefault="00F34AB8" w:rsidP="0053582C">
      <w:pPr>
        <w:spacing w:before="100" w:beforeAutospacing="1" w:after="100" w:afterAutospacing="1" w:line="360" w:lineRule="auto"/>
        <w:rPr>
          <w:rFonts w:ascii="Arial" w:eastAsia="Times New Roman" w:hAnsi="Arial" w:cs="Arial"/>
          <w:kern w:val="0"/>
          <w:lang w:eastAsia="en-GB"/>
          <w14:ligatures w14:val="none"/>
        </w:rPr>
      </w:pPr>
      <w:proofErr w:type="spellStart"/>
      <w:r w:rsidRPr="00F34AB8">
        <w:rPr>
          <w:rFonts w:ascii="Arial" w:eastAsia="Times New Roman" w:hAnsi="Arial" w:cs="Arial"/>
          <w:b/>
          <w:bCs/>
          <w:kern w:val="0"/>
          <w:lang w:eastAsia="en-GB"/>
          <w14:ligatures w14:val="none"/>
        </w:rPr>
        <w:lastRenderedPageBreak/>
        <w:t>CriticalCommentary</w:t>
      </w:r>
      <w:proofErr w:type="spellEnd"/>
      <w:r w:rsidRPr="00F34AB8">
        <w:rPr>
          <w:rFonts w:ascii="Arial" w:eastAsia="Times New Roman" w:hAnsi="Arial" w:cs="Arial"/>
          <w:b/>
          <w:bCs/>
          <w:kern w:val="0"/>
          <w:lang w:eastAsia="en-GB"/>
          <w14:ligatures w14:val="none"/>
        </w:rPr>
        <w:t>:</w:t>
      </w:r>
      <w:r w:rsidRPr="00F34AB8">
        <w:rPr>
          <w:rFonts w:ascii="Arial" w:eastAsia="Times New Roman" w:hAnsi="Arial" w:cs="Arial"/>
          <w:kern w:val="0"/>
          <w:lang w:eastAsia="en-GB"/>
          <w14:ligatures w14:val="none"/>
        </w:rPr>
        <w:br/>
        <w:t>This source is significant for integrating both biological (“nature”) and environmental (“nurture”) influences, making it highly relevant in lifespan development. It supports the idea that well-being can be maintained through active engagement and support systems. However, the model has been criticised for being exclusionary, as it may not account for individuals with chronic illness or disabilities, potentially creating unrealistic standards of “success.” Despite this, it remains influential in promoting proactive approaches to ageing and care.</w:t>
      </w:r>
    </w:p>
    <w:p w14:paraId="2760ADC5"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p>
    <w:p w14:paraId="14C3AA08" w14:textId="77777777" w:rsidR="000F46BC" w:rsidRPr="00A45366" w:rsidRDefault="000F46BC" w:rsidP="0053582C">
      <w:pPr>
        <w:spacing w:after="0" w:line="360" w:lineRule="auto"/>
        <w:rPr>
          <w:rFonts w:ascii="Arial" w:eastAsia="Times New Roman" w:hAnsi="Arial" w:cs="Arial"/>
          <w:kern w:val="0"/>
          <w:lang w:eastAsia="en-GB"/>
          <w14:ligatures w14:val="none"/>
        </w:rPr>
      </w:pPr>
    </w:p>
    <w:p w14:paraId="07B672F6" w14:textId="670DBAC9" w:rsidR="00F34AB8" w:rsidRPr="00F34AB8" w:rsidRDefault="00F34AB8" w:rsidP="0053582C">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7286DCE2">
          <v:rect id="_x0000_i1028" style="width:0;height:1.5pt" o:hrstd="t" o:hr="t" fillcolor="#a0a0a0" stroked="f"/>
        </w:pict>
      </w:r>
    </w:p>
    <w:p w14:paraId="7D64F991" w14:textId="77777777" w:rsidR="00F34AB8" w:rsidRPr="00F34AB8" w:rsidRDefault="00F34AB8" w:rsidP="0053582C">
      <w:pPr>
        <w:spacing w:before="100" w:beforeAutospacing="1" w:after="100" w:afterAutospacing="1" w:line="360" w:lineRule="auto"/>
        <w:outlineLvl w:val="0"/>
        <w:rPr>
          <w:rFonts w:ascii="Arial" w:eastAsia="Times New Roman" w:hAnsi="Arial" w:cs="Arial"/>
          <w:b/>
          <w:bCs/>
          <w:kern w:val="36"/>
          <w:lang w:eastAsia="en-GB"/>
          <w14:ligatures w14:val="none"/>
        </w:rPr>
      </w:pPr>
      <w:r w:rsidRPr="00F34AB8">
        <w:rPr>
          <w:rFonts w:ascii="Arial" w:eastAsia="Times New Roman" w:hAnsi="Arial" w:cs="Arial"/>
          <w:b/>
          <w:bCs/>
          <w:kern w:val="36"/>
          <w:lang w:eastAsia="en-GB"/>
          <w14:ligatures w14:val="none"/>
        </w:rPr>
        <w:t>Conclusion</w:t>
      </w:r>
    </w:p>
    <w:p w14:paraId="25C72457"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The selected sources collectively demonstrate that psychological development and well-being are shaped by both early attachment experiences and later life influences, including social relationships and environmental factors. Bowlby’s Attachment Theory provides a strong foundation for understanding emotional development, while Positive Psychology and successful ageing models highlight the potential for growth and resilience across the lifespan. Although each theory has limitations, together they offer a holistic, evidence-based framework for health and social care practice.</w:t>
      </w:r>
    </w:p>
    <w:p w14:paraId="3E73A969" w14:textId="77777777" w:rsidR="00F34AB8" w:rsidRPr="00F34AB8" w:rsidRDefault="00F34AB8" w:rsidP="0053582C">
      <w:pPr>
        <w:spacing w:before="100" w:beforeAutospacing="1" w:after="100" w:afterAutospacing="1" w:line="360" w:lineRule="auto"/>
        <w:outlineLvl w:val="1"/>
        <w:rPr>
          <w:rFonts w:ascii="Arial" w:eastAsia="Times New Roman" w:hAnsi="Arial" w:cs="Arial"/>
          <w:b/>
          <w:bCs/>
          <w:kern w:val="0"/>
          <w:lang w:eastAsia="en-GB"/>
          <w14:ligatures w14:val="none"/>
        </w:rPr>
      </w:pPr>
      <w:r w:rsidRPr="00F34AB8">
        <w:rPr>
          <w:rFonts w:ascii="Arial" w:eastAsia="Times New Roman" w:hAnsi="Arial" w:cs="Arial"/>
          <w:b/>
          <w:bCs/>
          <w:kern w:val="0"/>
          <w:lang w:eastAsia="en-GB"/>
          <w14:ligatures w14:val="none"/>
        </w:rPr>
        <w:t>Introduction</w:t>
      </w:r>
    </w:p>
    <w:p w14:paraId="7636EE65"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 xml:space="preserve">Promoting psychological well-being is a central goal in residential care for older adults. Many individuals living in care homes experience challenges such as loss of independence, reduced social interaction, declining physical health, and bereavement. These factors can contribute to loneliness, depression, and a reduced quality of life. Health and social care professionals play a key role in supporting not only the physical needs of residents but also their emotional and psychological well-being. This report explains how Positive Psychology, particularly Seligman’s PERMA model, can be applied in care home settings to improve well-being. It also includes a </w:t>
      </w:r>
      <w:r w:rsidRPr="00F34AB8">
        <w:rPr>
          <w:rFonts w:ascii="Arial" w:eastAsia="Times New Roman" w:hAnsi="Arial" w:cs="Arial"/>
          <w:kern w:val="0"/>
          <w:lang w:eastAsia="en-GB"/>
          <w14:ligatures w14:val="none"/>
        </w:rPr>
        <w:lastRenderedPageBreak/>
        <w:t>real-world case example and discusses a key challenge with a practical strategy to overcome it.</w:t>
      </w:r>
    </w:p>
    <w:p w14:paraId="34647CF2" w14:textId="77777777" w:rsidR="00F34AB8" w:rsidRPr="00F34AB8" w:rsidRDefault="00F34AB8" w:rsidP="0053582C">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7D00FFB4">
          <v:rect id="_x0000_i1057" style="width:0;height:1.5pt" o:hrstd="t" o:hr="t" fillcolor="#a0a0a0" stroked="f"/>
        </w:pict>
      </w:r>
    </w:p>
    <w:p w14:paraId="0E1A2B41" w14:textId="77777777" w:rsidR="00F34AB8" w:rsidRPr="00F34AB8" w:rsidRDefault="00F34AB8" w:rsidP="0053582C">
      <w:pPr>
        <w:spacing w:before="100" w:beforeAutospacing="1" w:after="100" w:afterAutospacing="1" w:line="360" w:lineRule="auto"/>
        <w:outlineLvl w:val="1"/>
        <w:rPr>
          <w:rFonts w:ascii="Arial" w:eastAsia="Times New Roman" w:hAnsi="Arial" w:cs="Arial"/>
          <w:b/>
          <w:bCs/>
          <w:kern w:val="0"/>
          <w:lang w:eastAsia="en-GB"/>
          <w14:ligatures w14:val="none"/>
        </w:rPr>
      </w:pPr>
      <w:r w:rsidRPr="00F34AB8">
        <w:rPr>
          <w:rFonts w:ascii="Arial" w:eastAsia="Times New Roman" w:hAnsi="Arial" w:cs="Arial"/>
          <w:b/>
          <w:bCs/>
          <w:kern w:val="0"/>
          <w:lang w:eastAsia="en-GB"/>
          <w14:ligatures w14:val="none"/>
        </w:rPr>
        <w:t>Applying Positive Psychology in Residential Care</w:t>
      </w:r>
    </w:p>
    <w:p w14:paraId="1CFA2033"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Positive Psychology focuses on enhancing well-being rather than only treating problems. Seligman (2011) developed the PERMA model, which identifies five key elements that contribute to a fulfilling life: Positive Emotion, Engagement, Relationships, Meaning, and Accomplishment.</w:t>
      </w:r>
    </w:p>
    <w:p w14:paraId="42B21839"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In a care home setting, these elements can be applied in simple and practical ways. Positive emotion can be encouraged by creating a warm and supportive environment where residents feel valued and safe. This may include celebrating birthdays, playing familiar music, or encouraging humour and positive interactions. Research shows that positive emotions can improve mental health and resilience (Seligman, 2011).</w:t>
      </w:r>
    </w:p>
    <w:p w14:paraId="4558186D"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Engagement refers to being involved in meaningful activities. Staff can support this by offering personalised activities based on residents’ interests, such as gardening, arts and crafts, or light exercise. When residents are engaged, they are more likely to feel motivated and less isolated.</w:t>
      </w:r>
    </w:p>
    <w:p w14:paraId="5FADDFA4"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Relationships are especially important in residential care, as many older adults experience loneliness. Staff can promote social connections by encouraging group activities, supporting friendships between residents, and maintaining family contact through visits or video calls. Strong relationships are linked to better emotional well-being (Rowe and Kahn, 1997).</w:t>
      </w:r>
    </w:p>
    <w:p w14:paraId="2C6992D0"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Meaning involves having a sense of purpose. Care professionals can help residents feel valued by involving them in decision-making, giving them small responsibilities, or encouraging them to share life stories. Finally, accomplishment can be supported by helping residents achieve small, realistic goals, such as completing a puzzle or participating in a group activity. This can increase confidence and self-esteem.</w:t>
      </w:r>
    </w:p>
    <w:p w14:paraId="6931EF2E"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lastRenderedPageBreak/>
        <w:t>Overall, the PERMA model provides a simple and effective framework that can be integrated into daily care routines to improve psychological well-being.</w:t>
      </w:r>
    </w:p>
    <w:p w14:paraId="3BB1ABB3" w14:textId="77777777" w:rsidR="00F34AB8" w:rsidRPr="00F34AB8" w:rsidRDefault="00F34AB8" w:rsidP="0053582C">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2A5E8F08">
          <v:rect id="_x0000_i1058" style="width:0;height:1.5pt" o:hrstd="t" o:hr="t" fillcolor="#a0a0a0" stroked="f"/>
        </w:pict>
      </w:r>
    </w:p>
    <w:p w14:paraId="2A14D2C3" w14:textId="77777777" w:rsidR="00F34AB8" w:rsidRPr="00F34AB8" w:rsidRDefault="00F34AB8" w:rsidP="0053582C">
      <w:pPr>
        <w:spacing w:before="100" w:beforeAutospacing="1" w:after="100" w:afterAutospacing="1" w:line="360" w:lineRule="auto"/>
        <w:outlineLvl w:val="1"/>
        <w:rPr>
          <w:rFonts w:ascii="Arial" w:eastAsia="Times New Roman" w:hAnsi="Arial" w:cs="Arial"/>
          <w:b/>
          <w:bCs/>
          <w:kern w:val="0"/>
          <w:lang w:eastAsia="en-GB"/>
          <w14:ligatures w14:val="none"/>
        </w:rPr>
      </w:pPr>
      <w:r w:rsidRPr="00F34AB8">
        <w:rPr>
          <w:rFonts w:ascii="Arial" w:eastAsia="Times New Roman" w:hAnsi="Arial" w:cs="Arial"/>
          <w:b/>
          <w:bCs/>
          <w:kern w:val="0"/>
          <w:lang w:eastAsia="en-GB"/>
          <w14:ligatures w14:val="none"/>
        </w:rPr>
        <w:t>Case Scenario</w:t>
      </w:r>
    </w:p>
    <w:p w14:paraId="7BE6496B"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 xml:space="preserve">Mrs. Patel is an 80-year-old resident who recently moved into a care home after losing her husband. Since her arrival, she has shown signs of low mood, </w:t>
      </w:r>
      <w:proofErr w:type="gramStart"/>
      <w:r w:rsidRPr="00F34AB8">
        <w:rPr>
          <w:rFonts w:ascii="Arial" w:eastAsia="Times New Roman" w:hAnsi="Arial" w:cs="Arial"/>
          <w:kern w:val="0"/>
          <w:lang w:eastAsia="en-GB"/>
          <w14:ligatures w14:val="none"/>
        </w:rPr>
        <w:t>avoids</w:t>
      </w:r>
      <w:proofErr w:type="gramEnd"/>
      <w:r w:rsidRPr="00F34AB8">
        <w:rPr>
          <w:rFonts w:ascii="Arial" w:eastAsia="Times New Roman" w:hAnsi="Arial" w:cs="Arial"/>
          <w:kern w:val="0"/>
          <w:lang w:eastAsia="en-GB"/>
          <w14:ligatures w14:val="none"/>
        </w:rPr>
        <w:t xml:space="preserve"> social interaction, and spends most of her time alone in her room. Staff are concerned about her emotional well-being.</w:t>
      </w:r>
    </w:p>
    <w:p w14:paraId="4C9B921E"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Using the PERMA model, staff can take a structured approach to support Mrs. Patel. To promote positive emotion, they ensure her room includes familiar items from home and play music she enjoys. For engagement, she is invited to join a weekly cooking group, reflecting her past interest in cooking. To build relationships, staff introduce her to another resident with similar cultural background and interests, helping her feel less isolated.</w:t>
      </w:r>
    </w:p>
    <w:p w14:paraId="074179AB"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To support meaning, Mrs. Patel is encouraged to share recipes and cultural traditions with others, giving her a sense of purpose. Finally, accomplishment is reinforced by recognising her contributions to the cooking group. Over time, Mrs. Patel becomes more involved in activities, interacts more with others, and reports feeling happier. This example shows how Positive Psychology can be applied in a realistic care setting.</w:t>
      </w:r>
    </w:p>
    <w:p w14:paraId="75E556C1" w14:textId="77777777" w:rsidR="00F34AB8" w:rsidRPr="00F34AB8" w:rsidRDefault="00F34AB8" w:rsidP="0053582C">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08A1FC74">
          <v:rect id="_x0000_i1059" style="width:0;height:1.5pt" o:hrstd="t" o:hr="t" fillcolor="#a0a0a0" stroked="f"/>
        </w:pict>
      </w:r>
    </w:p>
    <w:p w14:paraId="7A3E2ECF" w14:textId="77777777" w:rsidR="00F34AB8" w:rsidRPr="00F34AB8" w:rsidRDefault="00F34AB8" w:rsidP="0053582C">
      <w:pPr>
        <w:spacing w:before="100" w:beforeAutospacing="1" w:after="100" w:afterAutospacing="1" w:line="360" w:lineRule="auto"/>
        <w:outlineLvl w:val="1"/>
        <w:rPr>
          <w:rFonts w:ascii="Arial" w:eastAsia="Times New Roman" w:hAnsi="Arial" w:cs="Arial"/>
          <w:b/>
          <w:bCs/>
          <w:kern w:val="0"/>
          <w:lang w:eastAsia="en-GB"/>
          <w14:ligatures w14:val="none"/>
        </w:rPr>
      </w:pPr>
      <w:r w:rsidRPr="00F34AB8">
        <w:rPr>
          <w:rFonts w:ascii="Arial" w:eastAsia="Times New Roman" w:hAnsi="Arial" w:cs="Arial"/>
          <w:b/>
          <w:bCs/>
          <w:kern w:val="0"/>
          <w:lang w:eastAsia="en-GB"/>
          <w14:ligatures w14:val="none"/>
        </w:rPr>
        <w:t>Challenge and Strategy</w:t>
      </w:r>
    </w:p>
    <w:p w14:paraId="3E96AF6A"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One major challenge in applying Positive Psychology in care homes is cognitive decline, such as dementia. Residents with memory problems may struggle to engage in activities or maintain relationships, which can limit the effectiveness of the PERMA model. In addition, staff may face time pressures, making it difficult to provide individualised support.</w:t>
      </w:r>
    </w:p>
    <w:p w14:paraId="35D444DC"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lastRenderedPageBreak/>
        <w:t>A practical strategy to overcome this challenge is to adopt a person-centred and flexible approach. Activities should be adapted to each resident’s abilities. For example, for individuals with dementia, simple sensory activities such as listening to music, looking at photographs, or engaging in familiar routines can still promote positive emotion and engagement. Even brief social interactions, such as a friendly conversation, can support relationships and emotional well-being.</w:t>
      </w:r>
    </w:p>
    <w:p w14:paraId="2B626D1C"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Staff training is also important. Providing training on Positive Psychology can help staff understand how to apply the PERMA model in everyday care. Embedding these practices into daily routines, rather than treating them as separate tasks, can make them more manageable. Research suggests that small, consistent actions can have a meaningful impact on well-being (Seligman, 2011).</w:t>
      </w:r>
    </w:p>
    <w:p w14:paraId="7A00A60F" w14:textId="77777777" w:rsidR="00F34AB8" w:rsidRPr="00F34AB8" w:rsidRDefault="00F34AB8" w:rsidP="0053582C">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495E99C0">
          <v:rect id="_x0000_i1060" style="width:0;height:1.5pt" o:hrstd="t" o:hr="t" fillcolor="#a0a0a0" stroked="f"/>
        </w:pict>
      </w:r>
    </w:p>
    <w:p w14:paraId="74F8645C" w14:textId="77777777" w:rsidR="0053582C" w:rsidRPr="00A45366" w:rsidRDefault="0053582C" w:rsidP="0053582C">
      <w:pPr>
        <w:spacing w:before="100" w:beforeAutospacing="1" w:after="100" w:afterAutospacing="1" w:line="360" w:lineRule="auto"/>
        <w:outlineLvl w:val="1"/>
        <w:rPr>
          <w:rFonts w:ascii="Arial" w:eastAsia="Times New Roman" w:hAnsi="Arial" w:cs="Arial"/>
          <w:kern w:val="0"/>
          <w:lang w:eastAsia="en-GB"/>
          <w14:ligatures w14:val="none"/>
        </w:rPr>
      </w:pPr>
    </w:p>
    <w:p w14:paraId="05EF73F4" w14:textId="5044A846" w:rsidR="00F34AB8" w:rsidRPr="00F34AB8" w:rsidRDefault="00F34AB8" w:rsidP="0053582C">
      <w:pPr>
        <w:spacing w:before="100" w:beforeAutospacing="1" w:after="100" w:afterAutospacing="1" w:line="360" w:lineRule="auto"/>
        <w:outlineLvl w:val="1"/>
        <w:rPr>
          <w:rFonts w:ascii="Arial" w:eastAsia="Times New Roman" w:hAnsi="Arial" w:cs="Arial"/>
          <w:b/>
          <w:bCs/>
          <w:kern w:val="0"/>
          <w:lang w:eastAsia="en-GB"/>
          <w14:ligatures w14:val="none"/>
        </w:rPr>
      </w:pPr>
      <w:r w:rsidRPr="00F34AB8">
        <w:rPr>
          <w:rFonts w:ascii="Arial" w:eastAsia="Times New Roman" w:hAnsi="Arial" w:cs="Arial"/>
          <w:b/>
          <w:bCs/>
          <w:kern w:val="0"/>
          <w:lang w:eastAsia="en-GB"/>
          <w14:ligatures w14:val="none"/>
        </w:rPr>
        <w:t>Conclusion</w:t>
      </w:r>
    </w:p>
    <w:p w14:paraId="4E401DB3" w14:textId="77777777" w:rsidR="00F34AB8" w:rsidRPr="00F34AB8" w:rsidRDefault="00F34AB8" w:rsidP="0053582C">
      <w:pPr>
        <w:spacing w:before="100" w:beforeAutospacing="1" w:after="100" w:afterAutospacing="1"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t>Positive Psychology, particularly the PERMA model, offers a practical and effective way to improve psychological well-being in older adults living in residential care. By focusing on positive emotions, engagement, relationships, meaning, and accomplishment, care professionals can enhance residents’ quality of life. Although challenges such as cognitive decline and time constraints exist, these can be addressed through flexible, person-centred approaches and staff training. Applying evidence-based theory in this way supports more holistic and compassionate care.</w:t>
      </w:r>
    </w:p>
    <w:p w14:paraId="6CC0F9AD" w14:textId="77777777" w:rsidR="007828EB" w:rsidRDefault="007828EB" w:rsidP="0053582C">
      <w:pPr>
        <w:spacing w:after="0" w:line="360" w:lineRule="auto"/>
        <w:rPr>
          <w:rFonts w:ascii="Arial" w:eastAsia="Times New Roman" w:hAnsi="Arial" w:cs="Arial"/>
          <w:kern w:val="0"/>
          <w:lang w:eastAsia="en-GB"/>
          <w14:ligatures w14:val="none"/>
        </w:rPr>
      </w:pPr>
    </w:p>
    <w:p w14:paraId="5ED3BFD5" w14:textId="77777777" w:rsidR="007828EB" w:rsidRDefault="007828EB" w:rsidP="0053582C">
      <w:pPr>
        <w:spacing w:after="0" w:line="360" w:lineRule="auto"/>
        <w:rPr>
          <w:rFonts w:ascii="Arial" w:eastAsia="Times New Roman" w:hAnsi="Arial" w:cs="Arial"/>
          <w:kern w:val="0"/>
          <w:lang w:eastAsia="en-GB"/>
          <w14:ligatures w14:val="none"/>
        </w:rPr>
      </w:pPr>
    </w:p>
    <w:p w14:paraId="6DF0E36E" w14:textId="77777777" w:rsidR="007828EB" w:rsidRDefault="007828EB" w:rsidP="0053582C">
      <w:pPr>
        <w:spacing w:after="0" w:line="360" w:lineRule="auto"/>
        <w:rPr>
          <w:rFonts w:ascii="Arial" w:eastAsia="Times New Roman" w:hAnsi="Arial" w:cs="Arial"/>
          <w:kern w:val="0"/>
          <w:lang w:eastAsia="en-GB"/>
          <w14:ligatures w14:val="none"/>
        </w:rPr>
      </w:pPr>
    </w:p>
    <w:p w14:paraId="580D907E" w14:textId="77777777" w:rsidR="007828EB" w:rsidRDefault="007828EB" w:rsidP="0053582C">
      <w:pPr>
        <w:spacing w:after="0" w:line="360" w:lineRule="auto"/>
        <w:rPr>
          <w:rFonts w:ascii="Arial" w:eastAsia="Times New Roman" w:hAnsi="Arial" w:cs="Arial"/>
          <w:kern w:val="0"/>
          <w:lang w:eastAsia="en-GB"/>
          <w14:ligatures w14:val="none"/>
        </w:rPr>
      </w:pPr>
    </w:p>
    <w:p w14:paraId="42186F8F" w14:textId="77777777" w:rsidR="007828EB" w:rsidRDefault="007828EB" w:rsidP="0053582C">
      <w:pPr>
        <w:spacing w:after="0" w:line="360" w:lineRule="auto"/>
        <w:rPr>
          <w:rFonts w:ascii="Arial" w:eastAsia="Times New Roman" w:hAnsi="Arial" w:cs="Arial"/>
          <w:kern w:val="0"/>
          <w:lang w:eastAsia="en-GB"/>
          <w14:ligatures w14:val="none"/>
        </w:rPr>
      </w:pPr>
    </w:p>
    <w:p w14:paraId="4E8FDA71" w14:textId="77777777" w:rsidR="007828EB" w:rsidRDefault="007828EB" w:rsidP="0053582C">
      <w:pPr>
        <w:spacing w:after="0" w:line="360" w:lineRule="auto"/>
        <w:rPr>
          <w:rFonts w:ascii="Arial" w:eastAsia="Times New Roman" w:hAnsi="Arial" w:cs="Arial"/>
          <w:kern w:val="0"/>
          <w:lang w:eastAsia="en-GB"/>
          <w14:ligatures w14:val="none"/>
        </w:rPr>
      </w:pPr>
    </w:p>
    <w:p w14:paraId="68B77875" w14:textId="77777777" w:rsidR="007828EB" w:rsidRDefault="007828EB" w:rsidP="0053582C">
      <w:pPr>
        <w:spacing w:after="0" w:line="360" w:lineRule="auto"/>
        <w:rPr>
          <w:rFonts w:ascii="Arial" w:eastAsia="Times New Roman" w:hAnsi="Arial" w:cs="Arial"/>
          <w:kern w:val="0"/>
          <w:lang w:eastAsia="en-GB"/>
          <w14:ligatures w14:val="none"/>
        </w:rPr>
      </w:pPr>
    </w:p>
    <w:p w14:paraId="43EB0250" w14:textId="5CE2BDFB" w:rsidR="00F34AB8" w:rsidRPr="00F34AB8" w:rsidRDefault="00F34AB8" w:rsidP="00B46D45">
      <w:pPr>
        <w:spacing w:after="0" w:line="360" w:lineRule="auto"/>
        <w:rPr>
          <w:rFonts w:ascii="Arial" w:eastAsia="Times New Roman" w:hAnsi="Arial" w:cs="Arial"/>
          <w:kern w:val="0"/>
          <w:lang w:eastAsia="en-GB"/>
          <w14:ligatures w14:val="none"/>
        </w:rPr>
      </w:pPr>
      <w:r w:rsidRPr="00F34AB8">
        <w:rPr>
          <w:rFonts w:ascii="Arial" w:eastAsia="Times New Roman" w:hAnsi="Arial" w:cs="Arial"/>
          <w:kern w:val="0"/>
          <w:lang w:eastAsia="en-GB"/>
          <w14:ligatures w14:val="none"/>
        </w:rPr>
        <w:pict w14:anchorId="4D3D29A6">
          <v:rect id="_x0000_i1061" style="width:0;height:1.5pt" o:hrstd="t" o:hr="t" fillcolor="#a0a0a0" stroked="f"/>
        </w:pict>
      </w:r>
    </w:p>
    <w:p w14:paraId="390D8392" w14:textId="14BDE80E" w:rsidR="00B46D45" w:rsidRPr="00B46D45" w:rsidRDefault="00B46D45" w:rsidP="00B46D4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46D45">
        <w:rPr>
          <w:rFonts w:ascii="Times New Roman" w:eastAsia="Times New Roman" w:hAnsi="Times New Roman" w:cs="Times New Roman"/>
          <w:b/>
          <w:bCs/>
          <w:kern w:val="0"/>
          <w:sz w:val="36"/>
          <w:szCs w:val="36"/>
          <w:lang w:eastAsia="en-GB"/>
          <w14:ligatures w14:val="none"/>
        </w:rPr>
        <w:lastRenderedPageBreak/>
        <w:t xml:space="preserve">Reference List </w:t>
      </w:r>
    </w:p>
    <w:p w14:paraId="567D5BC4"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Cribb, A. and Pullin, G. (2025) ‘Aesthetics for everyday quality: Enriching health-care improvement debates’, in </w:t>
      </w:r>
      <w:proofErr w:type="spellStart"/>
      <w:r w:rsidRPr="00B46D45">
        <w:rPr>
          <w:rFonts w:ascii="Times New Roman" w:eastAsia="Times New Roman" w:hAnsi="Times New Roman" w:cs="Times New Roman"/>
          <w:kern w:val="0"/>
          <w:lang w:eastAsia="en-GB"/>
          <w14:ligatures w14:val="none"/>
        </w:rPr>
        <w:t>Musalek</w:t>
      </w:r>
      <w:proofErr w:type="spellEnd"/>
      <w:r w:rsidRPr="00B46D45">
        <w:rPr>
          <w:rFonts w:ascii="Times New Roman" w:eastAsia="Times New Roman" w:hAnsi="Times New Roman" w:cs="Times New Roman"/>
          <w:kern w:val="0"/>
          <w:lang w:eastAsia="en-GB"/>
          <w14:ligatures w14:val="none"/>
        </w:rPr>
        <w:t xml:space="preserve">, M. </w:t>
      </w:r>
      <w:r w:rsidRPr="00B46D45">
        <w:rPr>
          <w:rFonts w:ascii="Times New Roman" w:eastAsia="Times New Roman" w:hAnsi="Times New Roman" w:cs="Times New Roman"/>
          <w:i/>
          <w:iCs/>
          <w:kern w:val="0"/>
          <w:lang w:eastAsia="en-GB"/>
          <w14:ligatures w14:val="none"/>
        </w:rPr>
        <w:t>et al.</w:t>
      </w:r>
      <w:r w:rsidRPr="00B46D45">
        <w:rPr>
          <w:rFonts w:ascii="Times New Roman" w:eastAsia="Times New Roman" w:hAnsi="Times New Roman" w:cs="Times New Roman"/>
          <w:kern w:val="0"/>
          <w:lang w:eastAsia="en-GB"/>
          <w14:ligatures w14:val="none"/>
        </w:rPr>
        <w:t xml:space="preserve"> (eds.) </w:t>
      </w:r>
      <w:r w:rsidRPr="00B46D45">
        <w:rPr>
          <w:rFonts w:ascii="Times New Roman" w:eastAsia="Times New Roman" w:hAnsi="Times New Roman" w:cs="Times New Roman"/>
          <w:i/>
          <w:iCs/>
          <w:kern w:val="0"/>
          <w:lang w:eastAsia="en-GB"/>
          <w14:ligatures w14:val="none"/>
        </w:rPr>
        <w:t>The Oxford handbook of mental health and contemporary Western aesthetics</w:t>
      </w:r>
      <w:r w:rsidRPr="00B46D45">
        <w:rPr>
          <w:rFonts w:ascii="Times New Roman" w:eastAsia="Times New Roman" w:hAnsi="Times New Roman" w:cs="Times New Roman"/>
          <w:kern w:val="0"/>
          <w:lang w:eastAsia="en-GB"/>
          <w14:ligatures w14:val="none"/>
        </w:rPr>
        <w:t xml:space="preserve">. Oxford: Oxford University Press. Available at: </w:t>
      </w:r>
      <w:hyperlink r:id="rId6" w:tgtFrame="_new" w:history="1">
        <w:r w:rsidRPr="00B46D45">
          <w:rPr>
            <w:rFonts w:ascii="Times New Roman" w:eastAsia="Times New Roman" w:hAnsi="Times New Roman" w:cs="Times New Roman"/>
            <w:color w:val="0000FF"/>
            <w:kern w:val="0"/>
            <w:u w:val="single"/>
            <w:lang w:eastAsia="en-GB"/>
            <w14:ligatures w14:val="none"/>
          </w:rPr>
          <w:t>https://doi.org/10.1093/oxfordhb/9780192866929.013.63</w:t>
        </w:r>
      </w:hyperlink>
    </w:p>
    <w:p w14:paraId="22366557"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Delgado-Romero, E.A. (2022) ‘Gaining access and treatment equity (GATE): A framework for culturally responsive clinical care’, in </w:t>
      </w:r>
      <w:r w:rsidRPr="00B46D45">
        <w:rPr>
          <w:rFonts w:ascii="Times New Roman" w:eastAsia="Times New Roman" w:hAnsi="Times New Roman" w:cs="Times New Roman"/>
          <w:i/>
          <w:iCs/>
          <w:kern w:val="0"/>
          <w:lang w:eastAsia="en-GB"/>
          <w14:ligatures w14:val="none"/>
        </w:rPr>
        <w:t>Latinx mental health: From surviving to thriving</w:t>
      </w:r>
      <w:r w:rsidRPr="00B46D45">
        <w:rPr>
          <w:rFonts w:ascii="Times New Roman" w:eastAsia="Times New Roman" w:hAnsi="Times New Roman" w:cs="Times New Roman"/>
          <w:kern w:val="0"/>
          <w:lang w:eastAsia="en-GB"/>
          <w14:ligatures w14:val="none"/>
        </w:rPr>
        <w:t xml:space="preserve">. Hershey, PA: IGI Global Scientific Publishing, pp. 268–280. Available at: </w:t>
      </w:r>
      <w:hyperlink r:id="rId7" w:tgtFrame="_new" w:history="1">
        <w:r w:rsidRPr="00B46D45">
          <w:rPr>
            <w:rFonts w:ascii="Times New Roman" w:eastAsia="Times New Roman" w:hAnsi="Times New Roman" w:cs="Times New Roman"/>
            <w:color w:val="0000FF"/>
            <w:kern w:val="0"/>
            <w:u w:val="single"/>
            <w:lang w:eastAsia="en-GB"/>
            <w14:ligatures w14:val="none"/>
          </w:rPr>
          <w:t>https://doi.org/10.4018/978-1-6684-4901-1.ch015</w:t>
        </w:r>
      </w:hyperlink>
    </w:p>
    <w:p w14:paraId="1BDA8D1B"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Juravle, G. </w:t>
      </w:r>
      <w:r w:rsidRPr="00B46D45">
        <w:rPr>
          <w:rFonts w:ascii="Times New Roman" w:eastAsia="Times New Roman" w:hAnsi="Times New Roman" w:cs="Times New Roman"/>
          <w:i/>
          <w:iCs/>
          <w:kern w:val="0"/>
          <w:lang w:eastAsia="en-GB"/>
          <w14:ligatures w14:val="none"/>
        </w:rPr>
        <w:t>et al.</w:t>
      </w:r>
      <w:r w:rsidRPr="00B46D45">
        <w:rPr>
          <w:rFonts w:ascii="Times New Roman" w:eastAsia="Times New Roman" w:hAnsi="Times New Roman" w:cs="Times New Roman"/>
          <w:kern w:val="0"/>
          <w:lang w:eastAsia="en-GB"/>
          <w14:ligatures w14:val="none"/>
        </w:rPr>
        <w:t xml:space="preserve"> (2020) ‘Trust in artificial intelligence for medical diagnoses’, in </w:t>
      </w:r>
      <w:r w:rsidRPr="00B46D45">
        <w:rPr>
          <w:rFonts w:ascii="Times New Roman" w:eastAsia="Times New Roman" w:hAnsi="Times New Roman" w:cs="Times New Roman"/>
          <w:i/>
          <w:iCs/>
          <w:kern w:val="0"/>
          <w:lang w:eastAsia="en-GB"/>
          <w14:ligatures w14:val="none"/>
        </w:rPr>
        <w:t>Progress in brain research</w:t>
      </w:r>
      <w:r w:rsidRPr="00B46D45">
        <w:rPr>
          <w:rFonts w:ascii="Times New Roman" w:eastAsia="Times New Roman" w:hAnsi="Times New Roman" w:cs="Times New Roman"/>
          <w:kern w:val="0"/>
          <w:lang w:eastAsia="en-GB"/>
          <w14:ligatures w14:val="none"/>
        </w:rPr>
        <w:t xml:space="preserve">. Amsterdam: Elsevier, p. 263. Available at: </w:t>
      </w:r>
      <w:hyperlink r:id="rId8" w:tgtFrame="_new" w:history="1">
        <w:r w:rsidRPr="00B46D45">
          <w:rPr>
            <w:rFonts w:ascii="Times New Roman" w:eastAsia="Times New Roman" w:hAnsi="Times New Roman" w:cs="Times New Roman"/>
            <w:color w:val="0000FF"/>
            <w:kern w:val="0"/>
            <w:u w:val="single"/>
            <w:lang w:eastAsia="en-GB"/>
            <w14:ligatures w14:val="none"/>
          </w:rPr>
          <w:t>https://doi.org/10.1016/bs.pbr.2020.06.006</w:t>
        </w:r>
      </w:hyperlink>
    </w:p>
    <w:p w14:paraId="2A63F7C3"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Miller, A., Mancini, P. and Santos, J. (2023) ‘From silos to integration: Healthcare, politics, and transformation’, in </w:t>
      </w:r>
      <w:r w:rsidRPr="00B46D45">
        <w:rPr>
          <w:rFonts w:ascii="Times New Roman" w:eastAsia="Times New Roman" w:hAnsi="Times New Roman" w:cs="Times New Roman"/>
          <w:i/>
          <w:iCs/>
          <w:kern w:val="0"/>
          <w:lang w:eastAsia="en-GB"/>
          <w14:ligatures w14:val="none"/>
        </w:rPr>
        <w:t>Latinx mental health: From surviving to thriving</w:t>
      </w:r>
      <w:r w:rsidRPr="00B46D45">
        <w:rPr>
          <w:rFonts w:ascii="Times New Roman" w:eastAsia="Times New Roman" w:hAnsi="Times New Roman" w:cs="Times New Roman"/>
          <w:kern w:val="0"/>
          <w:lang w:eastAsia="en-GB"/>
          <w14:ligatures w14:val="none"/>
        </w:rPr>
        <w:t xml:space="preserve">. Hershey, PA: IGI Global Scientific Publishing, pp. 248–267. Available at: </w:t>
      </w:r>
      <w:hyperlink r:id="rId9" w:tgtFrame="_new" w:history="1">
        <w:r w:rsidRPr="00B46D45">
          <w:rPr>
            <w:rFonts w:ascii="Times New Roman" w:eastAsia="Times New Roman" w:hAnsi="Times New Roman" w:cs="Times New Roman"/>
            <w:color w:val="0000FF"/>
            <w:kern w:val="0"/>
            <w:u w:val="single"/>
            <w:lang w:eastAsia="en-GB"/>
            <w14:ligatures w14:val="none"/>
          </w:rPr>
          <w:t>https://doi.org/10.4018/978-1-6684-4901-1.ch014</w:t>
        </w:r>
      </w:hyperlink>
    </w:p>
    <w:p w14:paraId="5824BB18"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Morrow, D. and Chin, J. (2022) ‘A process-knowledge approach to supporting self-care among older adults’, in </w:t>
      </w:r>
      <w:proofErr w:type="gramStart"/>
      <w:r w:rsidRPr="00B46D45">
        <w:rPr>
          <w:rFonts w:ascii="Times New Roman" w:eastAsia="Times New Roman" w:hAnsi="Times New Roman" w:cs="Times New Roman"/>
          <w:i/>
          <w:iCs/>
          <w:kern w:val="0"/>
          <w:lang w:eastAsia="en-GB"/>
          <w14:ligatures w14:val="none"/>
        </w:rPr>
        <w:t>The</w:t>
      </w:r>
      <w:proofErr w:type="gramEnd"/>
      <w:r w:rsidRPr="00B46D45">
        <w:rPr>
          <w:rFonts w:ascii="Times New Roman" w:eastAsia="Times New Roman" w:hAnsi="Times New Roman" w:cs="Times New Roman"/>
          <w:i/>
          <w:iCs/>
          <w:kern w:val="0"/>
          <w:lang w:eastAsia="en-GB"/>
          <w14:ligatures w14:val="none"/>
        </w:rPr>
        <w:t xml:space="preserve"> psychology of learning and motivation</w:t>
      </w:r>
      <w:r w:rsidRPr="00B46D45">
        <w:rPr>
          <w:rFonts w:ascii="Times New Roman" w:eastAsia="Times New Roman" w:hAnsi="Times New Roman" w:cs="Times New Roman"/>
          <w:kern w:val="0"/>
          <w:lang w:eastAsia="en-GB"/>
          <w14:ligatures w14:val="none"/>
        </w:rPr>
        <w:t xml:space="preserve">. Amsterdam: Elsevier, pp. 165–191. Available at: </w:t>
      </w:r>
      <w:hyperlink r:id="rId10" w:tgtFrame="_new" w:history="1">
        <w:r w:rsidRPr="00B46D45">
          <w:rPr>
            <w:rFonts w:ascii="Times New Roman" w:eastAsia="Times New Roman" w:hAnsi="Times New Roman" w:cs="Times New Roman"/>
            <w:color w:val="0000FF"/>
            <w:kern w:val="0"/>
            <w:u w:val="single"/>
            <w:lang w:eastAsia="en-GB"/>
            <w14:ligatures w14:val="none"/>
          </w:rPr>
          <w:t>https://doi.org/10.1016/bs.plm.2022.07.003</w:t>
        </w:r>
      </w:hyperlink>
    </w:p>
    <w:p w14:paraId="142A7DF5"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Rowe, J.W. and Kahn, R.L. (1997) ‘Successful aging’, </w:t>
      </w:r>
      <w:r w:rsidRPr="00B46D45">
        <w:rPr>
          <w:rFonts w:ascii="Times New Roman" w:eastAsia="Times New Roman" w:hAnsi="Times New Roman" w:cs="Times New Roman"/>
          <w:i/>
          <w:iCs/>
          <w:kern w:val="0"/>
          <w:lang w:eastAsia="en-GB"/>
          <w14:ligatures w14:val="none"/>
        </w:rPr>
        <w:t>The Gerontologist</w:t>
      </w:r>
      <w:r w:rsidRPr="00B46D45">
        <w:rPr>
          <w:rFonts w:ascii="Times New Roman" w:eastAsia="Times New Roman" w:hAnsi="Times New Roman" w:cs="Times New Roman"/>
          <w:kern w:val="0"/>
          <w:lang w:eastAsia="en-GB"/>
          <w14:ligatures w14:val="none"/>
        </w:rPr>
        <w:t>, 37(4), pp. 433–440</w:t>
      </w:r>
    </w:p>
    <w:p w14:paraId="3D2EEB9B"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Seligman, M.E.P. (2011) </w:t>
      </w:r>
      <w:r w:rsidRPr="00B46D45">
        <w:rPr>
          <w:rFonts w:ascii="Times New Roman" w:eastAsia="Times New Roman" w:hAnsi="Times New Roman" w:cs="Times New Roman"/>
          <w:i/>
          <w:iCs/>
          <w:kern w:val="0"/>
          <w:lang w:eastAsia="en-GB"/>
          <w14:ligatures w14:val="none"/>
        </w:rPr>
        <w:t>Flourish: A visionary new understanding of happiness and well-being</w:t>
      </w:r>
      <w:r w:rsidRPr="00B46D45">
        <w:rPr>
          <w:rFonts w:ascii="Times New Roman" w:eastAsia="Times New Roman" w:hAnsi="Times New Roman" w:cs="Times New Roman"/>
          <w:kern w:val="0"/>
          <w:lang w:eastAsia="en-GB"/>
          <w14:ligatures w14:val="none"/>
        </w:rPr>
        <w:t>. New York: Free Press</w:t>
      </w:r>
    </w:p>
    <w:p w14:paraId="4C117DB6"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‘Health psychology theories and models of behaviour’ (no date) in </w:t>
      </w:r>
      <w:r w:rsidRPr="00B46D45">
        <w:rPr>
          <w:rFonts w:ascii="Times New Roman" w:eastAsia="Times New Roman" w:hAnsi="Times New Roman" w:cs="Times New Roman"/>
          <w:i/>
          <w:iCs/>
          <w:kern w:val="0"/>
          <w:lang w:eastAsia="en-GB"/>
          <w14:ligatures w14:val="none"/>
        </w:rPr>
        <w:t>The Routledge international handbook of health psychology</w:t>
      </w:r>
      <w:r w:rsidRPr="00B46D45">
        <w:rPr>
          <w:rFonts w:ascii="Times New Roman" w:eastAsia="Times New Roman" w:hAnsi="Times New Roman" w:cs="Times New Roman"/>
          <w:kern w:val="0"/>
          <w:lang w:eastAsia="en-GB"/>
          <w14:ligatures w14:val="none"/>
        </w:rPr>
        <w:t xml:space="preserve">. Available at: </w:t>
      </w:r>
      <w:hyperlink r:id="rId11" w:tgtFrame="_new" w:history="1">
        <w:r w:rsidRPr="00B46D45">
          <w:rPr>
            <w:rFonts w:ascii="Times New Roman" w:eastAsia="Times New Roman" w:hAnsi="Times New Roman" w:cs="Times New Roman"/>
            <w:color w:val="0000FF"/>
            <w:kern w:val="0"/>
            <w:u w:val="single"/>
            <w:lang w:eastAsia="en-GB"/>
            <w14:ligatures w14:val="none"/>
          </w:rPr>
          <w:t>https://doi.org/10.4324/9781003318026-3</w:t>
        </w:r>
      </w:hyperlink>
    </w:p>
    <w:p w14:paraId="5610983E" w14:textId="77777777" w:rsidR="00B46D45" w:rsidRPr="00B46D45" w:rsidRDefault="00B46D45" w:rsidP="00B46D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46D45">
        <w:rPr>
          <w:rFonts w:ascii="Times New Roman" w:eastAsia="Times New Roman" w:hAnsi="Times New Roman" w:cs="Times New Roman"/>
          <w:kern w:val="0"/>
          <w:lang w:eastAsia="en-GB"/>
          <w14:ligatures w14:val="none"/>
        </w:rPr>
        <w:t xml:space="preserve">‘Workplace health promotion: mHealth as a preventive mediator between psychosocial workplace characteristics and well-being at work’ (no date) in </w:t>
      </w:r>
      <w:r w:rsidRPr="00B46D45">
        <w:rPr>
          <w:rFonts w:ascii="Times New Roman" w:eastAsia="Times New Roman" w:hAnsi="Times New Roman" w:cs="Times New Roman"/>
          <w:i/>
          <w:iCs/>
          <w:kern w:val="0"/>
          <w:lang w:eastAsia="en-GB"/>
          <w14:ligatures w14:val="none"/>
        </w:rPr>
        <w:t>Lecture notes in computer science</w:t>
      </w:r>
      <w:r w:rsidRPr="00B46D45">
        <w:rPr>
          <w:rFonts w:ascii="Times New Roman" w:eastAsia="Times New Roman" w:hAnsi="Times New Roman" w:cs="Times New Roman"/>
          <w:kern w:val="0"/>
          <w:lang w:eastAsia="en-GB"/>
          <w14:ligatures w14:val="none"/>
        </w:rPr>
        <w:t xml:space="preserve">. Available at: </w:t>
      </w:r>
      <w:hyperlink r:id="rId12" w:tgtFrame="_new" w:history="1">
        <w:r w:rsidRPr="00B46D45">
          <w:rPr>
            <w:rFonts w:ascii="Times New Roman" w:eastAsia="Times New Roman" w:hAnsi="Times New Roman" w:cs="Times New Roman"/>
            <w:color w:val="0000FF"/>
            <w:kern w:val="0"/>
            <w:u w:val="single"/>
            <w:lang w:eastAsia="en-GB"/>
            <w14:ligatures w14:val="none"/>
          </w:rPr>
          <w:t>https://doi.org/10.1007/978-3-031-06018-2_18</w:t>
        </w:r>
      </w:hyperlink>
    </w:p>
    <w:p w14:paraId="0146BAF3" w14:textId="77777777" w:rsidR="00B26429" w:rsidRPr="00BA7E69" w:rsidRDefault="00B26429" w:rsidP="00BA7E69">
      <w:pPr>
        <w:spacing w:after="0" w:line="240" w:lineRule="auto"/>
        <w:rPr>
          <w:rFonts w:ascii="Arial" w:eastAsia="Times New Roman" w:hAnsi="Arial" w:cs="Arial"/>
          <w:kern w:val="0"/>
          <w:lang w:eastAsia="en-GB"/>
          <w14:ligatures w14:val="none"/>
        </w:rPr>
      </w:pPr>
    </w:p>
    <w:p w14:paraId="4F1F1481" w14:textId="77777777" w:rsidR="006F0B1B" w:rsidRPr="00E30E63" w:rsidRDefault="006F0B1B" w:rsidP="00E30E63">
      <w:pPr>
        <w:spacing w:after="0" w:line="240" w:lineRule="auto"/>
        <w:rPr>
          <w:rFonts w:ascii="Arial" w:eastAsia="Times New Roman" w:hAnsi="Arial" w:cs="Arial"/>
          <w:kern w:val="0"/>
          <w:lang w:eastAsia="en-GB"/>
          <w14:ligatures w14:val="none"/>
        </w:rPr>
      </w:pPr>
    </w:p>
    <w:p w14:paraId="736225ED" w14:textId="77777777" w:rsidR="00E30E63" w:rsidRPr="00F34AB8" w:rsidRDefault="00E30E63" w:rsidP="0053582C">
      <w:pPr>
        <w:spacing w:before="100" w:beforeAutospacing="1" w:after="100" w:afterAutospacing="1" w:line="360" w:lineRule="auto"/>
        <w:rPr>
          <w:rFonts w:ascii="Arial" w:eastAsia="Times New Roman" w:hAnsi="Arial" w:cs="Arial"/>
          <w:kern w:val="0"/>
          <w:lang w:eastAsia="en-GB"/>
          <w14:ligatures w14:val="none"/>
        </w:rPr>
      </w:pPr>
    </w:p>
    <w:p w14:paraId="76EFC154" w14:textId="77777777" w:rsidR="00105292" w:rsidRPr="004E56B4" w:rsidRDefault="00105292" w:rsidP="0053582C">
      <w:pPr>
        <w:spacing w:line="360" w:lineRule="auto"/>
        <w:rPr>
          <w:rFonts w:ascii="Arial" w:hAnsi="Arial" w:cs="Arial"/>
        </w:rPr>
      </w:pPr>
    </w:p>
    <w:p w14:paraId="301AED76" w14:textId="77777777" w:rsidR="00F34AB8" w:rsidRPr="00A45366" w:rsidRDefault="00F34AB8" w:rsidP="0053582C">
      <w:pPr>
        <w:spacing w:line="360" w:lineRule="auto"/>
        <w:rPr>
          <w:rFonts w:ascii="Arial" w:hAnsi="Arial" w:cs="Arial"/>
          <w:sz w:val="22"/>
          <w:szCs w:val="22"/>
        </w:rPr>
      </w:pPr>
    </w:p>
    <w:sectPr w:rsidR="00F34AB8" w:rsidRPr="00A45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DB06AD"/>
    <w:multiLevelType w:val="hybridMultilevel"/>
    <w:tmpl w:val="AF54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608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AB8"/>
    <w:rsid w:val="000F46BC"/>
    <w:rsid w:val="00105292"/>
    <w:rsid w:val="00120112"/>
    <w:rsid w:val="002D2B0D"/>
    <w:rsid w:val="00307CE8"/>
    <w:rsid w:val="0043634A"/>
    <w:rsid w:val="004E56B4"/>
    <w:rsid w:val="0053582C"/>
    <w:rsid w:val="00581F07"/>
    <w:rsid w:val="00690F5A"/>
    <w:rsid w:val="006A226D"/>
    <w:rsid w:val="006F0B1B"/>
    <w:rsid w:val="006F0F05"/>
    <w:rsid w:val="007828EB"/>
    <w:rsid w:val="007E1055"/>
    <w:rsid w:val="0089194A"/>
    <w:rsid w:val="008D22CF"/>
    <w:rsid w:val="00951390"/>
    <w:rsid w:val="00A17954"/>
    <w:rsid w:val="00A45366"/>
    <w:rsid w:val="00A66FF9"/>
    <w:rsid w:val="00A773BA"/>
    <w:rsid w:val="00AA0AD1"/>
    <w:rsid w:val="00B26429"/>
    <w:rsid w:val="00B46D45"/>
    <w:rsid w:val="00BA7E69"/>
    <w:rsid w:val="00CC3FDA"/>
    <w:rsid w:val="00D80D92"/>
    <w:rsid w:val="00D914C4"/>
    <w:rsid w:val="00E30E63"/>
    <w:rsid w:val="00EB3AE1"/>
    <w:rsid w:val="00ED25A0"/>
    <w:rsid w:val="00F04F07"/>
    <w:rsid w:val="00F34AB8"/>
    <w:rsid w:val="00F4590A"/>
    <w:rsid w:val="00F56E88"/>
    <w:rsid w:val="00F77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9DCE"/>
  <w15:chartTrackingRefBased/>
  <w15:docId w15:val="{33F8F3B8-A588-4F9E-915A-14C704673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4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4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4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4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4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4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4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4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4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4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AB8"/>
    <w:rPr>
      <w:rFonts w:eastAsiaTheme="majorEastAsia" w:cstheme="majorBidi"/>
      <w:color w:val="272727" w:themeColor="text1" w:themeTint="D8"/>
    </w:rPr>
  </w:style>
  <w:style w:type="paragraph" w:styleId="Title">
    <w:name w:val="Title"/>
    <w:basedOn w:val="Normal"/>
    <w:next w:val="Normal"/>
    <w:link w:val="TitleChar"/>
    <w:uiPriority w:val="10"/>
    <w:qFormat/>
    <w:rsid w:val="00F34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AB8"/>
    <w:pPr>
      <w:spacing w:before="160"/>
      <w:jc w:val="center"/>
    </w:pPr>
    <w:rPr>
      <w:i/>
      <w:iCs/>
      <w:color w:val="404040" w:themeColor="text1" w:themeTint="BF"/>
    </w:rPr>
  </w:style>
  <w:style w:type="character" w:customStyle="1" w:styleId="QuoteChar">
    <w:name w:val="Quote Char"/>
    <w:basedOn w:val="DefaultParagraphFont"/>
    <w:link w:val="Quote"/>
    <w:uiPriority w:val="29"/>
    <w:rsid w:val="00F34AB8"/>
    <w:rPr>
      <w:i/>
      <w:iCs/>
      <w:color w:val="404040" w:themeColor="text1" w:themeTint="BF"/>
    </w:rPr>
  </w:style>
  <w:style w:type="paragraph" w:styleId="ListParagraph">
    <w:name w:val="List Paragraph"/>
    <w:basedOn w:val="Normal"/>
    <w:uiPriority w:val="34"/>
    <w:qFormat/>
    <w:rsid w:val="00F34AB8"/>
    <w:pPr>
      <w:ind w:left="720"/>
      <w:contextualSpacing/>
    </w:pPr>
  </w:style>
  <w:style w:type="character" w:styleId="IntenseEmphasis">
    <w:name w:val="Intense Emphasis"/>
    <w:basedOn w:val="DefaultParagraphFont"/>
    <w:uiPriority w:val="21"/>
    <w:qFormat/>
    <w:rsid w:val="00F34AB8"/>
    <w:rPr>
      <w:i/>
      <w:iCs/>
      <w:color w:val="0F4761" w:themeColor="accent1" w:themeShade="BF"/>
    </w:rPr>
  </w:style>
  <w:style w:type="paragraph" w:styleId="IntenseQuote">
    <w:name w:val="Intense Quote"/>
    <w:basedOn w:val="Normal"/>
    <w:next w:val="Normal"/>
    <w:link w:val="IntenseQuoteChar"/>
    <w:uiPriority w:val="30"/>
    <w:qFormat/>
    <w:rsid w:val="00F34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4AB8"/>
    <w:rPr>
      <w:i/>
      <w:iCs/>
      <w:color w:val="0F4761" w:themeColor="accent1" w:themeShade="BF"/>
    </w:rPr>
  </w:style>
  <w:style w:type="character" w:styleId="IntenseReference">
    <w:name w:val="Intense Reference"/>
    <w:basedOn w:val="DefaultParagraphFont"/>
    <w:uiPriority w:val="32"/>
    <w:qFormat/>
    <w:rsid w:val="00F34AB8"/>
    <w:rPr>
      <w:b/>
      <w:bCs/>
      <w:smallCaps/>
      <w:color w:val="0F4761" w:themeColor="accent1" w:themeShade="BF"/>
      <w:spacing w:val="5"/>
    </w:rPr>
  </w:style>
  <w:style w:type="character" w:styleId="Hyperlink">
    <w:name w:val="Hyperlink"/>
    <w:basedOn w:val="DefaultParagraphFont"/>
    <w:uiPriority w:val="99"/>
    <w:unhideWhenUsed/>
    <w:rsid w:val="00F4590A"/>
    <w:rPr>
      <w:color w:val="467886" w:themeColor="hyperlink"/>
      <w:u w:val="single"/>
    </w:rPr>
  </w:style>
  <w:style w:type="character" w:styleId="UnresolvedMention">
    <w:name w:val="Unresolved Mention"/>
    <w:basedOn w:val="DefaultParagraphFont"/>
    <w:uiPriority w:val="99"/>
    <w:semiHidden/>
    <w:unhideWhenUsed/>
    <w:rsid w:val="00F45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bs.pbr.2020.06.00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018/978-1-6684-4901-1.ch015" TargetMode="External"/><Relationship Id="rId12" Type="http://schemas.openxmlformats.org/officeDocument/2006/relationships/hyperlink" Target="https://doi.org/10.1007/978-3-031-06018-2_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oxfordhb/9780192866929.013.63" TargetMode="External"/><Relationship Id="rId11" Type="http://schemas.openxmlformats.org/officeDocument/2006/relationships/hyperlink" Target="https://doi.org/10.4324/9781003318026-3" TargetMode="External"/><Relationship Id="rId5" Type="http://schemas.openxmlformats.org/officeDocument/2006/relationships/image" Target="media/image1.png"/><Relationship Id="rId10" Type="http://schemas.openxmlformats.org/officeDocument/2006/relationships/hyperlink" Target="https://doi.org/10.1016/bs.plm.2022.07.003" TargetMode="External"/><Relationship Id="rId4" Type="http://schemas.openxmlformats.org/officeDocument/2006/relationships/webSettings" Target="webSettings.xml"/><Relationship Id="rId9" Type="http://schemas.openxmlformats.org/officeDocument/2006/relationships/hyperlink" Target="https://doi.org/10.4018/978-1-6684-4901-1.ch0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2048</Words>
  <Characters>11678</Characters>
  <Application>Microsoft Office Word</Application>
  <DocSecurity>0</DocSecurity>
  <Lines>97</Lines>
  <Paragraphs>27</Paragraphs>
  <ScaleCrop>false</ScaleCrop>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Faridah Namukasa (2429800)</dc:creator>
  <cp:keywords/>
  <dc:description/>
  <cp:lastModifiedBy>Faridah Namukasa (2429800)</cp:lastModifiedBy>
  <cp:revision>33</cp:revision>
  <dcterms:created xsi:type="dcterms:W3CDTF">2026-04-29T12:44:00Z</dcterms:created>
  <dcterms:modified xsi:type="dcterms:W3CDTF">2026-04-29T21:48:00Z</dcterms:modified>
</cp:coreProperties>
</file>