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Business Management (Managing People)</w: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LCBB5004 </w: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Assessment 2</w:t>
      </w:r>
    </w:p>
    <w:p>
      <w:pPr>
        <w:spacing w:before="0" w:after="0" w:line="480"/>
        <w:ind w:right="0" w:left="0" w:firstLine="0"/>
        <w:jc w:val="center"/>
        <w:rPr>
          <w:rFonts w:ascii="Times New Roman" w:hAnsi="Times New Roman" w:cs="Times New Roman" w:eastAsia="Times New Roman"/>
          <w:color w:val="auto"/>
          <w:spacing w:val="0"/>
          <w:position w:val="0"/>
          <w:sz w:val="24"/>
          <w:shd w:fill="FFFFFF" w:val="clear"/>
        </w:rPr>
      </w:pP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1F1F1F"/>
          <w:spacing w:val="0"/>
          <w:position w:val="0"/>
          <w:sz w:val="24"/>
          <w:shd w:fill="FFFFFF" w:val="clear"/>
        </w:rPr>
        <w:t xml:space="preserve">BALBA   MIHAI-IONUT</w:t>
      </w:r>
    </w:p>
    <w:p>
      <w:pPr>
        <w:spacing w:before="0" w:after="0" w:line="480"/>
        <w:ind w:right="0" w:left="0" w:firstLine="0"/>
        <w:jc w:val="center"/>
        <w:rPr>
          <w:rFonts w:ascii="Times New Roman" w:hAnsi="Times New Roman" w:cs="Times New Roman" w:eastAsia="Times New Roman"/>
          <w:b/>
          <w:color w:val="auto"/>
          <w:spacing w:val="0"/>
          <w:position w:val="0"/>
          <w:sz w:val="24"/>
          <w:shd w:fill="FFFFFF"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 1</w:t>
      </w: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Effective HR Professionals Working in the UK</w:t>
      </w:r>
    </w:p>
    <w:p>
      <w:pPr>
        <w:spacing w:before="0" w:after="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career roadmap establishes norms for European and American human resource specialists. The basic idea behind the map is straightforward: it helps to identify a human resources expert's knowledge, focus, and behaviour, which are crucial to the success of his job and the pursuits of the entire organization. The map covers ten areas of operation and eight behaviours at four levels of competence. The CIPD aims to help achieve several goals, including defining the idea of active personnel management, identifying the activities that are most important for achieving the success of HR specialists or that need improvement, establishing the professional qualifications of HR staff, and rewarding those who have contributed to the success of an organization by validating their professional skills and involvement in its management. </w:t>
      </w:r>
    </w:p>
    <w:p>
      <w:pPr>
        <w:spacing w:before="0" w:after="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Research undertaken by CIPD and its partnerships with other international organizations provides the foundation for developing a CIPD. The map is continually being examined and updated as new information becomes available. The map's usefulness lies in its capacity to reveal what is understood about HR management and the degree to which HR managers have achieved success at various stages of their careers. The map is helpful for managers with a wide variety of responsibilities, narrow specialists, and professionals working in different regions of the world and industries within an organization of any size, as it covers the full spectrum of processes related to personnel matters at each level of expertise. HR professionals may utilize the HR card to organize their workload for the next months and strengthen the company's overall HR strategy. Understanding which fields of expertise currently apply to a particular individual is crucial.</w:t>
      </w:r>
    </w:p>
    <w:p>
      <w:pPr>
        <w:spacing w:before="0" w:after="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people management industry's road map is constantly updated with new knowledge gleaned from current research and via feedback channels that collect the thoughts, opinions, and recommendations of those working in the sector. In light of recent in-depth research by the CIPD on the next generation of HR managers, the emphasis of the most recent card update was on reinforcing the concept of a global approach to the supervision of employees among practising managers. As experts from CIPD update the database regularly, the map provides a glimpse into the future of human resource management. Human Resources (HR) Specialists may access the latest industry best practices and academic research with this card. To a human resources expert at four levels of proficiency, professional fields of activity are activities or a description of the need to know and do. These patterns of behaviour and the requirements of HR experts at each of the four skill levels are characterized by how these experts interact with their clients and with one another during their work. The four stages of HR manager professional growth are outlined, along with the challenges inherent in moving from one stage to the next and the methods by which an HR specialist's contributions to the organization's operations may be measured.</w:t>
      </w:r>
    </w:p>
    <w:p>
      <w:pPr>
        <w:spacing w:before="0" w:after="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CIPD is an effective professional development organisation for HR professionals. It provides members access to resources, networking opportunities and professional development programmes. CIPD also advocates for the profession and promotes best practices in HR. CIPD membership will give HR professionals in the UK access to a wealth of resources that can help them in their roles. These resources include guidance on best practices, research reports and case studies. The CIPD website is a valuable source of information for HR professionals, and members can also access the CIPD library. Besides, CIPD events and networking opportunities will allow HR professionals to meet other professionals and share ideas and experiences.</w:t>
      </w:r>
    </w:p>
    <w:p>
      <w:pPr>
        <w:spacing w:before="0" w:after="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Moreover, the CIPD also offers a range of professional development programmes which can help HR professionals to develop their skills and knowledge. The CIPD is a strong advocate for the HR profession and works to promote best practices. The organisation also lobbies on behalf of HR professionals on various issues, such as employment law. Overall, CIPD is an effective organisation for HR professionals.</w:t>
      </w: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CIPD Profession Map Application to HR professionals Working on a Global Scale Regardless of Sectors and Sizes of Organisations</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w:t>
      </w:r>
      <w:r>
        <w:rPr>
          <w:rFonts w:ascii="Times New Roman" w:hAnsi="Times New Roman" w:cs="Times New Roman" w:eastAsia="Times New Roman"/>
          <w:color w:val="222222"/>
          <w:spacing w:val="0"/>
          <w:position w:val="0"/>
          <w:sz w:val="24"/>
          <w:shd w:fill="FFFFFF" w:val="clear"/>
        </w:rPr>
        <w:t xml:space="preserve">Armstrong and Taylor (2020), </w:t>
      </w:r>
      <w:r>
        <w:rPr>
          <w:rFonts w:ascii="Times New Roman" w:hAnsi="Times New Roman" w:cs="Times New Roman" w:eastAsia="Times New Roman"/>
          <w:color w:val="auto"/>
          <w:spacing w:val="0"/>
          <w:position w:val="0"/>
          <w:sz w:val="24"/>
          <w:shd w:fill="auto" w:val="clear"/>
        </w:rPr>
        <w:t xml:space="preserve">the HR department's principal goals will change depending on the kind of organization and the specific circumstances.</w:t>
      </w:r>
    </w:p>
    <w:p>
      <w:pPr>
        <w:spacing w:before="0" w:after="0" w:line="48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Corporations with a large private market presence</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Since the organization is privately held, income generating and demonstrating the value added by the function will be top priorities across all operational divisions. The function as a whole is likely to be sizable, and its personnel may consist mostly of generalists, specialists, or a hybrid kind similar to the Ulrich model.</w:t>
      </w:r>
    </w:p>
    <w:p>
      <w:pPr>
        <w:spacing w:before="0" w:after="0" w:line="48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Organizations in the public sector</w:t>
      </w:r>
    </w:p>
    <w:p>
      <w:pPr>
        <w:spacing w:before="0" w:after="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Since it serves the public, the company's primary goals will revolve on bettering its services for the general populace. While bringing in cash would likely be less of a challenge, saving taxpayer dollars by all means possible will be of paramount importance. Government regulations and expectations on best practices, inequality of opportunity, diversity, etc., are likely to place more restraints on the HR department's ability to develop and deliver particular activities.</w:t>
      </w:r>
    </w:p>
    <w:p>
      <w:pPr>
        <w:spacing w:before="0" w:after="0" w:line="48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Voluntary sector</w:t>
      </w:r>
    </w:p>
    <w:p>
      <w:pPr>
        <w:spacing w:before="0" w:after="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Since the organization will probably have a tight budget, it will be important for everyone to work as efficiently as possible while also looking for ways to bring in additional funding and volunteers. The focus of HR efforts will be on creating an environment where people who share the organization's value position feel welcome and appreciated. The human resources department will scale to the needs of the company (</w:t>
      </w:r>
      <w:r>
        <w:rPr>
          <w:rFonts w:ascii="Times New Roman" w:hAnsi="Times New Roman" w:cs="Times New Roman" w:eastAsia="Times New Roman"/>
          <w:color w:val="222222"/>
          <w:spacing w:val="0"/>
          <w:position w:val="0"/>
          <w:sz w:val="24"/>
          <w:shd w:fill="FFFFFF" w:val="clear"/>
        </w:rPr>
        <w:t xml:space="preserve">Coetzer et al., 2017).</w:t>
      </w:r>
    </w:p>
    <w:p>
      <w:pPr>
        <w:spacing w:before="0" w:after="0" w:line="48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Small And Medium-Sized Enterprises (SMEs)</w:t>
      </w:r>
    </w:p>
    <w:p>
      <w:pPr>
        <w:spacing w:before="0" w:after="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HR consultants are called in only when there are special concerns to deal with, or new policies/practices are necessary; otherwise, an office manager or operations manager handles basic people management issues (</w:t>
      </w:r>
      <w:r>
        <w:rPr>
          <w:rFonts w:ascii="Times New Roman" w:hAnsi="Times New Roman" w:cs="Times New Roman" w:eastAsia="Times New Roman"/>
          <w:color w:val="222222"/>
          <w:spacing w:val="0"/>
          <w:position w:val="0"/>
          <w:sz w:val="24"/>
          <w:shd w:fill="FFFFFF" w:val="clear"/>
        </w:rPr>
        <w:t xml:space="preserve">Emmott, 2016). </w:t>
      </w:r>
      <w:r>
        <w:rPr>
          <w:rFonts w:ascii="Times New Roman" w:hAnsi="Times New Roman" w:cs="Times New Roman" w:eastAsia="Times New Roman"/>
          <w:color w:val="auto"/>
          <w:spacing w:val="0"/>
          <w:position w:val="0"/>
          <w:sz w:val="24"/>
          <w:shd w:fill="auto" w:val="clear"/>
        </w:rPr>
        <w:t xml:space="preserve"> Due to the limited size of the company's employees and resources, HR may consist of a single individual collaborating with operational management, or there may be no HR department. That is because it is anticipated that the firm will employ a very small staff and have few other resources at its disposal.</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 2</w:t>
      </w:r>
    </w:p>
    <w:p>
      <w:pPr>
        <w:spacing w:before="0" w:after="0" w:line="480"/>
        <w:ind w:right="0" w:left="0" w:firstLine="0"/>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Why Do Public Sector in The UK Is Facing Skills Shortages </w:t>
      </w:r>
    </w:p>
    <w:p>
      <w:pPr>
        <w:spacing w:before="0" w:after="0" w:line="48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Introduction</w:t>
      </w:r>
    </w:p>
    <w:p>
      <w:pPr>
        <w:spacing w:before="0" w:after="0" w:line="480"/>
        <w:ind w:right="0" w:left="0" w:firstLine="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UK public sector has always been on the verge of looking for new employees to fill in the gaps. However, even though the public sector's trying to find these employees, the rate of filling in holes is always constant or sometimes worsens. There are several reasons for this. However, as the UK has a high unemployment rate, the government still finds it challenging to recruit new workers. They include Brexit, rising skills gaps, salary inflation, etc.</w:t>
      </w:r>
    </w:p>
    <w:p>
      <w:pPr>
        <w:spacing w:before="0" w:after="0" w:line="48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Reasons for Skill Shortage</w:t>
      </w:r>
    </w:p>
    <w:p>
      <w:pPr>
        <w:spacing w:before="0" w:after="0" w:line="480"/>
        <w:ind w:right="0" w:left="0" w:firstLine="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According to the projections of the UK government's Industrial Strategy Council in the past decade, there has been an alarming skill shortage. There are many unemployed youths in the country, but it has not been easy for an organization to find the right individual for a suitable vacancy ("UK employer-reported skills shortages, 2017," 2020). The qualification is not to the latter when the right individual is located. Some working experience is required of them that they may not have because they have never been employed before. Therefore, the public sector will opt for another expense in training these individuals.</w:t>
      </w:r>
    </w:p>
    <w:p>
      <w:pPr>
        <w:spacing w:before="0" w:after="0" w:line="480"/>
        <w:ind w:right="0" w:left="0" w:firstLine="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To remain competitive in the market, the public sector is paying huge salaries to their available workers. With the knowledge of the high unemployment rate, organizations may not find it easier even if they want to employ new workers ("Labour market," 2020).</w:t>
      </w:r>
      <w:r>
        <w:rPr>
          <w:rFonts w:ascii="Times New Roman" w:hAnsi="Times New Roman" w:cs="Times New Roman" w:eastAsia="Times New Roman"/>
          <w:color w:val="auto"/>
          <w:spacing w:val="0"/>
          <w:position w:val="0"/>
          <w:sz w:val="24"/>
          <w:shd w:fill="DFF0D8" w:val="clear"/>
        </w:rPr>
        <w:t xml:space="preserve"> </w:t>
      </w:r>
      <w:r>
        <w:rPr>
          <w:rFonts w:ascii="Times New Roman" w:hAnsi="Times New Roman" w:cs="Times New Roman" w:eastAsia="Times New Roman"/>
          <w:color w:val="auto"/>
          <w:spacing w:val="0"/>
          <w:position w:val="0"/>
          <w:sz w:val="24"/>
          <w:shd w:fill="FFFFFF" w:val="clear"/>
        </w:rPr>
        <w:t xml:space="preserve">The high salaries cost the business a lot, and they may not need to use any more workers for their firm. Again, salary inflation, training of hired workers, and temporary recruitment have always cost the business about 7.22 pounds a year.</w:t>
      </w:r>
    </w:p>
    <w:p>
      <w:pPr>
        <w:spacing w:before="0" w:after="0" w:line="48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Conclusion</w:t>
      </w:r>
    </w:p>
    <w:p>
      <w:pPr>
        <w:spacing w:before="0" w:after="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Generally, the UK public sector faces a tough time filling in the gaps caused by salary inflation, inappropriate skills, and low meet-up to the qualifications issued by a company's ads. Hence, the unemployment rate will always remain higher unless the matter is reviewed.</w:t>
      </w: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Long-Term Labour Market Developments to Address the Skills Shortages in Healthcare Sector Professions in the UK</w:t>
      </w:r>
    </w:p>
    <w:p>
      <w:pPr>
        <w:spacing w:before="0" w:after="0" w:line="48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 </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As the urgency of the need to increase the quality of healthcare service delivery to satisfy the present healthcare demands grows, the world at large is becoming more concerned about healthcare. While the healthcare industry has seen a lot of recent innovation and technological advancement, the difficulties it faces have been more apparent as the public has become more worried about the state of the healthcare systems. Expertise, strategic frameworks, continuous improvement, and, most importantly, human resources are only a few determinants of service quality and the delivery of high-quality healthcare. In other words, human capital has always been and will continue to be the most important factor in any company's success. Therefore, one of the primary concerns of the healthcare sector is the recruitment of healthcare employees. For several years now, healthcare professionals have been fretting about a lack of qualified staff, which has caused a major bottleneck in providing adequate treatment to patients. A growing body of evidence has shown a skills gap in the healthcare sector in recent years. This essay provides a thoughtful analysis of the UK-lack of skilled workers in the health sector. The report presents a comprehensive analysis of how the market evolves through time to solve the skills gap in the healthcare workforce.</w:t>
      </w:r>
    </w:p>
    <w:p>
      <w:pPr>
        <w:spacing w:before="0" w:after="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current strategy for dealing with the scarcity of skilled healthcare workers in the United Kingdom has to be revised. There are three main ways to tackle this problem, all of which need to be mentioned and as such, they include human resource management, business leadership, and managing the company's finances all fall under this category. </w:t>
      </w:r>
    </w:p>
    <w:p>
      <w:pPr>
        <w:spacing w:before="0" w:after="0" w:line="48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Establishing Programs that Motivate Career Entry into the Health-Related Professions</w:t>
      </w:r>
    </w:p>
    <w:p>
      <w:pPr>
        <w:spacing w:before="0" w:after="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Programs designed to inspire young people to work in healthcare should be evaluated and revised by the UK government and other healthcare stakeholders. Nursing students' ability to graduate is slowed down by their inability to practice what they have learned in class. Because of this difficulty, some people are thinking about switching careers. Consequently, there is a need to simplify healthcare professional training so that students are not discouraged from entering the field. Nursing and other healthcare students and professionals will access training facilities as part of this initiative.</w:t>
      </w:r>
    </w:p>
    <w:p>
      <w:pPr>
        <w:spacing w:before="0" w:after="0" w:line="48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Cost Reduction for Healthcare Profession Training </w:t>
      </w:r>
    </w:p>
    <w:p>
      <w:pPr>
        <w:spacing w:before="0" w:after="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Similarly, the government of the United Kingdom has to reevaluate and minimize the cost of healthcare professional training. To achieve this goal, we may introduce new programs like debt cancellation for college students. With these incentives, medical practitioners have a better chance of expanding their knowledge base.</w:t>
      </w:r>
    </w:p>
    <w:p>
      <w:pPr>
        <w:spacing w:before="0" w:after="0" w:line="48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Investment in Research</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Performing research is integral to every organization's quest for growth (Johnson et al., 2018). There must be an in-depth investigation into the underlying causes of even the most fundamental healthcare industry issues and then formulating the requisite policy portfolios to address these challenges.</w:t>
      </w:r>
    </w:p>
    <w:p>
      <w:pPr>
        <w:spacing w:before="0" w:after="0" w:line="48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Improved Compensation and Remuneration for Healthcare Staff</w:t>
      </w:r>
    </w:p>
    <w:p>
      <w:pPr>
        <w:spacing w:before="0" w:after="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Compensation has traditionally been crucial in attracting and retaining qualified medical professionals. Less money means less incentive to do a good job, which means fewer people will try to learn new skills (Pruszyski et al., 2022). More competitive pay encourages people to enter the healthcare field and those who have completed it to stay in it. If hospitals want to keep services running smoothly, they need to hire competent people and keep their current workers happy in their employment. Since healthcare workers might be enticed to work for other healthcare organizations by better contract rates, hospitals can raise compensation to remain competitive. But for a real and lasting change in healthcare's operational performance, the solutions need to be long-term and sustainable.</w:t>
      </w:r>
    </w:p>
    <w:p>
      <w:pPr>
        <w:spacing w:before="0" w:after="0" w:line="48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Investing in Human Resource </w:t>
      </w:r>
    </w:p>
    <w:p>
      <w:pPr>
        <w:spacing w:before="0" w:after="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available human resource may be insufficient to successfully execute a well-thought-out strategy if they do not adhere to a strict set of guidelines. Human resource management's dedication to a plan's success is crucial (Drennan &amp; Ross, 2019). Hospitals and other healthcare facilities need a comprehensive strategy for finding, hiring, and training new employees to avoid bringing in incompetent personnel. This strategy must be carefully choreographed to ensure that all parties involved in the planning carry out their responsibilities to the letter.</w:t>
      </w:r>
    </w:p>
    <w:p>
      <w:pPr>
        <w:spacing w:before="0" w:after="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(n.d.). CIPD The Professional Body for Human Resources and People Development.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https://www.cipd.co.uk/Images/labour-market-outlook-winter-2021-22_tcm18-106241.pdf</w:t>
        </w:r>
      </w:hyperlink>
    </w:p>
    <w:p>
      <w:pPr>
        <w:spacing w:before="0" w:after="0" w:line="48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Armstrong, M., &amp; Taylor, S. (2020). </w:t>
      </w:r>
      <w:r>
        <w:rPr>
          <w:rFonts w:ascii="Times New Roman" w:hAnsi="Times New Roman" w:cs="Times New Roman" w:eastAsia="Times New Roman"/>
          <w:i/>
          <w:color w:val="222222"/>
          <w:spacing w:val="0"/>
          <w:position w:val="0"/>
          <w:sz w:val="24"/>
          <w:shd w:fill="FFFFFF" w:val="clear"/>
        </w:rPr>
        <w:t xml:space="preserve">Armstrong's handbook of human resource management practice</w:t>
      </w:r>
      <w:r>
        <w:rPr>
          <w:rFonts w:ascii="Times New Roman" w:hAnsi="Times New Roman" w:cs="Times New Roman" w:eastAsia="Times New Roman"/>
          <w:color w:val="222222"/>
          <w:spacing w:val="0"/>
          <w:position w:val="0"/>
          <w:sz w:val="24"/>
          <w:shd w:fill="FFFFFF" w:val="clear"/>
        </w:rPr>
        <w:t xml:space="preserve">. Kogan Page Publishers.</w:t>
      </w:r>
    </w:p>
    <w:p>
      <w:pPr>
        <w:spacing w:before="0" w:after="0" w:line="48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Australian Industry Group. (2021). The quest for skills: tackling shortages in a disrupted world.</w:t>
      </w:r>
    </w:p>
    <w:p>
      <w:pPr>
        <w:spacing w:before="0" w:after="0" w:line="48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Coetzer, A., Ryan, M. M., Susomrith, P., &amp; Suseno, Y. (2017). Challenges in addressing professional competence expectations in human resource management courses. </w:t>
      </w:r>
      <w:r>
        <w:rPr>
          <w:rFonts w:ascii="Times New Roman" w:hAnsi="Times New Roman" w:cs="Times New Roman" w:eastAsia="Times New Roman"/>
          <w:i/>
          <w:color w:val="222222"/>
          <w:spacing w:val="0"/>
          <w:position w:val="0"/>
          <w:sz w:val="24"/>
          <w:shd w:fill="FFFFFF" w:val="clear"/>
        </w:rPr>
        <w:t xml:space="preserve">Asia Pacific Journal of Human Resources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55</w:t>
      </w:r>
      <w:r>
        <w:rPr>
          <w:rFonts w:ascii="Times New Roman" w:hAnsi="Times New Roman" w:cs="Times New Roman" w:eastAsia="Times New Roman"/>
          <w:color w:val="222222"/>
          <w:spacing w:val="0"/>
          <w:position w:val="0"/>
          <w:sz w:val="24"/>
          <w:shd w:fill="FFFFFF" w:val="clear"/>
        </w:rPr>
        <w:t xml:space="preserve">(4), 454-475.</w:t>
      </w:r>
    </w:p>
    <w:p>
      <w:pPr>
        <w:spacing w:before="0" w:after="0" w:line="48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Drennan, V. M., &amp; Ross, F. (2019). Global nurse shortages: The facts, the impact and action for change. </w:t>
      </w:r>
      <w:r>
        <w:rPr>
          <w:rFonts w:ascii="Times New Roman" w:hAnsi="Times New Roman" w:cs="Times New Roman" w:eastAsia="Times New Roman"/>
          <w:i/>
          <w:color w:val="222222"/>
          <w:spacing w:val="0"/>
          <w:position w:val="0"/>
          <w:sz w:val="24"/>
          <w:shd w:fill="FFFFFF" w:val="clear"/>
        </w:rPr>
        <w:t xml:space="preserve">British medical bulletin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130</w:t>
      </w:r>
      <w:r>
        <w:rPr>
          <w:rFonts w:ascii="Times New Roman" w:hAnsi="Times New Roman" w:cs="Times New Roman" w:eastAsia="Times New Roman"/>
          <w:color w:val="222222"/>
          <w:spacing w:val="0"/>
          <w:position w:val="0"/>
          <w:sz w:val="24"/>
          <w:shd w:fill="FFFFFF" w:val="clear"/>
        </w:rPr>
        <w:t xml:space="preserve">(1), 25-37.</w:t>
      </w:r>
    </w:p>
    <w:p>
      <w:pPr>
        <w:spacing w:before="0" w:after="0" w:line="480"/>
        <w:ind w:right="0" w:left="720" w:hanging="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Emmott, M. (2016). CIPD. In </w:t>
      </w:r>
      <w:r>
        <w:rPr>
          <w:rFonts w:ascii="Times New Roman" w:hAnsi="Times New Roman" w:cs="Times New Roman" w:eastAsia="Times New Roman"/>
          <w:i/>
          <w:color w:val="222222"/>
          <w:spacing w:val="0"/>
          <w:position w:val="0"/>
          <w:sz w:val="24"/>
          <w:shd w:fill="FFFFFF" w:val="clear"/>
        </w:rPr>
        <w:t xml:space="preserve">Encyclopedia of Human Resource Management</w:t>
      </w:r>
      <w:r>
        <w:rPr>
          <w:rFonts w:ascii="Times New Roman" w:hAnsi="Times New Roman" w:cs="Times New Roman" w:eastAsia="Times New Roman"/>
          <w:color w:val="222222"/>
          <w:spacing w:val="0"/>
          <w:position w:val="0"/>
          <w:sz w:val="24"/>
          <w:shd w:fill="FFFFFF" w:val="clear"/>
        </w:rPr>
        <w:t xml:space="preserve">. Edward Elgar Publishing Limited.</w:t>
      </w:r>
    </w:p>
    <w:p>
      <w:pPr>
        <w:spacing w:before="0" w:after="0" w:line="48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Johnson, J., Hall, L. H., Berzins, K., Baker, J., Melling, K., &amp; Thompson, C. (2018). Mental healthcare staff well</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being and burnout: A narrative review of trends, causes, implications, and recommendations for future interventions.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International journal of mental health nursing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27</w:t>
      </w:r>
      <w:r>
        <w:rPr>
          <w:rFonts w:ascii="Times New Roman" w:hAnsi="Times New Roman" w:cs="Times New Roman" w:eastAsia="Times New Roman"/>
          <w:color w:val="222222"/>
          <w:spacing w:val="0"/>
          <w:position w:val="0"/>
          <w:sz w:val="24"/>
          <w:shd w:fill="FFFFFF" w:val="clear"/>
        </w:rPr>
        <w:t xml:space="preserve">(1), 20-32.</w:t>
      </w:r>
    </w:p>
    <w:p>
      <w:pPr>
        <w:spacing w:before="0" w:after="0" w:line="48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Kaswan, M. S., &amp; Rathi, R. (2020). Green Lean Six Sigma for sustainable development: Integration and framework. </w:t>
      </w:r>
      <w:r>
        <w:rPr>
          <w:rFonts w:ascii="Times New Roman" w:hAnsi="Times New Roman" w:cs="Times New Roman" w:eastAsia="Times New Roman"/>
          <w:i/>
          <w:color w:val="222222"/>
          <w:spacing w:val="0"/>
          <w:position w:val="0"/>
          <w:sz w:val="24"/>
          <w:shd w:fill="FFFFFF" w:val="clear"/>
        </w:rPr>
        <w:t xml:space="preserve">Environmental impact assessment review</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83</w:t>
      </w:r>
      <w:r>
        <w:rPr>
          <w:rFonts w:ascii="Times New Roman" w:hAnsi="Times New Roman" w:cs="Times New Roman" w:eastAsia="Times New Roman"/>
          <w:color w:val="222222"/>
          <w:spacing w:val="0"/>
          <w:position w:val="0"/>
          <w:sz w:val="24"/>
          <w:shd w:fill="FFFFFF" w:val="clear"/>
        </w:rPr>
        <w:t xml:space="preserve">, 106396.</w:t>
      </w:r>
    </w:p>
    <w:p>
      <w:pPr>
        <w:spacing w:before="0" w:after="0" w:line="48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Khan, S. A., Kaviani, M. A., Galli, B. J., &amp; Ishtiaq, P. (2019). Application of continuous improvement techniques to improve organization performance: A case study. </w:t>
      </w:r>
      <w:r>
        <w:rPr>
          <w:rFonts w:ascii="Times New Roman" w:hAnsi="Times New Roman" w:cs="Times New Roman" w:eastAsia="Times New Roman"/>
          <w:i/>
          <w:color w:val="222222"/>
          <w:spacing w:val="0"/>
          <w:position w:val="0"/>
          <w:sz w:val="24"/>
          <w:shd w:fill="FFFFFF" w:val="clear"/>
        </w:rPr>
        <w:t xml:space="preserve">International Journal of Lean Six Sigma</w:t>
      </w:r>
      <w:r>
        <w:rPr>
          <w:rFonts w:ascii="Times New Roman" w:hAnsi="Times New Roman" w:cs="Times New Roman" w:eastAsia="Times New Roman"/>
          <w:color w:val="222222"/>
          <w:spacing w:val="0"/>
          <w:position w:val="0"/>
          <w:sz w:val="24"/>
          <w:shd w:fill="FFFFFF" w:val="clear"/>
        </w:rPr>
        <w:t xml:space="preserve">.</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Labour market. (2020). </w:t>
      </w:r>
      <w:r>
        <w:rPr>
          <w:rFonts w:ascii="Times New Roman" w:hAnsi="Times New Roman" w:cs="Times New Roman" w:eastAsia="Times New Roman"/>
          <w:i/>
          <w:color w:val="auto"/>
          <w:spacing w:val="0"/>
          <w:position w:val="0"/>
          <w:sz w:val="24"/>
          <w:shd w:fill="auto" w:val="clear"/>
        </w:rPr>
        <w:t xml:space="preserve">Economic Outlook</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37</w:t>
      </w:r>
      <w:r>
        <w:rPr>
          <w:rFonts w:ascii="Times New Roman" w:hAnsi="Times New Roman" w:cs="Times New Roman" w:eastAsia="Times New Roman"/>
          <w:color w:val="auto"/>
          <w:spacing w:val="0"/>
          <w:position w:val="0"/>
          <w:sz w:val="24"/>
          <w:shd w:fill="auto" w:val="clear"/>
        </w:rPr>
        <w:t xml:space="preserve">(4), 53-53.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https://doi.org/10.1111/1468-0319.12045</w:t>
        </w:r>
      </w:hyperlink>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Still out of pocket: Recent labour market performance and wage developments. (2018). </w:t>
      </w:r>
      <w:r>
        <w:rPr>
          <w:rFonts w:ascii="Times New Roman" w:hAnsi="Times New Roman" w:cs="Times New Roman" w:eastAsia="Times New Roman"/>
          <w:i/>
          <w:color w:val="auto"/>
          <w:spacing w:val="0"/>
          <w:position w:val="0"/>
          <w:sz w:val="24"/>
          <w:shd w:fill="auto" w:val="clear"/>
        </w:rPr>
        <w:t xml:space="preserve">OECD Employment Outlook 2018</w:t>
      </w:r>
      <w:r>
        <w:rPr>
          <w:rFonts w:ascii="Times New Roman" w:hAnsi="Times New Roman" w:cs="Times New Roman" w:eastAsia="Times New Roman"/>
          <w:color w:val="auto"/>
          <w:spacing w:val="0"/>
          <w:position w:val="0"/>
          <w:sz w:val="24"/>
          <w:shd w:fill="auto" w:val="clear"/>
        </w:rPr>
        <w:t xml:space="preserve">, 21-45.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https://doi.org/10.1787/empl_outlook-2018-5-en</w:t>
        </w:r>
      </w:hyperlink>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UK employer-reported skills shortages, 2017. (2020). </w:t>
      </w:r>
      <w:r>
        <w:rPr>
          <w:rFonts w:ascii="Times New Roman" w:hAnsi="Times New Roman" w:cs="Times New Roman" w:eastAsia="Times New Roman"/>
          <w:i/>
          <w:color w:val="auto"/>
          <w:spacing w:val="0"/>
          <w:position w:val="0"/>
          <w:sz w:val="24"/>
          <w:shd w:fill="auto" w:val="clear"/>
        </w:rPr>
        <w:t xml:space="preserve">OECD Skills Studies</w:t>
      </w:r>
      <w:r>
        <w:rPr>
          <w:rFonts w:ascii="Times New Roman" w:hAnsi="Times New Roman" w:cs="Times New Roman" w:eastAsia="Times New Roman"/>
          <w:color w:val="auto"/>
          <w:spacing w:val="0"/>
          <w:position w:val="0"/>
          <w:sz w:val="24"/>
          <w:shd w:fill="auto" w:val="clear"/>
        </w:rPr>
        <w:t xml:space="preserve">.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https://doi.org/10.1787/1d7cf0de-en</w:t>
        </w:r>
      </w:hyperlink>
      <w:r>
        <w:rPr>
          <w:rFonts w:ascii="Times New Roman" w:hAnsi="Times New Roman" w:cs="Times New Roman" w:eastAsia="Times New Roman"/>
          <w:color w:val="auto"/>
          <w:spacing w:val="0"/>
          <w:position w:val="0"/>
          <w:sz w:val="24"/>
          <w:shd w:fill="auto" w:val="clear"/>
        </w:rPr>
        <w:t xml:space="preserve">.</w:t>
      </w:r>
    </w:p>
    <w:p>
      <w:pPr>
        <w:spacing w:before="0" w:after="0" w:line="480"/>
        <w:ind w:right="0" w:left="720" w:hanging="720"/>
        <w:jc w:val="left"/>
        <w:rPr>
          <w:rFonts w:ascii="Times New Roman" w:hAnsi="Times New Roman" w:cs="Times New Roman" w:eastAsia="Times New Roman"/>
          <w:b/>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doi.org/10.1111/1468-0319.12045" Id="docRId1" Type="http://schemas.openxmlformats.org/officeDocument/2006/relationships/hyperlink" /><Relationship TargetMode="External" Target="https://doi.org/10.1787/1d7cf0de-en" Id="docRId3" Type="http://schemas.openxmlformats.org/officeDocument/2006/relationships/hyperlink" /><Relationship Target="styles.xml" Id="docRId5" Type="http://schemas.openxmlformats.org/officeDocument/2006/relationships/styles" /><Relationship TargetMode="External" Target="https://www.cipd.co.uk/Images/labour-market-outlook-winter-2021-22_tcm18-106241.pdf" Id="docRId0" Type="http://schemas.openxmlformats.org/officeDocument/2006/relationships/hyperlink" /><Relationship TargetMode="External" Target="https://doi.org/10.1787/empl_outlook-2018-5-en" Id="docRId2" Type="http://schemas.openxmlformats.org/officeDocument/2006/relationships/hyperlink" /><Relationship Target="numbering.xml" Id="docRId4" Type="http://schemas.openxmlformats.org/officeDocument/2006/relationships/numbering" /></Relationships>
</file>