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C3A6" w14:textId="77777777" w:rsidR="00C20393" w:rsidRPr="008E7FDA" w:rsidRDefault="00C20393" w:rsidP="003F68A6">
      <w:pPr>
        <w:spacing w:line="360" w:lineRule="auto"/>
        <w:jc w:val="both"/>
        <w:rPr>
          <w:rFonts w:ascii="Arial" w:hAnsi="Arial" w:cs="Arial"/>
          <w:b/>
          <w:color w:val="000000" w:themeColor="text1"/>
          <w:sz w:val="22"/>
          <w:szCs w:val="22"/>
          <w:vertAlign w:val="subscript"/>
        </w:rPr>
      </w:pPr>
    </w:p>
    <w:p w14:paraId="24529A83"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FFE59F3"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BCD884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6F122AC"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BCBDA07"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06782B91"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4B2C183E"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75AACFB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34EEE350"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4B93537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DF51F04"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FB3DE27"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625E6831" w14:textId="77777777" w:rsidR="00C20393" w:rsidRPr="003F68A6" w:rsidRDefault="000E2331" w:rsidP="003F68A6">
      <w:pPr>
        <w:spacing w:line="360" w:lineRule="auto"/>
        <w:jc w:val="both"/>
        <w:rPr>
          <w:rFonts w:ascii="Arial" w:hAnsi="Arial" w:cs="Arial"/>
          <w:b/>
          <w:color w:val="000000" w:themeColor="text1"/>
          <w:sz w:val="72"/>
          <w:szCs w:val="72"/>
          <w:u w:val="single"/>
          <w:vertAlign w:val="subscript"/>
        </w:rPr>
      </w:pPr>
      <w:r w:rsidRPr="003F68A6">
        <w:rPr>
          <w:rFonts w:ascii="Arial" w:hAnsi="Arial" w:cs="Arial"/>
          <w:b/>
          <w:color w:val="000000" w:themeColor="text1"/>
          <w:sz w:val="72"/>
          <w:szCs w:val="72"/>
          <w:u w:val="single"/>
          <w:shd w:val="clear" w:color="auto" w:fill="FFFFFF"/>
        </w:rPr>
        <w:t>BMHP5016 Principles of Health and Social Care Practice</w:t>
      </w:r>
    </w:p>
    <w:p w14:paraId="5ACFFA8A"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77CB58B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4F169954"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3104FE50"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79D11E4"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4FC40E9A"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F70FB52"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C66364F"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83E2D0C"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2452EF9E" w14:textId="77777777" w:rsidR="00C20393" w:rsidRPr="003F68A6" w:rsidRDefault="00C20393" w:rsidP="003F68A6">
      <w:pPr>
        <w:spacing w:line="360" w:lineRule="auto"/>
        <w:jc w:val="both"/>
        <w:rPr>
          <w:rFonts w:ascii="Arial" w:hAnsi="Arial" w:cs="Arial"/>
          <w:b/>
          <w:color w:val="000000" w:themeColor="text1"/>
          <w:sz w:val="22"/>
          <w:szCs w:val="22"/>
          <w:vertAlign w:val="subscript"/>
        </w:rPr>
      </w:pPr>
    </w:p>
    <w:p w14:paraId="1CBF341A" w14:textId="77777777" w:rsidR="000E2331" w:rsidRPr="003F68A6" w:rsidRDefault="000E2331" w:rsidP="003F68A6">
      <w:pPr>
        <w:spacing w:line="360" w:lineRule="auto"/>
        <w:jc w:val="both"/>
        <w:rPr>
          <w:rFonts w:ascii="Arial" w:hAnsi="Arial" w:cs="Arial"/>
          <w:b/>
          <w:color w:val="000000" w:themeColor="text1"/>
          <w:sz w:val="22"/>
          <w:szCs w:val="22"/>
          <w:vertAlign w:val="subscript"/>
        </w:rPr>
      </w:pPr>
    </w:p>
    <w:p w14:paraId="6E3E89A8" w14:textId="77777777" w:rsidR="000E2331" w:rsidRPr="003F68A6" w:rsidRDefault="000E2331" w:rsidP="003F68A6">
      <w:pPr>
        <w:spacing w:line="360" w:lineRule="auto"/>
        <w:jc w:val="both"/>
        <w:rPr>
          <w:rFonts w:ascii="Arial" w:hAnsi="Arial" w:cs="Arial"/>
          <w:b/>
          <w:color w:val="000000" w:themeColor="text1"/>
          <w:sz w:val="22"/>
          <w:szCs w:val="22"/>
          <w:vertAlign w:val="subscript"/>
        </w:rPr>
      </w:pPr>
    </w:p>
    <w:sdt>
      <w:sdtPr>
        <w:rPr>
          <w:rFonts w:ascii="Arial" w:eastAsia="Times New Roman" w:hAnsi="Arial" w:cs="Arial"/>
          <w:color w:val="000000" w:themeColor="text1"/>
          <w:sz w:val="22"/>
          <w:szCs w:val="22"/>
          <w:lang w:val="en-GB" w:eastAsia="en-GB"/>
        </w:rPr>
        <w:id w:val="-739871581"/>
        <w:docPartObj>
          <w:docPartGallery w:val="Table of Contents"/>
          <w:docPartUnique/>
        </w:docPartObj>
      </w:sdtPr>
      <w:sdtEndPr>
        <w:rPr>
          <w:b/>
          <w:bCs/>
          <w:noProof/>
        </w:rPr>
      </w:sdtEndPr>
      <w:sdtContent>
        <w:p w14:paraId="7033E56B" w14:textId="77777777" w:rsidR="000E2331" w:rsidRPr="003F68A6" w:rsidRDefault="000E2331" w:rsidP="003F68A6">
          <w:pPr>
            <w:pStyle w:val="Nadpisobsahu"/>
            <w:spacing w:line="360" w:lineRule="auto"/>
            <w:jc w:val="both"/>
            <w:rPr>
              <w:rFonts w:ascii="Arial" w:hAnsi="Arial" w:cs="Arial"/>
              <w:color w:val="000000" w:themeColor="text1"/>
              <w:sz w:val="22"/>
              <w:szCs w:val="22"/>
            </w:rPr>
          </w:pPr>
          <w:r w:rsidRPr="003F68A6">
            <w:rPr>
              <w:rFonts w:ascii="Arial" w:hAnsi="Arial" w:cs="Arial"/>
              <w:color w:val="000000" w:themeColor="text1"/>
              <w:sz w:val="22"/>
              <w:szCs w:val="22"/>
            </w:rPr>
            <w:t>Table of Contents</w:t>
          </w:r>
        </w:p>
        <w:p w14:paraId="11F52F96" w14:textId="77777777" w:rsidR="004D04FA" w:rsidRDefault="000E2331">
          <w:pPr>
            <w:pStyle w:val="Obsah1"/>
            <w:tabs>
              <w:tab w:val="right" w:leader="dot" w:pos="9016"/>
            </w:tabs>
            <w:rPr>
              <w:rFonts w:asciiTheme="minorHAnsi" w:eastAsiaTheme="minorEastAsia" w:hAnsiTheme="minorHAnsi" w:cstheme="minorBidi"/>
              <w:noProof/>
              <w:sz w:val="22"/>
              <w:szCs w:val="22"/>
              <w:lang w:val="en-US" w:eastAsia="en-US"/>
            </w:rPr>
          </w:pPr>
          <w:r w:rsidRPr="003F68A6">
            <w:rPr>
              <w:rFonts w:ascii="Arial" w:hAnsi="Arial" w:cs="Arial"/>
              <w:color w:val="000000" w:themeColor="text1"/>
              <w:sz w:val="22"/>
              <w:szCs w:val="22"/>
            </w:rPr>
            <w:fldChar w:fldCharType="begin"/>
          </w:r>
          <w:r w:rsidRPr="003F68A6">
            <w:rPr>
              <w:rFonts w:ascii="Arial" w:hAnsi="Arial" w:cs="Arial"/>
              <w:color w:val="000000" w:themeColor="text1"/>
              <w:sz w:val="22"/>
              <w:szCs w:val="22"/>
            </w:rPr>
            <w:instrText xml:space="preserve"> TOC \o "1-3" \h \z \u </w:instrText>
          </w:r>
          <w:r w:rsidRPr="003F68A6">
            <w:rPr>
              <w:rFonts w:ascii="Arial" w:hAnsi="Arial" w:cs="Arial"/>
              <w:color w:val="000000" w:themeColor="text1"/>
              <w:sz w:val="22"/>
              <w:szCs w:val="22"/>
            </w:rPr>
            <w:fldChar w:fldCharType="separate"/>
          </w:r>
          <w:hyperlink w:anchor="_Toc214120147" w:history="1">
            <w:r w:rsidR="004D04FA" w:rsidRPr="0042793C">
              <w:rPr>
                <w:rStyle w:val="Hypertextovodkaz"/>
                <w:rFonts w:ascii="Arial" w:hAnsi="Arial" w:cs="Arial"/>
                <w:noProof/>
              </w:rPr>
              <w:t>Introduction</w:t>
            </w:r>
            <w:r w:rsidR="004D04FA">
              <w:rPr>
                <w:noProof/>
                <w:webHidden/>
              </w:rPr>
              <w:tab/>
            </w:r>
            <w:r w:rsidR="004D04FA">
              <w:rPr>
                <w:noProof/>
                <w:webHidden/>
              </w:rPr>
              <w:fldChar w:fldCharType="begin"/>
            </w:r>
            <w:r w:rsidR="004D04FA">
              <w:rPr>
                <w:noProof/>
                <w:webHidden/>
              </w:rPr>
              <w:instrText xml:space="preserve"> PAGEREF _Toc214120147 \h </w:instrText>
            </w:r>
            <w:r w:rsidR="004D04FA">
              <w:rPr>
                <w:noProof/>
                <w:webHidden/>
              </w:rPr>
            </w:r>
            <w:r w:rsidR="004D04FA">
              <w:rPr>
                <w:noProof/>
                <w:webHidden/>
              </w:rPr>
              <w:fldChar w:fldCharType="separate"/>
            </w:r>
            <w:r w:rsidR="004D04FA">
              <w:rPr>
                <w:noProof/>
                <w:webHidden/>
              </w:rPr>
              <w:t>2</w:t>
            </w:r>
            <w:r w:rsidR="004D04FA">
              <w:rPr>
                <w:noProof/>
                <w:webHidden/>
              </w:rPr>
              <w:fldChar w:fldCharType="end"/>
            </w:r>
          </w:hyperlink>
        </w:p>
        <w:p w14:paraId="062F4EC2" w14:textId="77777777" w:rsidR="004D04FA" w:rsidRDefault="004D04FA">
          <w:pPr>
            <w:pStyle w:val="Obsah2"/>
            <w:tabs>
              <w:tab w:val="right" w:leader="dot" w:pos="9016"/>
            </w:tabs>
            <w:rPr>
              <w:rFonts w:asciiTheme="minorHAnsi" w:eastAsiaTheme="minorEastAsia" w:hAnsiTheme="minorHAnsi" w:cstheme="minorBidi"/>
              <w:noProof/>
              <w:sz w:val="22"/>
              <w:szCs w:val="22"/>
              <w:lang w:val="en-US" w:eastAsia="en-US"/>
            </w:rPr>
          </w:pPr>
          <w:hyperlink w:anchor="_Toc214120148" w:history="1">
            <w:r w:rsidRPr="0042793C">
              <w:rPr>
                <w:rStyle w:val="Hypertextovodkaz"/>
                <w:rFonts w:ascii="Arial" w:hAnsi="Arial" w:cs="Arial"/>
                <w:noProof/>
              </w:rPr>
              <w:t>Person-Centred In Theory</w:t>
            </w:r>
            <w:r>
              <w:rPr>
                <w:noProof/>
                <w:webHidden/>
              </w:rPr>
              <w:tab/>
            </w:r>
            <w:r>
              <w:rPr>
                <w:noProof/>
                <w:webHidden/>
              </w:rPr>
              <w:fldChar w:fldCharType="begin"/>
            </w:r>
            <w:r>
              <w:rPr>
                <w:noProof/>
                <w:webHidden/>
              </w:rPr>
              <w:instrText xml:space="preserve"> PAGEREF _Toc214120148 \h </w:instrText>
            </w:r>
            <w:r>
              <w:rPr>
                <w:noProof/>
                <w:webHidden/>
              </w:rPr>
            </w:r>
            <w:r>
              <w:rPr>
                <w:noProof/>
                <w:webHidden/>
              </w:rPr>
              <w:fldChar w:fldCharType="separate"/>
            </w:r>
            <w:r>
              <w:rPr>
                <w:noProof/>
                <w:webHidden/>
              </w:rPr>
              <w:t>3</w:t>
            </w:r>
            <w:r>
              <w:rPr>
                <w:noProof/>
                <w:webHidden/>
              </w:rPr>
              <w:fldChar w:fldCharType="end"/>
            </w:r>
          </w:hyperlink>
        </w:p>
        <w:p w14:paraId="5FED23F8" w14:textId="77777777" w:rsidR="004D04FA" w:rsidRDefault="004D04FA">
          <w:pPr>
            <w:pStyle w:val="Obsah2"/>
            <w:tabs>
              <w:tab w:val="right" w:leader="dot" w:pos="9016"/>
            </w:tabs>
            <w:rPr>
              <w:rFonts w:asciiTheme="minorHAnsi" w:eastAsiaTheme="minorEastAsia" w:hAnsiTheme="minorHAnsi" w:cstheme="minorBidi"/>
              <w:noProof/>
              <w:sz w:val="22"/>
              <w:szCs w:val="22"/>
              <w:lang w:val="en-US" w:eastAsia="en-US"/>
            </w:rPr>
          </w:pPr>
          <w:hyperlink w:anchor="_Toc214120149" w:history="1">
            <w:r w:rsidRPr="0042793C">
              <w:rPr>
                <w:rStyle w:val="Hypertextovodkaz"/>
                <w:rFonts w:ascii="Arial" w:hAnsi="Arial" w:cs="Arial"/>
                <w:noProof/>
              </w:rPr>
              <w:t>Ethical Basics in Health and Social Care</w:t>
            </w:r>
            <w:r>
              <w:rPr>
                <w:noProof/>
                <w:webHidden/>
              </w:rPr>
              <w:tab/>
            </w:r>
            <w:r>
              <w:rPr>
                <w:noProof/>
                <w:webHidden/>
              </w:rPr>
              <w:fldChar w:fldCharType="begin"/>
            </w:r>
            <w:r>
              <w:rPr>
                <w:noProof/>
                <w:webHidden/>
              </w:rPr>
              <w:instrText xml:space="preserve"> PAGEREF _Toc214120149 \h </w:instrText>
            </w:r>
            <w:r>
              <w:rPr>
                <w:noProof/>
                <w:webHidden/>
              </w:rPr>
            </w:r>
            <w:r>
              <w:rPr>
                <w:noProof/>
                <w:webHidden/>
              </w:rPr>
              <w:fldChar w:fldCharType="separate"/>
            </w:r>
            <w:r>
              <w:rPr>
                <w:noProof/>
                <w:webHidden/>
              </w:rPr>
              <w:t>4</w:t>
            </w:r>
            <w:r>
              <w:rPr>
                <w:noProof/>
                <w:webHidden/>
              </w:rPr>
              <w:fldChar w:fldCharType="end"/>
            </w:r>
          </w:hyperlink>
        </w:p>
        <w:p w14:paraId="2789C37A" w14:textId="77777777" w:rsidR="004D04FA" w:rsidRDefault="004D04FA">
          <w:pPr>
            <w:pStyle w:val="Obsah2"/>
            <w:tabs>
              <w:tab w:val="right" w:leader="dot" w:pos="9016"/>
            </w:tabs>
            <w:rPr>
              <w:rFonts w:asciiTheme="minorHAnsi" w:eastAsiaTheme="minorEastAsia" w:hAnsiTheme="minorHAnsi" w:cstheme="minorBidi"/>
              <w:noProof/>
              <w:sz w:val="22"/>
              <w:szCs w:val="22"/>
              <w:lang w:val="en-US" w:eastAsia="en-US"/>
            </w:rPr>
          </w:pPr>
          <w:hyperlink w:anchor="_Toc214120150" w:history="1">
            <w:r w:rsidRPr="0042793C">
              <w:rPr>
                <w:rStyle w:val="Hypertextovodkaz"/>
                <w:rFonts w:ascii="Arial" w:hAnsi="Arial" w:cs="Arial"/>
                <w:noProof/>
              </w:rPr>
              <w:t>Partnership Working Evaluation</w:t>
            </w:r>
            <w:r>
              <w:rPr>
                <w:noProof/>
                <w:webHidden/>
              </w:rPr>
              <w:tab/>
            </w:r>
            <w:r>
              <w:rPr>
                <w:noProof/>
                <w:webHidden/>
              </w:rPr>
              <w:fldChar w:fldCharType="begin"/>
            </w:r>
            <w:r>
              <w:rPr>
                <w:noProof/>
                <w:webHidden/>
              </w:rPr>
              <w:instrText xml:space="preserve"> PAGEREF _Toc214120150 \h </w:instrText>
            </w:r>
            <w:r>
              <w:rPr>
                <w:noProof/>
                <w:webHidden/>
              </w:rPr>
            </w:r>
            <w:r>
              <w:rPr>
                <w:noProof/>
                <w:webHidden/>
              </w:rPr>
              <w:fldChar w:fldCharType="separate"/>
            </w:r>
            <w:r>
              <w:rPr>
                <w:noProof/>
                <w:webHidden/>
              </w:rPr>
              <w:t>5</w:t>
            </w:r>
            <w:r>
              <w:rPr>
                <w:noProof/>
                <w:webHidden/>
              </w:rPr>
              <w:fldChar w:fldCharType="end"/>
            </w:r>
          </w:hyperlink>
        </w:p>
        <w:p w14:paraId="6B1CE5C0" w14:textId="77777777" w:rsidR="004D04FA" w:rsidRDefault="004D04FA">
          <w:pPr>
            <w:pStyle w:val="Obsah2"/>
            <w:tabs>
              <w:tab w:val="right" w:leader="dot" w:pos="9016"/>
            </w:tabs>
            <w:rPr>
              <w:rFonts w:asciiTheme="minorHAnsi" w:eastAsiaTheme="minorEastAsia" w:hAnsiTheme="minorHAnsi" w:cstheme="minorBidi"/>
              <w:noProof/>
              <w:sz w:val="22"/>
              <w:szCs w:val="22"/>
              <w:lang w:val="en-US" w:eastAsia="en-US"/>
            </w:rPr>
          </w:pPr>
          <w:hyperlink w:anchor="_Toc214120151" w:history="1">
            <w:r w:rsidRPr="0042793C">
              <w:rPr>
                <w:rStyle w:val="Hypertextovodkaz"/>
                <w:rFonts w:ascii="Arial" w:hAnsi="Arial" w:cs="Arial"/>
                <w:noProof/>
              </w:rPr>
              <w:t>Partnership Working In Practical Setting</w:t>
            </w:r>
            <w:r>
              <w:rPr>
                <w:noProof/>
                <w:webHidden/>
              </w:rPr>
              <w:tab/>
            </w:r>
            <w:r>
              <w:rPr>
                <w:noProof/>
                <w:webHidden/>
              </w:rPr>
              <w:fldChar w:fldCharType="begin"/>
            </w:r>
            <w:r>
              <w:rPr>
                <w:noProof/>
                <w:webHidden/>
              </w:rPr>
              <w:instrText xml:space="preserve"> PAGEREF _Toc214120151 \h </w:instrText>
            </w:r>
            <w:r>
              <w:rPr>
                <w:noProof/>
                <w:webHidden/>
              </w:rPr>
            </w:r>
            <w:r>
              <w:rPr>
                <w:noProof/>
                <w:webHidden/>
              </w:rPr>
              <w:fldChar w:fldCharType="separate"/>
            </w:r>
            <w:r>
              <w:rPr>
                <w:noProof/>
                <w:webHidden/>
              </w:rPr>
              <w:t>5</w:t>
            </w:r>
            <w:r>
              <w:rPr>
                <w:noProof/>
                <w:webHidden/>
              </w:rPr>
              <w:fldChar w:fldCharType="end"/>
            </w:r>
          </w:hyperlink>
        </w:p>
        <w:p w14:paraId="4EA6ED10" w14:textId="77777777" w:rsidR="004D04FA" w:rsidRDefault="004D04FA">
          <w:pPr>
            <w:pStyle w:val="Obsah2"/>
            <w:tabs>
              <w:tab w:val="right" w:leader="dot" w:pos="9016"/>
            </w:tabs>
            <w:rPr>
              <w:rFonts w:asciiTheme="minorHAnsi" w:eastAsiaTheme="minorEastAsia" w:hAnsiTheme="minorHAnsi" w:cstheme="minorBidi"/>
              <w:noProof/>
              <w:sz w:val="22"/>
              <w:szCs w:val="22"/>
              <w:lang w:val="en-US" w:eastAsia="en-US"/>
            </w:rPr>
          </w:pPr>
          <w:hyperlink w:anchor="_Toc214120152" w:history="1">
            <w:r w:rsidRPr="0042793C">
              <w:rPr>
                <w:rStyle w:val="Hypertextovodkaz"/>
                <w:rFonts w:ascii="Arial" w:hAnsi="Arial" w:cs="Arial"/>
                <w:noProof/>
              </w:rPr>
              <w:t>PCC and PW Policy and Legislation Support</w:t>
            </w:r>
            <w:r>
              <w:rPr>
                <w:noProof/>
                <w:webHidden/>
              </w:rPr>
              <w:tab/>
            </w:r>
            <w:r>
              <w:rPr>
                <w:noProof/>
                <w:webHidden/>
              </w:rPr>
              <w:fldChar w:fldCharType="begin"/>
            </w:r>
            <w:r>
              <w:rPr>
                <w:noProof/>
                <w:webHidden/>
              </w:rPr>
              <w:instrText xml:space="preserve"> PAGEREF _Toc214120152 \h </w:instrText>
            </w:r>
            <w:r>
              <w:rPr>
                <w:noProof/>
                <w:webHidden/>
              </w:rPr>
            </w:r>
            <w:r>
              <w:rPr>
                <w:noProof/>
                <w:webHidden/>
              </w:rPr>
              <w:fldChar w:fldCharType="separate"/>
            </w:r>
            <w:r>
              <w:rPr>
                <w:noProof/>
                <w:webHidden/>
              </w:rPr>
              <w:t>6</w:t>
            </w:r>
            <w:r>
              <w:rPr>
                <w:noProof/>
                <w:webHidden/>
              </w:rPr>
              <w:fldChar w:fldCharType="end"/>
            </w:r>
          </w:hyperlink>
        </w:p>
        <w:p w14:paraId="74E15175" w14:textId="77777777" w:rsidR="004D04FA" w:rsidRDefault="004D04FA">
          <w:pPr>
            <w:pStyle w:val="Obsah2"/>
            <w:tabs>
              <w:tab w:val="right" w:leader="dot" w:pos="9016"/>
            </w:tabs>
            <w:rPr>
              <w:rFonts w:asciiTheme="minorHAnsi" w:eastAsiaTheme="minorEastAsia" w:hAnsiTheme="minorHAnsi" w:cstheme="minorBidi"/>
              <w:noProof/>
              <w:sz w:val="22"/>
              <w:szCs w:val="22"/>
              <w:lang w:val="en-US" w:eastAsia="en-US"/>
            </w:rPr>
          </w:pPr>
          <w:hyperlink w:anchor="_Toc214120153" w:history="1">
            <w:r w:rsidRPr="0042793C">
              <w:rPr>
                <w:rStyle w:val="Hypertextovodkaz"/>
                <w:rFonts w:ascii="Arial" w:hAnsi="Arial" w:cs="Arial"/>
                <w:noProof/>
              </w:rPr>
              <w:t>Recommendations for Future Development</w:t>
            </w:r>
            <w:r>
              <w:rPr>
                <w:noProof/>
                <w:webHidden/>
              </w:rPr>
              <w:tab/>
            </w:r>
            <w:r>
              <w:rPr>
                <w:noProof/>
                <w:webHidden/>
              </w:rPr>
              <w:fldChar w:fldCharType="begin"/>
            </w:r>
            <w:r>
              <w:rPr>
                <w:noProof/>
                <w:webHidden/>
              </w:rPr>
              <w:instrText xml:space="preserve"> PAGEREF _Toc214120153 \h </w:instrText>
            </w:r>
            <w:r>
              <w:rPr>
                <w:noProof/>
                <w:webHidden/>
              </w:rPr>
            </w:r>
            <w:r>
              <w:rPr>
                <w:noProof/>
                <w:webHidden/>
              </w:rPr>
              <w:fldChar w:fldCharType="separate"/>
            </w:r>
            <w:r>
              <w:rPr>
                <w:noProof/>
                <w:webHidden/>
              </w:rPr>
              <w:t>7</w:t>
            </w:r>
            <w:r>
              <w:rPr>
                <w:noProof/>
                <w:webHidden/>
              </w:rPr>
              <w:fldChar w:fldCharType="end"/>
            </w:r>
          </w:hyperlink>
        </w:p>
        <w:p w14:paraId="02FEDCC2" w14:textId="77777777" w:rsidR="004D04FA" w:rsidRDefault="004D04FA">
          <w:pPr>
            <w:pStyle w:val="Obsah1"/>
            <w:tabs>
              <w:tab w:val="right" w:leader="dot" w:pos="9016"/>
            </w:tabs>
            <w:rPr>
              <w:rFonts w:asciiTheme="minorHAnsi" w:eastAsiaTheme="minorEastAsia" w:hAnsiTheme="minorHAnsi" w:cstheme="minorBidi"/>
              <w:noProof/>
              <w:sz w:val="22"/>
              <w:szCs w:val="22"/>
              <w:lang w:val="en-US" w:eastAsia="en-US"/>
            </w:rPr>
          </w:pPr>
          <w:hyperlink w:anchor="_Toc214120154" w:history="1">
            <w:r w:rsidRPr="0042793C">
              <w:rPr>
                <w:rStyle w:val="Hypertextovodkaz"/>
                <w:rFonts w:ascii="Arial" w:hAnsi="Arial" w:cs="Arial"/>
                <w:b/>
                <w:noProof/>
              </w:rPr>
              <w:t>Conclusion</w:t>
            </w:r>
            <w:r>
              <w:rPr>
                <w:noProof/>
                <w:webHidden/>
              </w:rPr>
              <w:tab/>
            </w:r>
            <w:r>
              <w:rPr>
                <w:noProof/>
                <w:webHidden/>
              </w:rPr>
              <w:fldChar w:fldCharType="begin"/>
            </w:r>
            <w:r>
              <w:rPr>
                <w:noProof/>
                <w:webHidden/>
              </w:rPr>
              <w:instrText xml:space="preserve"> PAGEREF _Toc214120154 \h </w:instrText>
            </w:r>
            <w:r>
              <w:rPr>
                <w:noProof/>
                <w:webHidden/>
              </w:rPr>
            </w:r>
            <w:r>
              <w:rPr>
                <w:noProof/>
                <w:webHidden/>
              </w:rPr>
              <w:fldChar w:fldCharType="separate"/>
            </w:r>
            <w:r>
              <w:rPr>
                <w:noProof/>
                <w:webHidden/>
              </w:rPr>
              <w:t>7</w:t>
            </w:r>
            <w:r>
              <w:rPr>
                <w:noProof/>
                <w:webHidden/>
              </w:rPr>
              <w:fldChar w:fldCharType="end"/>
            </w:r>
          </w:hyperlink>
        </w:p>
        <w:p w14:paraId="0667BD7F" w14:textId="77777777" w:rsidR="004D04FA" w:rsidRDefault="004D04FA">
          <w:pPr>
            <w:pStyle w:val="Obsah1"/>
            <w:tabs>
              <w:tab w:val="right" w:leader="dot" w:pos="9016"/>
            </w:tabs>
            <w:rPr>
              <w:rFonts w:asciiTheme="minorHAnsi" w:eastAsiaTheme="minorEastAsia" w:hAnsiTheme="minorHAnsi" w:cstheme="minorBidi"/>
              <w:noProof/>
              <w:sz w:val="22"/>
              <w:szCs w:val="22"/>
              <w:lang w:val="en-US" w:eastAsia="en-US"/>
            </w:rPr>
          </w:pPr>
          <w:hyperlink w:anchor="_Toc214120155" w:history="1">
            <w:r w:rsidRPr="0042793C">
              <w:rPr>
                <w:rStyle w:val="Hypertextovodkaz"/>
                <w:rFonts w:ascii="Arial" w:hAnsi="Arial" w:cs="Arial"/>
                <w:b/>
                <w:noProof/>
              </w:rPr>
              <w:t>References</w:t>
            </w:r>
            <w:r>
              <w:rPr>
                <w:noProof/>
                <w:webHidden/>
              </w:rPr>
              <w:tab/>
            </w:r>
            <w:r>
              <w:rPr>
                <w:noProof/>
                <w:webHidden/>
              </w:rPr>
              <w:fldChar w:fldCharType="begin"/>
            </w:r>
            <w:r>
              <w:rPr>
                <w:noProof/>
                <w:webHidden/>
              </w:rPr>
              <w:instrText xml:space="preserve"> PAGEREF _Toc214120155 \h </w:instrText>
            </w:r>
            <w:r>
              <w:rPr>
                <w:noProof/>
                <w:webHidden/>
              </w:rPr>
            </w:r>
            <w:r>
              <w:rPr>
                <w:noProof/>
                <w:webHidden/>
              </w:rPr>
              <w:fldChar w:fldCharType="separate"/>
            </w:r>
            <w:r>
              <w:rPr>
                <w:noProof/>
                <w:webHidden/>
              </w:rPr>
              <w:t>8</w:t>
            </w:r>
            <w:r>
              <w:rPr>
                <w:noProof/>
                <w:webHidden/>
              </w:rPr>
              <w:fldChar w:fldCharType="end"/>
            </w:r>
          </w:hyperlink>
        </w:p>
        <w:p w14:paraId="54DD5B66" w14:textId="77777777" w:rsidR="000E2331" w:rsidRPr="003F68A6" w:rsidRDefault="000E2331" w:rsidP="003F68A6">
          <w:pPr>
            <w:spacing w:line="360" w:lineRule="auto"/>
            <w:jc w:val="both"/>
            <w:rPr>
              <w:rFonts w:ascii="Arial" w:hAnsi="Arial" w:cs="Arial"/>
              <w:color w:val="000000" w:themeColor="text1"/>
              <w:sz w:val="22"/>
              <w:szCs w:val="22"/>
            </w:rPr>
          </w:pPr>
          <w:r w:rsidRPr="003F68A6">
            <w:rPr>
              <w:rFonts w:ascii="Arial" w:hAnsi="Arial" w:cs="Arial"/>
              <w:b/>
              <w:bCs/>
              <w:noProof/>
              <w:color w:val="000000" w:themeColor="text1"/>
              <w:sz w:val="22"/>
              <w:szCs w:val="22"/>
            </w:rPr>
            <w:fldChar w:fldCharType="end"/>
          </w:r>
        </w:p>
      </w:sdtContent>
    </w:sdt>
    <w:p w14:paraId="4B08339D" w14:textId="77777777" w:rsidR="000E2331" w:rsidRPr="003F68A6" w:rsidRDefault="000E2331" w:rsidP="003F68A6">
      <w:pPr>
        <w:spacing w:line="360" w:lineRule="auto"/>
        <w:jc w:val="both"/>
        <w:rPr>
          <w:rFonts w:ascii="Arial" w:hAnsi="Arial" w:cs="Arial"/>
          <w:b/>
          <w:color w:val="000000" w:themeColor="text1"/>
          <w:sz w:val="22"/>
          <w:szCs w:val="22"/>
        </w:rPr>
      </w:pPr>
    </w:p>
    <w:p w14:paraId="14B0DEE3" w14:textId="77777777" w:rsidR="000E2331" w:rsidRPr="003F68A6" w:rsidRDefault="000E2331" w:rsidP="003F68A6">
      <w:pPr>
        <w:spacing w:line="360" w:lineRule="auto"/>
        <w:jc w:val="both"/>
        <w:rPr>
          <w:rFonts w:ascii="Arial" w:hAnsi="Arial" w:cs="Arial"/>
          <w:b/>
          <w:color w:val="000000" w:themeColor="text1"/>
          <w:sz w:val="22"/>
          <w:szCs w:val="22"/>
        </w:rPr>
      </w:pPr>
    </w:p>
    <w:p w14:paraId="60635D90" w14:textId="77777777" w:rsidR="000E2331" w:rsidRPr="003F68A6" w:rsidRDefault="000E2331" w:rsidP="003F68A6">
      <w:pPr>
        <w:spacing w:line="360" w:lineRule="auto"/>
        <w:jc w:val="both"/>
        <w:rPr>
          <w:rFonts w:ascii="Arial" w:hAnsi="Arial" w:cs="Arial"/>
          <w:b/>
          <w:color w:val="000000" w:themeColor="text1"/>
          <w:sz w:val="22"/>
          <w:szCs w:val="22"/>
        </w:rPr>
      </w:pPr>
    </w:p>
    <w:p w14:paraId="5F0958DE" w14:textId="77777777" w:rsidR="000E2331" w:rsidRPr="003F68A6" w:rsidRDefault="000E2331" w:rsidP="003F68A6">
      <w:pPr>
        <w:spacing w:line="360" w:lineRule="auto"/>
        <w:jc w:val="both"/>
        <w:rPr>
          <w:rFonts w:ascii="Arial" w:hAnsi="Arial" w:cs="Arial"/>
          <w:b/>
          <w:color w:val="000000" w:themeColor="text1"/>
          <w:sz w:val="22"/>
          <w:szCs w:val="22"/>
        </w:rPr>
      </w:pPr>
    </w:p>
    <w:p w14:paraId="04A32AA6" w14:textId="77777777" w:rsidR="000E2331" w:rsidRPr="003F68A6" w:rsidRDefault="000E2331" w:rsidP="003F68A6">
      <w:pPr>
        <w:spacing w:line="360" w:lineRule="auto"/>
        <w:jc w:val="both"/>
        <w:rPr>
          <w:rFonts w:ascii="Arial" w:hAnsi="Arial" w:cs="Arial"/>
          <w:b/>
          <w:color w:val="000000" w:themeColor="text1"/>
          <w:sz w:val="22"/>
          <w:szCs w:val="22"/>
        </w:rPr>
      </w:pPr>
    </w:p>
    <w:p w14:paraId="02A7C84C" w14:textId="77777777" w:rsidR="000E2331" w:rsidRPr="003F68A6" w:rsidRDefault="000E2331" w:rsidP="003F68A6">
      <w:pPr>
        <w:spacing w:line="360" w:lineRule="auto"/>
        <w:jc w:val="both"/>
        <w:rPr>
          <w:rFonts w:ascii="Arial" w:hAnsi="Arial" w:cs="Arial"/>
          <w:b/>
          <w:color w:val="000000" w:themeColor="text1"/>
          <w:sz w:val="22"/>
          <w:szCs w:val="22"/>
        </w:rPr>
      </w:pPr>
    </w:p>
    <w:p w14:paraId="79BBC29B" w14:textId="77777777" w:rsidR="000E2331" w:rsidRPr="003F68A6" w:rsidRDefault="000E2331" w:rsidP="003F68A6">
      <w:pPr>
        <w:spacing w:line="360" w:lineRule="auto"/>
        <w:jc w:val="both"/>
        <w:rPr>
          <w:rFonts w:ascii="Arial" w:hAnsi="Arial" w:cs="Arial"/>
          <w:b/>
          <w:color w:val="000000" w:themeColor="text1"/>
          <w:sz w:val="22"/>
          <w:szCs w:val="22"/>
        </w:rPr>
      </w:pPr>
    </w:p>
    <w:p w14:paraId="33259A97" w14:textId="77777777" w:rsidR="000E2331" w:rsidRPr="003F68A6" w:rsidRDefault="000E2331" w:rsidP="003F68A6">
      <w:pPr>
        <w:spacing w:line="360" w:lineRule="auto"/>
        <w:jc w:val="both"/>
        <w:rPr>
          <w:rFonts w:ascii="Arial" w:hAnsi="Arial" w:cs="Arial"/>
          <w:b/>
          <w:color w:val="000000" w:themeColor="text1"/>
          <w:sz w:val="22"/>
          <w:szCs w:val="22"/>
        </w:rPr>
      </w:pPr>
    </w:p>
    <w:p w14:paraId="44A85B03" w14:textId="77777777" w:rsidR="000E2331" w:rsidRPr="003F68A6" w:rsidRDefault="000E2331" w:rsidP="003F68A6">
      <w:pPr>
        <w:spacing w:line="360" w:lineRule="auto"/>
        <w:jc w:val="both"/>
        <w:rPr>
          <w:rFonts w:ascii="Arial" w:hAnsi="Arial" w:cs="Arial"/>
          <w:b/>
          <w:color w:val="000000" w:themeColor="text1"/>
          <w:sz w:val="22"/>
          <w:szCs w:val="22"/>
        </w:rPr>
      </w:pPr>
    </w:p>
    <w:p w14:paraId="09B858DC" w14:textId="77777777" w:rsidR="000E2331" w:rsidRPr="003F68A6" w:rsidRDefault="000E2331" w:rsidP="003F68A6">
      <w:pPr>
        <w:spacing w:line="360" w:lineRule="auto"/>
        <w:jc w:val="both"/>
        <w:rPr>
          <w:rFonts w:ascii="Arial" w:hAnsi="Arial" w:cs="Arial"/>
          <w:b/>
          <w:color w:val="000000" w:themeColor="text1"/>
          <w:sz w:val="22"/>
          <w:szCs w:val="22"/>
        </w:rPr>
      </w:pPr>
    </w:p>
    <w:p w14:paraId="0035B070" w14:textId="77777777" w:rsidR="000E2331" w:rsidRPr="003F68A6" w:rsidRDefault="000E2331" w:rsidP="003F68A6">
      <w:pPr>
        <w:spacing w:line="360" w:lineRule="auto"/>
        <w:jc w:val="both"/>
        <w:rPr>
          <w:rFonts w:ascii="Arial" w:hAnsi="Arial" w:cs="Arial"/>
          <w:b/>
          <w:color w:val="000000" w:themeColor="text1"/>
          <w:sz w:val="22"/>
          <w:szCs w:val="22"/>
        </w:rPr>
      </w:pPr>
    </w:p>
    <w:p w14:paraId="26BE7B3A" w14:textId="77777777" w:rsidR="000E2331" w:rsidRPr="003F68A6" w:rsidRDefault="000E2331" w:rsidP="003F68A6">
      <w:pPr>
        <w:spacing w:line="360" w:lineRule="auto"/>
        <w:jc w:val="both"/>
        <w:rPr>
          <w:rFonts w:ascii="Arial" w:hAnsi="Arial" w:cs="Arial"/>
          <w:b/>
          <w:color w:val="000000" w:themeColor="text1"/>
          <w:sz w:val="22"/>
          <w:szCs w:val="22"/>
        </w:rPr>
      </w:pPr>
    </w:p>
    <w:p w14:paraId="748A1EEF" w14:textId="77777777" w:rsidR="000E2331" w:rsidRPr="003F68A6" w:rsidRDefault="000E2331" w:rsidP="003F68A6">
      <w:pPr>
        <w:spacing w:line="360" w:lineRule="auto"/>
        <w:jc w:val="both"/>
        <w:rPr>
          <w:rFonts w:ascii="Arial" w:hAnsi="Arial" w:cs="Arial"/>
          <w:color w:val="000000" w:themeColor="text1"/>
          <w:sz w:val="22"/>
          <w:szCs w:val="22"/>
        </w:rPr>
      </w:pPr>
    </w:p>
    <w:p w14:paraId="71D1AE42" w14:textId="77777777" w:rsidR="000E2331" w:rsidRPr="003F68A6" w:rsidRDefault="000E2331" w:rsidP="003F68A6">
      <w:pPr>
        <w:spacing w:line="360" w:lineRule="auto"/>
        <w:jc w:val="both"/>
        <w:rPr>
          <w:rFonts w:ascii="Arial" w:hAnsi="Arial" w:cs="Arial"/>
          <w:b/>
          <w:color w:val="000000" w:themeColor="text1"/>
          <w:sz w:val="22"/>
          <w:szCs w:val="22"/>
        </w:rPr>
      </w:pPr>
    </w:p>
    <w:p w14:paraId="14170859" w14:textId="77777777" w:rsidR="000E2331" w:rsidRPr="003F68A6" w:rsidRDefault="000E2331" w:rsidP="003F68A6">
      <w:pPr>
        <w:spacing w:line="360" w:lineRule="auto"/>
        <w:jc w:val="both"/>
        <w:rPr>
          <w:rFonts w:ascii="Arial" w:hAnsi="Arial" w:cs="Arial"/>
          <w:b/>
          <w:color w:val="000000" w:themeColor="text1"/>
          <w:sz w:val="22"/>
          <w:szCs w:val="22"/>
        </w:rPr>
      </w:pPr>
    </w:p>
    <w:p w14:paraId="52A8073D" w14:textId="77777777" w:rsidR="00C20393" w:rsidRPr="003F68A6" w:rsidRDefault="00C20393" w:rsidP="003F68A6">
      <w:pPr>
        <w:spacing w:line="360" w:lineRule="auto"/>
        <w:jc w:val="both"/>
        <w:rPr>
          <w:rFonts w:ascii="Arial" w:hAnsi="Arial" w:cs="Arial"/>
          <w:b/>
          <w:color w:val="000000" w:themeColor="text1"/>
          <w:sz w:val="22"/>
          <w:szCs w:val="22"/>
        </w:rPr>
      </w:pPr>
    </w:p>
    <w:p w14:paraId="132A7EE3" w14:textId="77777777" w:rsidR="00C20393" w:rsidRPr="003F68A6" w:rsidRDefault="00C20393" w:rsidP="003F68A6">
      <w:pPr>
        <w:spacing w:line="360" w:lineRule="auto"/>
        <w:jc w:val="both"/>
        <w:rPr>
          <w:rFonts w:ascii="Arial" w:hAnsi="Arial" w:cs="Arial"/>
          <w:b/>
          <w:color w:val="000000" w:themeColor="text1"/>
          <w:sz w:val="22"/>
          <w:szCs w:val="22"/>
        </w:rPr>
      </w:pPr>
    </w:p>
    <w:p w14:paraId="60528821" w14:textId="77777777" w:rsidR="00C20393" w:rsidRPr="003F68A6" w:rsidRDefault="00C20393" w:rsidP="003F68A6">
      <w:pPr>
        <w:spacing w:line="360" w:lineRule="auto"/>
        <w:jc w:val="both"/>
        <w:rPr>
          <w:rFonts w:ascii="Arial" w:hAnsi="Arial" w:cs="Arial"/>
          <w:b/>
          <w:color w:val="000000" w:themeColor="text1"/>
          <w:sz w:val="22"/>
          <w:szCs w:val="22"/>
        </w:rPr>
      </w:pPr>
    </w:p>
    <w:p w14:paraId="593D46A2" w14:textId="77777777" w:rsidR="00C20393" w:rsidRPr="003F68A6" w:rsidRDefault="00C20393" w:rsidP="003F68A6">
      <w:pPr>
        <w:spacing w:line="360" w:lineRule="auto"/>
        <w:jc w:val="both"/>
        <w:rPr>
          <w:rFonts w:ascii="Arial" w:hAnsi="Arial" w:cs="Arial"/>
          <w:b/>
          <w:color w:val="000000" w:themeColor="text1"/>
          <w:sz w:val="22"/>
          <w:szCs w:val="22"/>
        </w:rPr>
      </w:pPr>
    </w:p>
    <w:p w14:paraId="1ECB9D3B" w14:textId="77777777" w:rsidR="003F68A6" w:rsidRDefault="003F68A6" w:rsidP="003F68A6">
      <w:pPr>
        <w:spacing w:line="360" w:lineRule="auto"/>
        <w:jc w:val="both"/>
        <w:rPr>
          <w:rFonts w:ascii="Arial" w:hAnsi="Arial" w:cs="Arial"/>
          <w:sz w:val="22"/>
          <w:szCs w:val="22"/>
        </w:rPr>
      </w:pPr>
    </w:p>
    <w:p w14:paraId="045B94E3" w14:textId="77777777" w:rsidR="004D04FA" w:rsidRPr="003F68A6" w:rsidRDefault="004D04FA" w:rsidP="003F68A6">
      <w:pPr>
        <w:spacing w:line="360" w:lineRule="auto"/>
        <w:jc w:val="both"/>
        <w:rPr>
          <w:rFonts w:ascii="Arial" w:hAnsi="Arial" w:cs="Arial"/>
          <w:sz w:val="22"/>
          <w:szCs w:val="22"/>
        </w:rPr>
      </w:pPr>
    </w:p>
    <w:p w14:paraId="486B81A3" w14:textId="77777777" w:rsidR="003F68A6" w:rsidRPr="003F68A6" w:rsidRDefault="003F68A6" w:rsidP="003F68A6">
      <w:pPr>
        <w:spacing w:line="360" w:lineRule="auto"/>
        <w:jc w:val="both"/>
        <w:rPr>
          <w:rFonts w:ascii="Arial" w:hAnsi="Arial" w:cs="Arial"/>
          <w:sz w:val="22"/>
          <w:szCs w:val="22"/>
        </w:rPr>
      </w:pPr>
    </w:p>
    <w:p w14:paraId="5F591464" w14:textId="77777777" w:rsidR="003F68A6" w:rsidRPr="003F68A6" w:rsidRDefault="003F68A6" w:rsidP="003F68A6">
      <w:pPr>
        <w:spacing w:line="360" w:lineRule="auto"/>
        <w:jc w:val="both"/>
        <w:rPr>
          <w:rFonts w:ascii="Arial" w:hAnsi="Arial" w:cs="Arial"/>
          <w:sz w:val="22"/>
          <w:szCs w:val="22"/>
        </w:rPr>
      </w:pPr>
    </w:p>
    <w:p w14:paraId="777039C9" w14:textId="77777777" w:rsidR="003F68A6" w:rsidRPr="003F68A6" w:rsidRDefault="003F68A6" w:rsidP="003F68A6">
      <w:pPr>
        <w:spacing w:line="360" w:lineRule="auto"/>
        <w:jc w:val="both"/>
        <w:rPr>
          <w:rFonts w:ascii="Arial" w:hAnsi="Arial" w:cs="Arial"/>
          <w:sz w:val="22"/>
          <w:szCs w:val="22"/>
        </w:rPr>
      </w:pPr>
    </w:p>
    <w:p w14:paraId="2765BEB8" w14:textId="77777777" w:rsidR="00D56A0E" w:rsidRPr="004D04FA" w:rsidRDefault="00D56A0E" w:rsidP="003F68A6">
      <w:pPr>
        <w:pStyle w:val="Nadpis1"/>
        <w:spacing w:line="360" w:lineRule="auto"/>
        <w:jc w:val="both"/>
        <w:rPr>
          <w:rFonts w:ascii="Arial" w:hAnsi="Arial" w:cs="Arial"/>
          <w:color w:val="auto"/>
          <w:sz w:val="22"/>
          <w:szCs w:val="22"/>
        </w:rPr>
      </w:pPr>
      <w:bookmarkStart w:id="0" w:name="_Toc214120147"/>
      <w:r w:rsidRPr="004D04FA">
        <w:rPr>
          <w:rFonts w:ascii="Arial" w:hAnsi="Arial" w:cs="Arial"/>
          <w:color w:val="auto"/>
          <w:sz w:val="22"/>
          <w:szCs w:val="22"/>
        </w:rPr>
        <w:t>I</w:t>
      </w:r>
      <w:r w:rsidR="00C20393" w:rsidRPr="004D04FA">
        <w:rPr>
          <w:rFonts w:ascii="Arial" w:hAnsi="Arial" w:cs="Arial"/>
          <w:color w:val="auto"/>
          <w:sz w:val="22"/>
          <w:szCs w:val="22"/>
        </w:rPr>
        <w:t>ntroduction</w:t>
      </w:r>
      <w:bookmarkEnd w:id="0"/>
    </w:p>
    <w:p w14:paraId="05526580" w14:textId="77777777" w:rsidR="00D56A0E" w:rsidRPr="003F68A6" w:rsidRDefault="00D56A0E"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 xml:space="preserve">The key ideas of the modern health and social care practice are </w:t>
      </w:r>
      <w:r w:rsidRPr="003F68A6">
        <w:rPr>
          <w:rFonts w:ascii="Arial" w:hAnsi="Arial" w:cs="Arial"/>
          <w:b/>
          <w:color w:val="000000" w:themeColor="text1"/>
          <w:sz w:val="22"/>
          <w:szCs w:val="22"/>
        </w:rPr>
        <w:t>person-centred care (PCC)</w:t>
      </w:r>
      <w:r w:rsidRPr="003F68A6">
        <w:rPr>
          <w:rFonts w:ascii="Arial" w:hAnsi="Arial" w:cs="Arial"/>
          <w:color w:val="000000" w:themeColor="text1"/>
          <w:sz w:val="22"/>
          <w:szCs w:val="22"/>
        </w:rPr>
        <w:t xml:space="preserve"> and </w:t>
      </w:r>
      <w:r w:rsidRPr="003F68A6">
        <w:rPr>
          <w:rFonts w:ascii="Arial" w:hAnsi="Arial" w:cs="Arial"/>
          <w:b/>
          <w:color w:val="000000" w:themeColor="text1"/>
          <w:sz w:val="22"/>
          <w:szCs w:val="22"/>
        </w:rPr>
        <w:t>partnership working (PW)</w:t>
      </w:r>
      <w:r w:rsidRPr="003F68A6">
        <w:rPr>
          <w:rFonts w:ascii="Arial" w:hAnsi="Arial" w:cs="Arial"/>
          <w:color w:val="000000" w:themeColor="text1"/>
          <w:sz w:val="22"/>
          <w:szCs w:val="22"/>
        </w:rPr>
        <w:t xml:space="preserve"> as they represent the national agenda to enhance the quality, safety, and empowerment of individuals</w:t>
      </w:r>
      <w:r w:rsidRPr="003F68A6">
        <w:rPr>
          <w:rFonts w:ascii="Arial" w:hAnsi="Arial" w:cs="Arial"/>
          <w:b/>
          <w:color w:val="000000" w:themeColor="text1"/>
          <w:sz w:val="22"/>
          <w:szCs w:val="22"/>
        </w:rPr>
        <w:t>.</w:t>
      </w:r>
      <w:r w:rsidRPr="003F68A6">
        <w:rPr>
          <w:rFonts w:ascii="Arial" w:hAnsi="Arial" w:cs="Arial"/>
          <w:color w:val="000000" w:themeColor="text1"/>
          <w:sz w:val="22"/>
          <w:szCs w:val="22"/>
        </w:rPr>
        <w:t xml:space="preserve"> PCC also focuses on the role of people as active contributors to their care, who appreciate their preferences, past experiences, and autonomy. Instead of using a standardised method, PCC aims to personalise the support by meeting the needs of a person individually and providing them with dignity, respect, and mutual decision-making</w:t>
      </w:r>
      <w:r w:rsidR="008E1425"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 xml:space="preserve">Simultaneously, PW advises the multidisciplinary professionals, organisations, individuals, families, and communities to work together in providing integrated and coordinated care. These combined strategies can deal with increasing complexity of health and social requirements of the UK population, as more people are getting older and more chronically ill, and more are facing varying social </w:t>
      </w:r>
      <w:r w:rsidR="00C20393" w:rsidRPr="003F68A6">
        <w:rPr>
          <w:rFonts w:ascii="Arial" w:hAnsi="Arial" w:cs="Arial"/>
          <w:color w:val="000000" w:themeColor="text1"/>
          <w:sz w:val="22"/>
          <w:szCs w:val="22"/>
        </w:rPr>
        <w:t>conditions. The</w:t>
      </w:r>
      <w:r w:rsidRPr="003F68A6">
        <w:rPr>
          <w:rFonts w:ascii="Arial" w:hAnsi="Arial" w:cs="Arial"/>
          <w:color w:val="000000" w:themeColor="text1"/>
          <w:sz w:val="22"/>
          <w:szCs w:val="22"/>
        </w:rPr>
        <w:t xml:space="preserve"> requirement of integrated care systems and personalised care, which form part of the UK policy frameworks, such as the </w:t>
      </w:r>
      <w:r w:rsidRPr="003F68A6">
        <w:rPr>
          <w:rFonts w:ascii="Arial" w:hAnsi="Arial" w:cs="Arial"/>
          <w:b/>
          <w:color w:val="000000" w:themeColor="text1"/>
          <w:sz w:val="22"/>
          <w:szCs w:val="22"/>
        </w:rPr>
        <w:t>NHS Long Term Plan</w:t>
      </w:r>
      <w:r w:rsidRPr="003F68A6">
        <w:rPr>
          <w:rFonts w:ascii="Arial" w:hAnsi="Arial" w:cs="Arial"/>
          <w:color w:val="000000" w:themeColor="text1"/>
          <w:sz w:val="22"/>
          <w:szCs w:val="22"/>
        </w:rPr>
        <w:t xml:space="preserve"> and the </w:t>
      </w:r>
      <w:r w:rsidRPr="003F68A6">
        <w:rPr>
          <w:rFonts w:ascii="Arial" w:hAnsi="Arial" w:cs="Arial"/>
          <w:b/>
          <w:color w:val="000000" w:themeColor="text1"/>
          <w:sz w:val="22"/>
          <w:szCs w:val="22"/>
        </w:rPr>
        <w:t>Care Act 2014</w:t>
      </w:r>
      <w:r w:rsidRPr="003F68A6">
        <w:rPr>
          <w:rFonts w:ascii="Arial" w:hAnsi="Arial" w:cs="Arial"/>
          <w:color w:val="000000" w:themeColor="text1"/>
          <w:sz w:val="22"/>
          <w:szCs w:val="22"/>
        </w:rPr>
        <w:t>, make PCC and PW central to high-quality service delivery. Nevertheless, though both principles have a strong positive side, they are characterized by difficulties in their application because of the lack of resources, communication issues, and the ethical considerations. This report is a critical analysis of the theory of PCC, ethical underpinnings, analysis of PW, and discussion of PCC in a practical care environment. It ends by determining major policies and giving recommendations on the future.</w:t>
      </w:r>
    </w:p>
    <w:p w14:paraId="450C8C02" w14:textId="77777777" w:rsidR="00D56A0E" w:rsidRPr="003F68A6" w:rsidRDefault="000E2331" w:rsidP="003F68A6">
      <w:pPr>
        <w:pStyle w:val="Nadpis2"/>
        <w:rPr>
          <w:rFonts w:ascii="Arial" w:hAnsi="Arial" w:cs="Arial"/>
          <w:color w:val="000000" w:themeColor="text1"/>
          <w:sz w:val="22"/>
          <w:szCs w:val="22"/>
        </w:rPr>
      </w:pPr>
      <w:bookmarkStart w:id="1" w:name="_Toc214120148"/>
      <w:r w:rsidRPr="003F68A6">
        <w:rPr>
          <w:rFonts w:ascii="Arial" w:hAnsi="Arial" w:cs="Arial"/>
          <w:color w:val="000000" w:themeColor="text1"/>
          <w:sz w:val="22"/>
          <w:szCs w:val="22"/>
        </w:rPr>
        <w:t>Person-Centred In T</w:t>
      </w:r>
      <w:r w:rsidR="00D56A0E" w:rsidRPr="003F68A6">
        <w:rPr>
          <w:rFonts w:ascii="Arial" w:hAnsi="Arial" w:cs="Arial"/>
          <w:color w:val="000000" w:themeColor="text1"/>
          <w:sz w:val="22"/>
          <w:szCs w:val="22"/>
        </w:rPr>
        <w:t>heory</w:t>
      </w:r>
      <w:bookmarkEnd w:id="1"/>
      <w:r w:rsidR="00D56A0E" w:rsidRPr="003F68A6">
        <w:rPr>
          <w:rFonts w:ascii="Arial" w:hAnsi="Arial" w:cs="Arial"/>
          <w:color w:val="000000" w:themeColor="text1"/>
          <w:sz w:val="22"/>
          <w:szCs w:val="22"/>
        </w:rPr>
        <w:t xml:space="preserve"> </w:t>
      </w:r>
    </w:p>
    <w:p w14:paraId="0D63FE86" w14:textId="77777777" w:rsidR="00D56A0E" w:rsidRPr="003F68A6" w:rsidRDefault="00D56A0E"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The Person-Centred Theory formulated by Carl Rogers offers one of the most significant pillars of person-centred care (PCC), which focuses on the role of empathy, unconditional positive regard, and authenticity in helping relationships. Rogers insists that people have a natural potential to develop and self-determine under the condition of helping them feel safe and respected within a particular environment. These principles are directly transferable to contemporary PCC, in which practitioners seek to learn the lived experience of each individual, meet people without judgement, and form trusting and collaborative relationships where they shar</w:t>
      </w:r>
      <w:r w:rsidR="000E2331" w:rsidRPr="003F68A6">
        <w:rPr>
          <w:rFonts w:ascii="Arial" w:hAnsi="Arial" w:cs="Arial"/>
          <w:color w:val="000000" w:themeColor="text1"/>
          <w:sz w:val="22"/>
          <w:szCs w:val="22"/>
        </w:rPr>
        <w:t xml:space="preserve">e the decision-making </w:t>
      </w:r>
      <w:r w:rsidR="00C615ED" w:rsidRPr="003F68A6">
        <w:rPr>
          <w:rFonts w:ascii="Arial" w:hAnsi="Arial" w:cs="Arial"/>
          <w:color w:val="000000" w:themeColor="text1"/>
          <w:sz w:val="22"/>
          <w:szCs w:val="22"/>
        </w:rPr>
        <w:t>exercise</w:t>
      </w:r>
      <w:r w:rsidR="00C615ED" w:rsidRPr="003F68A6">
        <w:rPr>
          <w:rFonts w:ascii="Arial" w:hAnsi="Arial" w:cs="Arial"/>
          <w:color w:val="000000" w:themeColor="text1"/>
          <w:sz w:val="22"/>
          <w:szCs w:val="22"/>
          <w:lang w:val="en-IN"/>
        </w:rPr>
        <w:t xml:space="preserve"> (</w:t>
      </w:r>
      <w:proofErr w:type="spellStart"/>
      <w:r w:rsidR="00C615ED" w:rsidRPr="003F68A6">
        <w:rPr>
          <w:rFonts w:ascii="Arial" w:hAnsi="Arial" w:cs="Arial"/>
          <w:color w:val="000000" w:themeColor="text1"/>
          <w:sz w:val="22"/>
          <w:szCs w:val="22"/>
          <w:lang w:val="en-IN"/>
        </w:rPr>
        <w:t>Pilnick</w:t>
      </w:r>
      <w:proofErr w:type="spellEnd"/>
      <w:r w:rsidR="00C615ED" w:rsidRPr="003F68A6">
        <w:rPr>
          <w:rFonts w:ascii="Arial" w:hAnsi="Arial" w:cs="Arial"/>
          <w:color w:val="000000" w:themeColor="text1"/>
          <w:sz w:val="22"/>
          <w:szCs w:val="22"/>
          <w:lang w:val="en-IN"/>
        </w:rPr>
        <w:t>, 2022)</w:t>
      </w:r>
      <w:r w:rsidR="000E2331" w:rsidRPr="003F68A6">
        <w:rPr>
          <w:rFonts w:ascii="Arial" w:hAnsi="Arial" w:cs="Arial"/>
          <w:color w:val="000000" w:themeColor="text1"/>
          <w:sz w:val="22"/>
          <w:szCs w:val="22"/>
        </w:rPr>
        <w:t>.</w:t>
      </w:r>
    </w:p>
    <w:p w14:paraId="50280D55" w14:textId="77777777" w:rsidR="00814343" w:rsidRPr="003F68A6" w:rsidRDefault="00D56A0E" w:rsidP="003F68A6">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The advantages of the Rogers theory are reflected in the fact that it is correlated with the holistic and caring care. The interest in the subjective experience of the individual justifies the interventions which are customized and are especially helpful when dealing with mental health, dementia, and long-term conditions. The empathetic focus helps practitioners to appreciate personal definitions, cultural affiliations, and emotional requirements which otherwise would be neglected in task-focused care. Moreover, the unconditional positive regard supports the anti-discriminatory practice and encourages respect regardless of background and behaviour.</w:t>
      </w:r>
      <w:r w:rsidR="00B322AA"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Nevertheless, the theory also has its shortcomings when it is used in the modern health and social care contexts. The model created by Rogers presupposes that the needs of the individual can be properly stated, and it is not always possible with persons with communication disorders, severe cognitive disorders, or acute distress. Although autonomy is the key element of the theory, practitioners have to balance self-determination and the responsibilities, as well as clinical risk management, which leads to ethical tensions. Besides, organisational factors, including limited staffing, large caseload, and institutional demands, might diminish the time and place needed to develop the richness of relationship collegiality of the kind championed by Rogers. Regardless of these issues, the theory is still an important conceptual framework that drives PCC practices and professional values throughout the industry.</w:t>
      </w:r>
    </w:p>
    <w:p w14:paraId="2B9447A1" w14:textId="77777777" w:rsidR="00C20393" w:rsidRPr="003F68A6" w:rsidRDefault="000E2331" w:rsidP="003F68A6">
      <w:pPr>
        <w:pStyle w:val="Nadpis2"/>
        <w:rPr>
          <w:rFonts w:ascii="Arial" w:hAnsi="Arial" w:cs="Arial"/>
          <w:color w:val="000000" w:themeColor="text1"/>
          <w:sz w:val="22"/>
          <w:szCs w:val="22"/>
        </w:rPr>
      </w:pPr>
      <w:bookmarkStart w:id="2" w:name="_Toc214120149"/>
      <w:r w:rsidRPr="003F68A6">
        <w:rPr>
          <w:rFonts w:ascii="Arial" w:hAnsi="Arial" w:cs="Arial"/>
          <w:color w:val="000000" w:themeColor="text1"/>
          <w:sz w:val="22"/>
          <w:szCs w:val="22"/>
        </w:rPr>
        <w:t xml:space="preserve">Ethical Basics </w:t>
      </w:r>
      <w:r w:rsidR="000D0948" w:rsidRPr="003F68A6">
        <w:rPr>
          <w:rFonts w:ascii="Arial" w:hAnsi="Arial" w:cs="Arial"/>
          <w:color w:val="000000" w:themeColor="text1"/>
          <w:sz w:val="22"/>
          <w:szCs w:val="22"/>
        </w:rPr>
        <w:t>in</w:t>
      </w:r>
      <w:r w:rsidRPr="003F68A6">
        <w:rPr>
          <w:rFonts w:ascii="Arial" w:hAnsi="Arial" w:cs="Arial"/>
          <w:color w:val="000000" w:themeColor="text1"/>
          <w:sz w:val="22"/>
          <w:szCs w:val="22"/>
        </w:rPr>
        <w:t xml:space="preserve"> Health </w:t>
      </w:r>
      <w:r w:rsidR="000D0948" w:rsidRPr="003F68A6">
        <w:rPr>
          <w:rFonts w:ascii="Arial" w:hAnsi="Arial" w:cs="Arial"/>
          <w:color w:val="000000" w:themeColor="text1"/>
          <w:sz w:val="22"/>
          <w:szCs w:val="22"/>
        </w:rPr>
        <w:t>and</w:t>
      </w:r>
      <w:r w:rsidRPr="003F68A6">
        <w:rPr>
          <w:rFonts w:ascii="Arial" w:hAnsi="Arial" w:cs="Arial"/>
          <w:color w:val="000000" w:themeColor="text1"/>
          <w:sz w:val="22"/>
          <w:szCs w:val="22"/>
        </w:rPr>
        <w:t xml:space="preserve"> Social C</w:t>
      </w:r>
      <w:r w:rsidR="00814343" w:rsidRPr="003F68A6">
        <w:rPr>
          <w:rFonts w:ascii="Arial" w:hAnsi="Arial" w:cs="Arial"/>
          <w:color w:val="000000" w:themeColor="text1"/>
          <w:sz w:val="22"/>
          <w:szCs w:val="22"/>
        </w:rPr>
        <w:t>are</w:t>
      </w:r>
      <w:bookmarkEnd w:id="2"/>
      <w:r w:rsidR="00814343" w:rsidRPr="003F68A6">
        <w:rPr>
          <w:rFonts w:ascii="Arial" w:hAnsi="Arial" w:cs="Arial"/>
          <w:color w:val="000000" w:themeColor="text1"/>
          <w:sz w:val="22"/>
          <w:szCs w:val="22"/>
        </w:rPr>
        <w:t xml:space="preserve"> </w:t>
      </w:r>
    </w:p>
    <w:p w14:paraId="728CA57B" w14:textId="77777777" w:rsidR="00814343" w:rsidRPr="003F68A6" w:rsidRDefault="000D0948"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The person-centred practice is founded on ethical principles that guide the decision making process to ensure the care given is in a fair, respectful and accountable manner. The ethical concerns that are of importance in the health and social care are autonomy and recognition of the right of each individual to make an informed decision on his or her life and support.</w:t>
      </w:r>
      <w:r w:rsidR="00814343" w:rsidRPr="003F68A6">
        <w:rPr>
          <w:rFonts w:ascii="Arial" w:hAnsi="Arial" w:cs="Arial"/>
          <w:color w:val="000000" w:themeColor="text1"/>
          <w:sz w:val="22"/>
          <w:szCs w:val="22"/>
        </w:rPr>
        <w:t xml:space="preserve"> In PCC, autonomy is not limited on the consent, but it mandates the practitioners to present available information, encourage interpretation, and </w:t>
      </w:r>
      <w:r w:rsidR="008E1425" w:rsidRPr="003F68A6">
        <w:rPr>
          <w:rFonts w:ascii="Arial" w:hAnsi="Arial" w:cs="Arial"/>
          <w:color w:val="000000" w:themeColor="text1"/>
          <w:sz w:val="22"/>
          <w:szCs w:val="22"/>
        </w:rPr>
        <w:t>honour</w:t>
      </w:r>
      <w:r w:rsidR="00814343" w:rsidRPr="003F68A6">
        <w:rPr>
          <w:rFonts w:ascii="Arial" w:hAnsi="Arial" w:cs="Arial"/>
          <w:color w:val="000000" w:themeColor="text1"/>
          <w:sz w:val="22"/>
          <w:szCs w:val="22"/>
        </w:rPr>
        <w:t xml:space="preserve"> culturally informed preferences. Thi</w:t>
      </w:r>
      <w:r w:rsidR="00B335BB" w:rsidRPr="003F68A6">
        <w:rPr>
          <w:rFonts w:ascii="Arial" w:hAnsi="Arial" w:cs="Arial"/>
          <w:color w:val="000000" w:themeColor="text1"/>
          <w:sz w:val="22"/>
          <w:szCs w:val="22"/>
        </w:rPr>
        <w:t>s enhances personal empowerment</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w:t>
      </w:r>
      <w:proofErr w:type="spellStart"/>
      <w:r w:rsidR="00B335BB" w:rsidRPr="003F68A6">
        <w:rPr>
          <w:rFonts w:ascii="Arial" w:hAnsi="Arial" w:cs="Arial"/>
          <w:color w:val="000000" w:themeColor="text1"/>
          <w:sz w:val="22"/>
          <w:szCs w:val="22"/>
          <w:lang w:val="en-IN"/>
        </w:rPr>
        <w:t>Moriña</w:t>
      </w:r>
      <w:proofErr w:type="spellEnd"/>
      <w:r w:rsidR="00B335BB" w:rsidRPr="003F68A6">
        <w:rPr>
          <w:rFonts w:ascii="Arial" w:hAnsi="Arial" w:cs="Arial"/>
          <w:color w:val="000000" w:themeColor="text1"/>
          <w:sz w:val="22"/>
          <w:szCs w:val="22"/>
          <w:lang w:val="en-IN"/>
        </w:rPr>
        <w:t>, 2020).</w:t>
      </w:r>
    </w:p>
    <w:p w14:paraId="18B55027" w14:textId="77777777" w:rsidR="00814343" w:rsidRPr="003F68A6" w:rsidRDefault="000D0948" w:rsidP="003F68A6">
      <w:pPr>
        <w:spacing w:line="360" w:lineRule="auto"/>
        <w:ind w:firstLine="720"/>
        <w:jc w:val="both"/>
        <w:rPr>
          <w:rFonts w:ascii="Arial" w:hAnsi="Arial" w:cs="Arial"/>
          <w:color w:val="000000" w:themeColor="text1"/>
          <w:sz w:val="22"/>
          <w:szCs w:val="22"/>
          <w:lang w:val="en-IN"/>
        </w:rPr>
      </w:pPr>
      <w:r w:rsidRPr="003F68A6">
        <w:rPr>
          <w:rFonts w:ascii="Arial" w:hAnsi="Arial" w:cs="Arial"/>
          <w:color w:val="000000" w:themeColor="text1"/>
          <w:sz w:val="22"/>
          <w:szCs w:val="22"/>
        </w:rPr>
        <w:t>This can also be applied to beneficence and non-maleficence, in which the practitioners will be required to offer their acts in the best interest of the person without engaging in acts that can cause harm.</w:t>
      </w:r>
      <w:r w:rsidR="00814343" w:rsidRPr="003F68A6">
        <w:rPr>
          <w:rFonts w:ascii="Arial" w:hAnsi="Arial" w:cs="Arial"/>
          <w:color w:val="000000" w:themeColor="text1"/>
          <w:sz w:val="22"/>
          <w:szCs w:val="22"/>
        </w:rPr>
        <w:t xml:space="preserve"> PCC realizes these principles through ensuring that the interventions that are promoted are not only clinically appropriate but also meaningful and acceptable to the individual. Nonetheless, ethical issues usually arise when service users communicate decisions that are incompatible with safety measures or professional beliefs. The practitioners are then faced with the challenge of balancing between autonomy an</w:t>
      </w:r>
      <w:r w:rsidR="00883A2A" w:rsidRPr="003F68A6">
        <w:rPr>
          <w:rFonts w:ascii="Arial" w:hAnsi="Arial" w:cs="Arial"/>
          <w:color w:val="000000" w:themeColor="text1"/>
          <w:sz w:val="22"/>
          <w:szCs w:val="22"/>
        </w:rPr>
        <w:t xml:space="preserve">d safeguarding duties </w:t>
      </w:r>
      <w:r w:rsidR="00C615ED" w:rsidRPr="003F68A6">
        <w:rPr>
          <w:rFonts w:ascii="Arial" w:hAnsi="Arial" w:cs="Arial"/>
          <w:color w:val="000000" w:themeColor="text1"/>
          <w:sz w:val="22"/>
          <w:szCs w:val="22"/>
          <w:lang w:val="en-IN"/>
        </w:rPr>
        <w:t>(Masterson et al., 2022).</w:t>
      </w:r>
      <w:r w:rsidR="00C20393" w:rsidRPr="003F68A6">
        <w:rPr>
          <w:rFonts w:ascii="Arial" w:hAnsi="Arial" w:cs="Arial"/>
          <w:color w:val="000000" w:themeColor="text1"/>
          <w:sz w:val="22"/>
          <w:szCs w:val="22"/>
        </w:rPr>
        <w:t xml:space="preserve"> J</w:t>
      </w:r>
      <w:r w:rsidR="00814343" w:rsidRPr="003F68A6">
        <w:rPr>
          <w:rFonts w:ascii="Arial" w:hAnsi="Arial" w:cs="Arial"/>
          <w:color w:val="000000" w:themeColor="text1"/>
          <w:sz w:val="22"/>
          <w:szCs w:val="22"/>
        </w:rPr>
        <w:t>ustice is the moral imperative to fairly treat everyone and even enable equal access to care. PCC promotes justice by encouraging individualised solutions that can meet variations of social, cultural and economic conditions. However, across the board inequalities, including differences in local funding, staffing, and hindrances to marginalised groups, can res</w:t>
      </w:r>
      <w:r w:rsidR="008E1425" w:rsidRPr="003F68A6">
        <w:rPr>
          <w:rFonts w:ascii="Arial" w:hAnsi="Arial" w:cs="Arial"/>
          <w:color w:val="000000" w:themeColor="text1"/>
          <w:sz w:val="22"/>
          <w:szCs w:val="22"/>
        </w:rPr>
        <w:t>train uniform ethical pract</w:t>
      </w:r>
      <w:r w:rsidR="00B335BB" w:rsidRPr="003F68A6">
        <w:rPr>
          <w:rFonts w:ascii="Arial" w:hAnsi="Arial" w:cs="Arial"/>
          <w:color w:val="000000" w:themeColor="text1"/>
          <w:sz w:val="22"/>
          <w:szCs w:val="22"/>
        </w:rPr>
        <w:t>ice</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w:t>
      </w:r>
      <w:proofErr w:type="spellStart"/>
      <w:r w:rsidR="00B335BB" w:rsidRPr="003F68A6">
        <w:rPr>
          <w:rFonts w:ascii="Arial" w:hAnsi="Arial" w:cs="Arial"/>
          <w:color w:val="000000" w:themeColor="text1"/>
          <w:sz w:val="22"/>
          <w:szCs w:val="22"/>
          <w:lang w:val="en-IN"/>
        </w:rPr>
        <w:t>Liwanag</w:t>
      </w:r>
      <w:proofErr w:type="spellEnd"/>
      <w:r w:rsidR="00B335BB" w:rsidRPr="003F68A6">
        <w:rPr>
          <w:rFonts w:ascii="Arial" w:hAnsi="Arial" w:cs="Arial"/>
          <w:color w:val="000000" w:themeColor="text1"/>
          <w:sz w:val="22"/>
          <w:szCs w:val="22"/>
          <w:lang w:val="en-IN"/>
        </w:rPr>
        <w:t xml:space="preserve">, James and </w:t>
      </w:r>
      <w:proofErr w:type="spellStart"/>
      <w:r w:rsidR="00B335BB" w:rsidRPr="003F68A6">
        <w:rPr>
          <w:rFonts w:ascii="Arial" w:hAnsi="Arial" w:cs="Arial"/>
          <w:color w:val="000000" w:themeColor="text1"/>
          <w:sz w:val="22"/>
          <w:szCs w:val="22"/>
          <w:lang w:val="en-IN"/>
        </w:rPr>
        <w:t>Frahsa</w:t>
      </w:r>
      <w:proofErr w:type="spellEnd"/>
      <w:r w:rsidR="00B335BB" w:rsidRPr="003F68A6">
        <w:rPr>
          <w:rFonts w:ascii="Arial" w:hAnsi="Arial" w:cs="Arial"/>
          <w:color w:val="000000" w:themeColor="text1"/>
          <w:sz w:val="22"/>
          <w:szCs w:val="22"/>
          <w:lang w:val="en-IN"/>
        </w:rPr>
        <w:t>, 2023).</w:t>
      </w:r>
    </w:p>
    <w:p w14:paraId="7ED0B45E" w14:textId="77777777" w:rsidR="00C3515F" w:rsidRPr="003F68A6" w:rsidRDefault="00814343" w:rsidP="003F68A6">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There are also fundamental ethical requirements of confidentiality and privacy. With integrated and partnership-based settings, practitioners should exercise great caution when sharing information to avoid infringing privacy and offer safe care that is coordinated. Altogether, ethical principles can guarantee responsible practice of PCC, individual right protection, and promote high levels of professionalism.</w:t>
      </w:r>
    </w:p>
    <w:p w14:paraId="27A46FF0" w14:textId="77777777" w:rsidR="00C3515F" w:rsidRPr="003F68A6" w:rsidRDefault="00C3515F" w:rsidP="003F68A6">
      <w:pPr>
        <w:pStyle w:val="Nadpis2"/>
        <w:rPr>
          <w:rFonts w:ascii="Arial" w:hAnsi="Arial" w:cs="Arial"/>
          <w:color w:val="000000" w:themeColor="text1"/>
          <w:sz w:val="22"/>
          <w:szCs w:val="22"/>
        </w:rPr>
      </w:pPr>
      <w:bookmarkStart w:id="3" w:name="_Toc214120150"/>
      <w:r w:rsidRPr="003F68A6">
        <w:rPr>
          <w:rFonts w:ascii="Arial" w:hAnsi="Arial" w:cs="Arial"/>
          <w:color w:val="000000" w:themeColor="text1"/>
          <w:sz w:val="22"/>
          <w:szCs w:val="22"/>
        </w:rPr>
        <w:t xml:space="preserve">Partnership Working </w:t>
      </w:r>
      <w:r w:rsidR="00C20393" w:rsidRPr="003F68A6">
        <w:rPr>
          <w:rFonts w:ascii="Arial" w:hAnsi="Arial" w:cs="Arial"/>
          <w:color w:val="000000" w:themeColor="text1"/>
          <w:sz w:val="22"/>
          <w:szCs w:val="22"/>
        </w:rPr>
        <w:t>Evaluation</w:t>
      </w:r>
      <w:bookmarkEnd w:id="3"/>
    </w:p>
    <w:p w14:paraId="6A671257" w14:textId="77777777" w:rsidR="00C3515F" w:rsidRPr="003F68A6" w:rsidRDefault="00C3515F"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Partnership working (PW) can be described as the integrated and effective coordination of professionals, agencies, service users and informal carers aimed at delivering integrated care. It is indicative of the realisation that the multidimensional health and social requirements cannot be addressed by one organisation or discipline. PW demands the existence of common objectives, clear communication, respect to each other, and a common commitment to produce holistic support. PW, when appropriately adopted, improves the quality and continuity of care, decreases fragmentation of service, and improves coordinated responses especially with individuals having chron</w:t>
      </w:r>
      <w:r w:rsidR="00B335BB" w:rsidRPr="003F68A6">
        <w:rPr>
          <w:rFonts w:ascii="Arial" w:hAnsi="Arial" w:cs="Arial"/>
          <w:color w:val="000000" w:themeColor="text1"/>
          <w:sz w:val="22"/>
          <w:szCs w:val="22"/>
        </w:rPr>
        <w:t>ic, complex, or multiple needs</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 xml:space="preserve">(Durand, </w:t>
      </w:r>
      <w:proofErr w:type="spellStart"/>
      <w:r w:rsidR="00B335BB" w:rsidRPr="003F68A6">
        <w:rPr>
          <w:rFonts w:ascii="Arial" w:hAnsi="Arial" w:cs="Arial"/>
          <w:color w:val="000000" w:themeColor="text1"/>
          <w:sz w:val="22"/>
          <w:szCs w:val="22"/>
          <w:lang w:val="en-IN"/>
        </w:rPr>
        <w:t>Wistow</w:t>
      </w:r>
      <w:proofErr w:type="spellEnd"/>
      <w:r w:rsidR="00B335BB" w:rsidRPr="003F68A6">
        <w:rPr>
          <w:rFonts w:ascii="Arial" w:hAnsi="Arial" w:cs="Arial"/>
          <w:color w:val="000000" w:themeColor="text1"/>
          <w:sz w:val="22"/>
          <w:szCs w:val="22"/>
          <w:lang w:val="en-IN"/>
        </w:rPr>
        <w:t xml:space="preserve"> and Mays, 2025).</w:t>
      </w:r>
      <w:r w:rsidR="000D0948" w:rsidRPr="003F68A6">
        <w:rPr>
          <w:rFonts w:ascii="Arial" w:hAnsi="Arial" w:cs="Arial"/>
          <w:color w:val="000000" w:themeColor="text1"/>
          <w:sz w:val="22"/>
          <w:szCs w:val="22"/>
        </w:rPr>
        <w:t xml:space="preserve">PW is very beneficial in health and social care environment. Jurisdiction between the agencies can provide more comprehensive assessment, as the different expertise can collaborate, and the duplication of efforts and facilitation of the transition between the services will reduce. PW establishes a perception of security, empowerment and expanded care planning to service users. It also </w:t>
      </w:r>
      <w:r w:rsidRPr="003F68A6">
        <w:rPr>
          <w:rFonts w:ascii="Arial" w:hAnsi="Arial" w:cs="Arial"/>
          <w:color w:val="000000" w:themeColor="text1"/>
          <w:sz w:val="22"/>
          <w:szCs w:val="22"/>
        </w:rPr>
        <w:t>promotes shared learning, innovation, and better professional relationships within the workforce that enhances more efficient and responsive services.</w:t>
      </w:r>
      <w:r w:rsidR="00C20393"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In</w:t>
      </w:r>
      <w:r w:rsidR="00C20393"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as</w:t>
      </w:r>
      <w:r w:rsidR="00C20393"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 xml:space="preserve">much as these benefits exist, there are practical and organisational challenges associated with PW. The lack of mutual understanding or power inequality may occur due to the dissimilarity in professional cultures, priorities, and terminologies, which will cause ineffective collaboration. Lack of information sharing- due to the inability of the systems to interact or a need of secrecy or a slow response time- may result in clinical care gaps. Lack of time and growing cases workloads minimise the chances of team meetings or joint decision-making. Also, structural limitations like inequitable financing, absence of collective leadership and inconsistency of policy execution may limit the performance of PW. These issues indicate that though PW is critical in contemporary care, it needs effective leadership, commitment to team building, and enabling organisational frameworks </w:t>
      </w:r>
      <w:r w:rsidR="00C615ED" w:rsidRPr="003F68A6">
        <w:rPr>
          <w:rFonts w:ascii="Arial" w:hAnsi="Arial" w:cs="Arial"/>
          <w:color w:val="000000" w:themeColor="text1"/>
          <w:sz w:val="22"/>
          <w:szCs w:val="22"/>
        </w:rPr>
        <w:t>to be sustainable and efficient</w:t>
      </w:r>
      <w:r w:rsidR="00C615ED" w:rsidRPr="003F68A6">
        <w:rPr>
          <w:rFonts w:ascii="Arial" w:hAnsi="Arial" w:cs="Arial"/>
          <w:sz w:val="22"/>
          <w:szCs w:val="22"/>
          <w:lang w:val="en-IN" w:eastAsia="en-IN"/>
        </w:rPr>
        <w:t xml:space="preserve"> </w:t>
      </w:r>
      <w:r w:rsidR="00C615ED" w:rsidRPr="003F68A6">
        <w:rPr>
          <w:rFonts w:ascii="Arial" w:hAnsi="Arial" w:cs="Arial"/>
          <w:color w:val="000000" w:themeColor="text1"/>
          <w:sz w:val="22"/>
          <w:szCs w:val="22"/>
          <w:lang w:val="en-IN"/>
        </w:rPr>
        <w:t>(</w:t>
      </w:r>
      <w:proofErr w:type="spellStart"/>
      <w:r w:rsidR="00C615ED" w:rsidRPr="003F68A6">
        <w:rPr>
          <w:rFonts w:ascii="Arial" w:hAnsi="Arial" w:cs="Arial"/>
          <w:color w:val="000000" w:themeColor="text1"/>
          <w:sz w:val="22"/>
          <w:szCs w:val="22"/>
          <w:lang w:val="en-IN"/>
        </w:rPr>
        <w:t>Fynn</w:t>
      </w:r>
      <w:proofErr w:type="spellEnd"/>
      <w:r w:rsidR="00C615ED" w:rsidRPr="003F68A6">
        <w:rPr>
          <w:rFonts w:ascii="Arial" w:hAnsi="Arial" w:cs="Arial"/>
          <w:color w:val="000000" w:themeColor="text1"/>
          <w:sz w:val="22"/>
          <w:szCs w:val="22"/>
          <w:lang w:val="en-IN"/>
        </w:rPr>
        <w:t xml:space="preserve"> et al., 2022).</w:t>
      </w:r>
    </w:p>
    <w:p w14:paraId="0F3790BD" w14:textId="77777777" w:rsidR="000E2331" w:rsidRPr="003F68A6" w:rsidRDefault="000E2331" w:rsidP="003F68A6">
      <w:pPr>
        <w:pStyle w:val="Nadpis2"/>
        <w:rPr>
          <w:rFonts w:ascii="Arial" w:hAnsi="Arial" w:cs="Arial"/>
          <w:color w:val="000000" w:themeColor="text1"/>
          <w:sz w:val="22"/>
          <w:szCs w:val="22"/>
        </w:rPr>
      </w:pPr>
      <w:bookmarkStart w:id="4" w:name="_Toc214120151"/>
      <w:r w:rsidRPr="003F68A6">
        <w:rPr>
          <w:rFonts w:ascii="Arial" w:hAnsi="Arial" w:cs="Arial"/>
          <w:color w:val="000000" w:themeColor="text1"/>
          <w:sz w:val="22"/>
          <w:szCs w:val="22"/>
        </w:rPr>
        <w:t>Partnership Working In Practical Setting</w:t>
      </w:r>
      <w:bookmarkEnd w:id="4"/>
    </w:p>
    <w:p w14:paraId="61B8632C" w14:textId="77777777" w:rsidR="00C3515F" w:rsidRPr="003F68A6" w:rsidRDefault="00C3515F" w:rsidP="003F68A6">
      <w:pPr>
        <w:spacing w:line="360" w:lineRule="auto"/>
        <w:ind w:firstLine="576"/>
        <w:jc w:val="both"/>
        <w:rPr>
          <w:rFonts w:ascii="Arial" w:hAnsi="Arial" w:cs="Arial"/>
          <w:color w:val="000000" w:themeColor="text1"/>
          <w:sz w:val="22"/>
          <w:szCs w:val="22"/>
          <w:lang w:val="en-IN"/>
        </w:rPr>
      </w:pPr>
      <w:r w:rsidRPr="003F68A6">
        <w:rPr>
          <w:rFonts w:ascii="Arial" w:hAnsi="Arial" w:cs="Arial"/>
          <w:color w:val="000000" w:themeColor="text1"/>
          <w:sz w:val="22"/>
          <w:szCs w:val="22"/>
        </w:rPr>
        <w:t>Hospital discharge setting provides a vivid illustration of how the partnership working (PW) works in practice and why it is necessary to provide effective person-centred care. There needs to be involvement of several professionals to make discharge safe, involving nurses, doctors, physiotherapists, occupational therapists, social workers, discharge coordinators, and community or voluntary-sector services. All professionals bring specialised knowledge that could assist in making a holistic evaluation of the health of the individual, their functional capabilities, social environment and support needs of the individual. PW is able to make sure that such varied points of view are combined in a way that will allow a comprehensive approach to the planning of safe transition between hospital and home or o</w:t>
      </w:r>
      <w:r w:rsidR="00B335BB" w:rsidRPr="003F68A6">
        <w:rPr>
          <w:rFonts w:ascii="Arial" w:hAnsi="Arial" w:cs="Arial"/>
          <w:color w:val="000000" w:themeColor="text1"/>
          <w:sz w:val="22"/>
          <w:szCs w:val="22"/>
        </w:rPr>
        <w:t>ther type of caring environment</w:t>
      </w:r>
      <w:r w:rsidR="00B335BB" w:rsidRPr="003F68A6">
        <w:rPr>
          <w:rFonts w:ascii="Arial" w:hAnsi="Arial" w:cs="Arial"/>
          <w:sz w:val="22"/>
          <w:szCs w:val="22"/>
          <w:lang w:val="en-IN" w:eastAsia="en-IN"/>
        </w:rPr>
        <w:t xml:space="preserve"> </w:t>
      </w:r>
      <w:r w:rsidR="00B335BB" w:rsidRPr="003F68A6">
        <w:rPr>
          <w:rFonts w:ascii="Arial" w:hAnsi="Arial" w:cs="Arial"/>
          <w:color w:val="000000" w:themeColor="text1"/>
          <w:sz w:val="22"/>
          <w:szCs w:val="22"/>
          <w:lang w:val="en-IN"/>
        </w:rPr>
        <w:t>(Eaton et al., 2021)</w:t>
      </w:r>
    </w:p>
    <w:p w14:paraId="79C177E1" w14:textId="77777777" w:rsidR="00C3515F" w:rsidRPr="003F68A6" w:rsidRDefault="00C3515F" w:rsidP="003F68A6">
      <w:pPr>
        <w:spacing w:line="360" w:lineRule="auto"/>
        <w:ind w:firstLine="720"/>
        <w:jc w:val="both"/>
        <w:rPr>
          <w:rFonts w:ascii="Arial" w:hAnsi="Arial" w:cs="Arial"/>
          <w:color w:val="000000" w:themeColor="text1"/>
          <w:sz w:val="22"/>
          <w:szCs w:val="22"/>
        </w:rPr>
      </w:pPr>
      <w:r w:rsidRPr="003F68A6">
        <w:rPr>
          <w:rFonts w:ascii="Arial" w:hAnsi="Arial" w:cs="Arial"/>
          <w:color w:val="000000" w:themeColor="text1"/>
          <w:sz w:val="22"/>
          <w:szCs w:val="22"/>
        </w:rPr>
        <w:t>PW and discharge planning will encourage shortening of delays, avoiding unnecessary readmissions, and continuity of care. Inter-disciplinary negotiations allow the teams to make coordination of treatment plans, find equipment or home modifications, plan community support or include families or those in charge to make decisions. This interdisciplinary method is also similar to person-centred philosophy because the choices, interests, and situations of the individual are the ones that inform the discharge plan.</w:t>
      </w:r>
    </w:p>
    <w:p w14:paraId="0E20FE55" w14:textId="77777777" w:rsidR="00C20393" w:rsidRPr="003F68A6" w:rsidRDefault="00C3515F" w:rsidP="003F68A6">
      <w:pPr>
        <w:spacing w:line="360" w:lineRule="auto"/>
        <w:ind w:firstLine="720"/>
        <w:jc w:val="both"/>
        <w:rPr>
          <w:rFonts w:ascii="Arial" w:hAnsi="Arial" w:cs="Arial"/>
          <w:color w:val="000000" w:themeColor="text1"/>
          <w:sz w:val="22"/>
          <w:szCs w:val="22"/>
          <w:lang w:val="en-IN"/>
        </w:rPr>
      </w:pPr>
      <w:r w:rsidRPr="003F68A6">
        <w:rPr>
          <w:rFonts w:ascii="Arial" w:hAnsi="Arial" w:cs="Arial"/>
          <w:color w:val="000000" w:themeColor="text1"/>
          <w:sz w:val="22"/>
          <w:szCs w:val="22"/>
        </w:rPr>
        <w:t>Nevertheless, there are major obstacles that may be encountered in partnership in the discharge environment. The staffing pressure and high patient turnover may not provide time to conduct meaningf</w:t>
      </w:r>
      <w:r w:rsidR="00C615ED" w:rsidRPr="003F68A6">
        <w:rPr>
          <w:rFonts w:ascii="Arial" w:hAnsi="Arial" w:cs="Arial"/>
          <w:color w:val="000000" w:themeColor="text1"/>
          <w:sz w:val="22"/>
          <w:szCs w:val="22"/>
        </w:rPr>
        <w:t>ul multi-disciplinary meetings</w:t>
      </w:r>
      <w:r w:rsidR="00C615ED" w:rsidRPr="003F68A6">
        <w:rPr>
          <w:rFonts w:ascii="Arial" w:hAnsi="Arial" w:cs="Arial"/>
          <w:sz w:val="22"/>
          <w:szCs w:val="22"/>
          <w:lang w:val="en-IN" w:eastAsia="en-IN"/>
        </w:rPr>
        <w:t xml:space="preserve"> </w:t>
      </w:r>
      <w:r w:rsidR="00C615ED" w:rsidRPr="003F68A6">
        <w:rPr>
          <w:rFonts w:ascii="Arial" w:hAnsi="Arial" w:cs="Arial"/>
          <w:color w:val="000000" w:themeColor="text1"/>
          <w:sz w:val="22"/>
          <w:szCs w:val="22"/>
          <w:lang w:val="en-IN"/>
        </w:rPr>
        <w:t>(Usc.edu.au, 2025).</w:t>
      </w:r>
      <w:r w:rsidR="00C615ED"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The gaps or duplication in assessments may be caused by information-sharing issues, including inconsistent documentation or IT systems incompatibility. The variation in professional priorities can also bring unwanted tension, e.g. clinical teams can have medical preparedness to leave care as a priority, whereas social care teams can have long-term safety and support needs as their priority. Besides, the lack of community services can slow down the discharge even after the rigorous collaboration of teams. These issues show that as much as PW is key to safe discharge, good communication systems, shared leadership, and sufficient resources are required to make the practice regular.</w:t>
      </w:r>
    </w:p>
    <w:p w14:paraId="22C9C5A4" w14:textId="77777777" w:rsidR="00C20393" w:rsidRPr="003F68A6" w:rsidRDefault="00C20393" w:rsidP="003F68A6">
      <w:pPr>
        <w:pStyle w:val="Nadpis2"/>
        <w:numPr>
          <w:ilvl w:val="0"/>
          <w:numId w:val="0"/>
        </w:numPr>
        <w:ind w:left="576" w:hanging="576"/>
        <w:rPr>
          <w:rFonts w:ascii="Arial" w:hAnsi="Arial" w:cs="Arial"/>
          <w:color w:val="000000" w:themeColor="text1"/>
          <w:sz w:val="22"/>
          <w:szCs w:val="22"/>
        </w:rPr>
      </w:pPr>
      <w:bookmarkStart w:id="5" w:name="_Toc214120152"/>
      <w:r w:rsidRPr="003F68A6">
        <w:rPr>
          <w:rFonts w:ascii="Arial" w:hAnsi="Arial" w:cs="Arial"/>
          <w:color w:val="000000" w:themeColor="text1"/>
          <w:sz w:val="22"/>
          <w:szCs w:val="22"/>
        </w:rPr>
        <w:t>PCC and PW P</w:t>
      </w:r>
      <w:r w:rsidR="000E2331" w:rsidRPr="003F68A6">
        <w:rPr>
          <w:rFonts w:ascii="Arial" w:hAnsi="Arial" w:cs="Arial"/>
          <w:color w:val="000000" w:themeColor="text1"/>
          <w:sz w:val="22"/>
          <w:szCs w:val="22"/>
        </w:rPr>
        <w:t>olicy and</w:t>
      </w:r>
      <w:r w:rsidRPr="003F68A6">
        <w:rPr>
          <w:rFonts w:ascii="Arial" w:hAnsi="Arial" w:cs="Arial"/>
          <w:color w:val="000000" w:themeColor="text1"/>
          <w:sz w:val="22"/>
          <w:szCs w:val="22"/>
        </w:rPr>
        <w:t xml:space="preserve"> Legislation Support</w:t>
      </w:r>
      <w:bookmarkEnd w:id="5"/>
    </w:p>
    <w:p w14:paraId="31AFF859" w14:textId="77777777" w:rsidR="00C20393" w:rsidRPr="003F68A6" w:rsidRDefault="00C20393" w:rsidP="003F68A6">
      <w:pPr>
        <w:spacing w:line="360" w:lineRule="auto"/>
        <w:jc w:val="both"/>
        <w:rPr>
          <w:rFonts w:ascii="Arial" w:hAnsi="Arial" w:cs="Arial"/>
          <w:color w:val="000000" w:themeColor="text1"/>
          <w:sz w:val="22"/>
          <w:szCs w:val="22"/>
        </w:rPr>
      </w:pPr>
      <w:r w:rsidRPr="003F68A6">
        <w:rPr>
          <w:rFonts w:ascii="Arial" w:hAnsi="Arial" w:cs="Arial"/>
          <w:color w:val="000000" w:themeColor="text1"/>
          <w:sz w:val="22"/>
          <w:szCs w:val="22"/>
        </w:rPr>
        <w:t>The UK policy and legislation are very favourable to the introduction of person-centred care (PCC) and partnership working (PW), making these two concepts the fundamental expectations of the modern health and social care. The Health and Social Care Act 2012 provided a common law foundation to the concept of integrated working which focuses on the joint working of NHS bodies, local authorities and external partners. The Act helps to encourage patient choice and accountability and services coordination with a goal to lessen fragmentation and enhance outcomes</w:t>
      </w:r>
      <w:r w:rsidR="008E1425" w:rsidRPr="003F68A6">
        <w:rPr>
          <w:rFonts w:ascii="Arial" w:hAnsi="Arial" w:cs="Arial"/>
          <w:color w:val="000000" w:themeColor="text1"/>
          <w:sz w:val="22"/>
          <w:szCs w:val="22"/>
        </w:rPr>
        <w:t xml:space="preserve"> </w:t>
      </w:r>
      <w:r w:rsidRPr="003F68A6">
        <w:rPr>
          <w:rFonts w:ascii="Arial" w:hAnsi="Arial" w:cs="Arial"/>
          <w:color w:val="000000" w:themeColor="text1"/>
          <w:sz w:val="22"/>
          <w:szCs w:val="22"/>
        </w:rPr>
        <w:t>.PCC is further strengthened by the Care Act 2014 which makes wellbeing, choice, and personalisation at the heart of adult social care. It describes the role of local authorities in collaborating with individuals, carers, families and external agencies, which is a clear indication of multi-agency collaboration, prevention and empowerment</w:t>
      </w:r>
      <w:r w:rsidR="006953FA" w:rsidRPr="003F68A6">
        <w:rPr>
          <w:rFonts w:ascii="Arial" w:hAnsi="Arial" w:cs="Arial"/>
          <w:color w:val="000000" w:themeColor="text1"/>
          <w:sz w:val="22"/>
          <w:szCs w:val="22"/>
        </w:rPr>
        <w:t>. The NHS Long Term Plan,</w:t>
      </w:r>
      <w:r w:rsidRPr="003F68A6">
        <w:rPr>
          <w:rFonts w:ascii="Arial" w:hAnsi="Arial" w:cs="Arial"/>
          <w:color w:val="000000" w:themeColor="text1"/>
          <w:sz w:val="22"/>
          <w:szCs w:val="22"/>
        </w:rPr>
        <w:t xml:space="preserve"> in its turn, reinforces the move toward the focus on personalised care by providing support to such initiatives as shared decision-making, personalised care budgets, or the creation of Integrated Care Systems (ICS) that will elim</w:t>
      </w:r>
      <w:r w:rsidR="008E1425" w:rsidRPr="003F68A6">
        <w:rPr>
          <w:rFonts w:ascii="Arial" w:hAnsi="Arial" w:cs="Arial"/>
          <w:color w:val="000000" w:themeColor="text1"/>
          <w:sz w:val="22"/>
          <w:szCs w:val="22"/>
        </w:rPr>
        <w:t>inate the organisational silos.</w:t>
      </w:r>
    </w:p>
    <w:p w14:paraId="46D74B05" w14:textId="77777777" w:rsidR="00C20393" w:rsidRPr="003F68A6" w:rsidRDefault="00C20393" w:rsidP="003F68A6">
      <w:pPr>
        <w:spacing w:line="360" w:lineRule="auto"/>
        <w:ind w:firstLine="720"/>
        <w:jc w:val="both"/>
        <w:rPr>
          <w:rFonts w:ascii="Arial" w:hAnsi="Arial" w:cs="Arial"/>
          <w:color w:val="000000" w:themeColor="text1"/>
          <w:sz w:val="22"/>
          <w:szCs w:val="22"/>
          <w:lang w:val="en-IN"/>
        </w:rPr>
      </w:pPr>
      <w:r w:rsidRPr="003F68A6">
        <w:rPr>
          <w:rFonts w:ascii="Arial" w:hAnsi="Arial" w:cs="Arial"/>
          <w:color w:val="000000" w:themeColor="text1"/>
          <w:sz w:val="22"/>
          <w:szCs w:val="22"/>
        </w:rPr>
        <w:t xml:space="preserve">Other frameworks: safeguarding legislation, equality and human rights norms, data-sharing policies are the additional frameworks that influence ethical and lawful practice so that PCC and PW can be provided with fairness, transparency, and </w:t>
      </w:r>
      <w:r w:rsidR="006953FA" w:rsidRPr="003F68A6">
        <w:rPr>
          <w:rFonts w:ascii="Arial" w:hAnsi="Arial" w:cs="Arial"/>
          <w:color w:val="000000" w:themeColor="text1"/>
          <w:sz w:val="22"/>
          <w:szCs w:val="22"/>
        </w:rPr>
        <w:t>accountability</w:t>
      </w:r>
      <w:r w:rsidR="006953FA" w:rsidRPr="003F68A6">
        <w:rPr>
          <w:rFonts w:ascii="Arial" w:hAnsi="Arial" w:cs="Arial"/>
          <w:color w:val="000000" w:themeColor="text1"/>
          <w:sz w:val="22"/>
          <w:szCs w:val="22"/>
          <w:lang w:val="en-IN"/>
        </w:rPr>
        <w:t xml:space="preserve"> (Moore et al., 2021)</w:t>
      </w:r>
      <w:r w:rsidRPr="003F68A6">
        <w:rPr>
          <w:rFonts w:ascii="Arial" w:hAnsi="Arial" w:cs="Arial"/>
          <w:color w:val="000000" w:themeColor="text1"/>
          <w:sz w:val="22"/>
          <w:szCs w:val="22"/>
        </w:rPr>
        <w:t>. Taken together, these policies present a solid base on which PCC and PW are based; nonetheless, the implementation may vary depending on resource availability, as well as structural variations across regions.</w:t>
      </w:r>
    </w:p>
    <w:p w14:paraId="4C65CCBE" w14:textId="77777777" w:rsidR="00C20393" w:rsidRPr="003F68A6" w:rsidRDefault="00C20393" w:rsidP="003F68A6">
      <w:pPr>
        <w:pStyle w:val="Nadpis2"/>
        <w:rPr>
          <w:rFonts w:ascii="Arial" w:hAnsi="Arial" w:cs="Arial"/>
          <w:color w:val="000000" w:themeColor="text1"/>
          <w:sz w:val="22"/>
          <w:szCs w:val="22"/>
        </w:rPr>
      </w:pPr>
      <w:bookmarkStart w:id="6" w:name="_Toc214120153"/>
      <w:r w:rsidRPr="003F68A6">
        <w:rPr>
          <w:rFonts w:ascii="Arial" w:hAnsi="Arial" w:cs="Arial"/>
          <w:color w:val="000000" w:themeColor="text1"/>
          <w:sz w:val="22"/>
          <w:szCs w:val="22"/>
        </w:rPr>
        <w:t>Recommendations for Future Development</w:t>
      </w:r>
      <w:bookmarkEnd w:id="6"/>
    </w:p>
    <w:p w14:paraId="786C6B43" w14:textId="77777777" w:rsidR="000E2331" w:rsidRPr="003F68A6" w:rsidRDefault="00C20393" w:rsidP="003F68A6">
      <w:pPr>
        <w:spacing w:line="360" w:lineRule="auto"/>
        <w:jc w:val="both"/>
        <w:rPr>
          <w:rFonts w:ascii="Arial" w:hAnsi="Arial" w:cs="Arial"/>
          <w:color w:val="000000" w:themeColor="text1"/>
          <w:sz w:val="22"/>
          <w:szCs w:val="22"/>
          <w:lang w:val="en-IN"/>
        </w:rPr>
      </w:pPr>
      <w:r w:rsidRPr="003F68A6">
        <w:rPr>
          <w:rFonts w:ascii="Arial" w:hAnsi="Arial" w:cs="Arial"/>
          <w:color w:val="000000" w:themeColor="text1"/>
          <w:sz w:val="22"/>
          <w:szCs w:val="22"/>
        </w:rPr>
        <w:t>There are some practice, workforce, and organisational systems improvements that are necessary to enhance the adoption of person-centred care (PCC) and partnership working (PW). To begin with, it is vital to invest in the continual professional growth in order to become more competent in communication, cultural competence, shared decision-making, and ethical reasoning. Systematic education would help the practitioners to manage more complicated care cases and r</w:t>
      </w:r>
      <w:r w:rsidR="006953FA" w:rsidRPr="003F68A6">
        <w:rPr>
          <w:rFonts w:ascii="Arial" w:hAnsi="Arial" w:cs="Arial"/>
          <w:color w:val="000000" w:themeColor="text1"/>
          <w:sz w:val="22"/>
          <w:szCs w:val="22"/>
        </w:rPr>
        <w:t>eact more to the specific needs</w:t>
      </w:r>
      <w:r w:rsidRPr="003F68A6">
        <w:rPr>
          <w:rFonts w:ascii="Arial" w:hAnsi="Arial" w:cs="Arial"/>
          <w:color w:val="000000" w:themeColor="text1"/>
          <w:sz w:val="22"/>
          <w:szCs w:val="22"/>
        </w:rPr>
        <w:t xml:space="preserve"> </w:t>
      </w:r>
      <w:r w:rsidR="006953FA" w:rsidRPr="003F68A6">
        <w:rPr>
          <w:rFonts w:ascii="Arial" w:hAnsi="Arial" w:cs="Arial"/>
          <w:color w:val="000000" w:themeColor="text1"/>
          <w:sz w:val="22"/>
          <w:szCs w:val="22"/>
          <w:lang w:val="en-IN"/>
        </w:rPr>
        <w:t xml:space="preserve">(Docherty and Richard, 2022). </w:t>
      </w:r>
      <w:r w:rsidRPr="003F68A6">
        <w:rPr>
          <w:rFonts w:ascii="Arial" w:hAnsi="Arial" w:cs="Arial"/>
          <w:color w:val="000000" w:themeColor="text1"/>
          <w:sz w:val="22"/>
          <w:szCs w:val="22"/>
        </w:rPr>
        <w:t>Secondly, the increase in the level and decreased caseloads would open the opportunity to engage meaningfully with service users and focus on their personalisation.</w:t>
      </w:r>
      <w:r w:rsidRPr="003F68A6">
        <w:rPr>
          <w:rFonts w:ascii="Arial" w:hAnsi="Arial" w:cs="Arial"/>
          <w:b/>
          <w:color w:val="000000" w:themeColor="text1"/>
          <w:sz w:val="22"/>
          <w:szCs w:val="22"/>
        </w:rPr>
        <w:t xml:space="preserve"> </w:t>
      </w:r>
      <w:r w:rsidRPr="003F68A6">
        <w:rPr>
          <w:rFonts w:ascii="Arial" w:hAnsi="Arial" w:cs="Arial"/>
          <w:color w:val="000000" w:themeColor="text1"/>
          <w:sz w:val="22"/>
          <w:szCs w:val="22"/>
        </w:rPr>
        <w:t xml:space="preserve"> Digital integration is also to be considered. The adoption of common electronic record systems would improve inter-agency share of information, minimize delays and enhance continuity of care. The further facilitation of partnership between statutory services, community organisations and the voluntary sector would same enhance holistic locally responsive care. Lastly, engaging service users and carers in service co-production and assessment of care models would mean that development in the future would be based on lived experience and be authentic in enabling the carer.</w:t>
      </w:r>
    </w:p>
    <w:p w14:paraId="725BEC29" w14:textId="77777777" w:rsidR="00C20393" w:rsidRPr="003F68A6" w:rsidRDefault="00C20393" w:rsidP="003F68A6">
      <w:pPr>
        <w:pStyle w:val="Nadpis1"/>
        <w:spacing w:line="360" w:lineRule="auto"/>
        <w:jc w:val="both"/>
        <w:rPr>
          <w:rFonts w:ascii="Arial" w:hAnsi="Arial" w:cs="Arial"/>
          <w:b/>
          <w:color w:val="000000" w:themeColor="text1"/>
          <w:sz w:val="22"/>
          <w:szCs w:val="22"/>
        </w:rPr>
      </w:pPr>
      <w:bookmarkStart w:id="7" w:name="_Toc214120154"/>
      <w:r w:rsidRPr="003F68A6">
        <w:rPr>
          <w:rFonts w:ascii="Arial" w:hAnsi="Arial" w:cs="Arial"/>
          <w:b/>
          <w:color w:val="000000" w:themeColor="text1"/>
          <w:sz w:val="22"/>
          <w:szCs w:val="22"/>
        </w:rPr>
        <w:t>Conclusion</w:t>
      </w:r>
      <w:bookmarkEnd w:id="7"/>
      <w:r w:rsidRPr="003F68A6">
        <w:rPr>
          <w:rFonts w:ascii="Arial" w:hAnsi="Arial" w:cs="Arial"/>
          <w:b/>
          <w:color w:val="000000" w:themeColor="text1"/>
          <w:sz w:val="22"/>
          <w:szCs w:val="22"/>
        </w:rPr>
        <w:t xml:space="preserve"> </w:t>
      </w:r>
    </w:p>
    <w:p w14:paraId="4B7FE6A4" w14:textId="77777777" w:rsidR="00C20393" w:rsidRPr="003F68A6" w:rsidRDefault="00C20393" w:rsidP="003F68A6">
      <w:pPr>
        <w:spacing w:line="360" w:lineRule="auto"/>
        <w:jc w:val="both"/>
        <w:rPr>
          <w:rFonts w:ascii="Arial" w:hAnsi="Arial" w:cs="Arial"/>
          <w:color w:val="000000" w:themeColor="text1"/>
          <w:sz w:val="22"/>
          <w:szCs w:val="22"/>
        </w:rPr>
      </w:pPr>
      <w:r w:rsidRPr="003F68A6">
        <w:rPr>
          <w:rFonts w:ascii="Arial" w:hAnsi="Arial" w:cs="Arial"/>
          <w:color w:val="000000" w:themeColor="text1"/>
          <w:sz w:val="22"/>
          <w:szCs w:val="22"/>
        </w:rPr>
        <w:t>The two key concepts include person-centred care (PCC) and partnership working (PW), which are essential to the provision of quality, ethical, and coordinated health and social services. PCC facilitates dignity, autonomy and personalised support, whereas PW facilitates holistic and integrated responses to more and more complex needs. Though both strategies have great advantages, their implementation has been frequently met with workforce pressures, communication challenges and structural constraints. The UK policy framework is a great supporter of PCC and PW, yet further investment, training and organisational commitment is required to institutionalize the same in a consistent manner. To improve the future care delivery, it will be crucial to strengthen collaboration, improve digital systems, and engage service users in co-production.</w:t>
      </w:r>
    </w:p>
    <w:p w14:paraId="04C00443" w14:textId="77777777" w:rsidR="006953FA" w:rsidRPr="003F68A6" w:rsidRDefault="006953FA" w:rsidP="003F68A6">
      <w:pPr>
        <w:spacing w:line="360" w:lineRule="auto"/>
        <w:jc w:val="both"/>
        <w:rPr>
          <w:rFonts w:ascii="Arial" w:hAnsi="Arial" w:cs="Arial"/>
          <w:color w:val="000000" w:themeColor="text1"/>
          <w:sz w:val="22"/>
          <w:szCs w:val="22"/>
        </w:rPr>
      </w:pPr>
    </w:p>
    <w:p w14:paraId="55703A48" w14:textId="77777777" w:rsidR="006953FA" w:rsidRPr="003F68A6" w:rsidRDefault="006953FA" w:rsidP="003F68A6">
      <w:pPr>
        <w:spacing w:line="360" w:lineRule="auto"/>
        <w:jc w:val="both"/>
        <w:rPr>
          <w:rFonts w:ascii="Arial" w:hAnsi="Arial" w:cs="Arial"/>
          <w:color w:val="000000" w:themeColor="text1"/>
          <w:sz w:val="22"/>
          <w:szCs w:val="22"/>
        </w:rPr>
      </w:pPr>
    </w:p>
    <w:p w14:paraId="4D78C1FC" w14:textId="77777777" w:rsidR="006953FA" w:rsidRPr="003F68A6" w:rsidRDefault="006953FA" w:rsidP="003F68A6">
      <w:pPr>
        <w:spacing w:line="360" w:lineRule="auto"/>
        <w:jc w:val="both"/>
        <w:rPr>
          <w:rFonts w:ascii="Arial" w:hAnsi="Arial" w:cs="Arial"/>
          <w:color w:val="000000" w:themeColor="text1"/>
          <w:sz w:val="22"/>
          <w:szCs w:val="22"/>
        </w:rPr>
      </w:pPr>
    </w:p>
    <w:p w14:paraId="2CB6B49E" w14:textId="77777777" w:rsidR="006953FA" w:rsidRPr="003F68A6" w:rsidRDefault="006953FA" w:rsidP="003F68A6">
      <w:pPr>
        <w:pStyle w:val="Nadpis1"/>
        <w:spacing w:line="360" w:lineRule="auto"/>
        <w:jc w:val="both"/>
        <w:rPr>
          <w:rFonts w:ascii="Arial" w:hAnsi="Arial" w:cs="Arial"/>
          <w:b/>
          <w:color w:val="000000" w:themeColor="text1"/>
          <w:sz w:val="22"/>
          <w:szCs w:val="22"/>
        </w:rPr>
      </w:pPr>
      <w:bookmarkStart w:id="8" w:name="_Toc214120155"/>
      <w:r w:rsidRPr="003F68A6">
        <w:rPr>
          <w:rFonts w:ascii="Arial" w:hAnsi="Arial" w:cs="Arial"/>
          <w:b/>
          <w:color w:val="000000" w:themeColor="text1"/>
          <w:sz w:val="22"/>
          <w:szCs w:val="22"/>
        </w:rPr>
        <w:t>References</w:t>
      </w:r>
      <w:bookmarkEnd w:id="8"/>
    </w:p>
    <w:p w14:paraId="783BE397" w14:textId="77777777" w:rsidR="006953FA" w:rsidRPr="003F68A6" w:rsidRDefault="006953FA" w:rsidP="003F68A6">
      <w:pPr>
        <w:spacing w:line="360" w:lineRule="auto"/>
        <w:jc w:val="both"/>
        <w:rPr>
          <w:rFonts w:ascii="Arial" w:hAnsi="Arial" w:cs="Arial"/>
          <w:b/>
          <w:color w:val="000000" w:themeColor="text1"/>
          <w:sz w:val="22"/>
          <w:szCs w:val="22"/>
          <w:lang w:val="en-IN"/>
        </w:rPr>
      </w:pPr>
    </w:p>
    <w:p w14:paraId="2C972206" w14:textId="77777777" w:rsidR="006953FA" w:rsidRPr="003F68A6" w:rsidRDefault="006953FA" w:rsidP="003F68A6">
      <w:pPr>
        <w:spacing w:line="360" w:lineRule="auto"/>
        <w:ind w:left="720" w:hanging="720"/>
        <w:jc w:val="both"/>
        <w:rPr>
          <w:rFonts w:ascii="Arial" w:hAnsi="Arial" w:cs="Arial"/>
          <w:sz w:val="22"/>
          <w:szCs w:val="22"/>
          <w:lang w:val="en-IN"/>
        </w:rPr>
      </w:pPr>
      <w:r w:rsidRPr="003F68A6">
        <w:rPr>
          <w:rFonts w:ascii="Arial" w:hAnsi="Arial" w:cs="Arial"/>
          <w:sz w:val="22"/>
          <w:szCs w:val="22"/>
          <w:lang w:val="en-IN"/>
        </w:rPr>
        <w:t xml:space="preserve">Docherty, M.A. and Richard, M.P. (2022). Achieving person-centred care through a team-based care ecosystem approach. </w:t>
      </w:r>
      <w:r w:rsidRPr="003F68A6">
        <w:rPr>
          <w:rFonts w:ascii="Arial" w:hAnsi="Arial" w:cs="Arial"/>
          <w:i/>
          <w:iCs/>
          <w:sz w:val="22"/>
          <w:szCs w:val="22"/>
          <w:lang w:val="en-IN"/>
        </w:rPr>
        <w:t>Healthcare Management Forum</w:t>
      </w:r>
      <w:r w:rsidRPr="003F68A6">
        <w:rPr>
          <w:rFonts w:ascii="Arial" w:hAnsi="Arial" w:cs="Arial"/>
          <w:sz w:val="22"/>
          <w:szCs w:val="22"/>
          <w:lang w:val="en-IN"/>
        </w:rPr>
        <w:t xml:space="preserve">, p.084047042210789. </w:t>
      </w:r>
      <w:proofErr w:type="spellStart"/>
      <w:r w:rsidRPr="003F68A6">
        <w:rPr>
          <w:rFonts w:ascii="Arial" w:hAnsi="Arial" w:cs="Arial"/>
          <w:sz w:val="22"/>
          <w:szCs w:val="22"/>
          <w:lang w:val="en-IN"/>
        </w:rPr>
        <w:t>doi:</w:t>
      </w:r>
      <w:hyperlink r:id="rId8" w:history="1">
        <w:r w:rsidR="00883A2A" w:rsidRPr="003F68A6">
          <w:rPr>
            <w:rStyle w:val="Hypertextovodkaz"/>
            <w:rFonts w:ascii="Arial" w:hAnsi="Arial" w:cs="Arial"/>
            <w:b/>
            <w:sz w:val="22"/>
            <w:szCs w:val="22"/>
            <w:lang w:val="en-IN"/>
          </w:rPr>
          <w:t>https</w:t>
        </w:r>
        <w:proofErr w:type="spellEnd"/>
        <w:r w:rsidR="00883A2A" w:rsidRPr="003F68A6">
          <w:rPr>
            <w:rStyle w:val="Hypertextovodkaz"/>
            <w:rFonts w:ascii="Arial" w:hAnsi="Arial" w:cs="Arial"/>
            <w:b/>
            <w:sz w:val="22"/>
            <w:szCs w:val="22"/>
            <w:lang w:val="en-IN"/>
          </w:rPr>
          <w:t>://doi.org/10.1177/08404704221078975</w:t>
        </w:r>
      </w:hyperlink>
      <w:r w:rsidR="00883A2A" w:rsidRPr="003F68A6">
        <w:rPr>
          <w:rFonts w:ascii="Arial" w:hAnsi="Arial" w:cs="Arial"/>
          <w:sz w:val="22"/>
          <w:szCs w:val="22"/>
          <w:lang w:val="en-IN"/>
        </w:rPr>
        <w:t xml:space="preserve"> </w:t>
      </w:r>
      <w:r w:rsidR="007F3016" w:rsidRPr="003F68A6">
        <w:rPr>
          <w:rFonts w:ascii="Arial" w:hAnsi="Arial" w:cs="Arial"/>
          <w:sz w:val="22"/>
          <w:szCs w:val="22"/>
          <w:lang w:val="en-IN"/>
        </w:rPr>
        <w:t>.</w:t>
      </w:r>
    </w:p>
    <w:p w14:paraId="3D0117EC" w14:textId="77777777" w:rsidR="006953FA" w:rsidRPr="003F68A6" w:rsidRDefault="006953FA" w:rsidP="003F68A6">
      <w:pPr>
        <w:spacing w:line="360" w:lineRule="auto"/>
        <w:ind w:left="720" w:hanging="720"/>
        <w:jc w:val="both"/>
        <w:rPr>
          <w:rFonts w:ascii="Arial" w:hAnsi="Arial" w:cs="Arial"/>
          <w:sz w:val="22"/>
          <w:szCs w:val="22"/>
          <w:lang w:val="en-IN"/>
        </w:rPr>
      </w:pPr>
      <w:r w:rsidRPr="003F68A6">
        <w:rPr>
          <w:rFonts w:ascii="Arial" w:hAnsi="Arial" w:cs="Arial"/>
          <w:sz w:val="22"/>
          <w:szCs w:val="22"/>
          <w:lang w:val="en-IN"/>
        </w:rPr>
        <w:t xml:space="preserve">Durand, M.A., </w:t>
      </w:r>
      <w:proofErr w:type="spellStart"/>
      <w:r w:rsidRPr="003F68A6">
        <w:rPr>
          <w:rFonts w:ascii="Arial" w:hAnsi="Arial" w:cs="Arial"/>
          <w:sz w:val="22"/>
          <w:szCs w:val="22"/>
          <w:lang w:val="en-IN"/>
        </w:rPr>
        <w:t>Wistow</w:t>
      </w:r>
      <w:proofErr w:type="spellEnd"/>
      <w:r w:rsidRPr="003F68A6">
        <w:rPr>
          <w:rFonts w:ascii="Arial" w:hAnsi="Arial" w:cs="Arial"/>
          <w:sz w:val="22"/>
          <w:szCs w:val="22"/>
          <w:lang w:val="en-IN"/>
        </w:rPr>
        <w:t xml:space="preserve">, G. and Mays, N. (2025). Evaluating the role of community-based multi-disciplinary teams in England’s Pioneer integrated health and social care programme: Setting the scene. </w:t>
      </w:r>
      <w:r w:rsidRPr="003F68A6">
        <w:rPr>
          <w:rFonts w:ascii="Arial" w:hAnsi="Arial" w:cs="Arial"/>
          <w:i/>
          <w:iCs/>
          <w:sz w:val="22"/>
          <w:szCs w:val="22"/>
          <w:lang w:val="en-IN"/>
        </w:rPr>
        <w:t>PubMed</w:t>
      </w:r>
      <w:r w:rsidRPr="003F68A6">
        <w:rPr>
          <w:rFonts w:ascii="Arial" w:hAnsi="Arial" w:cs="Arial"/>
          <w:sz w:val="22"/>
          <w:szCs w:val="22"/>
          <w:lang w:val="en-IN"/>
        </w:rPr>
        <w:t xml:space="preserve">, 30(1_suppl), pp.1S10S. </w:t>
      </w:r>
      <w:proofErr w:type="spellStart"/>
      <w:r w:rsidRPr="003F68A6">
        <w:rPr>
          <w:rFonts w:ascii="Arial" w:hAnsi="Arial" w:cs="Arial"/>
          <w:sz w:val="22"/>
          <w:szCs w:val="22"/>
          <w:lang w:val="en-IN"/>
        </w:rPr>
        <w:t>doi:</w:t>
      </w:r>
      <w:hyperlink r:id="rId9" w:history="1">
        <w:r w:rsidR="00883A2A" w:rsidRPr="003F68A6">
          <w:rPr>
            <w:rStyle w:val="Hypertextovodkaz"/>
            <w:rFonts w:ascii="Arial" w:hAnsi="Arial" w:cs="Arial"/>
            <w:b/>
            <w:sz w:val="22"/>
            <w:szCs w:val="22"/>
            <w:lang w:val="en-IN"/>
          </w:rPr>
          <w:t>https</w:t>
        </w:r>
        <w:proofErr w:type="spellEnd"/>
        <w:r w:rsidR="00883A2A" w:rsidRPr="003F68A6">
          <w:rPr>
            <w:rStyle w:val="Hypertextovodkaz"/>
            <w:rFonts w:ascii="Arial" w:hAnsi="Arial" w:cs="Arial"/>
            <w:b/>
            <w:sz w:val="22"/>
            <w:szCs w:val="22"/>
            <w:lang w:val="en-IN"/>
          </w:rPr>
          <w:t>://doi.org/10.1177/13558196251349363</w:t>
        </w:r>
      </w:hyperlink>
      <w:r w:rsidR="00883A2A" w:rsidRPr="003F68A6">
        <w:rPr>
          <w:rFonts w:ascii="Arial" w:hAnsi="Arial" w:cs="Arial"/>
          <w:sz w:val="22"/>
          <w:szCs w:val="22"/>
          <w:lang w:val="en-IN"/>
        </w:rPr>
        <w:t xml:space="preserve"> </w:t>
      </w:r>
      <w:r w:rsidR="007F3016" w:rsidRPr="003F68A6">
        <w:rPr>
          <w:rFonts w:ascii="Arial" w:hAnsi="Arial" w:cs="Arial"/>
          <w:sz w:val="22"/>
          <w:szCs w:val="22"/>
          <w:lang w:val="en-IN"/>
        </w:rPr>
        <w:t>.</w:t>
      </w:r>
    </w:p>
    <w:p w14:paraId="6DFF871B" w14:textId="77777777" w:rsidR="006953FA" w:rsidRPr="003F68A6" w:rsidRDefault="006953FA" w:rsidP="003F68A6">
      <w:pPr>
        <w:spacing w:line="360" w:lineRule="auto"/>
        <w:ind w:left="720" w:hanging="720"/>
        <w:jc w:val="both"/>
        <w:rPr>
          <w:rFonts w:ascii="Arial" w:hAnsi="Arial" w:cs="Arial"/>
          <w:sz w:val="22"/>
          <w:szCs w:val="22"/>
          <w:lang w:val="en-IN"/>
        </w:rPr>
      </w:pPr>
      <w:r w:rsidRPr="003F68A6">
        <w:rPr>
          <w:rFonts w:ascii="Arial" w:hAnsi="Arial" w:cs="Arial"/>
          <w:sz w:val="22"/>
          <w:szCs w:val="22"/>
          <w:lang w:val="en-IN"/>
        </w:rPr>
        <w:t xml:space="preserve">Eaton, A.D., </w:t>
      </w:r>
      <w:proofErr w:type="spellStart"/>
      <w:r w:rsidRPr="003F68A6">
        <w:rPr>
          <w:rFonts w:ascii="Arial" w:hAnsi="Arial" w:cs="Arial"/>
          <w:sz w:val="22"/>
          <w:szCs w:val="22"/>
          <w:lang w:val="en-IN"/>
        </w:rPr>
        <w:t>Carusone</w:t>
      </w:r>
      <w:proofErr w:type="spellEnd"/>
      <w:r w:rsidRPr="003F68A6">
        <w:rPr>
          <w:rFonts w:ascii="Arial" w:hAnsi="Arial" w:cs="Arial"/>
          <w:sz w:val="22"/>
          <w:szCs w:val="22"/>
          <w:lang w:val="en-IN"/>
        </w:rPr>
        <w:t xml:space="preserve">, S.C., </w:t>
      </w:r>
      <w:proofErr w:type="spellStart"/>
      <w:r w:rsidRPr="003F68A6">
        <w:rPr>
          <w:rFonts w:ascii="Arial" w:hAnsi="Arial" w:cs="Arial"/>
          <w:sz w:val="22"/>
          <w:szCs w:val="22"/>
          <w:lang w:val="en-IN"/>
        </w:rPr>
        <w:t>Ceranto</w:t>
      </w:r>
      <w:proofErr w:type="spellEnd"/>
      <w:r w:rsidRPr="003F68A6">
        <w:rPr>
          <w:rFonts w:ascii="Arial" w:hAnsi="Arial" w:cs="Arial"/>
          <w:sz w:val="22"/>
          <w:szCs w:val="22"/>
          <w:lang w:val="en-IN"/>
        </w:rPr>
        <w:t xml:space="preserve">, A., Craig, S.L., Busch, A. and </w:t>
      </w:r>
      <w:proofErr w:type="spellStart"/>
      <w:r w:rsidRPr="003F68A6">
        <w:rPr>
          <w:rFonts w:ascii="Arial" w:hAnsi="Arial" w:cs="Arial"/>
          <w:sz w:val="22"/>
          <w:szCs w:val="22"/>
          <w:lang w:val="en-IN"/>
        </w:rPr>
        <w:t>McCullagh</w:t>
      </w:r>
      <w:proofErr w:type="spellEnd"/>
      <w:r w:rsidRPr="003F68A6">
        <w:rPr>
          <w:rFonts w:ascii="Arial" w:hAnsi="Arial" w:cs="Arial"/>
          <w:sz w:val="22"/>
          <w:szCs w:val="22"/>
          <w:lang w:val="en-IN"/>
        </w:rPr>
        <w:t xml:space="preserve">, J.W. (2021). Training Peers to Ease Hospital Discharge: A Community–Clinical Partnership in Complex HIV Care. </w:t>
      </w:r>
      <w:r w:rsidRPr="003F68A6">
        <w:rPr>
          <w:rFonts w:ascii="Arial" w:hAnsi="Arial" w:cs="Arial"/>
          <w:i/>
          <w:iCs/>
          <w:sz w:val="22"/>
          <w:szCs w:val="22"/>
          <w:lang w:val="en-IN"/>
        </w:rPr>
        <w:t>Progress in community health partnerships</w:t>
      </w:r>
      <w:r w:rsidRPr="003F68A6">
        <w:rPr>
          <w:rFonts w:ascii="Arial" w:hAnsi="Arial" w:cs="Arial"/>
          <w:sz w:val="22"/>
          <w:szCs w:val="22"/>
          <w:lang w:val="en-IN"/>
        </w:rPr>
        <w:t xml:space="preserve">, [online] 15(2), pp.225–60.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 xml:space="preserve">: </w:t>
      </w:r>
      <w:hyperlink r:id="rId10" w:history="1">
        <w:r w:rsidRPr="003F68A6">
          <w:rPr>
            <w:rStyle w:val="Hypertextovodkaz"/>
            <w:rFonts w:ascii="Arial" w:hAnsi="Arial" w:cs="Arial"/>
            <w:b/>
            <w:sz w:val="22"/>
            <w:szCs w:val="22"/>
            <w:lang w:val="en-IN"/>
          </w:rPr>
          <w:t>https://doi.org/10.1353/cpr.2021.0024</w:t>
        </w:r>
      </w:hyperlink>
      <w:r w:rsidRPr="003F68A6">
        <w:rPr>
          <w:rFonts w:ascii="Arial" w:hAnsi="Arial" w:cs="Arial"/>
          <w:sz w:val="22"/>
          <w:szCs w:val="22"/>
          <w:lang w:val="en-IN"/>
        </w:rPr>
        <w:t xml:space="preserve"> </w:t>
      </w:r>
      <w:r w:rsidR="007F3016" w:rsidRPr="003F68A6">
        <w:rPr>
          <w:rFonts w:ascii="Arial" w:hAnsi="Arial" w:cs="Arial"/>
          <w:sz w:val="22"/>
          <w:szCs w:val="22"/>
          <w:lang w:val="en-IN"/>
        </w:rPr>
        <w:t>.</w:t>
      </w:r>
    </w:p>
    <w:p w14:paraId="7EEF16DC" w14:textId="77777777" w:rsidR="006953FA" w:rsidRPr="003F68A6" w:rsidRDefault="006953FA" w:rsidP="003F68A6">
      <w:pPr>
        <w:spacing w:line="360" w:lineRule="auto"/>
        <w:ind w:left="720" w:hanging="720"/>
        <w:jc w:val="both"/>
        <w:rPr>
          <w:rFonts w:ascii="Arial" w:hAnsi="Arial" w:cs="Arial"/>
          <w:sz w:val="22"/>
          <w:szCs w:val="22"/>
          <w:lang w:val="en-IN"/>
        </w:rPr>
      </w:pPr>
      <w:proofErr w:type="spellStart"/>
      <w:r w:rsidRPr="003F68A6">
        <w:rPr>
          <w:rFonts w:ascii="Arial" w:hAnsi="Arial" w:cs="Arial"/>
          <w:sz w:val="22"/>
          <w:szCs w:val="22"/>
          <w:lang w:val="en-IN"/>
        </w:rPr>
        <w:t>Fynn</w:t>
      </w:r>
      <w:proofErr w:type="spellEnd"/>
      <w:r w:rsidRPr="003F68A6">
        <w:rPr>
          <w:rFonts w:ascii="Arial" w:hAnsi="Arial" w:cs="Arial"/>
          <w:sz w:val="22"/>
          <w:szCs w:val="22"/>
          <w:lang w:val="en-IN"/>
        </w:rPr>
        <w:t xml:space="preserve">, J.F., Milton, K., </w:t>
      </w:r>
      <w:proofErr w:type="spellStart"/>
      <w:r w:rsidRPr="003F68A6">
        <w:rPr>
          <w:rFonts w:ascii="Arial" w:hAnsi="Arial" w:cs="Arial"/>
          <w:sz w:val="22"/>
          <w:szCs w:val="22"/>
          <w:lang w:val="en-IN"/>
        </w:rPr>
        <w:t>Hardeman</w:t>
      </w:r>
      <w:proofErr w:type="spellEnd"/>
      <w:r w:rsidRPr="003F68A6">
        <w:rPr>
          <w:rFonts w:ascii="Arial" w:hAnsi="Arial" w:cs="Arial"/>
          <w:sz w:val="22"/>
          <w:szCs w:val="22"/>
          <w:lang w:val="en-IN"/>
        </w:rPr>
        <w:t xml:space="preserve">, W. and Jones, A.P. (2022). A model for effective partnership working to support programme evaluation. </w:t>
      </w:r>
      <w:r w:rsidRPr="003F68A6">
        <w:rPr>
          <w:rFonts w:ascii="Arial" w:hAnsi="Arial" w:cs="Arial"/>
          <w:i/>
          <w:iCs/>
          <w:sz w:val="22"/>
          <w:szCs w:val="22"/>
          <w:lang w:val="en-IN"/>
        </w:rPr>
        <w:t>Evaluation</w:t>
      </w:r>
      <w:r w:rsidRPr="003F68A6">
        <w:rPr>
          <w:rFonts w:ascii="Arial" w:hAnsi="Arial" w:cs="Arial"/>
          <w:sz w:val="22"/>
          <w:szCs w:val="22"/>
          <w:lang w:val="en-IN"/>
        </w:rPr>
        <w:t xml:space="preserve">, [online] 28(3), p.135638902210961. </w:t>
      </w:r>
      <w:proofErr w:type="spellStart"/>
      <w:r w:rsidRPr="003F68A6">
        <w:rPr>
          <w:rFonts w:ascii="Arial" w:hAnsi="Arial" w:cs="Arial"/>
          <w:sz w:val="22"/>
          <w:szCs w:val="22"/>
          <w:lang w:val="en-IN"/>
        </w:rPr>
        <w:t>doi:</w:t>
      </w:r>
      <w:hyperlink r:id="rId11" w:history="1">
        <w:r w:rsidRPr="003F68A6">
          <w:rPr>
            <w:rStyle w:val="Hypertextovodkaz"/>
            <w:rFonts w:ascii="Arial" w:hAnsi="Arial" w:cs="Arial"/>
            <w:b/>
            <w:sz w:val="22"/>
            <w:szCs w:val="22"/>
            <w:lang w:val="en-IN"/>
          </w:rPr>
          <w:t>https</w:t>
        </w:r>
        <w:proofErr w:type="spellEnd"/>
        <w:r w:rsidRPr="003F68A6">
          <w:rPr>
            <w:rStyle w:val="Hypertextovodkaz"/>
            <w:rFonts w:ascii="Arial" w:hAnsi="Arial" w:cs="Arial"/>
            <w:b/>
            <w:sz w:val="22"/>
            <w:szCs w:val="22"/>
            <w:lang w:val="en-IN"/>
          </w:rPr>
          <w:t>://doi.org/10.1177/13563890221096178</w:t>
        </w:r>
      </w:hyperlink>
      <w:r w:rsidRPr="003F68A6">
        <w:rPr>
          <w:rFonts w:ascii="Arial" w:hAnsi="Arial" w:cs="Arial"/>
          <w:sz w:val="22"/>
          <w:szCs w:val="22"/>
          <w:lang w:val="en-IN"/>
        </w:rPr>
        <w:t xml:space="preserve"> </w:t>
      </w:r>
      <w:r w:rsidR="007F3016" w:rsidRPr="003F68A6">
        <w:rPr>
          <w:rFonts w:ascii="Arial" w:hAnsi="Arial" w:cs="Arial"/>
          <w:sz w:val="22"/>
          <w:szCs w:val="22"/>
          <w:lang w:val="en-IN"/>
        </w:rPr>
        <w:t>.</w:t>
      </w:r>
    </w:p>
    <w:p w14:paraId="354CE019" w14:textId="77777777" w:rsidR="006953FA" w:rsidRPr="003F68A6" w:rsidRDefault="006953FA" w:rsidP="003F68A6">
      <w:pPr>
        <w:spacing w:line="360" w:lineRule="auto"/>
        <w:ind w:left="720" w:hanging="720"/>
        <w:jc w:val="both"/>
        <w:rPr>
          <w:rFonts w:ascii="Arial" w:hAnsi="Arial" w:cs="Arial"/>
          <w:sz w:val="22"/>
          <w:szCs w:val="22"/>
          <w:lang w:val="en-IN"/>
        </w:rPr>
      </w:pPr>
      <w:proofErr w:type="spellStart"/>
      <w:r w:rsidRPr="003F68A6">
        <w:rPr>
          <w:rFonts w:ascii="Arial" w:hAnsi="Arial" w:cs="Arial"/>
          <w:sz w:val="22"/>
          <w:szCs w:val="22"/>
          <w:lang w:val="en-IN"/>
        </w:rPr>
        <w:t>Liwanag</w:t>
      </w:r>
      <w:proofErr w:type="spellEnd"/>
      <w:r w:rsidRPr="003F68A6">
        <w:rPr>
          <w:rFonts w:ascii="Arial" w:hAnsi="Arial" w:cs="Arial"/>
          <w:sz w:val="22"/>
          <w:szCs w:val="22"/>
          <w:lang w:val="en-IN"/>
        </w:rPr>
        <w:t xml:space="preserve">, H.J., James, O. and </w:t>
      </w:r>
      <w:proofErr w:type="spellStart"/>
      <w:r w:rsidRPr="003F68A6">
        <w:rPr>
          <w:rFonts w:ascii="Arial" w:hAnsi="Arial" w:cs="Arial"/>
          <w:sz w:val="22"/>
          <w:szCs w:val="22"/>
          <w:lang w:val="en-IN"/>
        </w:rPr>
        <w:t>Frahsa</w:t>
      </w:r>
      <w:proofErr w:type="spellEnd"/>
      <w:r w:rsidRPr="003F68A6">
        <w:rPr>
          <w:rFonts w:ascii="Arial" w:hAnsi="Arial" w:cs="Arial"/>
          <w:sz w:val="22"/>
          <w:szCs w:val="22"/>
          <w:lang w:val="en-IN"/>
        </w:rPr>
        <w:t xml:space="preserve">, A. (2023). A review and analysis of accountability in global health funding, research collaborations and training: towards conceptual clarity and better practice. </w:t>
      </w:r>
      <w:r w:rsidRPr="003F68A6">
        <w:rPr>
          <w:rFonts w:ascii="Arial" w:hAnsi="Arial" w:cs="Arial"/>
          <w:i/>
          <w:iCs/>
          <w:sz w:val="22"/>
          <w:szCs w:val="22"/>
          <w:lang w:val="en-IN"/>
        </w:rPr>
        <w:t>BMJ Global Health</w:t>
      </w:r>
      <w:r w:rsidRPr="003F68A6">
        <w:rPr>
          <w:rFonts w:ascii="Arial" w:hAnsi="Arial" w:cs="Arial"/>
          <w:sz w:val="22"/>
          <w:szCs w:val="22"/>
          <w:lang w:val="en-IN"/>
        </w:rPr>
        <w:t xml:space="preserve">, 8(12), pp.e012906–e012906. </w:t>
      </w:r>
      <w:proofErr w:type="spellStart"/>
      <w:r w:rsidRPr="003F68A6">
        <w:rPr>
          <w:rFonts w:ascii="Arial" w:hAnsi="Arial" w:cs="Arial"/>
          <w:sz w:val="22"/>
          <w:szCs w:val="22"/>
          <w:lang w:val="en-IN"/>
        </w:rPr>
        <w:t>doi:</w:t>
      </w:r>
      <w:hyperlink r:id="rId12" w:history="1">
        <w:r w:rsidRPr="003F68A6">
          <w:rPr>
            <w:rStyle w:val="Hypertextovodkaz"/>
            <w:rFonts w:ascii="Arial" w:hAnsi="Arial" w:cs="Arial"/>
            <w:b/>
            <w:sz w:val="22"/>
            <w:szCs w:val="22"/>
            <w:lang w:val="en-IN"/>
          </w:rPr>
          <w:t>https</w:t>
        </w:r>
        <w:proofErr w:type="spellEnd"/>
        <w:r w:rsidRPr="003F68A6">
          <w:rPr>
            <w:rStyle w:val="Hypertextovodkaz"/>
            <w:rFonts w:ascii="Arial" w:hAnsi="Arial" w:cs="Arial"/>
            <w:b/>
            <w:sz w:val="22"/>
            <w:szCs w:val="22"/>
            <w:lang w:val="en-IN"/>
          </w:rPr>
          <w:t>://doi.org/10.1136/bmjgh-2023-012906</w:t>
        </w:r>
      </w:hyperlink>
      <w:r w:rsidRPr="003F68A6">
        <w:rPr>
          <w:rFonts w:ascii="Arial" w:hAnsi="Arial" w:cs="Arial"/>
          <w:sz w:val="22"/>
          <w:szCs w:val="22"/>
          <w:lang w:val="en-IN"/>
        </w:rPr>
        <w:t xml:space="preserve"> </w:t>
      </w:r>
      <w:r w:rsidR="007F3016" w:rsidRPr="003F68A6">
        <w:rPr>
          <w:rFonts w:ascii="Arial" w:hAnsi="Arial" w:cs="Arial"/>
          <w:sz w:val="22"/>
          <w:szCs w:val="22"/>
          <w:lang w:val="en-IN"/>
        </w:rPr>
        <w:t>.</w:t>
      </w:r>
    </w:p>
    <w:p w14:paraId="613DE164" w14:textId="77777777" w:rsidR="006953FA" w:rsidRPr="003F68A6" w:rsidRDefault="006953FA" w:rsidP="003F68A6">
      <w:pPr>
        <w:spacing w:line="360" w:lineRule="auto"/>
        <w:ind w:left="720" w:hanging="720"/>
        <w:jc w:val="both"/>
        <w:rPr>
          <w:rFonts w:ascii="Arial" w:hAnsi="Arial" w:cs="Arial"/>
          <w:sz w:val="22"/>
          <w:szCs w:val="22"/>
          <w:lang w:val="en-IN"/>
        </w:rPr>
      </w:pPr>
      <w:r w:rsidRPr="003F68A6">
        <w:rPr>
          <w:rFonts w:ascii="Arial" w:hAnsi="Arial" w:cs="Arial"/>
          <w:sz w:val="22"/>
          <w:szCs w:val="22"/>
          <w:lang w:val="en-IN"/>
        </w:rPr>
        <w:t xml:space="preserve">Masterson, D., </w:t>
      </w:r>
      <w:proofErr w:type="spellStart"/>
      <w:r w:rsidRPr="003F68A6">
        <w:rPr>
          <w:rFonts w:ascii="Arial" w:hAnsi="Arial" w:cs="Arial"/>
          <w:sz w:val="22"/>
          <w:szCs w:val="22"/>
          <w:lang w:val="en-IN"/>
        </w:rPr>
        <w:t>Areskoug</w:t>
      </w:r>
      <w:proofErr w:type="spellEnd"/>
      <w:r w:rsidRPr="003F68A6">
        <w:rPr>
          <w:rFonts w:ascii="Arial" w:hAnsi="Arial" w:cs="Arial"/>
          <w:sz w:val="22"/>
          <w:szCs w:val="22"/>
          <w:lang w:val="en-IN"/>
        </w:rPr>
        <w:t xml:space="preserve"> </w:t>
      </w:r>
      <w:proofErr w:type="spellStart"/>
      <w:r w:rsidRPr="003F68A6">
        <w:rPr>
          <w:rFonts w:ascii="Arial" w:hAnsi="Arial" w:cs="Arial"/>
          <w:sz w:val="22"/>
          <w:szCs w:val="22"/>
          <w:lang w:val="en-IN"/>
        </w:rPr>
        <w:t>Josefsson</w:t>
      </w:r>
      <w:proofErr w:type="spellEnd"/>
      <w:r w:rsidRPr="003F68A6">
        <w:rPr>
          <w:rFonts w:ascii="Arial" w:hAnsi="Arial" w:cs="Arial"/>
          <w:sz w:val="22"/>
          <w:szCs w:val="22"/>
          <w:lang w:val="en-IN"/>
        </w:rPr>
        <w:t xml:space="preserve">, K., Robert, G., Nylander, E. and </w:t>
      </w:r>
      <w:proofErr w:type="spellStart"/>
      <w:r w:rsidRPr="003F68A6">
        <w:rPr>
          <w:rFonts w:ascii="Arial" w:hAnsi="Arial" w:cs="Arial"/>
          <w:sz w:val="22"/>
          <w:szCs w:val="22"/>
          <w:lang w:val="en-IN"/>
        </w:rPr>
        <w:t>Kjellström</w:t>
      </w:r>
      <w:proofErr w:type="spellEnd"/>
      <w:r w:rsidRPr="003F68A6">
        <w:rPr>
          <w:rFonts w:ascii="Arial" w:hAnsi="Arial" w:cs="Arial"/>
          <w:sz w:val="22"/>
          <w:szCs w:val="22"/>
          <w:lang w:val="en-IN"/>
        </w:rPr>
        <w:t>, S. (2022). Mapping definitions of co</w:t>
      </w:r>
      <w:r w:rsidRPr="003F68A6">
        <w:rPr>
          <w:rFonts w:ascii="Cambria Math" w:hAnsi="Cambria Math" w:cs="Cambria Math"/>
          <w:sz w:val="22"/>
          <w:szCs w:val="22"/>
          <w:lang w:val="en-IN"/>
        </w:rPr>
        <w:t>‐</w:t>
      </w:r>
      <w:r w:rsidRPr="003F68A6">
        <w:rPr>
          <w:rFonts w:ascii="Arial" w:hAnsi="Arial" w:cs="Arial"/>
          <w:sz w:val="22"/>
          <w:szCs w:val="22"/>
          <w:lang w:val="en-IN"/>
        </w:rPr>
        <w:t>production and co</w:t>
      </w:r>
      <w:r w:rsidRPr="003F68A6">
        <w:rPr>
          <w:rFonts w:ascii="Cambria Math" w:hAnsi="Cambria Math" w:cs="Cambria Math"/>
          <w:sz w:val="22"/>
          <w:szCs w:val="22"/>
          <w:lang w:val="en-IN"/>
        </w:rPr>
        <w:t>‐</w:t>
      </w:r>
      <w:r w:rsidRPr="003F68A6">
        <w:rPr>
          <w:rFonts w:ascii="Arial" w:hAnsi="Arial" w:cs="Arial"/>
          <w:sz w:val="22"/>
          <w:szCs w:val="22"/>
          <w:lang w:val="en-IN"/>
        </w:rPr>
        <w:t xml:space="preserve">design in health and social care: A systematic scoping review providing lessons for the future. </w:t>
      </w:r>
      <w:r w:rsidRPr="003F68A6">
        <w:rPr>
          <w:rFonts w:ascii="Arial" w:hAnsi="Arial" w:cs="Arial"/>
          <w:i/>
          <w:iCs/>
          <w:sz w:val="22"/>
          <w:szCs w:val="22"/>
          <w:lang w:val="en-IN"/>
        </w:rPr>
        <w:t>Health Expectations</w:t>
      </w:r>
      <w:r w:rsidRPr="003F68A6">
        <w:rPr>
          <w:rFonts w:ascii="Arial" w:hAnsi="Arial" w:cs="Arial"/>
          <w:sz w:val="22"/>
          <w:szCs w:val="22"/>
          <w:lang w:val="en-IN"/>
        </w:rPr>
        <w:t xml:space="preserve">, 25(3), pp.902–913.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r w:rsidR="00883A2A" w:rsidRPr="003F68A6">
        <w:rPr>
          <w:rFonts w:ascii="Arial" w:hAnsi="Arial" w:cs="Arial"/>
          <w:sz w:val="22"/>
          <w:szCs w:val="22"/>
          <w:lang w:val="en-IN"/>
        </w:rPr>
        <w:t xml:space="preserve"> </w:t>
      </w:r>
      <w:hyperlink r:id="rId13" w:history="1">
        <w:r w:rsidR="00883A2A" w:rsidRPr="003F68A6">
          <w:rPr>
            <w:rStyle w:val="Hypertextovodkaz"/>
            <w:rFonts w:ascii="Arial" w:hAnsi="Arial" w:cs="Arial"/>
            <w:b/>
            <w:sz w:val="22"/>
            <w:szCs w:val="22"/>
            <w:lang w:val="en-IN"/>
          </w:rPr>
          <w:t>https://doi.org/10.1111/hex.13470</w:t>
        </w:r>
      </w:hyperlink>
      <w:r w:rsidR="007F3016" w:rsidRPr="003F68A6">
        <w:rPr>
          <w:rFonts w:ascii="Arial" w:hAnsi="Arial" w:cs="Arial"/>
          <w:sz w:val="22"/>
          <w:szCs w:val="22"/>
          <w:lang w:val="en-IN"/>
        </w:rPr>
        <w:t xml:space="preserve"> .</w:t>
      </w:r>
    </w:p>
    <w:p w14:paraId="1DFCB004" w14:textId="77777777" w:rsidR="006953FA" w:rsidRPr="003F68A6" w:rsidRDefault="006953FA" w:rsidP="003F68A6">
      <w:pPr>
        <w:spacing w:line="360" w:lineRule="auto"/>
        <w:ind w:left="720" w:hanging="720"/>
        <w:jc w:val="both"/>
        <w:rPr>
          <w:rFonts w:ascii="Arial" w:hAnsi="Arial" w:cs="Arial"/>
          <w:sz w:val="22"/>
          <w:szCs w:val="22"/>
          <w:lang w:val="en-IN"/>
        </w:rPr>
      </w:pPr>
      <w:r w:rsidRPr="003F68A6">
        <w:rPr>
          <w:rFonts w:ascii="Arial" w:hAnsi="Arial" w:cs="Arial"/>
          <w:sz w:val="22"/>
          <w:szCs w:val="22"/>
          <w:lang w:val="en-IN"/>
        </w:rPr>
        <w:t xml:space="preserve">Moore, H.L., Farnworth, A., Watson, R., Giles, K., Tomson, D. and Thomson, R.G. (2021). Inclusion of person-centred care in medical and nursing undergraduate curricula in the UK: Interviews and documentary analysis. </w:t>
      </w:r>
      <w:r w:rsidRPr="003F68A6">
        <w:rPr>
          <w:rFonts w:ascii="Arial" w:hAnsi="Arial" w:cs="Arial"/>
          <w:i/>
          <w:iCs/>
          <w:sz w:val="22"/>
          <w:szCs w:val="22"/>
          <w:lang w:val="en-IN"/>
        </w:rPr>
        <w:t xml:space="preserve">Patient Education and </w:t>
      </w:r>
      <w:proofErr w:type="spellStart"/>
      <w:r w:rsidRPr="003F68A6">
        <w:rPr>
          <w:rFonts w:ascii="Arial" w:hAnsi="Arial" w:cs="Arial"/>
          <w:i/>
          <w:iCs/>
          <w:sz w:val="22"/>
          <w:szCs w:val="22"/>
          <w:lang w:val="en-IN"/>
        </w:rPr>
        <w:t>Counseling</w:t>
      </w:r>
      <w:proofErr w:type="spellEnd"/>
      <w:r w:rsidRPr="003F68A6">
        <w:rPr>
          <w:rFonts w:ascii="Arial" w:hAnsi="Arial" w:cs="Arial"/>
          <w:sz w:val="22"/>
          <w:szCs w:val="22"/>
          <w:lang w:val="en-IN"/>
        </w:rPr>
        <w:t xml:space="preserve">, [online] 104(4), pp.877–886.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r w:rsidR="00883A2A" w:rsidRPr="003F68A6">
        <w:rPr>
          <w:rFonts w:ascii="Arial" w:hAnsi="Arial" w:cs="Arial"/>
          <w:sz w:val="22"/>
          <w:szCs w:val="22"/>
          <w:lang w:val="en-IN"/>
        </w:rPr>
        <w:t xml:space="preserve"> </w:t>
      </w:r>
      <w:hyperlink r:id="rId14" w:history="1">
        <w:r w:rsidR="00883A2A" w:rsidRPr="003F68A6">
          <w:rPr>
            <w:rStyle w:val="Hypertextovodkaz"/>
            <w:rFonts w:ascii="Arial" w:hAnsi="Arial" w:cs="Arial"/>
            <w:b/>
            <w:sz w:val="22"/>
            <w:szCs w:val="22"/>
            <w:lang w:val="en-IN"/>
          </w:rPr>
          <w:t>https://doi.org/10.1016/j.pec.2020.09.030</w:t>
        </w:r>
      </w:hyperlink>
      <w:r w:rsidR="007F3016" w:rsidRPr="003F68A6">
        <w:rPr>
          <w:rFonts w:ascii="Arial" w:hAnsi="Arial" w:cs="Arial"/>
          <w:sz w:val="22"/>
          <w:szCs w:val="22"/>
          <w:lang w:val="en-IN"/>
        </w:rPr>
        <w:t xml:space="preserve">. </w:t>
      </w:r>
    </w:p>
    <w:p w14:paraId="01F95882" w14:textId="77777777" w:rsidR="006953FA" w:rsidRPr="003F68A6" w:rsidRDefault="006953FA" w:rsidP="003F68A6">
      <w:pPr>
        <w:spacing w:line="360" w:lineRule="auto"/>
        <w:ind w:left="720" w:hanging="720"/>
        <w:jc w:val="both"/>
        <w:rPr>
          <w:rFonts w:ascii="Arial" w:hAnsi="Arial" w:cs="Arial"/>
          <w:sz w:val="22"/>
          <w:szCs w:val="22"/>
          <w:lang w:val="en-IN"/>
        </w:rPr>
      </w:pPr>
      <w:proofErr w:type="spellStart"/>
      <w:r w:rsidRPr="003F68A6">
        <w:rPr>
          <w:rFonts w:ascii="Arial" w:hAnsi="Arial" w:cs="Arial"/>
          <w:sz w:val="22"/>
          <w:szCs w:val="22"/>
          <w:lang w:val="en-IN"/>
        </w:rPr>
        <w:t>Moriña</w:t>
      </w:r>
      <w:proofErr w:type="spellEnd"/>
      <w:r w:rsidRPr="003F68A6">
        <w:rPr>
          <w:rFonts w:ascii="Arial" w:hAnsi="Arial" w:cs="Arial"/>
          <w:sz w:val="22"/>
          <w:szCs w:val="22"/>
          <w:lang w:val="en-IN"/>
        </w:rPr>
        <w:t xml:space="preserve">, A. (2020). When people matter: The ethics of qualitative research in the health and social sciences. </w:t>
      </w:r>
      <w:r w:rsidRPr="003F68A6">
        <w:rPr>
          <w:rFonts w:ascii="Arial" w:hAnsi="Arial" w:cs="Arial"/>
          <w:i/>
          <w:iCs/>
          <w:sz w:val="22"/>
          <w:szCs w:val="22"/>
          <w:lang w:val="en-IN"/>
        </w:rPr>
        <w:t>Health &amp; Social Care in the Community</w:t>
      </w:r>
      <w:r w:rsidRPr="003F68A6">
        <w:rPr>
          <w:rFonts w:ascii="Arial" w:hAnsi="Arial" w:cs="Arial"/>
          <w:sz w:val="22"/>
          <w:szCs w:val="22"/>
          <w:lang w:val="en-IN"/>
        </w:rPr>
        <w:t xml:space="preserve">, 29(5), pp.1559–1565. </w:t>
      </w:r>
      <w:proofErr w:type="spellStart"/>
      <w:r w:rsidRPr="003F68A6">
        <w:rPr>
          <w:rFonts w:ascii="Arial" w:hAnsi="Arial" w:cs="Arial"/>
          <w:sz w:val="22"/>
          <w:szCs w:val="22"/>
          <w:lang w:val="en-IN"/>
        </w:rPr>
        <w:t>doi:</w:t>
      </w:r>
      <w:hyperlink r:id="rId15" w:history="1">
        <w:r w:rsidR="00883A2A" w:rsidRPr="003F68A6">
          <w:rPr>
            <w:rStyle w:val="Hypertextovodkaz"/>
            <w:rFonts w:ascii="Arial" w:hAnsi="Arial" w:cs="Arial"/>
            <w:b/>
            <w:sz w:val="22"/>
            <w:szCs w:val="22"/>
            <w:lang w:val="en-IN"/>
          </w:rPr>
          <w:t>https</w:t>
        </w:r>
        <w:proofErr w:type="spellEnd"/>
        <w:r w:rsidR="00883A2A" w:rsidRPr="003F68A6">
          <w:rPr>
            <w:rStyle w:val="Hypertextovodkaz"/>
            <w:rFonts w:ascii="Arial" w:hAnsi="Arial" w:cs="Arial"/>
            <w:b/>
            <w:sz w:val="22"/>
            <w:szCs w:val="22"/>
            <w:lang w:val="en-IN"/>
          </w:rPr>
          <w:t>://doi.org/10.1111/hsc.13221</w:t>
        </w:r>
      </w:hyperlink>
      <w:r w:rsidR="00883A2A" w:rsidRPr="003F68A6">
        <w:rPr>
          <w:rFonts w:ascii="Arial" w:hAnsi="Arial" w:cs="Arial"/>
          <w:sz w:val="22"/>
          <w:szCs w:val="22"/>
          <w:lang w:val="en-IN"/>
        </w:rPr>
        <w:t xml:space="preserve"> </w:t>
      </w:r>
    </w:p>
    <w:p w14:paraId="55C5188A" w14:textId="77777777" w:rsidR="006953FA" w:rsidRPr="003F68A6" w:rsidRDefault="006953FA" w:rsidP="003F68A6">
      <w:pPr>
        <w:spacing w:line="360" w:lineRule="auto"/>
        <w:ind w:left="720" w:hanging="720"/>
        <w:jc w:val="both"/>
        <w:rPr>
          <w:rFonts w:ascii="Arial" w:hAnsi="Arial" w:cs="Arial"/>
          <w:sz w:val="22"/>
          <w:szCs w:val="22"/>
          <w:lang w:val="en-IN"/>
        </w:rPr>
      </w:pPr>
      <w:proofErr w:type="spellStart"/>
      <w:r w:rsidRPr="003F68A6">
        <w:rPr>
          <w:rFonts w:ascii="Arial" w:hAnsi="Arial" w:cs="Arial"/>
          <w:sz w:val="22"/>
          <w:szCs w:val="22"/>
          <w:lang w:val="en-IN"/>
        </w:rPr>
        <w:t>Pilnick</w:t>
      </w:r>
      <w:proofErr w:type="spellEnd"/>
      <w:r w:rsidRPr="003F68A6">
        <w:rPr>
          <w:rFonts w:ascii="Arial" w:hAnsi="Arial" w:cs="Arial"/>
          <w:sz w:val="22"/>
          <w:szCs w:val="22"/>
          <w:lang w:val="en-IN"/>
        </w:rPr>
        <w:t xml:space="preserve">, A. (2022). What Is Patient Centred Care? </w:t>
      </w:r>
      <w:r w:rsidRPr="003F68A6">
        <w:rPr>
          <w:rFonts w:ascii="Arial" w:hAnsi="Arial" w:cs="Arial"/>
          <w:i/>
          <w:iCs/>
          <w:sz w:val="22"/>
          <w:szCs w:val="22"/>
          <w:lang w:val="en-IN"/>
        </w:rPr>
        <w:t>Emerald Publishing Limited eBooks</w:t>
      </w:r>
      <w:r w:rsidRPr="003F68A6">
        <w:rPr>
          <w:rFonts w:ascii="Arial" w:hAnsi="Arial" w:cs="Arial"/>
          <w:sz w:val="22"/>
          <w:szCs w:val="22"/>
          <w:lang w:val="en-IN"/>
        </w:rPr>
        <w:t xml:space="preserve">, pp.7–26. </w:t>
      </w:r>
      <w:proofErr w:type="spellStart"/>
      <w:r w:rsidRPr="003F68A6">
        <w:rPr>
          <w:rFonts w:ascii="Arial" w:hAnsi="Arial" w:cs="Arial"/>
          <w:sz w:val="22"/>
          <w:szCs w:val="22"/>
          <w:lang w:val="en-IN"/>
        </w:rPr>
        <w:t>doi</w:t>
      </w:r>
      <w:proofErr w:type="spellEnd"/>
      <w:r w:rsidRPr="003F68A6">
        <w:rPr>
          <w:rFonts w:ascii="Arial" w:hAnsi="Arial" w:cs="Arial"/>
          <w:sz w:val="22"/>
          <w:szCs w:val="22"/>
          <w:lang w:val="en-IN"/>
        </w:rPr>
        <w:t>:</w:t>
      </w:r>
      <w:r w:rsidR="007F3016" w:rsidRPr="003F68A6">
        <w:rPr>
          <w:rFonts w:ascii="Arial" w:hAnsi="Arial" w:cs="Arial"/>
          <w:sz w:val="22"/>
          <w:szCs w:val="22"/>
          <w:lang w:val="en-IN"/>
        </w:rPr>
        <w:t xml:space="preserve"> </w:t>
      </w:r>
      <w:hyperlink r:id="rId16" w:history="1">
        <w:r w:rsidR="007F3016" w:rsidRPr="003F68A6">
          <w:rPr>
            <w:rStyle w:val="Hypertextovodkaz"/>
            <w:rFonts w:ascii="Arial" w:hAnsi="Arial" w:cs="Arial"/>
            <w:b/>
            <w:sz w:val="22"/>
            <w:szCs w:val="22"/>
            <w:lang w:val="en-IN"/>
          </w:rPr>
          <w:t>https://doi.org/10.1108/978-1-80071-743-520221002</w:t>
        </w:r>
      </w:hyperlink>
      <w:r w:rsidRPr="003F68A6">
        <w:rPr>
          <w:rFonts w:ascii="Arial" w:hAnsi="Arial" w:cs="Arial"/>
          <w:sz w:val="22"/>
          <w:szCs w:val="22"/>
          <w:lang w:val="en-IN"/>
        </w:rPr>
        <w:t>.</w:t>
      </w:r>
      <w:r w:rsidR="007F3016" w:rsidRPr="003F68A6">
        <w:rPr>
          <w:rFonts w:ascii="Arial" w:hAnsi="Arial" w:cs="Arial"/>
          <w:sz w:val="22"/>
          <w:szCs w:val="22"/>
          <w:lang w:val="en-IN"/>
        </w:rPr>
        <w:t xml:space="preserve"> </w:t>
      </w:r>
    </w:p>
    <w:p w14:paraId="054B5183" w14:textId="77777777" w:rsidR="006953FA" w:rsidRPr="003F68A6" w:rsidRDefault="006953FA" w:rsidP="003F68A6">
      <w:pPr>
        <w:spacing w:line="360" w:lineRule="auto"/>
        <w:ind w:left="720" w:hanging="720"/>
        <w:jc w:val="both"/>
        <w:rPr>
          <w:rFonts w:ascii="Arial" w:hAnsi="Arial" w:cs="Arial"/>
          <w:sz w:val="22"/>
          <w:szCs w:val="22"/>
          <w:lang w:val="en-IN"/>
        </w:rPr>
      </w:pPr>
      <w:r w:rsidRPr="003F68A6">
        <w:rPr>
          <w:rFonts w:ascii="Arial" w:hAnsi="Arial" w:cs="Arial"/>
          <w:sz w:val="22"/>
          <w:szCs w:val="22"/>
          <w:lang w:val="en-IN"/>
        </w:rPr>
        <w:t xml:space="preserve">Usc.edu.au. (2025). </w:t>
      </w:r>
      <w:r w:rsidRPr="003F68A6">
        <w:rPr>
          <w:rFonts w:ascii="Arial" w:hAnsi="Arial" w:cs="Arial"/>
          <w:i/>
          <w:iCs/>
          <w:sz w:val="22"/>
          <w:szCs w:val="22"/>
          <w:lang w:val="en-IN"/>
        </w:rPr>
        <w:t>Research Portal</w:t>
      </w:r>
      <w:r w:rsidRPr="003F68A6">
        <w:rPr>
          <w:rFonts w:ascii="Arial" w:hAnsi="Arial" w:cs="Arial"/>
          <w:sz w:val="22"/>
          <w:szCs w:val="22"/>
          <w:lang w:val="en-IN"/>
        </w:rPr>
        <w:t xml:space="preserve">. [online] Available at: </w:t>
      </w:r>
      <w:hyperlink r:id="rId17" w:history="1">
        <w:r w:rsidR="00883A2A" w:rsidRPr="003F68A6">
          <w:rPr>
            <w:rStyle w:val="Hypertextovodkaz"/>
            <w:rFonts w:ascii="Arial" w:hAnsi="Arial" w:cs="Arial"/>
            <w:b/>
            <w:sz w:val="22"/>
            <w:szCs w:val="22"/>
            <w:lang w:val="en-IN"/>
          </w:rPr>
          <w:t>https://research.usc.edu.au/esploro/outputs/graduate/Perspectives-of-health-professionals-on-providing/991127506102621</w:t>
        </w:r>
      </w:hyperlink>
      <w:r w:rsidRPr="003F68A6">
        <w:rPr>
          <w:rFonts w:ascii="Arial" w:hAnsi="Arial" w:cs="Arial"/>
          <w:sz w:val="22"/>
          <w:szCs w:val="22"/>
          <w:lang w:val="en-IN"/>
        </w:rPr>
        <w:t>.</w:t>
      </w:r>
      <w:r w:rsidR="00883A2A" w:rsidRPr="003F68A6">
        <w:rPr>
          <w:rFonts w:ascii="Arial" w:hAnsi="Arial" w:cs="Arial"/>
          <w:sz w:val="22"/>
          <w:szCs w:val="22"/>
          <w:lang w:val="en-IN"/>
        </w:rPr>
        <w:t xml:space="preserve"> </w:t>
      </w:r>
    </w:p>
    <w:p w14:paraId="3582BDDF" w14:textId="77777777" w:rsidR="006953FA" w:rsidRPr="003F68A6" w:rsidRDefault="006953FA" w:rsidP="003F68A6">
      <w:pPr>
        <w:spacing w:line="360" w:lineRule="auto"/>
        <w:jc w:val="both"/>
        <w:rPr>
          <w:rFonts w:ascii="Arial" w:hAnsi="Arial" w:cs="Arial"/>
          <w:sz w:val="22"/>
          <w:szCs w:val="22"/>
        </w:rPr>
      </w:pPr>
    </w:p>
    <w:sectPr w:rsidR="006953FA" w:rsidRPr="003F68A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D1376" w14:textId="77777777" w:rsidR="00AE0325" w:rsidRDefault="00AE0325" w:rsidP="004D04FA">
      <w:r>
        <w:separator/>
      </w:r>
    </w:p>
  </w:endnote>
  <w:endnote w:type="continuationSeparator" w:id="0">
    <w:p w14:paraId="64022758" w14:textId="77777777" w:rsidR="00AE0325" w:rsidRDefault="00AE0325" w:rsidP="004D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201494"/>
      <w:docPartObj>
        <w:docPartGallery w:val="Page Numbers (Bottom of Page)"/>
        <w:docPartUnique/>
      </w:docPartObj>
    </w:sdtPr>
    <w:sdtEndPr>
      <w:rPr>
        <w:noProof/>
      </w:rPr>
    </w:sdtEndPr>
    <w:sdtContent>
      <w:p w14:paraId="06673B64" w14:textId="77777777" w:rsidR="004D04FA" w:rsidRDefault="004D04FA">
        <w:pPr>
          <w:pStyle w:val="Zpat"/>
          <w:jc w:val="right"/>
        </w:pPr>
        <w:r>
          <w:fldChar w:fldCharType="begin"/>
        </w:r>
        <w:r>
          <w:instrText xml:space="preserve"> PAGE   \* MERGEFORMAT </w:instrText>
        </w:r>
        <w:r>
          <w:fldChar w:fldCharType="separate"/>
        </w:r>
        <w:r>
          <w:rPr>
            <w:noProof/>
          </w:rPr>
          <w:t>8</w:t>
        </w:r>
        <w:r>
          <w:rPr>
            <w:noProof/>
          </w:rPr>
          <w:fldChar w:fldCharType="end"/>
        </w:r>
      </w:p>
    </w:sdtContent>
  </w:sdt>
  <w:p w14:paraId="415E2ED7" w14:textId="77777777" w:rsidR="004D04FA" w:rsidRDefault="004D04FA">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D4F58" w14:textId="77777777" w:rsidR="00AE0325" w:rsidRDefault="00AE0325" w:rsidP="004D04FA">
      <w:r>
        <w:separator/>
      </w:r>
    </w:p>
  </w:footnote>
  <w:footnote w:type="continuationSeparator" w:id="0">
    <w:p w14:paraId="5B9D58C8" w14:textId="77777777" w:rsidR="00AE0325" w:rsidRDefault="00AE0325" w:rsidP="004D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Nadpis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972518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A0E"/>
    <w:rsid w:val="000D0948"/>
    <w:rsid w:val="000E2331"/>
    <w:rsid w:val="002E122D"/>
    <w:rsid w:val="003340FF"/>
    <w:rsid w:val="003F68A6"/>
    <w:rsid w:val="00434A33"/>
    <w:rsid w:val="004D04FA"/>
    <w:rsid w:val="0052262F"/>
    <w:rsid w:val="006953FA"/>
    <w:rsid w:val="006C1781"/>
    <w:rsid w:val="007F3016"/>
    <w:rsid w:val="00814343"/>
    <w:rsid w:val="00830CFC"/>
    <w:rsid w:val="00883A2A"/>
    <w:rsid w:val="008E1425"/>
    <w:rsid w:val="008E7FDA"/>
    <w:rsid w:val="00AE0325"/>
    <w:rsid w:val="00B322AA"/>
    <w:rsid w:val="00B335BB"/>
    <w:rsid w:val="00C20393"/>
    <w:rsid w:val="00C3515F"/>
    <w:rsid w:val="00C615ED"/>
    <w:rsid w:val="00C74A0E"/>
    <w:rsid w:val="00D56A0E"/>
    <w:rsid w:val="00F326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45FD7"/>
  <w15:chartTrackingRefBased/>
  <w15:docId w15:val="{EEE4B87C-3568-43CA-9873-0CDA42E3D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D56A0E"/>
    <w:pPr>
      <w:spacing w:after="0" w:line="240" w:lineRule="auto"/>
    </w:pPr>
    <w:rPr>
      <w:rFonts w:ascii="Times New Roman" w:eastAsia="Times New Roman" w:hAnsi="Times New Roman" w:cs="Times New Roman"/>
      <w:sz w:val="20"/>
      <w:szCs w:val="20"/>
      <w:lang w:val="en-GB" w:eastAsia="en-GB"/>
    </w:rPr>
  </w:style>
  <w:style w:type="paragraph" w:styleId="Nadpis1">
    <w:name w:val="heading 1"/>
    <w:basedOn w:val="Normln"/>
    <w:next w:val="Normln"/>
    <w:link w:val="Nadpis1Char"/>
    <w:uiPriority w:val="9"/>
    <w:qFormat/>
    <w:rsid w:val="00C2039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Nadpis2">
    <w:name w:val="heading 2"/>
    <w:basedOn w:val="Normln"/>
    <w:next w:val="Normln"/>
    <w:link w:val="Nadpis2Char"/>
    <w:qFormat/>
    <w:rsid w:val="006C1781"/>
    <w:pPr>
      <w:keepNext/>
      <w:keepLines/>
      <w:numPr>
        <w:ilvl w:val="1"/>
        <w:numId w:val="1"/>
      </w:numPr>
      <w:suppressAutoHyphens/>
      <w:spacing w:before="113" w:line="360" w:lineRule="auto"/>
      <w:jc w:val="both"/>
      <w:outlineLvl w:val="1"/>
    </w:pPr>
    <w:rPr>
      <w:b/>
      <w:bCs/>
      <w:color w:val="000000"/>
      <w:sz w:val="24"/>
      <w:szCs w:val="26"/>
      <w:lang w:eastAsia="ar-SA"/>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2Char">
    <w:name w:val="Nadpis 2 Char"/>
    <w:basedOn w:val="Standardnpsmoodstavce"/>
    <w:link w:val="Nadpis2"/>
    <w:rsid w:val="006C1781"/>
    <w:rPr>
      <w:rFonts w:ascii="Times New Roman" w:eastAsia="Times New Roman" w:hAnsi="Times New Roman" w:cs="Times New Roman"/>
      <w:b/>
      <w:bCs/>
      <w:color w:val="000000"/>
      <w:sz w:val="24"/>
      <w:szCs w:val="26"/>
      <w:lang w:val="en-GB" w:eastAsia="ar-SA"/>
    </w:rPr>
  </w:style>
  <w:style w:type="paragraph" w:styleId="Podnadpis">
    <w:name w:val="Subtitle"/>
    <w:basedOn w:val="Normln"/>
    <w:next w:val="Normln"/>
    <w:link w:val="PodnadpisChar"/>
    <w:uiPriority w:val="11"/>
    <w:qFormat/>
    <w:rsid w:val="00D56A0E"/>
    <w:pPr>
      <w:numPr>
        <w:ilvl w:val="1"/>
      </w:numPr>
    </w:pPr>
    <w:rPr>
      <w:rFonts w:eastAsiaTheme="minorEastAsia"/>
      <w:color w:val="5A5A5A" w:themeColor="text1" w:themeTint="A5"/>
      <w:spacing w:val="15"/>
    </w:rPr>
  </w:style>
  <w:style w:type="character" w:customStyle="1" w:styleId="PodnadpisChar">
    <w:name w:val="Podnadpis Char"/>
    <w:basedOn w:val="Standardnpsmoodstavce"/>
    <w:link w:val="Podnadpis"/>
    <w:uiPriority w:val="11"/>
    <w:rsid w:val="00D56A0E"/>
    <w:rPr>
      <w:rFonts w:eastAsiaTheme="minorEastAsia"/>
      <w:color w:val="5A5A5A" w:themeColor="text1" w:themeTint="A5"/>
      <w:spacing w:val="15"/>
    </w:rPr>
  </w:style>
  <w:style w:type="character" w:customStyle="1" w:styleId="Nadpis1Char">
    <w:name w:val="Nadpis 1 Char"/>
    <w:basedOn w:val="Standardnpsmoodstavce"/>
    <w:link w:val="Nadpis1"/>
    <w:uiPriority w:val="9"/>
    <w:rsid w:val="00C20393"/>
    <w:rPr>
      <w:rFonts w:asciiTheme="majorHAnsi" w:eastAsiaTheme="majorEastAsia" w:hAnsiTheme="majorHAnsi" w:cstheme="majorBidi"/>
      <w:color w:val="2E74B5" w:themeColor="accent1" w:themeShade="BF"/>
      <w:sz w:val="32"/>
      <w:szCs w:val="32"/>
      <w:lang w:val="en-GB" w:eastAsia="en-GB"/>
    </w:rPr>
  </w:style>
  <w:style w:type="paragraph" w:styleId="Nadpisobsahu">
    <w:name w:val="TOC Heading"/>
    <w:basedOn w:val="Nadpis1"/>
    <w:next w:val="Normln"/>
    <w:uiPriority w:val="39"/>
    <w:unhideWhenUsed/>
    <w:qFormat/>
    <w:rsid w:val="00C20393"/>
    <w:pPr>
      <w:spacing w:line="259" w:lineRule="auto"/>
      <w:outlineLvl w:val="9"/>
    </w:pPr>
    <w:rPr>
      <w:lang w:val="en-US" w:eastAsia="en-US"/>
    </w:rPr>
  </w:style>
  <w:style w:type="paragraph" w:styleId="Obsah1">
    <w:name w:val="toc 1"/>
    <w:basedOn w:val="Normln"/>
    <w:next w:val="Normln"/>
    <w:autoRedefine/>
    <w:uiPriority w:val="39"/>
    <w:unhideWhenUsed/>
    <w:rsid w:val="00C20393"/>
    <w:pPr>
      <w:spacing w:after="100"/>
    </w:pPr>
  </w:style>
  <w:style w:type="paragraph" w:styleId="Obsah2">
    <w:name w:val="toc 2"/>
    <w:basedOn w:val="Normln"/>
    <w:next w:val="Normln"/>
    <w:autoRedefine/>
    <w:uiPriority w:val="39"/>
    <w:unhideWhenUsed/>
    <w:rsid w:val="00C20393"/>
    <w:pPr>
      <w:spacing w:after="100"/>
      <w:ind w:left="200"/>
    </w:pPr>
  </w:style>
  <w:style w:type="character" w:styleId="Hypertextovodkaz">
    <w:name w:val="Hyperlink"/>
    <w:basedOn w:val="Standardnpsmoodstavce"/>
    <w:uiPriority w:val="99"/>
    <w:unhideWhenUsed/>
    <w:rsid w:val="00C20393"/>
    <w:rPr>
      <w:color w:val="0563C1" w:themeColor="hyperlink"/>
      <w:u w:val="single"/>
    </w:rPr>
  </w:style>
  <w:style w:type="character" w:styleId="Sledovanodkaz">
    <w:name w:val="FollowedHyperlink"/>
    <w:basedOn w:val="Standardnpsmoodstavce"/>
    <w:uiPriority w:val="99"/>
    <w:semiHidden/>
    <w:unhideWhenUsed/>
    <w:rsid w:val="003340FF"/>
    <w:rPr>
      <w:color w:val="954F72" w:themeColor="followedHyperlink"/>
      <w:u w:val="single"/>
    </w:rPr>
  </w:style>
  <w:style w:type="paragraph" w:styleId="Zhlav">
    <w:name w:val="header"/>
    <w:basedOn w:val="Normln"/>
    <w:link w:val="ZhlavChar"/>
    <w:uiPriority w:val="99"/>
    <w:unhideWhenUsed/>
    <w:rsid w:val="004D04FA"/>
    <w:pPr>
      <w:tabs>
        <w:tab w:val="center" w:pos="4680"/>
        <w:tab w:val="right" w:pos="9360"/>
      </w:tabs>
    </w:pPr>
  </w:style>
  <w:style w:type="character" w:customStyle="1" w:styleId="ZhlavChar">
    <w:name w:val="Záhlaví Char"/>
    <w:basedOn w:val="Standardnpsmoodstavce"/>
    <w:link w:val="Zhlav"/>
    <w:uiPriority w:val="99"/>
    <w:rsid w:val="004D04FA"/>
    <w:rPr>
      <w:rFonts w:ascii="Times New Roman" w:eastAsia="Times New Roman" w:hAnsi="Times New Roman" w:cs="Times New Roman"/>
      <w:sz w:val="20"/>
      <w:szCs w:val="20"/>
      <w:lang w:val="en-GB" w:eastAsia="en-GB"/>
    </w:rPr>
  </w:style>
  <w:style w:type="paragraph" w:styleId="Zpat">
    <w:name w:val="footer"/>
    <w:basedOn w:val="Normln"/>
    <w:link w:val="ZpatChar"/>
    <w:uiPriority w:val="99"/>
    <w:unhideWhenUsed/>
    <w:rsid w:val="004D04FA"/>
    <w:pPr>
      <w:tabs>
        <w:tab w:val="center" w:pos="4680"/>
        <w:tab w:val="right" w:pos="9360"/>
      </w:tabs>
    </w:pPr>
  </w:style>
  <w:style w:type="character" w:customStyle="1" w:styleId="ZpatChar">
    <w:name w:val="Zápatí Char"/>
    <w:basedOn w:val="Standardnpsmoodstavce"/>
    <w:link w:val="Zpat"/>
    <w:uiPriority w:val="99"/>
    <w:rsid w:val="004D04FA"/>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5830">
      <w:bodyDiv w:val="1"/>
      <w:marLeft w:val="0"/>
      <w:marRight w:val="0"/>
      <w:marTop w:val="0"/>
      <w:marBottom w:val="0"/>
      <w:divBdr>
        <w:top w:val="none" w:sz="0" w:space="0" w:color="auto"/>
        <w:left w:val="none" w:sz="0" w:space="0" w:color="auto"/>
        <w:bottom w:val="none" w:sz="0" w:space="0" w:color="auto"/>
        <w:right w:val="none" w:sz="0" w:space="0" w:color="auto"/>
      </w:divBdr>
    </w:div>
    <w:div w:id="253830801">
      <w:bodyDiv w:val="1"/>
      <w:marLeft w:val="0"/>
      <w:marRight w:val="0"/>
      <w:marTop w:val="0"/>
      <w:marBottom w:val="0"/>
      <w:divBdr>
        <w:top w:val="none" w:sz="0" w:space="0" w:color="auto"/>
        <w:left w:val="none" w:sz="0" w:space="0" w:color="auto"/>
        <w:bottom w:val="none" w:sz="0" w:space="0" w:color="auto"/>
        <w:right w:val="none" w:sz="0" w:space="0" w:color="auto"/>
      </w:divBdr>
    </w:div>
    <w:div w:id="433982009">
      <w:bodyDiv w:val="1"/>
      <w:marLeft w:val="0"/>
      <w:marRight w:val="0"/>
      <w:marTop w:val="0"/>
      <w:marBottom w:val="0"/>
      <w:divBdr>
        <w:top w:val="none" w:sz="0" w:space="0" w:color="auto"/>
        <w:left w:val="none" w:sz="0" w:space="0" w:color="auto"/>
        <w:bottom w:val="none" w:sz="0" w:space="0" w:color="auto"/>
        <w:right w:val="none" w:sz="0" w:space="0" w:color="auto"/>
      </w:divBdr>
    </w:div>
    <w:div w:id="495077433">
      <w:bodyDiv w:val="1"/>
      <w:marLeft w:val="0"/>
      <w:marRight w:val="0"/>
      <w:marTop w:val="0"/>
      <w:marBottom w:val="0"/>
      <w:divBdr>
        <w:top w:val="none" w:sz="0" w:space="0" w:color="auto"/>
        <w:left w:val="none" w:sz="0" w:space="0" w:color="auto"/>
        <w:bottom w:val="none" w:sz="0" w:space="0" w:color="auto"/>
        <w:right w:val="none" w:sz="0" w:space="0" w:color="auto"/>
      </w:divBdr>
    </w:div>
    <w:div w:id="499809120">
      <w:bodyDiv w:val="1"/>
      <w:marLeft w:val="0"/>
      <w:marRight w:val="0"/>
      <w:marTop w:val="0"/>
      <w:marBottom w:val="0"/>
      <w:divBdr>
        <w:top w:val="none" w:sz="0" w:space="0" w:color="auto"/>
        <w:left w:val="none" w:sz="0" w:space="0" w:color="auto"/>
        <w:bottom w:val="none" w:sz="0" w:space="0" w:color="auto"/>
        <w:right w:val="none" w:sz="0" w:space="0" w:color="auto"/>
      </w:divBdr>
    </w:div>
    <w:div w:id="634870528">
      <w:bodyDiv w:val="1"/>
      <w:marLeft w:val="0"/>
      <w:marRight w:val="0"/>
      <w:marTop w:val="0"/>
      <w:marBottom w:val="0"/>
      <w:divBdr>
        <w:top w:val="none" w:sz="0" w:space="0" w:color="auto"/>
        <w:left w:val="none" w:sz="0" w:space="0" w:color="auto"/>
        <w:bottom w:val="none" w:sz="0" w:space="0" w:color="auto"/>
        <w:right w:val="none" w:sz="0" w:space="0" w:color="auto"/>
      </w:divBdr>
    </w:div>
    <w:div w:id="718553290">
      <w:bodyDiv w:val="1"/>
      <w:marLeft w:val="0"/>
      <w:marRight w:val="0"/>
      <w:marTop w:val="0"/>
      <w:marBottom w:val="0"/>
      <w:divBdr>
        <w:top w:val="none" w:sz="0" w:space="0" w:color="auto"/>
        <w:left w:val="none" w:sz="0" w:space="0" w:color="auto"/>
        <w:bottom w:val="none" w:sz="0" w:space="0" w:color="auto"/>
        <w:right w:val="none" w:sz="0" w:space="0" w:color="auto"/>
      </w:divBdr>
      <w:divsChild>
        <w:div w:id="58596001">
          <w:marLeft w:val="0"/>
          <w:marRight w:val="0"/>
          <w:marTop w:val="0"/>
          <w:marBottom w:val="0"/>
          <w:divBdr>
            <w:top w:val="none" w:sz="0" w:space="0" w:color="auto"/>
            <w:left w:val="none" w:sz="0" w:space="0" w:color="auto"/>
            <w:bottom w:val="none" w:sz="0" w:space="0" w:color="auto"/>
            <w:right w:val="none" w:sz="0" w:space="0" w:color="auto"/>
          </w:divBdr>
        </w:div>
      </w:divsChild>
    </w:div>
    <w:div w:id="863396902">
      <w:bodyDiv w:val="1"/>
      <w:marLeft w:val="0"/>
      <w:marRight w:val="0"/>
      <w:marTop w:val="0"/>
      <w:marBottom w:val="0"/>
      <w:divBdr>
        <w:top w:val="none" w:sz="0" w:space="0" w:color="auto"/>
        <w:left w:val="none" w:sz="0" w:space="0" w:color="auto"/>
        <w:bottom w:val="none" w:sz="0" w:space="0" w:color="auto"/>
        <w:right w:val="none" w:sz="0" w:space="0" w:color="auto"/>
      </w:divBdr>
    </w:div>
    <w:div w:id="916745373">
      <w:bodyDiv w:val="1"/>
      <w:marLeft w:val="0"/>
      <w:marRight w:val="0"/>
      <w:marTop w:val="0"/>
      <w:marBottom w:val="0"/>
      <w:divBdr>
        <w:top w:val="none" w:sz="0" w:space="0" w:color="auto"/>
        <w:left w:val="none" w:sz="0" w:space="0" w:color="auto"/>
        <w:bottom w:val="none" w:sz="0" w:space="0" w:color="auto"/>
        <w:right w:val="none" w:sz="0" w:space="0" w:color="auto"/>
      </w:divBdr>
    </w:div>
    <w:div w:id="1007752923">
      <w:bodyDiv w:val="1"/>
      <w:marLeft w:val="0"/>
      <w:marRight w:val="0"/>
      <w:marTop w:val="0"/>
      <w:marBottom w:val="0"/>
      <w:divBdr>
        <w:top w:val="none" w:sz="0" w:space="0" w:color="auto"/>
        <w:left w:val="none" w:sz="0" w:space="0" w:color="auto"/>
        <w:bottom w:val="none" w:sz="0" w:space="0" w:color="auto"/>
        <w:right w:val="none" w:sz="0" w:space="0" w:color="auto"/>
      </w:divBdr>
    </w:div>
    <w:div w:id="1060518166">
      <w:bodyDiv w:val="1"/>
      <w:marLeft w:val="0"/>
      <w:marRight w:val="0"/>
      <w:marTop w:val="0"/>
      <w:marBottom w:val="0"/>
      <w:divBdr>
        <w:top w:val="none" w:sz="0" w:space="0" w:color="auto"/>
        <w:left w:val="none" w:sz="0" w:space="0" w:color="auto"/>
        <w:bottom w:val="none" w:sz="0" w:space="0" w:color="auto"/>
        <w:right w:val="none" w:sz="0" w:space="0" w:color="auto"/>
      </w:divBdr>
    </w:div>
    <w:div w:id="1139149237">
      <w:bodyDiv w:val="1"/>
      <w:marLeft w:val="0"/>
      <w:marRight w:val="0"/>
      <w:marTop w:val="0"/>
      <w:marBottom w:val="0"/>
      <w:divBdr>
        <w:top w:val="none" w:sz="0" w:space="0" w:color="auto"/>
        <w:left w:val="none" w:sz="0" w:space="0" w:color="auto"/>
        <w:bottom w:val="none" w:sz="0" w:space="0" w:color="auto"/>
        <w:right w:val="none" w:sz="0" w:space="0" w:color="auto"/>
      </w:divBdr>
    </w:div>
    <w:div w:id="1308509618">
      <w:bodyDiv w:val="1"/>
      <w:marLeft w:val="0"/>
      <w:marRight w:val="0"/>
      <w:marTop w:val="0"/>
      <w:marBottom w:val="0"/>
      <w:divBdr>
        <w:top w:val="none" w:sz="0" w:space="0" w:color="auto"/>
        <w:left w:val="none" w:sz="0" w:space="0" w:color="auto"/>
        <w:bottom w:val="none" w:sz="0" w:space="0" w:color="auto"/>
        <w:right w:val="none" w:sz="0" w:space="0" w:color="auto"/>
      </w:divBdr>
      <w:divsChild>
        <w:div w:id="817109526">
          <w:marLeft w:val="0"/>
          <w:marRight w:val="0"/>
          <w:marTop w:val="0"/>
          <w:marBottom w:val="0"/>
          <w:divBdr>
            <w:top w:val="none" w:sz="0" w:space="0" w:color="auto"/>
            <w:left w:val="none" w:sz="0" w:space="0" w:color="auto"/>
            <w:bottom w:val="none" w:sz="0" w:space="0" w:color="auto"/>
            <w:right w:val="none" w:sz="0" w:space="0" w:color="auto"/>
          </w:divBdr>
        </w:div>
      </w:divsChild>
    </w:div>
    <w:div w:id="1367097262">
      <w:bodyDiv w:val="1"/>
      <w:marLeft w:val="0"/>
      <w:marRight w:val="0"/>
      <w:marTop w:val="0"/>
      <w:marBottom w:val="0"/>
      <w:divBdr>
        <w:top w:val="none" w:sz="0" w:space="0" w:color="auto"/>
        <w:left w:val="none" w:sz="0" w:space="0" w:color="auto"/>
        <w:bottom w:val="none" w:sz="0" w:space="0" w:color="auto"/>
        <w:right w:val="none" w:sz="0" w:space="0" w:color="auto"/>
      </w:divBdr>
    </w:div>
    <w:div w:id="1471315227">
      <w:bodyDiv w:val="1"/>
      <w:marLeft w:val="0"/>
      <w:marRight w:val="0"/>
      <w:marTop w:val="0"/>
      <w:marBottom w:val="0"/>
      <w:divBdr>
        <w:top w:val="none" w:sz="0" w:space="0" w:color="auto"/>
        <w:left w:val="none" w:sz="0" w:space="0" w:color="auto"/>
        <w:bottom w:val="none" w:sz="0" w:space="0" w:color="auto"/>
        <w:right w:val="none" w:sz="0" w:space="0" w:color="auto"/>
      </w:divBdr>
    </w:div>
    <w:div w:id="1757743288">
      <w:bodyDiv w:val="1"/>
      <w:marLeft w:val="0"/>
      <w:marRight w:val="0"/>
      <w:marTop w:val="0"/>
      <w:marBottom w:val="0"/>
      <w:divBdr>
        <w:top w:val="none" w:sz="0" w:space="0" w:color="auto"/>
        <w:left w:val="none" w:sz="0" w:space="0" w:color="auto"/>
        <w:bottom w:val="none" w:sz="0" w:space="0" w:color="auto"/>
        <w:right w:val="none" w:sz="0" w:space="0" w:color="auto"/>
      </w:divBdr>
      <w:divsChild>
        <w:div w:id="1071199889">
          <w:marLeft w:val="0"/>
          <w:marRight w:val="0"/>
          <w:marTop w:val="0"/>
          <w:marBottom w:val="0"/>
          <w:divBdr>
            <w:top w:val="none" w:sz="0" w:space="0" w:color="auto"/>
            <w:left w:val="none" w:sz="0" w:space="0" w:color="auto"/>
            <w:bottom w:val="none" w:sz="0" w:space="0" w:color="auto"/>
            <w:right w:val="none" w:sz="0" w:space="0" w:color="auto"/>
          </w:divBdr>
        </w:div>
      </w:divsChild>
    </w:div>
    <w:div w:id="1758210596">
      <w:bodyDiv w:val="1"/>
      <w:marLeft w:val="0"/>
      <w:marRight w:val="0"/>
      <w:marTop w:val="0"/>
      <w:marBottom w:val="0"/>
      <w:divBdr>
        <w:top w:val="none" w:sz="0" w:space="0" w:color="auto"/>
        <w:left w:val="none" w:sz="0" w:space="0" w:color="auto"/>
        <w:bottom w:val="none" w:sz="0" w:space="0" w:color="auto"/>
        <w:right w:val="none" w:sz="0" w:space="0" w:color="auto"/>
      </w:divBdr>
    </w:div>
    <w:div w:id="1773234371">
      <w:bodyDiv w:val="1"/>
      <w:marLeft w:val="0"/>
      <w:marRight w:val="0"/>
      <w:marTop w:val="0"/>
      <w:marBottom w:val="0"/>
      <w:divBdr>
        <w:top w:val="none" w:sz="0" w:space="0" w:color="auto"/>
        <w:left w:val="none" w:sz="0" w:space="0" w:color="auto"/>
        <w:bottom w:val="none" w:sz="0" w:space="0" w:color="auto"/>
        <w:right w:val="none" w:sz="0" w:space="0" w:color="auto"/>
      </w:divBdr>
      <w:divsChild>
        <w:div w:id="2018576928">
          <w:marLeft w:val="0"/>
          <w:marRight w:val="0"/>
          <w:marTop w:val="0"/>
          <w:marBottom w:val="0"/>
          <w:divBdr>
            <w:top w:val="none" w:sz="0" w:space="0" w:color="auto"/>
            <w:left w:val="none" w:sz="0" w:space="0" w:color="auto"/>
            <w:bottom w:val="none" w:sz="0" w:space="0" w:color="auto"/>
            <w:right w:val="none" w:sz="0" w:space="0" w:color="auto"/>
          </w:divBdr>
        </w:div>
      </w:divsChild>
    </w:div>
    <w:div w:id="1873229395">
      <w:bodyDiv w:val="1"/>
      <w:marLeft w:val="0"/>
      <w:marRight w:val="0"/>
      <w:marTop w:val="0"/>
      <w:marBottom w:val="0"/>
      <w:divBdr>
        <w:top w:val="none" w:sz="0" w:space="0" w:color="auto"/>
        <w:left w:val="none" w:sz="0" w:space="0" w:color="auto"/>
        <w:bottom w:val="none" w:sz="0" w:space="0" w:color="auto"/>
        <w:right w:val="none" w:sz="0" w:space="0" w:color="auto"/>
      </w:divBdr>
    </w:div>
    <w:div w:id="1915894560">
      <w:bodyDiv w:val="1"/>
      <w:marLeft w:val="0"/>
      <w:marRight w:val="0"/>
      <w:marTop w:val="0"/>
      <w:marBottom w:val="0"/>
      <w:divBdr>
        <w:top w:val="none" w:sz="0" w:space="0" w:color="auto"/>
        <w:left w:val="none" w:sz="0" w:space="0" w:color="auto"/>
        <w:bottom w:val="none" w:sz="0" w:space="0" w:color="auto"/>
        <w:right w:val="none" w:sz="0" w:space="0" w:color="auto"/>
      </w:divBdr>
    </w:div>
    <w:div w:id="1921477393">
      <w:bodyDiv w:val="1"/>
      <w:marLeft w:val="0"/>
      <w:marRight w:val="0"/>
      <w:marTop w:val="0"/>
      <w:marBottom w:val="0"/>
      <w:divBdr>
        <w:top w:val="none" w:sz="0" w:space="0" w:color="auto"/>
        <w:left w:val="none" w:sz="0" w:space="0" w:color="auto"/>
        <w:bottom w:val="none" w:sz="0" w:space="0" w:color="auto"/>
        <w:right w:val="none" w:sz="0" w:space="0" w:color="auto"/>
      </w:divBdr>
    </w:div>
    <w:div w:id="1978603689">
      <w:bodyDiv w:val="1"/>
      <w:marLeft w:val="0"/>
      <w:marRight w:val="0"/>
      <w:marTop w:val="0"/>
      <w:marBottom w:val="0"/>
      <w:divBdr>
        <w:top w:val="none" w:sz="0" w:space="0" w:color="auto"/>
        <w:left w:val="none" w:sz="0" w:space="0" w:color="auto"/>
        <w:bottom w:val="none" w:sz="0" w:space="0" w:color="auto"/>
        <w:right w:val="none" w:sz="0" w:space="0" w:color="auto"/>
      </w:divBdr>
    </w:div>
    <w:div w:id="2072997030">
      <w:bodyDiv w:val="1"/>
      <w:marLeft w:val="0"/>
      <w:marRight w:val="0"/>
      <w:marTop w:val="0"/>
      <w:marBottom w:val="0"/>
      <w:divBdr>
        <w:top w:val="none" w:sz="0" w:space="0" w:color="auto"/>
        <w:left w:val="none" w:sz="0" w:space="0" w:color="auto"/>
        <w:bottom w:val="none" w:sz="0" w:space="0" w:color="auto"/>
        <w:right w:val="none" w:sz="0" w:space="0" w:color="auto"/>
      </w:divBdr>
    </w:div>
    <w:div w:id="2081513540">
      <w:bodyDiv w:val="1"/>
      <w:marLeft w:val="0"/>
      <w:marRight w:val="0"/>
      <w:marTop w:val="0"/>
      <w:marBottom w:val="0"/>
      <w:divBdr>
        <w:top w:val="none" w:sz="0" w:space="0" w:color="auto"/>
        <w:left w:val="none" w:sz="0" w:space="0" w:color="auto"/>
        <w:bottom w:val="none" w:sz="0" w:space="0" w:color="auto"/>
        <w:right w:val="none" w:sz="0" w:space="0" w:color="auto"/>
      </w:divBdr>
    </w:div>
    <w:div w:id="213170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8404704221078975" TargetMode="External"/><Relationship Id="rId13" Type="http://schemas.openxmlformats.org/officeDocument/2006/relationships/hyperlink" Target="https://doi.org/10.1111/hex.1347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36/bmjgh-2023-012906" TargetMode="External"/><Relationship Id="rId17" Type="http://schemas.openxmlformats.org/officeDocument/2006/relationships/hyperlink" Target="https://research.usc.edu.au/esploro/outputs/graduate/Perspectives-of-health-professionals-on-providing/991127506102621" TargetMode="External"/><Relationship Id="rId2" Type="http://schemas.openxmlformats.org/officeDocument/2006/relationships/numbering" Target="numbering.xml"/><Relationship Id="rId16" Type="http://schemas.openxmlformats.org/officeDocument/2006/relationships/hyperlink" Target="https://doi.org/10.1108/978-1-80071-743-52022100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3563890221096178" TargetMode="External"/><Relationship Id="rId5" Type="http://schemas.openxmlformats.org/officeDocument/2006/relationships/webSettings" Target="webSettings.xml"/><Relationship Id="rId15" Type="http://schemas.openxmlformats.org/officeDocument/2006/relationships/hyperlink" Target="https://doi.org/10.1111/hsc.13221" TargetMode="External"/><Relationship Id="rId10" Type="http://schemas.openxmlformats.org/officeDocument/2006/relationships/hyperlink" Target="https://doi.org/10.1353/cpr.2021.002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13558196251349363" TargetMode="External"/><Relationship Id="rId14" Type="http://schemas.openxmlformats.org/officeDocument/2006/relationships/hyperlink" Target="https://doi.org/10.1016/j.pec.2020.09.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0E774-B6FA-44EF-BADC-210179DAB0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2710</Words>
  <Characters>15994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Karin Tokarova (2414165)</cp:lastModifiedBy>
  <cp:revision>2</cp:revision>
  <dcterms:created xsi:type="dcterms:W3CDTF">2025-11-15T14:02:00Z</dcterms:created>
  <dcterms:modified xsi:type="dcterms:W3CDTF">2025-11-15T14:02:00Z</dcterms:modified>
</cp:coreProperties>
</file>