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32D86" w14:textId="77777777" w:rsidR="003B1A00" w:rsidRPr="003B1A00" w:rsidRDefault="003B1A00" w:rsidP="003B1A00">
      <w:pPr>
        <w:spacing w:line="360" w:lineRule="auto"/>
        <w:jc w:val="center"/>
        <w:rPr>
          <w:rFonts w:ascii="Times New Roman" w:hAnsi="Times New Roman" w:cs="Times New Roman"/>
          <w:sz w:val="24"/>
          <w:szCs w:val="24"/>
        </w:rPr>
      </w:pPr>
      <w:r w:rsidRPr="003B1A00">
        <w:rPr>
          <w:rFonts w:ascii="Playfair Display" w:hAnsi="Playfair Display" w:cs="Times New Roman"/>
          <w:i/>
          <w:iCs/>
          <w:color w:val="000000"/>
          <w:sz w:val="30"/>
          <w:szCs w:val="30"/>
        </w:rPr>
        <w:t>A vital examination and reflection on how different cultural variables influence mental health terminology diagnosis and interventions. </w:t>
      </w:r>
    </w:p>
    <w:p w14:paraId="44064A71"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p>
    <w:p w14:paraId="4062A5F2" w14:textId="77777777" w:rsidR="003B1A00" w:rsidRPr="003B1A00" w:rsidRDefault="003B1A00" w:rsidP="003B1A00">
      <w:pPr>
        <w:spacing w:line="360" w:lineRule="auto"/>
        <w:jc w:val="center"/>
        <w:rPr>
          <w:rFonts w:ascii="Times New Roman" w:hAnsi="Times New Roman" w:cs="Times New Roman"/>
          <w:sz w:val="24"/>
          <w:szCs w:val="24"/>
        </w:rPr>
      </w:pPr>
      <w:r w:rsidRPr="003B1A00">
        <w:rPr>
          <w:rFonts w:ascii="Arial" w:hAnsi="Arial" w:cs="Arial"/>
          <w:b/>
          <w:bCs/>
          <w:i/>
          <w:iCs/>
          <w:color w:val="000000"/>
          <w:sz w:val="26"/>
          <w:szCs w:val="26"/>
          <w:u w:val="single"/>
        </w:rPr>
        <w:t>Culture, Community, Ethnicity, Race And Mental Health </w:t>
      </w:r>
    </w:p>
    <w:p w14:paraId="2385070A" w14:textId="77777777" w:rsidR="003B1A00" w:rsidRPr="003B1A00" w:rsidRDefault="003B1A00" w:rsidP="003B1A00">
      <w:pPr>
        <w:spacing w:after="240" w:line="360" w:lineRule="auto"/>
        <w:rPr>
          <w:rFonts w:ascii="Times New Roman" w:eastAsia="Times New Roman" w:hAnsi="Times New Roman" w:cs="Times New Roman"/>
          <w:sz w:val="24"/>
          <w:szCs w:val="24"/>
        </w:rPr>
      </w:pPr>
    </w:p>
    <w:p w14:paraId="416BC11B"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 xml:space="preserve">According to social psychologists (Kendrick, </w:t>
      </w:r>
      <w:proofErr w:type="spellStart"/>
      <w:r w:rsidRPr="003B1A00">
        <w:rPr>
          <w:rFonts w:ascii="Arial" w:hAnsi="Arial" w:cs="Arial"/>
          <w:color w:val="000000"/>
        </w:rPr>
        <w:t>Neuberg</w:t>
      </w:r>
      <w:proofErr w:type="spellEnd"/>
      <w:r w:rsidRPr="003B1A00">
        <w:rPr>
          <w:rFonts w:ascii="Arial" w:hAnsi="Arial" w:cs="Arial"/>
          <w:color w:val="000000"/>
        </w:rPr>
        <w:t xml:space="preserve"> and </w:t>
      </w:r>
      <w:proofErr w:type="spellStart"/>
      <w:r w:rsidRPr="003B1A00">
        <w:rPr>
          <w:rFonts w:ascii="Arial" w:hAnsi="Arial" w:cs="Arial"/>
          <w:color w:val="000000"/>
        </w:rPr>
        <w:t>Cialdini</w:t>
      </w:r>
      <w:proofErr w:type="spellEnd"/>
      <w:r w:rsidRPr="003B1A00">
        <w:rPr>
          <w:rFonts w:ascii="Arial" w:hAnsi="Arial" w:cs="Arial"/>
          <w:color w:val="000000"/>
        </w:rPr>
        <w:t>, 2010) “a definition of culture can include a set of beliefs, habits, customs and discourse shared by people living in close proximity and time”. Cultural anthropologists have explored how culture fully shapes individual’s experiences, interpretations and behaviours affecting their feelings, thoughts by being in the world. Furthermore, cultural practises usually include symbols, language, rituals, attires and artefacts that signify a society’s way of life as well as a collection of thoughts that make up a system of religion, moral standard and legal theory. This can also be ruled out due to differences in religious customs. The Sikh, Hindu and Muslims religions, for example, have vastly different religious beliefs and ceremonies. Despite the fact that South Asian concepts on selfhood, marriage and family religious variations still remain and exist, indicating considerable differences amongst their communities.  </w:t>
      </w:r>
    </w:p>
    <w:p w14:paraId="5DDC04AB" w14:textId="77777777" w:rsidR="003B1A00" w:rsidRPr="003B1A00" w:rsidRDefault="003B1A00" w:rsidP="003B1A00">
      <w:pPr>
        <w:spacing w:line="360" w:lineRule="auto"/>
        <w:rPr>
          <w:rFonts w:ascii="Times New Roman" w:eastAsia="Times New Roman" w:hAnsi="Times New Roman" w:cs="Times New Roman"/>
          <w:sz w:val="24"/>
          <w:szCs w:val="24"/>
        </w:rPr>
      </w:pPr>
    </w:p>
    <w:p w14:paraId="5CAC087C"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Reflecting on the term ‘culture’ it is frequently misconstrued and used as a variable to be studied and compared. One the other hand, measurements, standard, institutionalisation, consultations, medications and professional conduct norms are all factors that affect the attitude of each client and psychiatrist.  Associating with clinical psychology has it’s very own concept of culture, which often coexist with psychiatry due to the fact that it must work within the context of a mental health team, but can also oppose psychiatry and establish its own set of practices and rituals that can fully function independently. </w:t>
      </w:r>
    </w:p>
    <w:p w14:paraId="4ECE5A42" w14:textId="77777777" w:rsidR="003B1A00" w:rsidRPr="003B1A00" w:rsidRDefault="003B1A00" w:rsidP="003B1A00">
      <w:pPr>
        <w:spacing w:after="240" w:line="360" w:lineRule="auto"/>
        <w:rPr>
          <w:rFonts w:ascii="Times New Roman" w:eastAsia="Times New Roman" w:hAnsi="Times New Roman" w:cs="Times New Roman"/>
          <w:sz w:val="24"/>
          <w:szCs w:val="24"/>
        </w:rPr>
      </w:pPr>
    </w:p>
    <w:p w14:paraId="5D696E51"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According to (Orford 2008, p. 12) “the central idea of community psychology is that people’s functioning, including their health, can only be understood by appreciating the social contexts within which they are placed”</w:t>
      </w:r>
      <w:r w:rsidRPr="003B1A00">
        <w:rPr>
          <w:rFonts w:ascii="Arial" w:hAnsi="Arial" w:cs="Arial"/>
          <w:color w:val="6AA84F"/>
        </w:rPr>
        <w:t xml:space="preserve">. </w:t>
      </w:r>
      <w:r w:rsidRPr="003B1A00">
        <w:rPr>
          <w:rFonts w:ascii="Arial" w:hAnsi="Arial" w:cs="Arial"/>
          <w:color w:val="000000"/>
        </w:rPr>
        <w:t xml:space="preserve">Because it emphasises a degree of analysis and intervention beyond the individuals and her or his instant interpersonal circumstances, it is referred to as 'community' psychology. Furthermore, community based mental health focuses on offering assistance in addition to traditional treatment to improve wellness. It focuses on action oriented statistics to implement, develop and evaluate programmes as </w:t>
      </w:r>
      <w:r w:rsidRPr="003B1A00">
        <w:rPr>
          <w:rFonts w:ascii="Arial" w:hAnsi="Arial" w:cs="Arial"/>
          <w:color w:val="000000"/>
        </w:rPr>
        <w:lastRenderedPageBreak/>
        <w:t>well as to assist in the development  of collaborative connections with community individuals category and organisations to address social issues. Finally, in order to analyse and encourage diverse and equal participation, it focuses on government, civil life and a working setting. </w:t>
      </w:r>
    </w:p>
    <w:p w14:paraId="30B9F92F" w14:textId="77777777" w:rsidR="003B1A00" w:rsidRPr="003B1A00" w:rsidRDefault="003B1A00" w:rsidP="003B1A00">
      <w:pPr>
        <w:spacing w:after="240" w:line="360" w:lineRule="auto"/>
        <w:rPr>
          <w:rFonts w:ascii="Times New Roman" w:eastAsia="Times New Roman" w:hAnsi="Times New Roman" w:cs="Times New Roman"/>
          <w:sz w:val="24"/>
          <w:szCs w:val="24"/>
        </w:rPr>
      </w:pPr>
    </w:p>
    <w:p w14:paraId="69995F28"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“Ethnicity is a phrase that encompasses both cultural and racial features, as well as maybe much more” as stated by (Stuart Hall, 1992) a sociologist. The concept of ethnicity acknowledges the importance of history, culture and language in the creation of identity and subjectivity as well as the fact that all discourse is contextualised, placed and positioned.  However, the bonds that bind individuals of a given ethic group are frequently vague. Although these are important they cannot be defined exclusively by physical appearance (race) or even social similarities (culture) and subjective emotions can be influenced by a variety of elements.</w:t>
      </w:r>
    </w:p>
    <w:p w14:paraId="3BE46EA1" w14:textId="77777777" w:rsidR="003B1A00" w:rsidRPr="003B1A00" w:rsidRDefault="003B1A00" w:rsidP="003B1A00">
      <w:pPr>
        <w:spacing w:line="360" w:lineRule="auto"/>
        <w:rPr>
          <w:rFonts w:ascii="Times New Roman" w:eastAsia="Times New Roman" w:hAnsi="Times New Roman" w:cs="Times New Roman"/>
          <w:sz w:val="24"/>
          <w:szCs w:val="24"/>
        </w:rPr>
      </w:pPr>
    </w:p>
    <w:p w14:paraId="4574DBF2"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Nevertheless, race links to sociological concepts of it, was initially considered as a subspecies, then as a population. Because the corollaries of these many notions are very diverse, all of these conceptions coexist now, generating enormous confusion in present racial thought.  Race for example, explains why individuals differ culturally and physically, although race as a population does not. Additionally, it might be a good explanation for physical differences between groups that are geographically separated but it can't explain cultural differences. </w:t>
      </w:r>
    </w:p>
    <w:p w14:paraId="2F26BB5E" w14:textId="77777777" w:rsidR="003B1A00" w:rsidRPr="003B1A00" w:rsidRDefault="003B1A00" w:rsidP="003B1A00">
      <w:pPr>
        <w:spacing w:line="360" w:lineRule="auto"/>
        <w:rPr>
          <w:rFonts w:ascii="Times New Roman" w:eastAsia="Times New Roman" w:hAnsi="Times New Roman" w:cs="Times New Roman"/>
          <w:sz w:val="24"/>
          <w:szCs w:val="24"/>
        </w:rPr>
      </w:pPr>
    </w:p>
    <w:p w14:paraId="7BEEC090"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 xml:space="preserve">Moreover, the phrase “mental health” is a rubric, a label that </w:t>
      </w:r>
      <w:r>
        <w:rPr>
          <w:rFonts w:ascii="Arial" w:hAnsi="Arial" w:cs="Arial"/>
          <w:color w:val="000000"/>
        </w:rPr>
        <w:t>incorporates</w:t>
      </w:r>
      <w:r w:rsidRPr="003B1A00">
        <w:rPr>
          <w:rFonts w:ascii="Arial" w:hAnsi="Arial" w:cs="Arial"/>
          <w:color w:val="000000"/>
        </w:rPr>
        <w:t xml:space="preserve"> a wide range of perspective and concerns, such as the absence of incapacitating symptoms psychological integration, effective </w:t>
      </w:r>
      <w:r w:rsidR="002C15E7">
        <w:rPr>
          <w:rFonts w:ascii="Arial" w:hAnsi="Arial" w:cs="Arial"/>
          <w:color w:val="000000"/>
        </w:rPr>
        <w:t>personal</w:t>
      </w:r>
      <w:r w:rsidRPr="003B1A00">
        <w:rPr>
          <w:rFonts w:ascii="Arial" w:hAnsi="Arial" w:cs="Arial"/>
          <w:color w:val="000000"/>
        </w:rPr>
        <w:t xml:space="preserve"> and social life and emotions of ethical and spiritual well being </w:t>
      </w:r>
      <w:r w:rsidR="002C15E7" w:rsidRPr="003B1A00">
        <w:rPr>
          <w:rFonts w:ascii="Arial" w:hAnsi="Arial" w:cs="Arial"/>
          <w:color w:val="000000"/>
        </w:rPr>
        <w:t>among</w:t>
      </w:r>
      <w:r w:rsidRPr="003B1A00">
        <w:rPr>
          <w:rFonts w:ascii="Arial" w:hAnsi="Arial" w:cs="Arial"/>
          <w:color w:val="000000"/>
        </w:rPr>
        <w:t xml:space="preserve"> others. However, culture has an impact on both perception and amount of worry for each of these characteristics.  </w:t>
      </w:r>
    </w:p>
    <w:p w14:paraId="115E5617" w14:textId="77777777" w:rsidR="003B1A00" w:rsidRPr="003B1A00" w:rsidRDefault="003B1A00" w:rsidP="003B1A00">
      <w:pPr>
        <w:spacing w:line="360" w:lineRule="auto"/>
        <w:rPr>
          <w:rFonts w:ascii="Times New Roman" w:eastAsia="Times New Roman" w:hAnsi="Times New Roman" w:cs="Times New Roman"/>
          <w:sz w:val="24"/>
          <w:szCs w:val="24"/>
        </w:rPr>
      </w:pPr>
    </w:p>
    <w:p w14:paraId="6B197AE8"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Proceeding alongside this topic further, if the cause of discomfort or underlying aetiology is substantially influenced by societal constructions, economic political or environmental issues, it might be claimed that mental illness is a symptom to some degree. This is something I thought about a lot during this semester and it appeared to me that in order to appropriately treat individuals who are suffering, the underlying principles of how mental health illness is defined in society need to be addressed on a bigger scale.  A practitioner must be aware of the client’s cultural, religious, spiritual, economic and family conditions as well as the larger scale. </w:t>
      </w:r>
    </w:p>
    <w:p w14:paraId="4B8D0C38" w14:textId="77777777" w:rsidR="003B1A00" w:rsidRPr="003B1A00" w:rsidRDefault="003B1A00" w:rsidP="003B1A00">
      <w:pPr>
        <w:spacing w:line="360" w:lineRule="auto"/>
        <w:rPr>
          <w:rFonts w:ascii="Times New Roman" w:eastAsia="Times New Roman" w:hAnsi="Times New Roman" w:cs="Times New Roman"/>
          <w:sz w:val="24"/>
          <w:szCs w:val="24"/>
        </w:rPr>
      </w:pPr>
    </w:p>
    <w:p w14:paraId="7D1A9695"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In conclusion, while the concepts of race, culture and ethnicity are all related, they should be differentiated. The term used to define a certain group must be attentive to the numerous issues that are present in the community. Besides that, the one to employ is determined by the type and level of racism in the society at the moment, the degree to which those in positions of authority understand the situation and the specific goal for which classification is required.</w:t>
      </w:r>
    </w:p>
    <w:p w14:paraId="000FD4F5"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r w:rsidRPr="003B1A00">
        <w:rPr>
          <w:rFonts w:ascii="Times New Roman" w:eastAsia="Times New Roman" w:hAnsi="Times New Roman" w:cs="Times New Roman"/>
          <w:sz w:val="24"/>
          <w:szCs w:val="24"/>
        </w:rPr>
        <w:br/>
      </w:r>
      <w:r w:rsidRPr="003B1A00">
        <w:rPr>
          <w:rFonts w:ascii="Times New Roman" w:eastAsia="Times New Roman" w:hAnsi="Times New Roman" w:cs="Times New Roman"/>
          <w:sz w:val="24"/>
          <w:szCs w:val="24"/>
        </w:rPr>
        <w:br/>
      </w:r>
    </w:p>
    <w:p w14:paraId="7A69742C" w14:textId="77777777" w:rsidR="003B1A00" w:rsidRPr="003B1A00" w:rsidRDefault="003B1A00" w:rsidP="003B1A00">
      <w:pPr>
        <w:spacing w:line="360" w:lineRule="auto"/>
        <w:jc w:val="center"/>
        <w:rPr>
          <w:rFonts w:ascii="Times New Roman" w:hAnsi="Times New Roman" w:cs="Times New Roman"/>
          <w:sz w:val="24"/>
          <w:szCs w:val="24"/>
        </w:rPr>
      </w:pPr>
      <w:r w:rsidRPr="003B1A00">
        <w:rPr>
          <w:rFonts w:ascii="Arial" w:hAnsi="Arial" w:cs="Arial"/>
          <w:b/>
          <w:bCs/>
          <w:i/>
          <w:iCs/>
          <w:color w:val="000000"/>
          <w:sz w:val="26"/>
          <w:szCs w:val="26"/>
          <w:u w:val="single"/>
        </w:rPr>
        <w:t>Mental Health Within Binge Eating Disorders worldwide </w:t>
      </w:r>
    </w:p>
    <w:p w14:paraId="3A9AAC87"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p>
    <w:p w14:paraId="5AD997ED"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One of the challenges that exists between cultural concepts of mental health and well being is the topic of eating and binge disorders. According to (Osteopathic Family Physician, 2013) “In the general population, eating disorders are very common. Anorexia nervosa and bulimia nervosa are well known disorders. Binge eating disorder (BED) is a third category that has been proposed”. BED, like the others, has a substantial impact on a person's physical and emotional well being and is a significant public health issue. Furthermore, the primary care practitioner must understand BED's signs and symptoms, medical concerns, diagnosis and therapy. </w:t>
      </w:r>
    </w:p>
    <w:p w14:paraId="68A6339D" w14:textId="77777777" w:rsidR="003B1A00" w:rsidRPr="003B1A00" w:rsidRDefault="003B1A00" w:rsidP="003B1A00">
      <w:pPr>
        <w:spacing w:line="360" w:lineRule="auto"/>
        <w:rPr>
          <w:rFonts w:ascii="Times New Roman" w:eastAsia="Times New Roman" w:hAnsi="Times New Roman" w:cs="Times New Roman"/>
          <w:sz w:val="24"/>
          <w:szCs w:val="24"/>
        </w:rPr>
      </w:pPr>
    </w:p>
    <w:p w14:paraId="4B170A0B"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 xml:space="preserve">“The lifetime prevalence of BED was determined to be 3.5 percent in women and 2.0 percent in males in a study” conducted by (James Hudson et al, 2013). This rate is substantially higher than the combined rates of anorexia and bulimia nervosa. There have been reports of famine in both ancients and mediaeval eras (e.g. Catherine de Siena). Furthermore, anorexia nervosa (AN) has long been thought to be a disease that  exclusively affects individuals in affluent countries. “Cross cultural research has found few, if any, examples in rural parts of Africa, the Middle East, or the Orient (with the exception of Japan) that support this clinical perception” (Jules R. </w:t>
      </w:r>
      <w:proofErr w:type="spellStart"/>
      <w:r w:rsidRPr="003B1A00">
        <w:rPr>
          <w:rFonts w:ascii="Arial" w:hAnsi="Arial" w:cs="Arial"/>
          <w:color w:val="000000"/>
        </w:rPr>
        <w:t>Bemporad</w:t>
      </w:r>
      <w:proofErr w:type="spellEnd"/>
      <w:r w:rsidRPr="003B1A00">
        <w:rPr>
          <w:rFonts w:ascii="Arial" w:hAnsi="Arial" w:cs="Arial"/>
          <w:color w:val="000000"/>
        </w:rPr>
        <w:t>, 1997). </w:t>
      </w:r>
    </w:p>
    <w:p w14:paraId="4DE91313" w14:textId="77777777" w:rsidR="003B1A00" w:rsidRPr="003B1A00" w:rsidRDefault="003B1A00" w:rsidP="003B1A00">
      <w:pPr>
        <w:spacing w:line="360" w:lineRule="auto"/>
        <w:rPr>
          <w:rFonts w:ascii="Times New Roman" w:eastAsia="Times New Roman" w:hAnsi="Times New Roman" w:cs="Times New Roman"/>
          <w:sz w:val="24"/>
          <w:szCs w:val="24"/>
        </w:rPr>
      </w:pPr>
    </w:p>
    <w:p w14:paraId="018D99E5"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 xml:space="preserve">Bulimia nervosa is rare among those who have never been open to Western values.  Furthermore, eating disorders are less common among African American women </w:t>
      </w:r>
      <w:r w:rsidRPr="003B1A00">
        <w:rPr>
          <w:rFonts w:ascii="Arial" w:hAnsi="Arial" w:cs="Arial"/>
          <w:color w:val="000000"/>
        </w:rPr>
        <w:lastRenderedPageBreak/>
        <w:t>than among white American women.  In the United States, eating disorders are on the rise among Asian immigrants. Also, anorexia nervosa has developed in those who have not been exposed to western standards. One the other hand, girls are ten times more prone than males to develop eating disorder issues, suggesting that female thinness may have social value. Moreover, eating disorders are more likely in men who place a higher value on their physical appearance and weight. for example individuals who are ballet dancers or athletes. </w:t>
      </w:r>
    </w:p>
    <w:p w14:paraId="30559F70"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p>
    <w:p w14:paraId="5FD25CD6" w14:textId="77777777" w:rsidR="003B1A00" w:rsidRPr="003B1A00" w:rsidRDefault="003B1A00" w:rsidP="003B1A00">
      <w:pPr>
        <w:spacing w:line="360" w:lineRule="auto"/>
        <w:jc w:val="center"/>
        <w:rPr>
          <w:rFonts w:ascii="Times New Roman" w:hAnsi="Times New Roman" w:cs="Times New Roman"/>
          <w:sz w:val="24"/>
          <w:szCs w:val="24"/>
        </w:rPr>
      </w:pPr>
      <w:r w:rsidRPr="003B1A00">
        <w:rPr>
          <w:rFonts w:ascii="Arial" w:hAnsi="Arial" w:cs="Arial"/>
          <w:b/>
          <w:bCs/>
          <w:i/>
          <w:iCs/>
          <w:color w:val="000000"/>
          <w:sz w:val="26"/>
          <w:szCs w:val="26"/>
          <w:u w:val="single"/>
        </w:rPr>
        <w:t>Interventions And Holistic Approaches </w:t>
      </w:r>
    </w:p>
    <w:p w14:paraId="24405838"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p>
    <w:p w14:paraId="53852FAA"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As stated by (Osteopathic Family Physician, 2013) “the clinician's job is made more difficult by the need to link treatments to management”. Several therapies have been tested to discover which is the most helpful in reducing eating over time, including psychological, pharmaceutical and surgical techniques. Although researchers believe that bariatric surgery will assist an individual with binge eating disorder achieve their weight loss objectives by reducing binge eating. Stated by the (Osteopathic Family Physicians, 2013) “</w:t>
      </w:r>
      <w:proofErr w:type="spellStart"/>
      <w:r w:rsidRPr="003B1A00">
        <w:rPr>
          <w:rFonts w:ascii="Arial" w:hAnsi="Arial" w:cs="Arial"/>
          <w:color w:val="000000"/>
        </w:rPr>
        <w:t>Niego</w:t>
      </w:r>
      <w:proofErr w:type="spellEnd"/>
      <w:r w:rsidRPr="003B1A00">
        <w:rPr>
          <w:rFonts w:ascii="Arial" w:hAnsi="Arial" w:cs="Arial"/>
          <w:color w:val="000000"/>
        </w:rPr>
        <w:t xml:space="preserve"> and colleagues found that 64% of patients seeking bariatric surgery have BED, according to a meta-analysis of the literature”. Furthermore, individuals with pre surgical BED are more likely to keep their eating disorder and, if they do, have less successful weight loss. In recent years, a number of medicines have been investigated for this use. Antidepressants, anti obesity drugs, muscle relaxants, and anti epileptic drugs are among the medications on the list.</w:t>
      </w:r>
    </w:p>
    <w:p w14:paraId="37826600" w14:textId="77777777" w:rsidR="003B1A00" w:rsidRPr="003B1A00" w:rsidRDefault="003B1A00" w:rsidP="003B1A00">
      <w:pPr>
        <w:spacing w:line="360" w:lineRule="auto"/>
        <w:rPr>
          <w:rFonts w:ascii="Times New Roman" w:eastAsia="Times New Roman" w:hAnsi="Times New Roman" w:cs="Times New Roman"/>
          <w:sz w:val="24"/>
          <w:szCs w:val="24"/>
        </w:rPr>
      </w:pPr>
    </w:p>
    <w:p w14:paraId="208FCE4A"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“Cognitive behaviour therapy (CBT) was found to be more helpful in reducing binge eating than a behavioural weight loss treatment (BWL) programme that encourages caloric restrictions and increased exercise” according to (Osteopathic Family Physicians, 2013). Other strategies such as dialectical behaviour therapy (DBT), have also been researched and shown to be effective, although they must be compared to established treatments. Additionally, CBT is a well known therapy option for BED. Patients are urged to develop eating goals, use self-monitoring, and change negative self perceptions in order to reduce binge eating in this strategy.</w:t>
      </w:r>
    </w:p>
    <w:p w14:paraId="47E9C0E1" w14:textId="77777777" w:rsidR="003B1A00" w:rsidRPr="003B1A00" w:rsidRDefault="003B1A00" w:rsidP="003B1A00">
      <w:pPr>
        <w:spacing w:line="360" w:lineRule="auto"/>
        <w:rPr>
          <w:rFonts w:ascii="Times New Roman" w:eastAsia="Times New Roman" w:hAnsi="Times New Roman" w:cs="Times New Roman"/>
          <w:sz w:val="24"/>
          <w:szCs w:val="24"/>
        </w:rPr>
      </w:pPr>
    </w:p>
    <w:p w14:paraId="6D9942F7"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 xml:space="preserve">Also, in more than half of patients, “CBT results in complete remission from binge eating, as well as significant improvements in specific eating disorder psychopathology (e.g. </w:t>
      </w:r>
      <w:r w:rsidRPr="003B1A00">
        <w:rPr>
          <w:rFonts w:ascii="Arial" w:hAnsi="Arial" w:cs="Arial"/>
          <w:color w:val="000000"/>
        </w:rPr>
        <w:lastRenderedPageBreak/>
        <w:t>overvaluation of body form and weight), depression, and psychosocial functioning” stated by the (Osteopathic Family Physicians, 2013). Overall, therapy aims to avoid binge eating episodes and normalise eating behaviours while also promoting psychological well being and weight management. Other options to reducing BED difficulties in addition to these intervention methods are available. a holistic approach, for instance.   </w:t>
      </w:r>
    </w:p>
    <w:p w14:paraId="2BAAE5A8" w14:textId="77777777" w:rsidR="003B1A00" w:rsidRPr="003B1A00" w:rsidRDefault="003B1A00" w:rsidP="003B1A00">
      <w:pPr>
        <w:spacing w:after="240" w:line="360" w:lineRule="auto"/>
        <w:rPr>
          <w:rFonts w:ascii="Times New Roman" w:eastAsia="Times New Roman" w:hAnsi="Times New Roman" w:cs="Times New Roman"/>
          <w:sz w:val="24"/>
          <w:szCs w:val="24"/>
        </w:rPr>
      </w:pPr>
    </w:p>
    <w:p w14:paraId="56393579"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A holistic approach means offering assistance that considers an individual as a whole, not just their mental health concerns. It is vital to fully consider their physical, emotional, social and spiritual well being.  Age, gender, culture, heritage, faith, language, sexuality or gender identity, marital status, life experience and beliefs has a huge impact on how an individual experiences a mental illness as well as how they recover from it. It is crucial not to assume that the researcher will observe things through the eyes of the individual that they are supporting. Instead of focusing on an individual's ailment or condition, a holistic approach emphasises their total health and well being. </w:t>
      </w:r>
    </w:p>
    <w:p w14:paraId="6BC53BD2" w14:textId="77777777" w:rsidR="003B1A00" w:rsidRPr="003B1A00" w:rsidRDefault="003B1A00" w:rsidP="003B1A00">
      <w:pPr>
        <w:spacing w:after="240" w:line="360" w:lineRule="auto"/>
        <w:rPr>
          <w:rFonts w:ascii="Times New Roman" w:eastAsia="Times New Roman" w:hAnsi="Times New Roman" w:cs="Times New Roman"/>
          <w:sz w:val="24"/>
          <w:szCs w:val="24"/>
        </w:rPr>
      </w:pPr>
    </w:p>
    <w:p w14:paraId="0894D177"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The holistic approach and interventions is something that should be taken into account in a broader context. Being able to provide your skills and knowledge in a collaborative effort with those who are less able due to personal or environmental circumstances, as a practitioner or mental health advocate, is facilitating change not only on a personal level for that individual, but also on a broader community level in terms of awareness and knowledge. Interventions alongside a holistic approach is something that should be considered in a broader context. As a practitioner or mental health advocate, being able to share your skills and knowledge in a collaborative effort with those who are less able due to personal or environmental circumstances is facilitating changes not only on a personal level for the individual but also on a broader and wider community level in terms of awareness and knowledge. </w:t>
      </w:r>
    </w:p>
    <w:p w14:paraId="5034848B" w14:textId="77777777" w:rsidR="003B1A00" w:rsidRPr="003B1A00" w:rsidRDefault="003B1A00" w:rsidP="003B1A00">
      <w:pPr>
        <w:spacing w:line="360" w:lineRule="auto"/>
        <w:rPr>
          <w:rFonts w:ascii="Times New Roman" w:eastAsia="Times New Roman" w:hAnsi="Times New Roman" w:cs="Times New Roman"/>
          <w:sz w:val="24"/>
          <w:szCs w:val="24"/>
        </w:rPr>
      </w:pPr>
    </w:p>
    <w:p w14:paraId="09CD98D3"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B5394"/>
        </w:rPr>
        <w:t> </w:t>
      </w:r>
      <w:r w:rsidRPr="003B1A00">
        <w:rPr>
          <w:rFonts w:ascii="Arial" w:hAnsi="Arial" w:cs="Arial"/>
          <w:color w:val="000000"/>
        </w:rPr>
        <w:t xml:space="preserve">However, according to the literature on social action therapy, broader issues that directly affect women, such as sexism, work inequity, and discrimination </w:t>
      </w:r>
      <w:r w:rsidR="002C15E7" w:rsidRPr="003B1A00">
        <w:rPr>
          <w:rFonts w:ascii="Arial" w:hAnsi="Arial" w:cs="Arial"/>
          <w:color w:val="000000"/>
        </w:rPr>
        <w:t>experienced</w:t>
      </w:r>
      <w:r w:rsidRPr="003B1A00">
        <w:rPr>
          <w:rFonts w:ascii="Arial" w:hAnsi="Arial" w:cs="Arial"/>
          <w:color w:val="000000"/>
        </w:rPr>
        <w:t xml:space="preserve"> by people of ethnic minority origins or lower socioeconomic backgrounds, are either the underlying cause or   significant </w:t>
      </w:r>
      <w:r w:rsidR="002C15E7" w:rsidRPr="003B1A00">
        <w:rPr>
          <w:rFonts w:ascii="Arial" w:hAnsi="Arial" w:cs="Arial"/>
          <w:color w:val="000000"/>
        </w:rPr>
        <w:t>contributors</w:t>
      </w:r>
      <w:r w:rsidRPr="003B1A00">
        <w:rPr>
          <w:rFonts w:ascii="Arial" w:hAnsi="Arial" w:cs="Arial"/>
          <w:color w:val="000000"/>
        </w:rPr>
        <w:t xml:space="preserve"> to mental health. </w:t>
      </w:r>
    </w:p>
    <w:p w14:paraId="2F6C7F57" w14:textId="77777777" w:rsidR="003B1A00" w:rsidRPr="003B1A00" w:rsidRDefault="003B1A00" w:rsidP="003B1A00">
      <w:pPr>
        <w:spacing w:line="360" w:lineRule="auto"/>
        <w:rPr>
          <w:rFonts w:ascii="Times New Roman" w:eastAsia="Times New Roman" w:hAnsi="Times New Roman" w:cs="Times New Roman"/>
          <w:sz w:val="24"/>
          <w:szCs w:val="24"/>
        </w:rPr>
      </w:pPr>
    </w:p>
    <w:p w14:paraId="705DF848"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 xml:space="preserve">Linking to (Primary Care Hub, 2018) implied “that many programmes are focused on promoting mental health and physical well being, and social prescribing is aimed to support people with a variety of emotional, social, and practical needs”. Social prescribing programmes also represent a systematic shift towards making new life options available to </w:t>
      </w:r>
      <w:r w:rsidRPr="003B1A00">
        <w:rPr>
          <w:rFonts w:ascii="Arial" w:hAnsi="Arial" w:cs="Arial"/>
          <w:color w:val="000000"/>
        </w:rPr>
        <w:lastRenderedPageBreak/>
        <w:t>those who need them the most, including the chance to form new relationships, be creative and self-sufficient while improving physical and mental health. Volunteer work agencies, exercise programmes, self help organisations, reading groups, social or lunch clubs, and hobby clubs are just a few examples. To put it another way, social prescribing focuses on treating the patient rather than the disease.</w:t>
      </w:r>
    </w:p>
    <w:p w14:paraId="600ACD87"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r w:rsidRPr="003B1A00">
        <w:rPr>
          <w:rFonts w:ascii="Times New Roman" w:eastAsia="Times New Roman" w:hAnsi="Times New Roman" w:cs="Times New Roman"/>
          <w:sz w:val="24"/>
          <w:szCs w:val="24"/>
        </w:rPr>
        <w:br/>
      </w:r>
      <w:r w:rsidRPr="003B1A00">
        <w:rPr>
          <w:rFonts w:ascii="Times New Roman" w:eastAsia="Times New Roman" w:hAnsi="Times New Roman" w:cs="Times New Roman"/>
          <w:sz w:val="24"/>
          <w:szCs w:val="24"/>
        </w:rPr>
        <w:br/>
      </w:r>
    </w:p>
    <w:p w14:paraId="197B9920" w14:textId="77777777" w:rsidR="003B1A00" w:rsidRPr="003B1A00" w:rsidRDefault="003B1A00" w:rsidP="003B1A00">
      <w:pPr>
        <w:spacing w:line="360" w:lineRule="auto"/>
        <w:jc w:val="center"/>
        <w:rPr>
          <w:rFonts w:ascii="Times New Roman" w:hAnsi="Times New Roman" w:cs="Times New Roman"/>
          <w:sz w:val="24"/>
          <w:szCs w:val="24"/>
        </w:rPr>
      </w:pPr>
      <w:r w:rsidRPr="003B1A00">
        <w:rPr>
          <w:rFonts w:ascii="Arial" w:hAnsi="Arial" w:cs="Arial"/>
          <w:b/>
          <w:bCs/>
          <w:i/>
          <w:iCs/>
          <w:color w:val="000000"/>
          <w:sz w:val="26"/>
          <w:szCs w:val="26"/>
          <w:u w:val="single"/>
        </w:rPr>
        <w:t>Cultural competence </w:t>
      </w:r>
    </w:p>
    <w:p w14:paraId="35AE1560"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r w:rsidRPr="003B1A00">
        <w:rPr>
          <w:rFonts w:ascii="Times New Roman" w:eastAsia="Times New Roman" w:hAnsi="Times New Roman" w:cs="Times New Roman"/>
          <w:sz w:val="24"/>
          <w:szCs w:val="24"/>
        </w:rPr>
        <w:br/>
      </w:r>
      <w:r w:rsidRPr="003B1A00">
        <w:rPr>
          <w:rFonts w:ascii="Times New Roman" w:eastAsia="Times New Roman" w:hAnsi="Times New Roman" w:cs="Times New Roman"/>
          <w:sz w:val="24"/>
          <w:szCs w:val="24"/>
        </w:rPr>
        <w:br/>
      </w:r>
    </w:p>
    <w:p w14:paraId="7276D8EA"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One the other hand, all these treatments and interventions will not be as effective without cultural competence. Cultural competence is the capacity to understand and interact effectively with individuals from diverse cultures. Furthermore, cultural competency is essential and crucial inside any diverse group because it is impossible to build those interactions without it.   However, if this approach is not followed correctly there will be a greater danger of misunderstandings, wounded feelings, and bias, all of which can be avoided. This was something I have not fully considered before this module. </w:t>
      </w:r>
    </w:p>
    <w:p w14:paraId="546C8F6E" w14:textId="77777777" w:rsidR="003B1A00" w:rsidRPr="003B1A00" w:rsidRDefault="003B1A00" w:rsidP="003B1A00">
      <w:pPr>
        <w:spacing w:line="360" w:lineRule="auto"/>
        <w:rPr>
          <w:rFonts w:ascii="Times New Roman" w:eastAsia="Times New Roman" w:hAnsi="Times New Roman" w:cs="Times New Roman"/>
          <w:sz w:val="24"/>
          <w:szCs w:val="24"/>
        </w:rPr>
      </w:pPr>
    </w:p>
    <w:p w14:paraId="63C743B4"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When I consider my personal perceptions of mental health care in the United Kingdom, I find alternative treatments that attempt to empower individuals to be very inspiring. As a practitioner, advocate, community member, or service user having the ability to develop and maintain personal autonomy is crucial in eliciting optimism, developing confidence and fostering a sense of self, all in which I believe are necessary for optimal and good well being. </w:t>
      </w:r>
    </w:p>
    <w:p w14:paraId="6E7D3AF0" w14:textId="77777777" w:rsidR="003B1A00" w:rsidRPr="003B1A00" w:rsidRDefault="003B1A00" w:rsidP="003B1A00">
      <w:pPr>
        <w:spacing w:after="240" w:line="360" w:lineRule="auto"/>
        <w:rPr>
          <w:rFonts w:ascii="Times New Roman" w:eastAsia="Times New Roman" w:hAnsi="Times New Roman" w:cs="Times New Roman"/>
          <w:sz w:val="24"/>
          <w:szCs w:val="24"/>
        </w:rPr>
      </w:pPr>
      <w:r w:rsidRPr="003B1A00">
        <w:rPr>
          <w:rFonts w:ascii="Times New Roman" w:eastAsia="Times New Roman" w:hAnsi="Times New Roman" w:cs="Times New Roman"/>
          <w:sz w:val="24"/>
          <w:szCs w:val="24"/>
        </w:rPr>
        <w:br/>
      </w:r>
    </w:p>
    <w:p w14:paraId="554AEE44" w14:textId="77777777" w:rsidR="003B1A00" w:rsidRPr="003B1A00" w:rsidRDefault="003B1A00" w:rsidP="003B1A00">
      <w:pPr>
        <w:spacing w:line="360" w:lineRule="auto"/>
        <w:jc w:val="center"/>
        <w:rPr>
          <w:rFonts w:ascii="Times New Roman" w:hAnsi="Times New Roman" w:cs="Times New Roman"/>
          <w:sz w:val="24"/>
          <w:szCs w:val="24"/>
        </w:rPr>
      </w:pPr>
      <w:r w:rsidRPr="003B1A00">
        <w:rPr>
          <w:rFonts w:ascii="Arial" w:hAnsi="Arial" w:cs="Arial"/>
          <w:b/>
          <w:bCs/>
          <w:i/>
          <w:iCs/>
          <w:color w:val="000000"/>
          <w:sz w:val="26"/>
          <w:szCs w:val="26"/>
          <w:u w:val="single"/>
        </w:rPr>
        <w:t>Own Reflection</w:t>
      </w:r>
      <w:r w:rsidRPr="003B1A00">
        <w:rPr>
          <w:rFonts w:ascii="Arial" w:hAnsi="Arial" w:cs="Arial"/>
          <w:i/>
          <w:iCs/>
          <w:color w:val="000000"/>
          <w:u w:val="single"/>
        </w:rPr>
        <w:t> </w:t>
      </w:r>
    </w:p>
    <w:p w14:paraId="36A381E4" w14:textId="77777777" w:rsidR="003B1A00" w:rsidRPr="003B1A00" w:rsidRDefault="003B1A00" w:rsidP="003B1A00">
      <w:pPr>
        <w:spacing w:after="240" w:line="360" w:lineRule="auto"/>
        <w:rPr>
          <w:rFonts w:ascii="Times New Roman" w:eastAsia="Times New Roman" w:hAnsi="Times New Roman" w:cs="Times New Roman"/>
          <w:sz w:val="24"/>
          <w:szCs w:val="24"/>
        </w:rPr>
      </w:pPr>
    </w:p>
    <w:p w14:paraId="39BAE3D7"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lastRenderedPageBreak/>
        <w:t>At first, addressing the role of culture in mental health diagnosis and treatment may appear daunting at first, but by focusing on more compassion based therapies and developing cultural competency through training and awareness, as well as promoting individual rights and advocacy in mental health treatment, each area can influence the other, resulting in better understanding and outcomes for individuals and communities.</w:t>
      </w:r>
    </w:p>
    <w:p w14:paraId="51C38B0B" w14:textId="77777777" w:rsidR="003B1A00" w:rsidRPr="003B1A00" w:rsidRDefault="003B1A00" w:rsidP="003B1A00">
      <w:pPr>
        <w:spacing w:line="360" w:lineRule="auto"/>
        <w:rPr>
          <w:rFonts w:ascii="Times New Roman" w:eastAsia="Times New Roman" w:hAnsi="Times New Roman" w:cs="Times New Roman"/>
          <w:sz w:val="24"/>
          <w:szCs w:val="24"/>
        </w:rPr>
      </w:pPr>
    </w:p>
    <w:p w14:paraId="55B9F9F7" w14:textId="77777777" w:rsidR="003B1A00" w:rsidRPr="003B1A00" w:rsidRDefault="003B1A00" w:rsidP="003B1A00">
      <w:pPr>
        <w:spacing w:line="360" w:lineRule="auto"/>
        <w:rPr>
          <w:rFonts w:ascii="Times New Roman" w:hAnsi="Times New Roman" w:cs="Times New Roman"/>
          <w:sz w:val="24"/>
          <w:szCs w:val="24"/>
        </w:rPr>
      </w:pPr>
      <w:r w:rsidRPr="003B1A00">
        <w:rPr>
          <w:rFonts w:ascii="Arial" w:hAnsi="Arial" w:cs="Arial"/>
          <w:color w:val="000000"/>
        </w:rPr>
        <w:t>Reflecting on my own views and opinions of formal religion and mental health has been very beneficial, as I always considered myself to be an inclusive individual who is non judgemental, understanding as well as respectful of others’ perspective, ideas and beliefs before anything. Furthermore, understanding how religious beliefs may affect an individual's recovery and sense of self, which is not the same as merely acknowledging or accepting it.  Additionally, by relying on personal experience, pulling strength from it and becoming advocates from others, individuals and communities may effectively challenge the magnitude of social inequalities and their effect on mental health.</w:t>
      </w:r>
    </w:p>
    <w:p w14:paraId="5AB751D2" w14:textId="77777777" w:rsidR="003B1A00" w:rsidRPr="003B1A00" w:rsidRDefault="003B1A00" w:rsidP="003B1A00">
      <w:pPr>
        <w:spacing w:line="360" w:lineRule="auto"/>
        <w:rPr>
          <w:rFonts w:ascii="Times New Roman" w:eastAsia="Times New Roman" w:hAnsi="Times New Roman" w:cs="Times New Roman"/>
          <w:sz w:val="24"/>
          <w:szCs w:val="24"/>
        </w:rPr>
      </w:pPr>
    </w:p>
    <w:p w14:paraId="45CABE01" w14:textId="77777777" w:rsidR="003B1A00" w:rsidRDefault="003B1A00" w:rsidP="003B1A00">
      <w:pPr>
        <w:spacing w:line="360" w:lineRule="auto"/>
      </w:pPr>
    </w:p>
    <w:sectPr w:rsidR="003B1A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layfair Display">
    <w:panose1 w:val="00000500000000000000"/>
    <w:charset w:val="4D"/>
    <w:family w:val="auto"/>
    <w:pitch w:val="variable"/>
    <w:sig w:usb0="20000207" w:usb1="00000000" w:usb2="00000000" w:usb3="00000000" w:csb0="00000197"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00"/>
    <w:rsid w:val="002C15E7"/>
    <w:rsid w:val="003B1A0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F78A072"/>
  <w15:chartTrackingRefBased/>
  <w15:docId w15:val="{66BEE850-3B53-9040-B2A1-86EDD7C24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A00"/>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2204</Words>
  <Characters>12566</Characters>
  <Application>Microsoft Office Word</Application>
  <DocSecurity>0</DocSecurity>
  <Lines>104</Lines>
  <Paragraphs>29</Paragraphs>
  <ScaleCrop>false</ScaleCrop>
  <Company/>
  <LinksUpToDate>false</LinksUpToDate>
  <CharactersWithSpaces>14741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2</cp:revision>
  <dcterms:created xsi:type="dcterms:W3CDTF">2021-12-01T21:33:00Z</dcterms:created>
  <dcterms:modified xsi:type="dcterms:W3CDTF">2021-12-01T21:33:00Z</dcterms:modified>
</cp:coreProperties>
</file>