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D6CC8" w:rsidRDefault="00CD6CC8"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4E46D2" w:rsidRDefault="00FC2AF2"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r>
        <w:rPr>
          <w:rFonts w:ascii="Times New Roman" w:eastAsia="Times New Roman" w:hAnsi="Times New Roman" w:cs="Times New Roman"/>
          <w:b/>
          <w:bCs/>
          <w:kern w:val="36"/>
          <w:sz w:val="24"/>
          <w:szCs w:val="24"/>
        </w:rPr>
        <w:t xml:space="preserve"> </w:t>
      </w:r>
    </w:p>
    <w:tbl>
      <w:tblPr>
        <w:tblW w:w="0" w:type="auto"/>
        <w:jc w:val="center"/>
        <w:tblBorders>
          <w:top w:val="nil"/>
          <w:left w:val="nil"/>
          <w:bottom w:val="nil"/>
          <w:right w:val="nil"/>
        </w:tblBorders>
        <w:tblLayout w:type="fixed"/>
        <w:tblLook w:val="0000"/>
      </w:tblPr>
      <w:tblGrid>
        <w:gridCol w:w="5355"/>
      </w:tblGrid>
      <w:tr w:rsidR="00C432AB" w:rsidTr="000C08FB">
        <w:trPr>
          <w:trHeight w:val="116"/>
          <w:jc w:val="center"/>
        </w:trPr>
        <w:tc>
          <w:tcPr>
            <w:tcW w:w="5355" w:type="dxa"/>
          </w:tcPr>
          <w:p w:rsidR="00C432AB" w:rsidRDefault="00C432AB" w:rsidP="000C08FB">
            <w:pPr>
              <w:pStyle w:val="Default"/>
              <w:rPr>
                <w:sz w:val="22"/>
                <w:szCs w:val="22"/>
              </w:rPr>
            </w:pPr>
            <w:r>
              <w:t>Psychology in Health and Social Care</w:t>
            </w:r>
          </w:p>
        </w:tc>
      </w:tr>
    </w:tbl>
    <w:p w:rsidR="00C432AB" w:rsidRPr="00CC3F85" w:rsidRDefault="00C432AB" w:rsidP="00C432AB">
      <w:pPr>
        <w:rPr>
          <w:color w:val="000000" w:themeColor="text1"/>
          <w:sz w:val="24"/>
          <w:szCs w:val="24"/>
        </w:rPr>
      </w:pPr>
    </w:p>
    <w:p w:rsidR="00C432AB" w:rsidRPr="00CC3F85" w:rsidRDefault="00C432AB" w:rsidP="00C432AB">
      <w:pPr>
        <w:jc w:val="center"/>
        <w:rPr>
          <w:color w:val="000000" w:themeColor="text1"/>
          <w:sz w:val="24"/>
          <w:szCs w:val="24"/>
        </w:rPr>
      </w:pPr>
      <w:r w:rsidRPr="00CC3F85">
        <w:rPr>
          <w:b/>
          <w:bCs/>
          <w:color w:val="000000" w:themeColor="text1"/>
          <w:sz w:val="24"/>
          <w:szCs w:val="24"/>
          <w:u w:val="single"/>
        </w:rPr>
        <w:t>ASSIGNMENT 2</w:t>
      </w:r>
    </w:p>
    <w:p w:rsidR="00C432AB" w:rsidRPr="00CC3F85" w:rsidRDefault="00C432AB" w:rsidP="00C432AB">
      <w:pPr>
        <w:rPr>
          <w:b/>
          <w:bCs/>
          <w:color w:val="000000" w:themeColor="text1"/>
          <w:sz w:val="24"/>
          <w:szCs w:val="24"/>
          <w:u w:val="single"/>
        </w:rPr>
      </w:pPr>
    </w:p>
    <w:p w:rsidR="00C432AB" w:rsidRPr="00CC3F85" w:rsidRDefault="00C432AB" w:rsidP="00C432AB">
      <w:pPr>
        <w:rPr>
          <w:b/>
          <w:bCs/>
          <w:color w:val="000000" w:themeColor="text1"/>
          <w:sz w:val="24"/>
          <w:szCs w:val="24"/>
          <w:u w:val="single"/>
        </w:rPr>
      </w:pPr>
    </w:p>
    <w:p w:rsidR="00C432AB" w:rsidRPr="00CC3F85" w:rsidRDefault="00C432AB" w:rsidP="00C432AB">
      <w:pPr>
        <w:spacing w:line="360" w:lineRule="auto"/>
        <w:rPr>
          <w:b/>
          <w:bCs/>
          <w:color w:val="000000" w:themeColor="text1"/>
          <w:sz w:val="24"/>
          <w:szCs w:val="24"/>
          <w:u w:val="single"/>
        </w:rPr>
      </w:pPr>
    </w:p>
    <w:p w:rsidR="00C432AB" w:rsidRPr="007A3661" w:rsidRDefault="00C432AB" w:rsidP="00C432AB">
      <w:pPr>
        <w:spacing w:line="360" w:lineRule="auto"/>
        <w:rPr>
          <w:b/>
          <w:bCs/>
          <w:color w:val="000000" w:themeColor="text1"/>
          <w:sz w:val="24"/>
          <w:szCs w:val="24"/>
        </w:rPr>
      </w:pPr>
      <w:r w:rsidRPr="007A3661">
        <w:rPr>
          <w:b/>
          <w:bCs/>
          <w:color w:val="000000" w:themeColor="text1"/>
          <w:sz w:val="24"/>
          <w:szCs w:val="24"/>
        </w:rPr>
        <w:t xml:space="preserve">Name of Student:  </w:t>
      </w:r>
      <w:proofErr w:type="spellStart"/>
      <w:r>
        <w:rPr>
          <w:b/>
          <w:bCs/>
          <w:color w:val="000000" w:themeColor="text1"/>
          <w:sz w:val="24"/>
          <w:szCs w:val="24"/>
        </w:rPr>
        <w:t>Saeed</w:t>
      </w:r>
      <w:proofErr w:type="spellEnd"/>
      <w:r>
        <w:rPr>
          <w:b/>
          <w:bCs/>
          <w:color w:val="000000" w:themeColor="text1"/>
          <w:sz w:val="24"/>
          <w:szCs w:val="24"/>
        </w:rPr>
        <w:t xml:space="preserve"> </w:t>
      </w:r>
      <w:proofErr w:type="spellStart"/>
      <w:r>
        <w:rPr>
          <w:b/>
          <w:bCs/>
          <w:color w:val="000000" w:themeColor="text1"/>
          <w:sz w:val="24"/>
          <w:szCs w:val="24"/>
        </w:rPr>
        <w:t>Hossain</w:t>
      </w:r>
      <w:proofErr w:type="spellEnd"/>
    </w:p>
    <w:p w:rsidR="00C432AB" w:rsidRPr="007A3661" w:rsidRDefault="00C432AB" w:rsidP="00C432AB">
      <w:pPr>
        <w:spacing w:line="360" w:lineRule="auto"/>
        <w:rPr>
          <w:b/>
          <w:bCs/>
          <w:color w:val="000000" w:themeColor="text1"/>
          <w:sz w:val="24"/>
          <w:szCs w:val="24"/>
        </w:rPr>
      </w:pPr>
      <w:r w:rsidRPr="007A3661">
        <w:rPr>
          <w:b/>
          <w:bCs/>
          <w:color w:val="000000" w:themeColor="text1"/>
          <w:sz w:val="24"/>
          <w:szCs w:val="24"/>
        </w:rPr>
        <w:t>I.D. Number: 2</w:t>
      </w:r>
      <w:r>
        <w:rPr>
          <w:b/>
          <w:bCs/>
          <w:color w:val="000000" w:themeColor="text1"/>
          <w:sz w:val="24"/>
          <w:szCs w:val="24"/>
        </w:rPr>
        <w:t>425144</w:t>
      </w:r>
    </w:p>
    <w:p w:rsidR="00C432AB" w:rsidRPr="007A3661" w:rsidRDefault="00C432AB" w:rsidP="00C432AB">
      <w:pPr>
        <w:spacing w:line="360" w:lineRule="auto"/>
        <w:rPr>
          <w:b/>
          <w:bCs/>
          <w:color w:val="000000" w:themeColor="text1"/>
          <w:sz w:val="24"/>
          <w:szCs w:val="24"/>
        </w:rPr>
      </w:pPr>
      <w:r w:rsidRPr="007A3661">
        <w:rPr>
          <w:b/>
          <w:bCs/>
          <w:color w:val="000000" w:themeColor="text1"/>
          <w:sz w:val="24"/>
          <w:szCs w:val="24"/>
        </w:rPr>
        <w:t xml:space="preserve">Name of Tutor: Farah </w:t>
      </w:r>
      <w:proofErr w:type="spellStart"/>
      <w:r w:rsidRPr="007A3661">
        <w:rPr>
          <w:b/>
          <w:bCs/>
          <w:color w:val="000000" w:themeColor="text1"/>
          <w:sz w:val="24"/>
          <w:szCs w:val="24"/>
        </w:rPr>
        <w:t>Wiita</w:t>
      </w:r>
      <w:proofErr w:type="spellEnd"/>
    </w:p>
    <w:p w:rsidR="00C432AB" w:rsidRPr="00CC3F85" w:rsidRDefault="00C432AB" w:rsidP="00C432AB">
      <w:pPr>
        <w:rPr>
          <w:b/>
          <w:bCs/>
          <w:color w:val="000000" w:themeColor="text1"/>
          <w:sz w:val="24"/>
          <w:szCs w:val="24"/>
          <w:u w:val="single"/>
        </w:rPr>
      </w:pPr>
    </w:p>
    <w:p w:rsidR="00C432AB" w:rsidRPr="00CC3F85" w:rsidRDefault="00C432AB" w:rsidP="00C432AB">
      <w:pPr>
        <w:rPr>
          <w:b/>
          <w:bCs/>
          <w:color w:val="000000" w:themeColor="text1"/>
          <w:sz w:val="24"/>
          <w:szCs w:val="24"/>
          <w:u w:val="single"/>
        </w:rPr>
      </w:pPr>
    </w:p>
    <w:p w:rsidR="00C432AB" w:rsidRPr="00CC3F85" w:rsidRDefault="00C432AB" w:rsidP="00C432AB">
      <w:pPr>
        <w:rPr>
          <w:b/>
          <w:bCs/>
          <w:color w:val="000000" w:themeColor="text1"/>
          <w:sz w:val="24"/>
          <w:szCs w:val="24"/>
          <w:u w:val="single"/>
        </w:rPr>
      </w:pPr>
    </w:p>
    <w:p w:rsidR="00C432AB" w:rsidRDefault="00C432AB" w:rsidP="00C432AB">
      <w:pPr>
        <w:rPr>
          <w:color w:val="000000" w:themeColor="text1"/>
          <w:sz w:val="24"/>
          <w:szCs w:val="24"/>
        </w:rPr>
      </w:pPr>
      <w:r w:rsidRPr="00CC3F85">
        <w:rPr>
          <w:b/>
          <w:bCs/>
          <w:color w:val="000000" w:themeColor="text1"/>
          <w:sz w:val="24"/>
          <w:szCs w:val="24"/>
          <w:u w:val="single"/>
        </w:rPr>
        <w:t>Acknowledgement of AI use:</w:t>
      </w:r>
      <w:r w:rsidRPr="00CC3F85">
        <w:rPr>
          <w:color w:val="000000" w:themeColor="text1"/>
          <w:sz w:val="24"/>
          <w:szCs w:val="24"/>
        </w:rPr>
        <w:t xml:space="preserve"> I confirm that I have </w:t>
      </w:r>
      <w:r>
        <w:rPr>
          <w:color w:val="000000" w:themeColor="text1"/>
          <w:sz w:val="24"/>
          <w:szCs w:val="24"/>
        </w:rPr>
        <w:t xml:space="preserve">used AI. I’ve used </w:t>
      </w:r>
      <w:proofErr w:type="spellStart"/>
      <w:r>
        <w:rPr>
          <w:color w:val="000000" w:themeColor="text1"/>
          <w:sz w:val="24"/>
          <w:szCs w:val="24"/>
        </w:rPr>
        <w:t>chatgpt</w:t>
      </w:r>
      <w:proofErr w:type="spellEnd"/>
      <w:r>
        <w:rPr>
          <w:color w:val="000000" w:themeColor="text1"/>
          <w:sz w:val="24"/>
          <w:szCs w:val="24"/>
        </w:rPr>
        <w:t xml:space="preserve"> for grammar fixing and rephrase</w:t>
      </w: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C432AB" w:rsidRDefault="00C432AB"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p>
    <w:p w:rsidR="00703F18" w:rsidRPr="00703F18" w:rsidRDefault="00703F18" w:rsidP="00CD6CC8">
      <w:pPr>
        <w:spacing w:before="100" w:beforeAutospacing="1" w:after="100" w:afterAutospacing="1" w:line="360" w:lineRule="auto"/>
        <w:jc w:val="both"/>
        <w:outlineLvl w:val="0"/>
        <w:rPr>
          <w:rFonts w:ascii="Times New Roman" w:eastAsia="Times New Roman" w:hAnsi="Times New Roman" w:cs="Times New Roman"/>
          <w:b/>
          <w:bCs/>
          <w:kern w:val="36"/>
          <w:sz w:val="24"/>
          <w:szCs w:val="24"/>
        </w:rPr>
      </w:pPr>
      <w:r w:rsidRPr="00703F18">
        <w:rPr>
          <w:rFonts w:ascii="Times New Roman" w:eastAsia="Times New Roman" w:hAnsi="Times New Roman" w:cs="Times New Roman"/>
          <w:b/>
          <w:bCs/>
          <w:kern w:val="36"/>
          <w:sz w:val="24"/>
          <w:szCs w:val="24"/>
        </w:rPr>
        <w:t>Psychology in Health and Social Care</w:t>
      </w:r>
    </w:p>
    <w:p w:rsidR="00703F18" w:rsidRPr="00703F18" w:rsidRDefault="00703F18" w:rsidP="00CD6CC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Introduction</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Psychology, the study of human thought, emotion, and behaviour, plays a fundamental role in health and social care. Professionals in these fields rely on psychological understanding to deliver care that is person-centred, empathetic, and effective. Human behaviour is shaped by a combination of developmental, social, and biological factors, all of which are critical to understanding clients’ needs. This essay explores key psychological theories related to lifespan development, examines the influence of social and biological determinants on behaviour, and considers their practical application in health and social care settings.</w:t>
      </w:r>
    </w:p>
    <w:p w:rsidR="00703F18" w:rsidRPr="00703F18" w:rsidRDefault="00653058" w:rsidP="00CD6CC8">
      <w:pPr>
        <w:spacing w:after="0" w:line="360" w:lineRule="auto"/>
        <w:jc w:val="both"/>
        <w:rPr>
          <w:rFonts w:ascii="Times New Roman" w:eastAsia="Times New Roman" w:hAnsi="Times New Roman" w:cs="Times New Roman"/>
          <w:sz w:val="24"/>
          <w:szCs w:val="24"/>
        </w:rPr>
      </w:pPr>
      <w:r w:rsidRPr="00653058">
        <w:rPr>
          <w:rFonts w:ascii="Times New Roman" w:eastAsia="Times New Roman" w:hAnsi="Times New Roman" w:cs="Times New Roman"/>
          <w:sz w:val="24"/>
          <w:szCs w:val="24"/>
        </w:rPr>
        <w:pict>
          <v:rect id="_x0000_i1025" style="width:0;height:1.5pt" o:hralign="center" o:hrstd="t" o:hr="t" fillcolor="#a0a0a0" stroked="f"/>
        </w:pict>
      </w:r>
    </w:p>
    <w:p w:rsidR="00703F18" w:rsidRPr="00703F18" w:rsidRDefault="00703F18" w:rsidP="00CD6CC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Theories of Lifespan Development</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Understanding human development across the lifespan is essential for providing appropriate interventions. Psychological theories offer frameworks to explain behavioural, cognitive, and emotional changes from infancy to older adulthood.</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 xml:space="preserve">Cognitive Development: </w:t>
      </w:r>
      <w:proofErr w:type="spellStart"/>
      <w:r w:rsidRPr="00703F18">
        <w:rPr>
          <w:rFonts w:ascii="Times New Roman" w:eastAsia="Times New Roman" w:hAnsi="Times New Roman" w:cs="Times New Roman"/>
          <w:b/>
          <w:bCs/>
          <w:sz w:val="24"/>
          <w:szCs w:val="24"/>
        </w:rPr>
        <w:t>Vygotsky’s</w:t>
      </w:r>
      <w:proofErr w:type="spellEnd"/>
      <w:r w:rsidRPr="00703F18">
        <w:rPr>
          <w:rFonts w:ascii="Times New Roman" w:eastAsia="Times New Roman" w:hAnsi="Times New Roman" w:cs="Times New Roman"/>
          <w:b/>
          <w:bCs/>
          <w:sz w:val="24"/>
          <w:szCs w:val="24"/>
        </w:rPr>
        <w:t xml:space="preserve"> </w:t>
      </w:r>
      <w:proofErr w:type="spellStart"/>
      <w:r w:rsidRPr="00703F18">
        <w:rPr>
          <w:rFonts w:ascii="Times New Roman" w:eastAsia="Times New Roman" w:hAnsi="Times New Roman" w:cs="Times New Roman"/>
          <w:b/>
          <w:bCs/>
          <w:sz w:val="24"/>
          <w:szCs w:val="24"/>
        </w:rPr>
        <w:t>Sociocultural</w:t>
      </w:r>
      <w:proofErr w:type="spellEnd"/>
      <w:r w:rsidRPr="00703F18">
        <w:rPr>
          <w:rFonts w:ascii="Times New Roman" w:eastAsia="Times New Roman" w:hAnsi="Times New Roman" w:cs="Times New Roman"/>
          <w:b/>
          <w:bCs/>
          <w:sz w:val="24"/>
          <w:szCs w:val="24"/>
        </w:rPr>
        <w:t xml:space="preserve"> Perspective</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Lev </w:t>
      </w:r>
      <w:proofErr w:type="spellStart"/>
      <w:r w:rsidRPr="00703F18">
        <w:rPr>
          <w:rFonts w:ascii="Times New Roman" w:eastAsia="Times New Roman" w:hAnsi="Times New Roman" w:cs="Times New Roman"/>
          <w:sz w:val="24"/>
          <w:szCs w:val="24"/>
        </w:rPr>
        <w:t>Vygotsky</w:t>
      </w:r>
      <w:proofErr w:type="spellEnd"/>
      <w:r w:rsidRPr="00703F18">
        <w:rPr>
          <w:rFonts w:ascii="Times New Roman" w:eastAsia="Times New Roman" w:hAnsi="Times New Roman" w:cs="Times New Roman"/>
          <w:sz w:val="24"/>
          <w:szCs w:val="24"/>
        </w:rPr>
        <w:t xml:space="preserve"> emphasised that cognitive development occurs through social interaction and guided learning (</w:t>
      </w:r>
      <w:proofErr w:type="spellStart"/>
      <w:r w:rsidRPr="00703F18">
        <w:rPr>
          <w:rFonts w:ascii="Times New Roman" w:eastAsia="Times New Roman" w:hAnsi="Times New Roman" w:cs="Times New Roman"/>
          <w:sz w:val="24"/>
          <w:szCs w:val="24"/>
        </w:rPr>
        <w:t>Vygotsky</w:t>
      </w:r>
      <w:proofErr w:type="spellEnd"/>
      <w:r w:rsidRPr="00703F18">
        <w:rPr>
          <w:rFonts w:ascii="Times New Roman" w:eastAsia="Times New Roman" w:hAnsi="Times New Roman" w:cs="Times New Roman"/>
          <w:sz w:val="24"/>
          <w:szCs w:val="24"/>
        </w:rPr>
        <w:t>, 1978). His concept of the Zone of Proximal Development (ZPD) highlights the gap between what a child can do independently and what they can achieve with support. In practice, health and social care professionals can use this theory to scaffold learning for children who face educational or developmental challenges. For instance, guided activities in school or therapy sessions can enhance cognitive skills and promote problem-solving abilities.</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Adult Development: Levinson’s Life Structure Model</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lastRenderedPageBreak/>
        <w:t>Daniel Levinson proposed that adulthood involves navigating life structures, which encompass roles, relationships, and personal goals (Levinson, 1978). Adults encounter transitions such as career development, family responsibilities, and preparation for retirement. Understanding these stages allows practitioners to offer guidance, counselling, and interventions that help individuals manage stress, adapt to change, and maintain wellbeing throughout adulthood.</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Attachment and Early Relationships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Attachment theory, developed by John </w:t>
      </w:r>
      <w:proofErr w:type="spellStart"/>
      <w:r w:rsidRPr="00703F18">
        <w:rPr>
          <w:rFonts w:ascii="Times New Roman" w:eastAsia="Times New Roman" w:hAnsi="Times New Roman" w:cs="Times New Roman"/>
          <w:sz w:val="24"/>
          <w:szCs w:val="24"/>
        </w:rPr>
        <w:t>Bowlby</w:t>
      </w:r>
      <w:proofErr w:type="spellEnd"/>
      <w:r w:rsidRPr="00703F18">
        <w:rPr>
          <w:rFonts w:ascii="Times New Roman" w:eastAsia="Times New Roman" w:hAnsi="Times New Roman" w:cs="Times New Roman"/>
          <w:sz w:val="24"/>
          <w:szCs w:val="24"/>
        </w:rPr>
        <w:t xml:space="preserve"> and later expanded by Mary Ainsworth, highlights the importance of early caregiver-child relationships (Ainsworth et al., 1978). Secure attachments foster emotional regulation, social competence, and resilience, whereas insecure attachments may contribute to behavioural problems and difficulties in forming relationships. Health and social care professionals use attachment-based interventions when working with children in foster care, adoption, or those who have experienced trauma, helping to establish trust and emotional security.</w:t>
      </w:r>
    </w:p>
    <w:p w:rsidR="00703F18" w:rsidRPr="00703F18" w:rsidRDefault="00653058" w:rsidP="00CD6CC8">
      <w:pPr>
        <w:spacing w:after="0" w:line="360" w:lineRule="auto"/>
        <w:jc w:val="both"/>
        <w:rPr>
          <w:rFonts w:ascii="Times New Roman" w:eastAsia="Times New Roman" w:hAnsi="Times New Roman" w:cs="Times New Roman"/>
          <w:sz w:val="24"/>
          <w:szCs w:val="24"/>
        </w:rPr>
      </w:pPr>
      <w:r w:rsidRPr="00653058">
        <w:rPr>
          <w:rFonts w:ascii="Times New Roman" w:eastAsia="Times New Roman" w:hAnsi="Times New Roman" w:cs="Times New Roman"/>
          <w:sz w:val="24"/>
          <w:szCs w:val="24"/>
        </w:rPr>
        <w:pict>
          <v:rect id="_x0000_i1026" style="width:0;height:1.5pt" o:hralign="center" o:hrstd="t" o:hr="t" fillcolor="#a0a0a0" stroked="f"/>
        </w:pict>
      </w:r>
    </w:p>
    <w:p w:rsidR="00703F18" w:rsidRPr="00703F18" w:rsidRDefault="00703F18" w:rsidP="00CD6CC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Social Determinants of Behaviour</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Human behaviour is strongly influenced by social environments, including family, education, peers, and wider societal structures. Recognising these determinants is critical for effective health and social care practice.</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Family and Peer Relationships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Families and peer groups shape socialisation, coping strategies, and emotional development. Positive parenting, supportive home environments, and consistent educational support promote psychological wellbeing, while conflict or neglect may lead to behavioural difficulties (</w:t>
      </w:r>
      <w:proofErr w:type="spellStart"/>
      <w:r w:rsidRPr="00703F18">
        <w:rPr>
          <w:rFonts w:ascii="Times New Roman" w:eastAsia="Times New Roman" w:hAnsi="Times New Roman" w:cs="Times New Roman"/>
          <w:sz w:val="24"/>
          <w:szCs w:val="24"/>
        </w:rPr>
        <w:t>Bronfenbrenner</w:t>
      </w:r>
      <w:proofErr w:type="spellEnd"/>
      <w:r w:rsidRPr="00703F18">
        <w:rPr>
          <w:rFonts w:ascii="Times New Roman" w:eastAsia="Times New Roman" w:hAnsi="Times New Roman" w:cs="Times New Roman"/>
          <w:sz w:val="24"/>
          <w:szCs w:val="24"/>
        </w:rPr>
        <w:t>, 1979). Practitioners work with families to strengthen relationships, provide guidance on parenting strategies, and support children’s social and emotional growth. Peer influence during adolescence also affects risk-taking behaviour, identity formation, and self-esteem, which professionals address through mentoring and group interventions.</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lastRenderedPageBreak/>
        <w:t>Socioeconomic Status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Socioeconomic status (SES) impacts access to resources, healthcare, and educational opportunities, influencing behaviour and wellbeing (Duncan et al., 1998). Lower SES is associated with increased stress, poorer mental health, and higher exposure to environmental risks. In health and social care, professionals consider SES when assessing needs, implementing interventions, and connecting clients to community resources or financial support programs to reduce inequalities.</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Cultural and Environmental Influences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Cultural beliefs and environmental conditions shape health behaviours and attitudes toward care. For example, dietary practices, religious beliefs, and perceptions of mental health vary across cultures (</w:t>
      </w:r>
      <w:proofErr w:type="spellStart"/>
      <w:r w:rsidRPr="00703F18">
        <w:rPr>
          <w:rFonts w:ascii="Times New Roman" w:eastAsia="Times New Roman" w:hAnsi="Times New Roman" w:cs="Times New Roman"/>
          <w:sz w:val="24"/>
          <w:szCs w:val="24"/>
        </w:rPr>
        <w:t>Kleinman</w:t>
      </w:r>
      <w:proofErr w:type="spellEnd"/>
      <w:r w:rsidRPr="00703F18">
        <w:rPr>
          <w:rFonts w:ascii="Times New Roman" w:eastAsia="Times New Roman" w:hAnsi="Times New Roman" w:cs="Times New Roman"/>
          <w:sz w:val="24"/>
          <w:szCs w:val="24"/>
        </w:rPr>
        <w:t xml:space="preserve"> &amp; Benson, 2006). Environmental factors, such as neighbourhood safety and housing conditions, also affect behaviour and wellbeing. Professionals must adopt culturally competent and contextually appropriate approaches to ensure interventions are effective and respectful.</w:t>
      </w:r>
    </w:p>
    <w:p w:rsidR="00703F18" w:rsidRPr="00703F18" w:rsidRDefault="00653058" w:rsidP="00CD6CC8">
      <w:pPr>
        <w:spacing w:after="0" w:line="360" w:lineRule="auto"/>
        <w:jc w:val="both"/>
        <w:rPr>
          <w:rFonts w:ascii="Times New Roman" w:eastAsia="Times New Roman" w:hAnsi="Times New Roman" w:cs="Times New Roman"/>
          <w:sz w:val="24"/>
          <w:szCs w:val="24"/>
        </w:rPr>
      </w:pPr>
      <w:r w:rsidRPr="00653058">
        <w:rPr>
          <w:rFonts w:ascii="Times New Roman" w:eastAsia="Times New Roman" w:hAnsi="Times New Roman" w:cs="Times New Roman"/>
          <w:sz w:val="24"/>
          <w:szCs w:val="24"/>
        </w:rPr>
        <w:pict>
          <v:rect id="_x0000_i1027" style="width:0;height:1.5pt" o:hralign="center" o:hrstd="t" o:hr="t" fillcolor="#a0a0a0" stroked="f"/>
        </w:pict>
      </w:r>
    </w:p>
    <w:p w:rsidR="00703F18" w:rsidRPr="00703F18" w:rsidRDefault="00703F18" w:rsidP="00CD6CC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Biological Determinants of Behaviour</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Biological factors influence behaviour, cognition, and emotional regulation. In health and social care, recognising these determinants helps practitioners provide personalised care.</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Genetics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Genetic influences contribute to differences in temperament, intelligence, and vulnerability to mental health conditions. Disorders such as depression, bipolar disorder, and ADHD often have a heritable component (</w:t>
      </w:r>
      <w:proofErr w:type="spellStart"/>
      <w:r w:rsidRPr="00703F18">
        <w:rPr>
          <w:rFonts w:ascii="Times New Roman" w:eastAsia="Times New Roman" w:hAnsi="Times New Roman" w:cs="Times New Roman"/>
          <w:sz w:val="24"/>
          <w:szCs w:val="24"/>
        </w:rPr>
        <w:t>Plomin</w:t>
      </w:r>
      <w:proofErr w:type="spellEnd"/>
      <w:r w:rsidRPr="00703F18">
        <w:rPr>
          <w:rFonts w:ascii="Times New Roman" w:eastAsia="Times New Roman" w:hAnsi="Times New Roman" w:cs="Times New Roman"/>
          <w:sz w:val="24"/>
          <w:szCs w:val="24"/>
        </w:rPr>
        <w:t xml:space="preserve"> et al., 2016). Understanding genetic predispositions enables early identification, targeted support, and family guidance.</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Neurological Development</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Brain maturation and </w:t>
      </w:r>
      <w:proofErr w:type="spellStart"/>
      <w:r w:rsidRPr="00703F18">
        <w:rPr>
          <w:rFonts w:ascii="Times New Roman" w:eastAsia="Times New Roman" w:hAnsi="Times New Roman" w:cs="Times New Roman"/>
          <w:sz w:val="24"/>
          <w:szCs w:val="24"/>
        </w:rPr>
        <w:t>neurodevelopmental</w:t>
      </w:r>
      <w:proofErr w:type="spellEnd"/>
      <w:r w:rsidRPr="00703F18">
        <w:rPr>
          <w:rFonts w:ascii="Times New Roman" w:eastAsia="Times New Roman" w:hAnsi="Times New Roman" w:cs="Times New Roman"/>
          <w:sz w:val="24"/>
          <w:szCs w:val="24"/>
        </w:rPr>
        <w:t xml:space="preserve"> processes underpin cognitive and emotional functioning. Conditions such as autism spectrum disorder, ADHD, and intellectual disabilities require interventions that consider neurological as well as behavioural factors </w:t>
      </w:r>
      <w:r w:rsidRPr="00703F18">
        <w:rPr>
          <w:rFonts w:ascii="Times New Roman" w:eastAsia="Times New Roman" w:hAnsi="Times New Roman" w:cs="Times New Roman"/>
          <w:sz w:val="24"/>
          <w:szCs w:val="24"/>
        </w:rPr>
        <w:lastRenderedPageBreak/>
        <w:t>(Johnson et al., 2015). In adults, neurodegenerative disorders such as Alzheimer’s disease necessitate strategies to maintain cognitive function and enhance quality of life.</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Physiological Factors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Physical health and hormonal changes influence behaviour and mental wellbeing. Chronic illnesses, hormonal fluctuations, and neurological conditions can affect mood, cognition, and behaviour (</w:t>
      </w:r>
      <w:proofErr w:type="spellStart"/>
      <w:r w:rsidRPr="00703F18">
        <w:rPr>
          <w:rFonts w:ascii="Times New Roman" w:eastAsia="Times New Roman" w:hAnsi="Times New Roman" w:cs="Times New Roman"/>
          <w:sz w:val="24"/>
          <w:szCs w:val="24"/>
        </w:rPr>
        <w:t>Hampson</w:t>
      </w:r>
      <w:proofErr w:type="spellEnd"/>
      <w:r w:rsidRPr="00703F18">
        <w:rPr>
          <w:rFonts w:ascii="Times New Roman" w:eastAsia="Times New Roman" w:hAnsi="Times New Roman" w:cs="Times New Roman"/>
          <w:sz w:val="24"/>
          <w:szCs w:val="24"/>
        </w:rPr>
        <w:t>, 1990). Health and social care practitioners integrate physical and psychological interventions to ensure holistic support for clients.</w:t>
      </w:r>
    </w:p>
    <w:p w:rsidR="00703F18" w:rsidRPr="00703F18" w:rsidRDefault="00653058" w:rsidP="00CD6CC8">
      <w:pPr>
        <w:spacing w:after="0" w:line="360" w:lineRule="auto"/>
        <w:jc w:val="both"/>
        <w:rPr>
          <w:rFonts w:ascii="Times New Roman" w:eastAsia="Times New Roman" w:hAnsi="Times New Roman" w:cs="Times New Roman"/>
          <w:sz w:val="24"/>
          <w:szCs w:val="24"/>
        </w:rPr>
      </w:pPr>
      <w:r w:rsidRPr="00653058">
        <w:rPr>
          <w:rFonts w:ascii="Times New Roman" w:eastAsia="Times New Roman" w:hAnsi="Times New Roman" w:cs="Times New Roman"/>
          <w:sz w:val="24"/>
          <w:szCs w:val="24"/>
        </w:rPr>
        <w:pict>
          <v:rect id="_x0000_i1028" style="width:0;height:1.5pt" o:hralign="center" o:hrstd="t" o:hr="t" fillcolor="#a0a0a0" stroked="f"/>
        </w:pict>
      </w:r>
    </w:p>
    <w:p w:rsidR="00703F18" w:rsidRPr="00703F18" w:rsidRDefault="00703F18" w:rsidP="00CD6CC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Practical Applications in Health and Social Care</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Psychological knowledge informs assessment, intervention, and support in diverse health and social care contexts, ensuring that care is tailored to individual needs.</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Working with Children and Young People</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Understanding developmental and social factors enables practitioners to implement age-appropriate interventions. Cognitive-behavioural therapy, play therapy, and attachment-focused strategies help children manage behavioural and emotional challenges (</w:t>
      </w:r>
      <w:proofErr w:type="spellStart"/>
      <w:r w:rsidRPr="00703F18">
        <w:rPr>
          <w:rFonts w:ascii="Times New Roman" w:eastAsia="Times New Roman" w:hAnsi="Times New Roman" w:cs="Times New Roman"/>
          <w:sz w:val="24"/>
          <w:szCs w:val="24"/>
        </w:rPr>
        <w:t>Fonagy</w:t>
      </w:r>
      <w:proofErr w:type="spellEnd"/>
      <w:r w:rsidRPr="00703F18">
        <w:rPr>
          <w:rFonts w:ascii="Times New Roman" w:eastAsia="Times New Roman" w:hAnsi="Times New Roman" w:cs="Times New Roman"/>
          <w:sz w:val="24"/>
          <w:szCs w:val="24"/>
        </w:rPr>
        <w:t xml:space="preserve"> et al., 2002). Professionals also consider family dynamics, peer influences, and socioeconomic conditions to provide context-sensitive support.</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Supporting Adults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For adults, psychological insight supports mental health, coping strategies, and adjustment to life transitions. Professionals may provide career counselling, relationship support, or therapy to address stress and identity challenges (Levinson, 1978). Interventions are tailored to developmental stage and life circumstances, promoting autonomy and resilience.</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Supporting Older Adults</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Older adults face unique challenges such as cognitive decline, social isolation, and loss of independence. Applying lifespan development theories helps distinguish normal ageing from pathological conditions. Interventions may include social engagement activities, cognitive </w:t>
      </w:r>
      <w:r w:rsidRPr="00703F18">
        <w:rPr>
          <w:rFonts w:ascii="Times New Roman" w:eastAsia="Times New Roman" w:hAnsi="Times New Roman" w:cs="Times New Roman"/>
          <w:sz w:val="24"/>
          <w:szCs w:val="24"/>
        </w:rPr>
        <w:lastRenderedPageBreak/>
        <w:t>stimulation programs, and support networks to enhance quality of life and mental wellbeing (</w:t>
      </w:r>
      <w:proofErr w:type="spellStart"/>
      <w:r w:rsidRPr="00703F18">
        <w:rPr>
          <w:rFonts w:ascii="Times New Roman" w:eastAsia="Times New Roman" w:hAnsi="Times New Roman" w:cs="Times New Roman"/>
          <w:sz w:val="24"/>
          <w:szCs w:val="24"/>
        </w:rPr>
        <w:t>Baltes</w:t>
      </w:r>
      <w:proofErr w:type="spellEnd"/>
      <w:r w:rsidRPr="00703F18">
        <w:rPr>
          <w:rFonts w:ascii="Times New Roman" w:eastAsia="Times New Roman" w:hAnsi="Times New Roman" w:cs="Times New Roman"/>
          <w:sz w:val="24"/>
          <w:szCs w:val="24"/>
        </w:rPr>
        <w:t xml:space="preserve"> &amp; Smith, 2003).</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Ethical and Collaborative Practice</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Ethical practice and collaboration underpin psychological application in health and social care. Professionals work in multidisciplinary teams, integrating insights from psychology, medicine, and social work. Ethical considerations, including confidentiality, informed consent, and cultural sensitivity, ensure that interventions are person-centred and respectful (Beauchamp &amp; Childress, 2013).</w:t>
      </w:r>
    </w:p>
    <w:p w:rsidR="00703F18" w:rsidRPr="00703F18" w:rsidRDefault="00653058" w:rsidP="00CD6CC8">
      <w:pPr>
        <w:spacing w:after="0" w:line="360" w:lineRule="auto"/>
        <w:jc w:val="both"/>
        <w:rPr>
          <w:rFonts w:ascii="Times New Roman" w:eastAsia="Times New Roman" w:hAnsi="Times New Roman" w:cs="Times New Roman"/>
          <w:sz w:val="24"/>
          <w:szCs w:val="24"/>
        </w:rPr>
      </w:pPr>
      <w:r w:rsidRPr="00653058">
        <w:rPr>
          <w:rFonts w:ascii="Times New Roman" w:eastAsia="Times New Roman" w:hAnsi="Times New Roman" w:cs="Times New Roman"/>
          <w:sz w:val="24"/>
          <w:szCs w:val="24"/>
        </w:rPr>
        <w:pict>
          <v:rect id="_x0000_i1029" style="width:0;height:1.5pt" o:hralign="center" o:hrstd="t" o:hr="t" fillcolor="#a0a0a0" stroked="f"/>
        </w:pict>
      </w:r>
    </w:p>
    <w:p w:rsidR="00703F18" w:rsidRPr="00703F18" w:rsidRDefault="00703F18" w:rsidP="00CD6CC8">
      <w:pPr>
        <w:spacing w:before="100" w:beforeAutospacing="1" w:after="100" w:afterAutospacing="1" w:line="360" w:lineRule="auto"/>
        <w:jc w:val="both"/>
        <w:outlineLvl w:val="1"/>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Conclusion</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Psychology provides the knowledge and frameworks necessary to understand human behaviour in health and social care contexts. Lifespan development theories, such as </w:t>
      </w:r>
      <w:proofErr w:type="spellStart"/>
      <w:r w:rsidRPr="00703F18">
        <w:rPr>
          <w:rFonts w:ascii="Times New Roman" w:eastAsia="Times New Roman" w:hAnsi="Times New Roman" w:cs="Times New Roman"/>
          <w:sz w:val="24"/>
          <w:szCs w:val="24"/>
        </w:rPr>
        <w:t>Vygotsky’s</w:t>
      </w:r>
      <w:proofErr w:type="spellEnd"/>
      <w:r w:rsidRPr="00703F18">
        <w:rPr>
          <w:rFonts w:ascii="Times New Roman" w:eastAsia="Times New Roman" w:hAnsi="Times New Roman" w:cs="Times New Roman"/>
          <w:sz w:val="24"/>
          <w:szCs w:val="24"/>
        </w:rPr>
        <w:t xml:space="preserve"> </w:t>
      </w:r>
      <w:proofErr w:type="spellStart"/>
      <w:r w:rsidRPr="00703F18">
        <w:rPr>
          <w:rFonts w:ascii="Times New Roman" w:eastAsia="Times New Roman" w:hAnsi="Times New Roman" w:cs="Times New Roman"/>
          <w:sz w:val="24"/>
          <w:szCs w:val="24"/>
        </w:rPr>
        <w:t>sociocultural</w:t>
      </w:r>
      <w:proofErr w:type="spellEnd"/>
      <w:r w:rsidRPr="00703F18">
        <w:rPr>
          <w:rFonts w:ascii="Times New Roman" w:eastAsia="Times New Roman" w:hAnsi="Times New Roman" w:cs="Times New Roman"/>
          <w:sz w:val="24"/>
          <w:szCs w:val="24"/>
        </w:rPr>
        <w:t xml:space="preserve"> perspective, Levinson’s life structure model, and attachment theory, offer insights into cognitive, emotional, and social development. Social determinants, including family, peers, SES, and culture, interact with biological factors such as genetics, neurodevelopment, and physiological health to shape behaviour. Integrating these factors allows professionals to deliver effective, ethical, and holistic care.</w:t>
      </w:r>
    </w:p>
    <w:p w:rsidR="00703F18" w:rsidRPr="00703F18" w:rsidRDefault="00703F18" w:rsidP="00CD6CC8">
      <w:p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In practice, psychological understanding enables practitioners to anticipate challenges, implement appropriate interventions, and support clients across all stages of life. Whether working with children, adults, or older adults, psychology equips health and social care professionals with the tools to promote resilience, wellbeing, and quality of life. Ultimately, psychology is integral to providing care that respects both the individual and the wider context in which they live.</w:t>
      </w:r>
    </w:p>
    <w:p w:rsidR="00703F18" w:rsidRPr="00703F18" w:rsidRDefault="00653058" w:rsidP="00CD6CC8">
      <w:pPr>
        <w:spacing w:after="0" w:line="360" w:lineRule="auto"/>
        <w:jc w:val="both"/>
        <w:rPr>
          <w:rFonts w:ascii="Times New Roman" w:eastAsia="Times New Roman" w:hAnsi="Times New Roman" w:cs="Times New Roman"/>
          <w:sz w:val="24"/>
          <w:szCs w:val="24"/>
        </w:rPr>
      </w:pPr>
      <w:r w:rsidRPr="00653058">
        <w:rPr>
          <w:rFonts w:ascii="Times New Roman" w:eastAsia="Times New Roman" w:hAnsi="Times New Roman" w:cs="Times New Roman"/>
          <w:sz w:val="24"/>
          <w:szCs w:val="24"/>
        </w:rPr>
        <w:pict>
          <v:rect id="_x0000_i1030" style="width:0;height:1.5pt" o:hralign="center" o:hrstd="t" o:hr="t" fillcolor="#a0a0a0" stroked="f"/>
        </w:pict>
      </w:r>
    </w:p>
    <w:p w:rsidR="00703F18" w:rsidRPr="00CD6CC8" w:rsidRDefault="00703F18" w:rsidP="00CD6CC8">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703F18">
        <w:rPr>
          <w:rFonts w:ascii="Times New Roman" w:eastAsia="Times New Roman" w:hAnsi="Times New Roman" w:cs="Times New Roman"/>
          <w:b/>
          <w:bCs/>
          <w:sz w:val="24"/>
          <w:szCs w:val="24"/>
        </w:rPr>
        <w:t xml:space="preserve">References </w:t>
      </w:r>
    </w:p>
    <w:p w:rsidR="00703F18" w:rsidRPr="00703F18" w:rsidRDefault="00703F18" w:rsidP="00CD6CC8">
      <w:pPr>
        <w:spacing w:before="100" w:beforeAutospacing="1" w:after="100" w:afterAutospacing="1" w:line="360" w:lineRule="auto"/>
        <w:jc w:val="both"/>
        <w:outlineLvl w:val="2"/>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Ainsworth, M.D.S., </w:t>
      </w:r>
      <w:proofErr w:type="spellStart"/>
      <w:r w:rsidRPr="00703F18">
        <w:rPr>
          <w:rFonts w:ascii="Times New Roman" w:eastAsia="Times New Roman" w:hAnsi="Times New Roman" w:cs="Times New Roman"/>
          <w:sz w:val="24"/>
          <w:szCs w:val="24"/>
        </w:rPr>
        <w:t>Blehar</w:t>
      </w:r>
      <w:proofErr w:type="spellEnd"/>
      <w:r w:rsidRPr="00703F18">
        <w:rPr>
          <w:rFonts w:ascii="Times New Roman" w:eastAsia="Times New Roman" w:hAnsi="Times New Roman" w:cs="Times New Roman"/>
          <w:sz w:val="24"/>
          <w:szCs w:val="24"/>
        </w:rPr>
        <w:t xml:space="preserve">, M.C., Waters, E. &amp; Wall, S., 1978. </w:t>
      </w:r>
      <w:r w:rsidRPr="00CD6CC8">
        <w:rPr>
          <w:rFonts w:ascii="Times New Roman" w:eastAsia="Times New Roman" w:hAnsi="Times New Roman" w:cs="Times New Roman"/>
          <w:i/>
          <w:iCs/>
          <w:sz w:val="24"/>
          <w:szCs w:val="24"/>
        </w:rPr>
        <w:t>Patterns of Attachment: A Psychological Study of the Strange Situation</w:t>
      </w:r>
      <w:r w:rsidRPr="00703F18">
        <w:rPr>
          <w:rFonts w:ascii="Times New Roman" w:eastAsia="Times New Roman" w:hAnsi="Times New Roman" w:cs="Times New Roman"/>
          <w:sz w:val="24"/>
          <w:szCs w:val="24"/>
        </w:rPr>
        <w:t>. Hillsdale, NJ: Erlbaum.</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lastRenderedPageBreak/>
        <w:t>Baltes</w:t>
      </w:r>
      <w:proofErr w:type="spellEnd"/>
      <w:r w:rsidRPr="00703F18">
        <w:rPr>
          <w:rFonts w:ascii="Times New Roman" w:eastAsia="Times New Roman" w:hAnsi="Times New Roman" w:cs="Times New Roman"/>
          <w:sz w:val="24"/>
          <w:szCs w:val="24"/>
        </w:rPr>
        <w:t xml:space="preserve">, P.B. &amp; Smith, J., 2003. New frontiers in the future of aging: From successful aging of the young old to the dilemmas of the fourth age. </w:t>
      </w:r>
      <w:r w:rsidRPr="00CD6CC8">
        <w:rPr>
          <w:rFonts w:ascii="Times New Roman" w:eastAsia="Times New Roman" w:hAnsi="Times New Roman" w:cs="Times New Roman"/>
          <w:i/>
          <w:iCs/>
          <w:sz w:val="24"/>
          <w:szCs w:val="24"/>
        </w:rPr>
        <w:t>Gerontology</w:t>
      </w:r>
      <w:r w:rsidRPr="00703F18">
        <w:rPr>
          <w:rFonts w:ascii="Times New Roman" w:eastAsia="Times New Roman" w:hAnsi="Times New Roman" w:cs="Times New Roman"/>
          <w:sz w:val="24"/>
          <w:szCs w:val="24"/>
        </w:rPr>
        <w:t>, 49(2), pp.123–135.</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Beauchamp, T.L. &amp; Childress, J.F., 2013. </w:t>
      </w:r>
      <w:r w:rsidRPr="00CD6CC8">
        <w:rPr>
          <w:rFonts w:ascii="Times New Roman" w:eastAsia="Times New Roman" w:hAnsi="Times New Roman" w:cs="Times New Roman"/>
          <w:i/>
          <w:iCs/>
          <w:sz w:val="24"/>
          <w:szCs w:val="24"/>
        </w:rPr>
        <w:t>Principles of Biomedical Ethics</w:t>
      </w:r>
      <w:r w:rsidRPr="00703F18">
        <w:rPr>
          <w:rFonts w:ascii="Times New Roman" w:eastAsia="Times New Roman" w:hAnsi="Times New Roman" w:cs="Times New Roman"/>
          <w:sz w:val="24"/>
          <w:szCs w:val="24"/>
        </w:rPr>
        <w:t>. 7th ed. Oxford: Oxford University Press.</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t>Bronfenbrenner</w:t>
      </w:r>
      <w:proofErr w:type="spellEnd"/>
      <w:r w:rsidRPr="00703F18">
        <w:rPr>
          <w:rFonts w:ascii="Times New Roman" w:eastAsia="Times New Roman" w:hAnsi="Times New Roman" w:cs="Times New Roman"/>
          <w:sz w:val="24"/>
          <w:szCs w:val="24"/>
        </w:rPr>
        <w:t xml:space="preserve">, U., 1979. </w:t>
      </w:r>
      <w:r w:rsidRPr="00CD6CC8">
        <w:rPr>
          <w:rFonts w:ascii="Times New Roman" w:eastAsia="Times New Roman" w:hAnsi="Times New Roman" w:cs="Times New Roman"/>
          <w:i/>
          <w:iCs/>
          <w:sz w:val="24"/>
          <w:szCs w:val="24"/>
        </w:rPr>
        <w:t>The Ecology of Human Development: Experiments by Nature and Design</w:t>
      </w:r>
      <w:r w:rsidRPr="00703F18">
        <w:rPr>
          <w:rFonts w:ascii="Times New Roman" w:eastAsia="Times New Roman" w:hAnsi="Times New Roman" w:cs="Times New Roman"/>
          <w:sz w:val="24"/>
          <w:szCs w:val="24"/>
        </w:rPr>
        <w:t>. Cambridge, MA: Harvard University Press.</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Duncan, G.J., Brooks-Gunn, J. &amp; </w:t>
      </w:r>
      <w:proofErr w:type="spellStart"/>
      <w:r w:rsidRPr="00703F18">
        <w:rPr>
          <w:rFonts w:ascii="Times New Roman" w:eastAsia="Times New Roman" w:hAnsi="Times New Roman" w:cs="Times New Roman"/>
          <w:sz w:val="24"/>
          <w:szCs w:val="24"/>
        </w:rPr>
        <w:t>Klebanov</w:t>
      </w:r>
      <w:proofErr w:type="spellEnd"/>
      <w:r w:rsidRPr="00703F18">
        <w:rPr>
          <w:rFonts w:ascii="Times New Roman" w:eastAsia="Times New Roman" w:hAnsi="Times New Roman" w:cs="Times New Roman"/>
          <w:sz w:val="24"/>
          <w:szCs w:val="24"/>
        </w:rPr>
        <w:t xml:space="preserve">, P.K., 1998. Economic deprivation and early childhood development. </w:t>
      </w:r>
      <w:r w:rsidRPr="00CD6CC8">
        <w:rPr>
          <w:rFonts w:ascii="Times New Roman" w:eastAsia="Times New Roman" w:hAnsi="Times New Roman" w:cs="Times New Roman"/>
          <w:i/>
          <w:iCs/>
          <w:sz w:val="24"/>
          <w:szCs w:val="24"/>
        </w:rPr>
        <w:t>Child Development</w:t>
      </w:r>
      <w:r w:rsidRPr="00703F18">
        <w:rPr>
          <w:rFonts w:ascii="Times New Roman" w:eastAsia="Times New Roman" w:hAnsi="Times New Roman" w:cs="Times New Roman"/>
          <w:sz w:val="24"/>
          <w:szCs w:val="24"/>
        </w:rPr>
        <w:t>, 69(2), pp.296–318.</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t>Fonagy</w:t>
      </w:r>
      <w:proofErr w:type="spellEnd"/>
      <w:r w:rsidRPr="00703F18">
        <w:rPr>
          <w:rFonts w:ascii="Times New Roman" w:eastAsia="Times New Roman" w:hAnsi="Times New Roman" w:cs="Times New Roman"/>
          <w:sz w:val="24"/>
          <w:szCs w:val="24"/>
        </w:rPr>
        <w:t xml:space="preserve">, P., </w:t>
      </w:r>
      <w:proofErr w:type="spellStart"/>
      <w:r w:rsidRPr="00703F18">
        <w:rPr>
          <w:rFonts w:ascii="Times New Roman" w:eastAsia="Times New Roman" w:hAnsi="Times New Roman" w:cs="Times New Roman"/>
          <w:sz w:val="24"/>
          <w:szCs w:val="24"/>
        </w:rPr>
        <w:t>Gergely</w:t>
      </w:r>
      <w:proofErr w:type="spellEnd"/>
      <w:r w:rsidRPr="00703F18">
        <w:rPr>
          <w:rFonts w:ascii="Times New Roman" w:eastAsia="Times New Roman" w:hAnsi="Times New Roman" w:cs="Times New Roman"/>
          <w:sz w:val="24"/>
          <w:szCs w:val="24"/>
        </w:rPr>
        <w:t xml:space="preserve">, G., Jurist, E.L. &amp; Target, M., 2002. </w:t>
      </w:r>
      <w:r w:rsidRPr="00CD6CC8">
        <w:rPr>
          <w:rFonts w:ascii="Times New Roman" w:eastAsia="Times New Roman" w:hAnsi="Times New Roman" w:cs="Times New Roman"/>
          <w:i/>
          <w:iCs/>
          <w:sz w:val="24"/>
          <w:szCs w:val="24"/>
        </w:rPr>
        <w:t xml:space="preserve">Affect Regulation, </w:t>
      </w:r>
      <w:proofErr w:type="spellStart"/>
      <w:r w:rsidRPr="00CD6CC8">
        <w:rPr>
          <w:rFonts w:ascii="Times New Roman" w:eastAsia="Times New Roman" w:hAnsi="Times New Roman" w:cs="Times New Roman"/>
          <w:i/>
          <w:iCs/>
          <w:sz w:val="24"/>
          <w:szCs w:val="24"/>
        </w:rPr>
        <w:t>Mentalization</w:t>
      </w:r>
      <w:proofErr w:type="spellEnd"/>
      <w:r w:rsidRPr="00CD6CC8">
        <w:rPr>
          <w:rFonts w:ascii="Times New Roman" w:eastAsia="Times New Roman" w:hAnsi="Times New Roman" w:cs="Times New Roman"/>
          <w:i/>
          <w:iCs/>
          <w:sz w:val="24"/>
          <w:szCs w:val="24"/>
        </w:rPr>
        <w:t>, and the Development of the Self</w:t>
      </w:r>
      <w:r w:rsidRPr="00703F18">
        <w:rPr>
          <w:rFonts w:ascii="Times New Roman" w:eastAsia="Times New Roman" w:hAnsi="Times New Roman" w:cs="Times New Roman"/>
          <w:sz w:val="24"/>
          <w:szCs w:val="24"/>
        </w:rPr>
        <w:t>. New York: Other Press.</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t>Hampson</w:t>
      </w:r>
      <w:proofErr w:type="spellEnd"/>
      <w:r w:rsidRPr="00703F18">
        <w:rPr>
          <w:rFonts w:ascii="Times New Roman" w:eastAsia="Times New Roman" w:hAnsi="Times New Roman" w:cs="Times New Roman"/>
          <w:sz w:val="24"/>
          <w:szCs w:val="24"/>
        </w:rPr>
        <w:t xml:space="preserve">, E., 1990. Variations in sex hormone levels in human </w:t>
      </w:r>
      <w:proofErr w:type="spellStart"/>
      <w:r w:rsidRPr="00703F18">
        <w:rPr>
          <w:rFonts w:ascii="Times New Roman" w:eastAsia="Times New Roman" w:hAnsi="Times New Roman" w:cs="Times New Roman"/>
          <w:sz w:val="24"/>
          <w:szCs w:val="24"/>
        </w:rPr>
        <w:t>behavior</w:t>
      </w:r>
      <w:proofErr w:type="spellEnd"/>
      <w:r w:rsidRPr="00703F18">
        <w:rPr>
          <w:rFonts w:ascii="Times New Roman" w:eastAsia="Times New Roman" w:hAnsi="Times New Roman" w:cs="Times New Roman"/>
          <w:sz w:val="24"/>
          <w:szCs w:val="24"/>
        </w:rPr>
        <w:t xml:space="preserve">. </w:t>
      </w:r>
      <w:r w:rsidRPr="00CD6CC8">
        <w:rPr>
          <w:rFonts w:ascii="Times New Roman" w:eastAsia="Times New Roman" w:hAnsi="Times New Roman" w:cs="Times New Roman"/>
          <w:i/>
          <w:iCs/>
          <w:sz w:val="24"/>
          <w:szCs w:val="24"/>
        </w:rPr>
        <w:t>Journal of Research in Personality</w:t>
      </w:r>
      <w:r w:rsidRPr="00703F18">
        <w:rPr>
          <w:rFonts w:ascii="Times New Roman" w:eastAsia="Times New Roman" w:hAnsi="Times New Roman" w:cs="Times New Roman"/>
          <w:sz w:val="24"/>
          <w:szCs w:val="24"/>
        </w:rPr>
        <w:t>, 24(1), pp.80–109.</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Johnson, M.H., de </w:t>
      </w:r>
      <w:proofErr w:type="spellStart"/>
      <w:r w:rsidRPr="00703F18">
        <w:rPr>
          <w:rFonts w:ascii="Times New Roman" w:eastAsia="Times New Roman" w:hAnsi="Times New Roman" w:cs="Times New Roman"/>
          <w:sz w:val="24"/>
          <w:szCs w:val="24"/>
        </w:rPr>
        <w:t>Haan</w:t>
      </w:r>
      <w:proofErr w:type="spellEnd"/>
      <w:r w:rsidRPr="00703F18">
        <w:rPr>
          <w:rFonts w:ascii="Times New Roman" w:eastAsia="Times New Roman" w:hAnsi="Times New Roman" w:cs="Times New Roman"/>
          <w:sz w:val="24"/>
          <w:szCs w:val="24"/>
        </w:rPr>
        <w:t xml:space="preserve">, M. &amp; Morton, J., 2015. </w:t>
      </w:r>
      <w:r w:rsidRPr="00CD6CC8">
        <w:rPr>
          <w:rFonts w:ascii="Times New Roman" w:eastAsia="Times New Roman" w:hAnsi="Times New Roman" w:cs="Times New Roman"/>
          <w:i/>
          <w:iCs/>
          <w:sz w:val="24"/>
          <w:szCs w:val="24"/>
        </w:rPr>
        <w:t>Developmental Cognitive Neuroscience: An Introduction</w:t>
      </w:r>
      <w:r w:rsidRPr="00703F18">
        <w:rPr>
          <w:rFonts w:ascii="Times New Roman" w:eastAsia="Times New Roman" w:hAnsi="Times New Roman" w:cs="Times New Roman"/>
          <w:sz w:val="24"/>
          <w:szCs w:val="24"/>
        </w:rPr>
        <w:t>. 4th ed. Chichester: Wiley.</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t>Kleinman</w:t>
      </w:r>
      <w:proofErr w:type="spellEnd"/>
      <w:r w:rsidRPr="00703F18">
        <w:rPr>
          <w:rFonts w:ascii="Times New Roman" w:eastAsia="Times New Roman" w:hAnsi="Times New Roman" w:cs="Times New Roman"/>
          <w:sz w:val="24"/>
          <w:szCs w:val="24"/>
        </w:rPr>
        <w:t xml:space="preserve">, A. &amp; Benson, P., 2006. Anthropology in the clinic: The problem of cultural competency and how to fix it. </w:t>
      </w:r>
      <w:proofErr w:type="spellStart"/>
      <w:r w:rsidRPr="00CD6CC8">
        <w:rPr>
          <w:rFonts w:ascii="Times New Roman" w:eastAsia="Times New Roman" w:hAnsi="Times New Roman" w:cs="Times New Roman"/>
          <w:i/>
          <w:iCs/>
          <w:sz w:val="24"/>
          <w:szCs w:val="24"/>
        </w:rPr>
        <w:t>PLoS</w:t>
      </w:r>
      <w:proofErr w:type="spellEnd"/>
      <w:r w:rsidRPr="00CD6CC8">
        <w:rPr>
          <w:rFonts w:ascii="Times New Roman" w:eastAsia="Times New Roman" w:hAnsi="Times New Roman" w:cs="Times New Roman"/>
          <w:i/>
          <w:iCs/>
          <w:sz w:val="24"/>
          <w:szCs w:val="24"/>
        </w:rPr>
        <w:t xml:space="preserve"> Medicine</w:t>
      </w:r>
      <w:r w:rsidRPr="00703F18">
        <w:rPr>
          <w:rFonts w:ascii="Times New Roman" w:eastAsia="Times New Roman" w:hAnsi="Times New Roman" w:cs="Times New Roman"/>
          <w:sz w:val="24"/>
          <w:szCs w:val="24"/>
        </w:rPr>
        <w:t>, 3(10), p.e294.</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r w:rsidRPr="00703F18">
        <w:rPr>
          <w:rFonts w:ascii="Times New Roman" w:eastAsia="Times New Roman" w:hAnsi="Times New Roman" w:cs="Times New Roman"/>
          <w:sz w:val="24"/>
          <w:szCs w:val="24"/>
        </w:rPr>
        <w:t xml:space="preserve">Levinson, D.J., 1978. </w:t>
      </w:r>
      <w:r w:rsidRPr="00CD6CC8">
        <w:rPr>
          <w:rFonts w:ascii="Times New Roman" w:eastAsia="Times New Roman" w:hAnsi="Times New Roman" w:cs="Times New Roman"/>
          <w:i/>
          <w:iCs/>
          <w:sz w:val="24"/>
          <w:szCs w:val="24"/>
        </w:rPr>
        <w:t>The Seasons of a Man’s Life</w:t>
      </w:r>
      <w:r w:rsidRPr="00703F18">
        <w:rPr>
          <w:rFonts w:ascii="Times New Roman" w:eastAsia="Times New Roman" w:hAnsi="Times New Roman" w:cs="Times New Roman"/>
          <w:sz w:val="24"/>
          <w:szCs w:val="24"/>
        </w:rPr>
        <w:t>. New York: Knopf.</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t>Plomin</w:t>
      </w:r>
      <w:proofErr w:type="spellEnd"/>
      <w:r w:rsidRPr="00703F18">
        <w:rPr>
          <w:rFonts w:ascii="Times New Roman" w:eastAsia="Times New Roman" w:hAnsi="Times New Roman" w:cs="Times New Roman"/>
          <w:sz w:val="24"/>
          <w:szCs w:val="24"/>
        </w:rPr>
        <w:t xml:space="preserve">, R., </w:t>
      </w:r>
      <w:proofErr w:type="spellStart"/>
      <w:proofErr w:type="gramStart"/>
      <w:r w:rsidRPr="00703F18">
        <w:rPr>
          <w:rFonts w:ascii="Times New Roman" w:eastAsia="Times New Roman" w:hAnsi="Times New Roman" w:cs="Times New Roman"/>
          <w:sz w:val="24"/>
          <w:szCs w:val="24"/>
        </w:rPr>
        <w:t>DeFries</w:t>
      </w:r>
      <w:proofErr w:type="spellEnd"/>
      <w:r w:rsidRPr="00703F18">
        <w:rPr>
          <w:rFonts w:ascii="Times New Roman" w:eastAsia="Times New Roman" w:hAnsi="Times New Roman" w:cs="Times New Roman"/>
          <w:sz w:val="24"/>
          <w:szCs w:val="24"/>
        </w:rPr>
        <w:t>,</w:t>
      </w:r>
      <w:proofErr w:type="gramEnd"/>
      <w:r w:rsidRPr="00703F18">
        <w:rPr>
          <w:rFonts w:ascii="Times New Roman" w:eastAsia="Times New Roman" w:hAnsi="Times New Roman" w:cs="Times New Roman"/>
          <w:sz w:val="24"/>
          <w:szCs w:val="24"/>
        </w:rPr>
        <w:t xml:space="preserve"> J.C., </w:t>
      </w:r>
      <w:proofErr w:type="spellStart"/>
      <w:r w:rsidRPr="00703F18">
        <w:rPr>
          <w:rFonts w:ascii="Times New Roman" w:eastAsia="Times New Roman" w:hAnsi="Times New Roman" w:cs="Times New Roman"/>
          <w:sz w:val="24"/>
          <w:szCs w:val="24"/>
        </w:rPr>
        <w:t>Knopik</w:t>
      </w:r>
      <w:proofErr w:type="spellEnd"/>
      <w:r w:rsidRPr="00703F18">
        <w:rPr>
          <w:rFonts w:ascii="Times New Roman" w:eastAsia="Times New Roman" w:hAnsi="Times New Roman" w:cs="Times New Roman"/>
          <w:sz w:val="24"/>
          <w:szCs w:val="24"/>
        </w:rPr>
        <w:t xml:space="preserve">, V.S. &amp; </w:t>
      </w:r>
      <w:proofErr w:type="spellStart"/>
      <w:r w:rsidRPr="00703F18">
        <w:rPr>
          <w:rFonts w:ascii="Times New Roman" w:eastAsia="Times New Roman" w:hAnsi="Times New Roman" w:cs="Times New Roman"/>
          <w:sz w:val="24"/>
          <w:szCs w:val="24"/>
        </w:rPr>
        <w:t>Neiderhiser</w:t>
      </w:r>
      <w:proofErr w:type="spellEnd"/>
      <w:r w:rsidRPr="00703F18">
        <w:rPr>
          <w:rFonts w:ascii="Times New Roman" w:eastAsia="Times New Roman" w:hAnsi="Times New Roman" w:cs="Times New Roman"/>
          <w:sz w:val="24"/>
          <w:szCs w:val="24"/>
        </w:rPr>
        <w:t xml:space="preserve">, J.M., 2016. Top 10 Replicated Findings From </w:t>
      </w:r>
      <w:proofErr w:type="spellStart"/>
      <w:r w:rsidRPr="00703F18">
        <w:rPr>
          <w:rFonts w:ascii="Times New Roman" w:eastAsia="Times New Roman" w:hAnsi="Times New Roman" w:cs="Times New Roman"/>
          <w:sz w:val="24"/>
          <w:szCs w:val="24"/>
        </w:rPr>
        <w:t>Behavioral</w:t>
      </w:r>
      <w:proofErr w:type="spellEnd"/>
      <w:r w:rsidRPr="00703F18">
        <w:rPr>
          <w:rFonts w:ascii="Times New Roman" w:eastAsia="Times New Roman" w:hAnsi="Times New Roman" w:cs="Times New Roman"/>
          <w:sz w:val="24"/>
          <w:szCs w:val="24"/>
        </w:rPr>
        <w:t xml:space="preserve"> Genetics. </w:t>
      </w:r>
      <w:r w:rsidRPr="00CD6CC8">
        <w:rPr>
          <w:rFonts w:ascii="Times New Roman" w:eastAsia="Times New Roman" w:hAnsi="Times New Roman" w:cs="Times New Roman"/>
          <w:i/>
          <w:iCs/>
          <w:sz w:val="24"/>
          <w:szCs w:val="24"/>
        </w:rPr>
        <w:t>Perspectives on Psychological Science</w:t>
      </w:r>
      <w:r w:rsidRPr="00703F18">
        <w:rPr>
          <w:rFonts w:ascii="Times New Roman" w:eastAsia="Times New Roman" w:hAnsi="Times New Roman" w:cs="Times New Roman"/>
          <w:sz w:val="24"/>
          <w:szCs w:val="24"/>
        </w:rPr>
        <w:t>, 11(1), pp.3–23.</w:t>
      </w:r>
    </w:p>
    <w:p w:rsidR="00703F18" w:rsidRPr="00703F18" w:rsidRDefault="00703F18" w:rsidP="00CD6CC8">
      <w:pPr>
        <w:numPr>
          <w:ilvl w:val="0"/>
          <w:numId w:val="1"/>
        </w:numPr>
        <w:spacing w:before="100" w:beforeAutospacing="1" w:after="100" w:afterAutospacing="1" w:line="360" w:lineRule="auto"/>
        <w:jc w:val="both"/>
        <w:rPr>
          <w:rFonts w:ascii="Times New Roman" w:eastAsia="Times New Roman" w:hAnsi="Times New Roman" w:cs="Times New Roman"/>
          <w:sz w:val="24"/>
          <w:szCs w:val="24"/>
        </w:rPr>
      </w:pPr>
      <w:proofErr w:type="spellStart"/>
      <w:r w:rsidRPr="00703F18">
        <w:rPr>
          <w:rFonts w:ascii="Times New Roman" w:eastAsia="Times New Roman" w:hAnsi="Times New Roman" w:cs="Times New Roman"/>
          <w:sz w:val="24"/>
          <w:szCs w:val="24"/>
        </w:rPr>
        <w:t>Vygotsky</w:t>
      </w:r>
      <w:proofErr w:type="spellEnd"/>
      <w:r w:rsidRPr="00703F18">
        <w:rPr>
          <w:rFonts w:ascii="Times New Roman" w:eastAsia="Times New Roman" w:hAnsi="Times New Roman" w:cs="Times New Roman"/>
          <w:sz w:val="24"/>
          <w:szCs w:val="24"/>
        </w:rPr>
        <w:t xml:space="preserve">, L.S., 1978. </w:t>
      </w:r>
      <w:r w:rsidRPr="00CD6CC8">
        <w:rPr>
          <w:rFonts w:ascii="Times New Roman" w:eastAsia="Times New Roman" w:hAnsi="Times New Roman" w:cs="Times New Roman"/>
          <w:i/>
          <w:iCs/>
          <w:sz w:val="24"/>
          <w:szCs w:val="24"/>
        </w:rPr>
        <w:t>Mind in Society: The Development of Higher Psychological Processes</w:t>
      </w:r>
      <w:r w:rsidRPr="00703F18">
        <w:rPr>
          <w:rFonts w:ascii="Times New Roman" w:eastAsia="Times New Roman" w:hAnsi="Times New Roman" w:cs="Times New Roman"/>
          <w:sz w:val="24"/>
          <w:szCs w:val="24"/>
        </w:rPr>
        <w:t>. Cambridge, MA: Harvard University Press.</w:t>
      </w:r>
    </w:p>
    <w:p w:rsidR="00FB4441" w:rsidRPr="00CD6CC8" w:rsidRDefault="00FB4441" w:rsidP="00CD6CC8">
      <w:pPr>
        <w:spacing w:line="360" w:lineRule="auto"/>
        <w:jc w:val="both"/>
        <w:rPr>
          <w:sz w:val="24"/>
          <w:szCs w:val="24"/>
        </w:rPr>
      </w:pPr>
    </w:p>
    <w:sectPr w:rsidR="00FB4441" w:rsidRPr="00CD6CC8" w:rsidSect="0065305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744FEF"/>
    <w:multiLevelType w:val="multilevel"/>
    <w:tmpl w:val="A7A287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91"/>
  <w:proofState w:spelling="clean" w:grammar="clean"/>
  <w:defaultTabStop w:val="720"/>
  <w:characterSpacingControl w:val="doNotCompress"/>
  <w:compat>
    <w:useFELayout/>
  </w:compat>
  <w:rsids>
    <w:rsidRoot w:val="00703F18"/>
    <w:rsid w:val="004E46D2"/>
    <w:rsid w:val="00653058"/>
    <w:rsid w:val="00703F18"/>
    <w:rsid w:val="00C432AB"/>
    <w:rsid w:val="00CD6CC8"/>
    <w:rsid w:val="00FB4441"/>
    <w:rsid w:val="00FC2AF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53058"/>
  </w:style>
  <w:style w:type="paragraph" w:styleId="Heading1">
    <w:name w:val="heading 1"/>
    <w:basedOn w:val="Normal"/>
    <w:link w:val="Heading1Char"/>
    <w:uiPriority w:val="9"/>
    <w:qFormat/>
    <w:rsid w:val="00703F18"/>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703F1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03F1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3F18"/>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703F1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03F18"/>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703F18"/>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703F18"/>
    <w:rPr>
      <w:i/>
      <w:iCs/>
    </w:rPr>
  </w:style>
  <w:style w:type="paragraph" w:customStyle="1" w:styleId="Default">
    <w:name w:val="Default"/>
    <w:rsid w:val="00C432AB"/>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r="http://schemas.openxmlformats.org/officeDocument/2006/relationships" xmlns:w="http://schemas.openxmlformats.org/wordprocessingml/2006/main">
  <w:divs>
    <w:div w:id="299773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1630</Words>
  <Characters>9294</Characters>
  <Application>Microsoft Office Word</Application>
  <DocSecurity>0</DocSecurity>
  <Lines>77</Lines>
  <Paragraphs>21</Paragraphs>
  <ScaleCrop>false</ScaleCrop>
  <Company/>
  <LinksUpToDate>false</LinksUpToDate>
  <CharactersWithSpaces>10903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Reshad</dc:creator>
  <cp:keywords/>
  <dc:description/>
  <cp:lastModifiedBy>Reshad</cp:lastModifiedBy>
  <cp:revision>6</cp:revision>
  <dcterms:created xsi:type="dcterms:W3CDTF">2025-12-10T23:21:00Z</dcterms:created>
  <dcterms:modified xsi:type="dcterms:W3CDTF">2025-12-10T23:28:00Z</dcterms:modified>
</cp:coreProperties>
</file>