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CF1358" w14:textId="77777777" w:rsidR="003A5DFC" w:rsidRDefault="003A5DFC" w:rsidP="003A5DFC"/>
    <w:p w14:paraId="6F25D8AE" w14:textId="77777777" w:rsidR="003A5DFC" w:rsidRPr="007D70F1" w:rsidRDefault="003A5DFC" w:rsidP="003A5DFC">
      <w:pPr>
        <w:tabs>
          <w:tab w:val="left" w:pos="7800"/>
        </w:tabs>
        <w:spacing w:line="360" w:lineRule="auto"/>
        <w:rPr>
          <w:rFonts w:ascii="Arial" w:hAnsi="Arial" w:cs="Arial"/>
          <w:b/>
          <w:bCs/>
          <w:sz w:val="68"/>
          <w:szCs w:val="68"/>
        </w:rPr>
      </w:pPr>
      <w:r w:rsidRPr="007D70F1">
        <w:rPr>
          <w:rFonts w:ascii="Arial" w:hAnsi="Arial" w:cs="Arial"/>
          <w:b/>
          <w:bCs/>
          <w:sz w:val="68"/>
          <w:szCs w:val="68"/>
        </w:rPr>
        <w:tab/>
      </w:r>
    </w:p>
    <w:p w14:paraId="19F67084" w14:textId="77777777" w:rsidR="003A5DFC" w:rsidRPr="007D70F1" w:rsidRDefault="003A5DFC" w:rsidP="003A5DFC">
      <w:pPr>
        <w:spacing w:line="360" w:lineRule="auto"/>
        <w:jc w:val="center"/>
        <w:rPr>
          <w:rFonts w:ascii="Arial" w:hAnsi="Arial" w:cs="Arial"/>
          <w:b/>
          <w:bCs/>
          <w:sz w:val="68"/>
          <w:szCs w:val="68"/>
        </w:rPr>
      </w:pPr>
      <w:r w:rsidRPr="007D70F1">
        <w:rPr>
          <w:rFonts w:ascii="Arial" w:hAnsi="Arial" w:cs="Arial"/>
          <w:b/>
          <w:bCs/>
          <w:sz w:val="68"/>
          <w:szCs w:val="68"/>
        </w:rPr>
        <w:t>Case study of Urban Heights Hotel</w:t>
      </w:r>
    </w:p>
    <w:p w14:paraId="1E47419C" w14:textId="77777777" w:rsidR="003A5DFC" w:rsidRDefault="003A5DFC" w:rsidP="003A5DFC">
      <w:pPr>
        <w:jc w:val="center"/>
      </w:pPr>
    </w:p>
    <w:p w14:paraId="2EACC65B" w14:textId="77777777" w:rsidR="003A5DFC" w:rsidRDefault="003A5DFC" w:rsidP="003A5DFC">
      <w:pPr>
        <w:jc w:val="center"/>
      </w:pPr>
    </w:p>
    <w:p w14:paraId="35424BE1" w14:textId="77777777" w:rsidR="003A5DFC" w:rsidRDefault="003A5DFC" w:rsidP="003A5DFC">
      <w:pPr>
        <w:jc w:val="center"/>
      </w:pPr>
    </w:p>
    <w:p w14:paraId="4B65C0C4" w14:textId="77777777" w:rsidR="003A5DFC" w:rsidRDefault="003A5DFC" w:rsidP="003A5DFC">
      <w:pPr>
        <w:jc w:val="center"/>
      </w:pPr>
    </w:p>
    <w:p w14:paraId="19A10ABA" w14:textId="77777777" w:rsidR="003A5DFC" w:rsidRDefault="003A5DFC" w:rsidP="003A5DFC">
      <w:pPr>
        <w:jc w:val="center"/>
      </w:pPr>
    </w:p>
    <w:p w14:paraId="6B4DA0AA" w14:textId="77777777" w:rsidR="003A5DFC" w:rsidRDefault="003A5DFC" w:rsidP="00D871C5"/>
    <w:p w14:paraId="1C1998C4" w14:textId="77777777" w:rsidR="003A5DFC" w:rsidRDefault="003A5DFC" w:rsidP="003A5DFC">
      <w:pPr>
        <w:jc w:val="center"/>
      </w:pPr>
    </w:p>
    <w:p w14:paraId="1D064630" w14:textId="77777777" w:rsidR="003A5DFC" w:rsidRPr="007D70F1" w:rsidRDefault="003A5DFC" w:rsidP="003A5DFC">
      <w:pPr>
        <w:spacing w:line="360" w:lineRule="auto"/>
        <w:rPr>
          <w:rFonts w:ascii="Arial" w:hAnsi="Arial" w:cs="Arial"/>
          <w:b/>
          <w:bCs/>
          <w:sz w:val="28"/>
          <w:szCs w:val="28"/>
        </w:rPr>
      </w:pPr>
      <w:r w:rsidRPr="007D70F1">
        <w:rPr>
          <w:rFonts w:ascii="Arial" w:hAnsi="Arial" w:cs="Arial"/>
          <w:b/>
          <w:bCs/>
          <w:sz w:val="28"/>
          <w:szCs w:val="28"/>
        </w:rPr>
        <w:t>Student’s name: Ciprian Anghel</w:t>
      </w:r>
    </w:p>
    <w:p w14:paraId="14BF4EA5" w14:textId="77777777" w:rsidR="003A5DFC" w:rsidRPr="007D70F1" w:rsidRDefault="003A5DFC" w:rsidP="003A5DFC">
      <w:pPr>
        <w:spacing w:line="360" w:lineRule="auto"/>
        <w:rPr>
          <w:rFonts w:ascii="Arial" w:hAnsi="Arial" w:cs="Arial"/>
          <w:b/>
          <w:bCs/>
          <w:sz w:val="28"/>
          <w:szCs w:val="28"/>
        </w:rPr>
      </w:pPr>
      <w:r w:rsidRPr="007D70F1">
        <w:rPr>
          <w:rFonts w:ascii="Arial" w:hAnsi="Arial" w:cs="Arial"/>
          <w:b/>
          <w:bCs/>
          <w:sz w:val="28"/>
          <w:szCs w:val="28"/>
        </w:rPr>
        <w:t>Student’s number: 2223637</w:t>
      </w:r>
    </w:p>
    <w:p w14:paraId="0A38D40E" w14:textId="77777777" w:rsidR="003A5DFC" w:rsidRPr="007D70F1" w:rsidRDefault="003A5DFC" w:rsidP="003A5DFC">
      <w:pPr>
        <w:spacing w:line="360" w:lineRule="auto"/>
        <w:rPr>
          <w:rFonts w:ascii="Arial" w:hAnsi="Arial" w:cs="Arial"/>
          <w:b/>
          <w:bCs/>
          <w:sz w:val="28"/>
          <w:szCs w:val="28"/>
        </w:rPr>
      </w:pPr>
      <w:r w:rsidRPr="007D70F1">
        <w:rPr>
          <w:rFonts w:ascii="Arial" w:hAnsi="Arial" w:cs="Arial"/>
          <w:b/>
          <w:bCs/>
          <w:sz w:val="28"/>
          <w:szCs w:val="28"/>
        </w:rPr>
        <w:t>Tutor’s name: Tristan Hawkins</w:t>
      </w:r>
    </w:p>
    <w:p w14:paraId="412BD4D5" w14:textId="77777777" w:rsidR="003A5DFC" w:rsidRDefault="003A5DFC" w:rsidP="003A5DFC">
      <w:pPr>
        <w:spacing w:line="360" w:lineRule="auto"/>
        <w:jc w:val="left"/>
        <w:rPr>
          <w:rFonts w:ascii="Arial" w:hAnsi="Arial" w:cs="Arial"/>
          <w:b/>
          <w:bCs/>
          <w:sz w:val="28"/>
          <w:szCs w:val="28"/>
        </w:rPr>
      </w:pPr>
      <w:r w:rsidRPr="007D70F1">
        <w:rPr>
          <w:rFonts w:ascii="Arial" w:hAnsi="Arial" w:cs="Arial"/>
          <w:b/>
          <w:bCs/>
          <w:sz w:val="28"/>
          <w:szCs w:val="28"/>
        </w:rPr>
        <w:t>Module: Financial Management for the Hotel Industry (BMIH5007)</w:t>
      </w:r>
    </w:p>
    <w:p w14:paraId="743EC25A" w14:textId="2768C5BD" w:rsidR="00D871C5" w:rsidRPr="007D70F1" w:rsidRDefault="00D871C5" w:rsidP="003A5DFC">
      <w:pPr>
        <w:spacing w:line="360" w:lineRule="auto"/>
        <w:jc w:val="left"/>
        <w:rPr>
          <w:rFonts w:ascii="Arial" w:hAnsi="Arial" w:cs="Arial"/>
          <w:b/>
          <w:bCs/>
          <w:sz w:val="28"/>
          <w:szCs w:val="28"/>
        </w:rPr>
      </w:pPr>
      <w:r>
        <w:rPr>
          <w:rFonts w:ascii="Arial" w:hAnsi="Arial" w:cs="Arial"/>
          <w:b/>
          <w:bCs/>
          <w:sz w:val="28"/>
          <w:szCs w:val="28"/>
        </w:rPr>
        <w:t>Word Count:</w:t>
      </w:r>
      <w:r w:rsidR="002C54A4">
        <w:rPr>
          <w:rFonts w:ascii="Arial" w:hAnsi="Arial" w:cs="Arial"/>
          <w:b/>
          <w:bCs/>
          <w:sz w:val="28"/>
          <w:szCs w:val="28"/>
        </w:rPr>
        <w:t>20</w:t>
      </w:r>
      <w:r w:rsidR="00AF7328">
        <w:rPr>
          <w:rFonts w:ascii="Arial" w:hAnsi="Arial" w:cs="Arial"/>
          <w:b/>
          <w:bCs/>
          <w:sz w:val="28"/>
          <w:szCs w:val="28"/>
        </w:rPr>
        <w:t>59</w:t>
      </w:r>
      <w:r>
        <w:rPr>
          <w:rFonts w:ascii="Arial" w:hAnsi="Arial" w:cs="Arial"/>
          <w:b/>
          <w:bCs/>
          <w:sz w:val="28"/>
          <w:szCs w:val="28"/>
        </w:rPr>
        <w:t xml:space="preserve"> words</w:t>
      </w:r>
    </w:p>
    <w:p w14:paraId="4990CE9D" w14:textId="77777777" w:rsidR="003A5DFC" w:rsidRDefault="003A5DFC" w:rsidP="003A5DFC"/>
    <w:p w14:paraId="535331B4" w14:textId="77777777" w:rsidR="003A5DFC" w:rsidRDefault="003A5DFC" w:rsidP="003A5DFC">
      <w:pPr>
        <w:spacing w:line="259" w:lineRule="auto"/>
      </w:pPr>
    </w:p>
    <w:sdt>
      <w:sdtPr>
        <w:rPr>
          <w:rFonts w:ascii="Times New Roman" w:eastAsiaTheme="minorHAnsi" w:hAnsi="Times New Roman" w:cstheme="minorBidi"/>
          <w:b/>
          <w:color w:val="auto"/>
          <w:sz w:val="24"/>
          <w:szCs w:val="22"/>
          <w:lang w:val="en-GB"/>
        </w:rPr>
        <w:id w:val="887995188"/>
        <w:docPartObj>
          <w:docPartGallery w:val="Table of Contents"/>
          <w:docPartUnique/>
        </w:docPartObj>
      </w:sdtPr>
      <w:sdtEndPr>
        <w:rPr>
          <w:b w:val="0"/>
          <w:bCs/>
          <w:noProof/>
        </w:rPr>
      </w:sdtEndPr>
      <w:sdtContent>
        <w:p w14:paraId="39A6A9F9" w14:textId="77777777" w:rsidR="003A5DFC" w:rsidRDefault="003A5DFC" w:rsidP="003A5DFC">
          <w:pPr>
            <w:pStyle w:val="TOCHeading"/>
            <w:jc w:val="center"/>
            <w:rPr>
              <w:color w:val="auto"/>
            </w:rPr>
          </w:pPr>
          <w:r>
            <w:rPr>
              <w:rFonts w:ascii="Times New Roman" w:eastAsiaTheme="minorHAnsi" w:hAnsi="Times New Roman" w:cstheme="minorBidi"/>
              <w:color w:val="auto"/>
              <w:sz w:val="24"/>
              <w:szCs w:val="22"/>
            </w:rPr>
            <w:t xml:space="preserve"> </w:t>
          </w:r>
          <w:r w:rsidRPr="00D871C5">
            <w:rPr>
              <w:rFonts w:ascii="Arial" w:hAnsi="Arial" w:cs="Arial"/>
              <w:b/>
              <w:bCs/>
              <w:color w:val="auto"/>
            </w:rPr>
            <w:t>Table of Contents</w:t>
          </w:r>
        </w:p>
        <w:p w14:paraId="49D3784B" w14:textId="77777777" w:rsidR="003A5DFC" w:rsidRPr="002C54A4" w:rsidRDefault="003A5DFC" w:rsidP="002C54A4">
          <w:pPr>
            <w:spacing w:line="360" w:lineRule="auto"/>
            <w:rPr>
              <w:rFonts w:ascii="Arial" w:hAnsi="Arial" w:cs="Arial"/>
            </w:rPr>
          </w:pPr>
        </w:p>
        <w:p w14:paraId="34F8C687" w14:textId="11689A10" w:rsidR="009E6E18" w:rsidRDefault="003A5DFC">
          <w:pPr>
            <w:pStyle w:val="TOC1"/>
            <w:rPr>
              <w:rFonts w:asciiTheme="minorHAnsi" w:eastAsiaTheme="minorEastAsia" w:hAnsiTheme="minorHAnsi"/>
              <w:noProof/>
              <w:kern w:val="2"/>
              <w:szCs w:val="24"/>
              <w:lang w:eastAsia="en-GB"/>
              <w14:ligatures w14:val="standardContextual"/>
            </w:rPr>
          </w:pPr>
          <w:r w:rsidRPr="002C54A4">
            <w:rPr>
              <w:rFonts w:ascii="Arial" w:hAnsi="Arial" w:cs="Arial"/>
              <w:noProof/>
            </w:rPr>
            <w:fldChar w:fldCharType="begin"/>
          </w:r>
          <w:r w:rsidRPr="002C54A4">
            <w:rPr>
              <w:rFonts w:ascii="Arial" w:hAnsi="Arial" w:cs="Arial"/>
              <w:noProof/>
            </w:rPr>
            <w:instrText xml:space="preserve"> TOC \o "1-3" \h \z \u </w:instrText>
          </w:r>
          <w:r w:rsidRPr="002C54A4">
            <w:rPr>
              <w:rFonts w:ascii="Arial" w:hAnsi="Arial" w:cs="Arial"/>
              <w:noProof/>
            </w:rPr>
            <w:fldChar w:fldCharType="separate"/>
          </w:r>
          <w:hyperlink w:anchor="_Toc168604752" w:history="1">
            <w:r w:rsidR="009E6E18" w:rsidRPr="002A607F">
              <w:rPr>
                <w:rStyle w:val="Hyperlink"/>
                <w:rFonts w:ascii="Arial" w:hAnsi="Arial" w:cs="Arial"/>
                <w:b/>
                <w:bCs/>
                <w:noProof/>
              </w:rPr>
              <w:t>Introduction</w:t>
            </w:r>
            <w:r w:rsidR="009E6E18">
              <w:rPr>
                <w:noProof/>
                <w:webHidden/>
              </w:rPr>
              <w:tab/>
            </w:r>
            <w:r w:rsidR="009E6E18">
              <w:rPr>
                <w:noProof/>
                <w:webHidden/>
              </w:rPr>
              <w:fldChar w:fldCharType="begin"/>
            </w:r>
            <w:r w:rsidR="009E6E18">
              <w:rPr>
                <w:noProof/>
                <w:webHidden/>
              </w:rPr>
              <w:instrText xml:space="preserve"> PAGEREF _Toc168604752 \h </w:instrText>
            </w:r>
            <w:r w:rsidR="009E6E18">
              <w:rPr>
                <w:noProof/>
                <w:webHidden/>
              </w:rPr>
            </w:r>
            <w:r w:rsidR="009E6E18">
              <w:rPr>
                <w:noProof/>
                <w:webHidden/>
              </w:rPr>
              <w:fldChar w:fldCharType="separate"/>
            </w:r>
            <w:r w:rsidR="009E6E18">
              <w:rPr>
                <w:noProof/>
                <w:webHidden/>
              </w:rPr>
              <w:t>3</w:t>
            </w:r>
            <w:r w:rsidR="009E6E18">
              <w:rPr>
                <w:noProof/>
                <w:webHidden/>
              </w:rPr>
              <w:fldChar w:fldCharType="end"/>
            </w:r>
          </w:hyperlink>
        </w:p>
        <w:p w14:paraId="46E4E9A2" w14:textId="06244519" w:rsidR="009E6E18" w:rsidRDefault="009E6E18">
          <w:pPr>
            <w:pStyle w:val="TOC1"/>
            <w:rPr>
              <w:rFonts w:asciiTheme="minorHAnsi" w:eastAsiaTheme="minorEastAsia" w:hAnsiTheme="minorHAnsi"/>
              <w:noProof/>
              <w:kern w:val="2"/>
              <w:szCs w:val="24"/>
              <w:lang w:eastAsia="en-GB"/>
              <w14:ligatures w14:val="standardContextual"/>
            </w:rPr>
          </w:pPr>
          <w:hyperlink w:anchor="_Toc168604753" w:history="1">
            <w:r w:rsidRPr="002A607F">
              <w:rPr>
                <w:rStyle w:val="Hyperlink"/>
                <w:rFonts w:ascii="Arial" w:hAnsi="Arial" w:cs="Arial"/>
                <w:b/>
                <w:bCs/>
                <w:noProof/>
              </w:rPr>
              <w:t>Trends and Patterns in the Hotel’s Financial Performance</w:t>
            </w:r>
            <w:r>
              <w:rPr>
                <w:noProof/>
                <w:webHidden/>
              </w:rPr>
              <w:tab/>
            </w:r>
            <w:r>
              <w:rPr>
                <w:noProof/>
                <w:webHidden/>
              </w:rPr>
              <w:fldChar w:fldCharType="begin"/>
            </w:r>
            <w:r>
              <w:rPr>
                <w:noProof/>
                <w:webHidden/>
              </w:rPr>
              <w:instrText xml:space="preserve"> PAGEREF _Toc168604753 \h </w:instrText>
            </w:r>
            <w:r>
              <w:rPr>
                <w:noProof/>
                <w:webHidden/>
              </w:rPr>
            </w:r>
            <w:r>
              <w:rPr>
                <w:noProof/>
                <w:webHidden/>
              </w:rPr>
              <w:fldChar w:fldCharType="separate"/>
            </w:r>
            <w:r>
              <w:rPr>
                <w:noProof/>
                <w:webHidden/>
              </w:rPr>
              <w:t>4</w:t>
            </w:r>
            <w:r>
              <w:rPr>
                <w:noProof/>
                <w:webHidden/>
              </w:rPr>
              <w:fldChar w:fldCharType="end"/>
            </w:r>
          </w:hyperlink>
        </w:p>
        <w:p w14:paraId="56E3B55B" w14:textId="0EC6150F" w:rsidR="009E6E18" w:rsidRDefault="009E6E18">
          <w:pPr>
            <w:pStyle w:val="TOC1"/>
            <w:rPr>
              <w:rFonts w:asciiTheme="minorHAnsi" w:eastAsiaTheme="minorEastAsia" w:hAnsiTheme="minorHAnsi"/>
              <w:noProof/>
              <w:kern w:val="2"/>
              <w:szCs w:val="24"/>
              <w:lang w:eastAsia="en-GB"/>
              <w14:ligatures w14:val="standardContextual"/>
            </w:rPr>
          </w:pPr>
          <w:hyperlink w:anchor="_Toc168604754" w:history="1">
            <w:r w:rsidRPr="002A607F">
              <w:rPr>
                <w:rStyle w:val="Hyperlink"/>
                <w:rFonts w:ascii="Arial" w:hAnsi="Arial" w:cs="Arial"/>
                <w:b/>
                <w:bCs/>
                <w:noProof/>
              </w:rPr>
              <w:t>Key Reasons Behind the Financial Performance</w:t>
            </w:r>
            <w:r>
              <w:rPr>
                <w:noProof/>
                <w:webHidden/>
              </w:rPr>
              <w:tab/>
            </w:r>
            <w:r>
              <w:rPr>
                <w:noProof/>
                <w:webHidden/>
              </w:rPr>
              <w:fldChar w:fldCharType="begin"/>
            </w:r>
            <w:r>
              <w:rPr>
                <w:noProof/>
                <w:webHidden/>
              </w:rPr>
              <w:instrText xml:space="preserve"> PAGEREF _Toc168604754 \h </w:instrText>
            </w:r>
            <w:r>
              <w:rPr>
                <w:noProof/>
                <w:webHidden/>
              </w:rPr>
            </w:r>
            <w:r>
              <w:rPr>
                <w:noProof/>
                <w:webHidden/>
              </w:rPr>
              <w:fldChar w:fldCharType="separate"/>
            </w:r>
            <w:r>
              <w:rPr>
                <w:noProof/>
                <w:webHidden/>
              </w:rPr>
              <w:t>9</w:t>
            </w:r>
            <w:r>
              <w:rPr>
                <w:noProof/>
                <w:webHidden/>
              </w:rPr>
              <w:fldChar w:fldCharType="end"/>
            </w:r>
          </w:hyperlink>
        </w:p>
        <w:p w14:paraId="78B1452A" w14:textId="3F381156" w:rsidR="009E6E18" w:rsidRDefault="009E6E18">
          <w:pPr>
            <w:pStyle w:val="TOC1"/>
            <w:rPr>
              <w:rFonts w:asciiTheme="minorHAnsi" w:eastAsiaTheme="minorEastAsia" w:hAnsiTheme="minorHAnsi"/>
              <w:noProof/>
              <w:kern w:val="2"/>
              <w:szCs w:val="24"/>
              <w:lang w:eastAsia="en-GB"/>
              <w14:ligatures w14:val="standardContextual"/>
            </w:rPr>
          </w:pPr>
          <w:hyperlink w:anchor="_Toc168604755" w:history="1">
            <w:r w:rsidRPr="002A607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_Toc168604755 \h </w:instrText>
            </w:r>
            <w:r>
              <w:rPr>
                <w:noProof/>
                <w:webHidden/>
              </w:rPr>
            </w:r>
            <w:r>
              <w:rPr>
                <w:noProof/>
                <w:webHidden/>
              </w:rPr>
              <w:fldChar w:fldCharType="separate"/>
            </w:r>
            <w:r>
              <w:rPr>
                <w:noProof/>
                <w:webHidden/>
              </w:rPr>
              <w:t>10</w:t>
            </w:r>
            <w:r>
              <w:rPr>
                <w:noProof/>
                <w:webHidden/>
              </w:rPr>
              <w:fldChar w:fldCharType="end"/>
            </w:r>
          </w:hyperlink>
        </w:p>
        <w:p w14:paraId="43B745AF" w14:textId="5D3DF32E" w:rsidR="009E6E18" w:rsidRDefault="009E6E18">
          <w:pPr>
            <w:pStyle w:val="TOC1"/>
            <w:rPr>
              <w:rFonts w:asciiTheme="minorHAnsi" w:eastAsiaTheme="minorEastAsia" w:hAnsiTheme="minorHAnsi"/>
              <w:noProof/>
              <w:kern w:val="2"/>
              <w:szCs w:val="24"/>
              <w:lang w:eastAsia="en-GB"/>
              <w14:ligatures w14:val="standardContextual"/>
            </w:rPr>
          </w:pPr>
          <w:hyperlink w:anchor="_Toc168604756" w:history="1">
            <w:r w:rsidRPr="002A607F">
              <w:rPr>
                <w:rStyle w:val="Hyperlink"/>
                <w:rFonts w:ascii="Arial" w:hAnsi="Arial" w:cs="Arial"/>
                <w:b/>
                <w:bCs/>
                <w:noProof/>
              </w:rPr>
              <w:t>Recommendation of a Comprehensive Turnaround Strategy</w:t>
            </w:r>
            <w:r>
              <w:rPr>
                <w:noProof/>
                <w:webHidden/>
              </w:rPr>
              <w:tab/>
            </w:r>
            <w:r>
              <w:rPr>
                <w:noProof/>
                <w:webHidden/>
              </w:rPr>
              <w:fldChar w:fldCharType="begin"/>
            </w:r>
            <w:r>
              <w:rPr>
                <w:noProof/>
                <w:webHidden/>
              </w:rPr>
              <w:instrText xml:space="preserve"> PAGEREF _Toc168604756 \h </w:instrText>
            </w:r>
            <w:r>
              <w:rPr>
                <w:noProof/>
                <w:webHidden/>
              </w:rPr>
            </w:r>
            <w:r>
              <w:rPr>
                <w:noProof/>
                <w:webHidden/>
              </w:rPr>
              <w:fldChar w:fldCharType="separate"/>
            </w:r>
            <w:r>
              <w:rPr>
                <w:noProof/>
                <w:webHidden/>
              </w:rPr>
              <w:t>11</w:t>
            </w:r>
            <w:r>
              <w:rPr>
                <w:noProof/>
                <w:webHidden/>
              </w:rPr>
              <w:fldChar w:fldCharType="end"/>
            </w:r>
          </w:hyperlink>
        </w:p>
        <w:p w14:paraId="68F913ED" w14:textId="6D7A9676" w:rsidR="009E6E18" w:rsidRDefault="009E6E18">
          <w:pPr>
            <w:pStyle w:val="TOC1"/>
            <w:rPr>
              <w:rFonts w:asciiTheme="minorHAnsi" w:eastAsiaTheme="minorEastAsia" w:hAnsiTheme="minorHAnsi"/>
              <w:noProof/>
              <w:kern w:val="2"/>
              <w:szCs w:val="24"/>
              <w:lang w:eastAsia="en-GB"/>
              <w14:ligatures w14:val="standardContextual"/>
            </w:rPr>
          </w:pPr>
          <w:hyperlink w:anchor="_Toc168604757" w:history="1">
            <w:r w:rsidRPr="002A607F">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_Toc168604757 \h </w:instrText>
            </w:r>
            <w:r>
              <w:rPr>
                <w:noProof/>
                <w:webHidden/>
              </w:rPr>
            </w:r>
            <w:r>
              <w:rPr>
                <w:noProof/>
                <w:webHidden/>
              </w:rPr>
              <w:fldChar w:fldCharType="separate"/>
            </w:r>
            <w:r>
              <w:rPr>
                <w:noProof/>
                <w:webHidden/>
              </w:rPr>
              <w:t>13</w:t>
            </w:r>
            <w:r>
              <w:rPr>
                <w:noProof/>
                <w:webHidden/>
              </w:rPr>
              <w:fldChar w:fldCharType="end"/>
            </w:r>
          </w:hyperlink>
        </w:p>
        <w:p w14:paraId="2E835740" w14:textId="367E64A2" w:rsidR="003A5DFC" w:rsidRDefault="003A5DFC" w:rsidP="002C54A4">
          <w:pPr>
            <w:spacing w:line="360" w:lineRule="auto"/>
          </w:pPr>
          <w:r w:rsidRPr="002C54A4">
            <w:rPr>
              <w:rFonts w:ascii="Arial" w:hAnsi="Arial" w:cs="Arial"/>
              <w:noProof/>
            </w:rPr>
            <w:fldChar w:fldCharType="end"/>
          </w:r>
        </w:p>
      </w:sdtContent>
    </w:sdt>
    <w:p w14:paraId="7FB70365" w14:textId="77777777" w:rsidR="003A5DFC" w:rsidRDefault="003A5DFC" w:rsidP="003A5DFC">
      <w:pPr>
        <w:pStyle w:val="Heading1"/>
      </w:pPr>
      <w:r>
        <w:br w:type="page"/>
      </w:r>
    </w:p>
    <w:p w14:paraId="2B0A2F08" w14:textId="77777777" w:rsidR="003A5DFC" w:rsidRPr="00BB1C9F" w:rsidRDefault="003A5DFC" w:rsidP="003A5DFC">
      <w:pPr>
        <w:spacing w:line="360" w:lineRule="auto"/>
        <w:jc w:val="center"/>
        <w:rPr>
          <w:rFonts w:ascii="Arial" w:hAnsi="Arial" w:cs="Arial"/>
          <w:b/>
          <w:bCs/>
          <w:sz w:val="48"/>
          <w:szCs w:val="48"/>
        </w:rPr>
      </w:pPr>
      <w:r w:rsidRPr="00BB1C9F">
        <w:rPr>
          <w:rFonts w:ascii="Arial" w:hAnsi="Arial" w:cs="Arial"/>
          <w:b/>
          <w:bCs/>
          <w:sz w:val="48"/>
          <w:szCs w:val="48"/>
        </w:rPr>
        <w:lastRenderedPageBreak/>
        <w:t>Case study of Urban Heights Hotel</w:t>
      </w:r>
    </w:p>
    <w:p w14:paraId="40BB0AC4" w14:textId="77777777" w:rsidR="003A5DFC" w:rsidRDefault="003A5DFC" w:rsidP="003A5DFC">
      <w:pPr>
        <w:pStyle w:val="Heading1"/>
      </w:pPr>
    </w:p>
    <w:p w14:paraId="6298D845" w14:textId="77777777" w:rsidR="003A5DFC" w:rsidRDefault="003A5DFC" w:rsidP="003A5DFC">
      <w:pPr>
        <w:pStyle w:val="Heading1"/>
        <w:spacing w:line="240" w:lineRule="auto"/>
        <w:rPr>
          <w:rFonts w:ascii="Arial" w:hAnsi="Arial" w:cs="Arial"/>
          <w:b/>
          <w:bCs/>
          <w:color w:val="auto"/>
          <w:sz w:val="36"/>
          <w:szCs w:val="36"/>
        </w:rPr>
      </w:pPr>
      <w:bookmarkStart w:id="0" w:name="_Toc168604752"/>
      <w:r w:rsidRPr="003A5DFC">
        <w:rPr>
          <w:rFonts w:ascii="Arial" w:hAnsi="Arial" w:cs="Arial"/>
          <w:b/>
          <w:bCs/>
          <w:color w:val="auto"/>
          <w:sz w:val="36"/>
          <w:szCs w:val="36"/>
        </w:rPr>
        <w:t>Introduction</w:t>
      </w:r>
      <w:bookmarkEnd w:id="0"/>
    </w:p>
    <w:p w14:paraId="280FEB9E" w14:textId="77777777" w:rsidR="003A5DFC" w:rsidRPr="00D76E2B" w:rsidRDefault="003A5DFC" w:rsidP="00D76E2B">
      <w:pPr>
        <w:spacing w:line="360" w:lineRule="auto"/>
        <w:rPr>
          <w:rFonts w:ascii="Arial" w:hAnsi="Arial" w:cs="Arial"/>
        </w:rPr>
      </w:pPr>
    </w:p>
    <w:p w14:paraId="68F246D6" w14:textId="77777777" w:rsidR="000C3733" w:rsidRPr="000C3733" w:rsidRDefault="003A5DFC" w:rsidP="000C3733">
      <w:pPr>
        <w:tabs>
          <w:tab w:val="left" w:pos="720"/>
          <w:tab w:val="left" w:pos="1440"/>
          <w:tab w:val="left" w:pos="2160"/>
          <w:tab w:val="left" w:pos="2880"/>
          <w:tab w:val="left" w:pos="3600"/>
          <w:tab w:val="left" w:pos="4320"/>
          <w:tab w:val="left" w:pos="5040"/>
          <w:tab w:val="left" w:pos="5760"/>
          <w:tab w:val="left" w:pos="6480"/>
          <w:tab w:val="left" w:pos="7200"/>
          <w:tab w:val="left" w:pos="7920"/>
          <w:tab w:val="right" w:pos="9027"/>
        </w:tabs>
        <w:spacing w:line="360" w:lineRule="auto"/>
        <w:rPr>
          <w:rFonts w:ascii="Arial" w:hAnsi="Arial" w:cs="Arial"/>
        </w:rPr>
      </w:pPr>
      <w:r w:rsidRPr="00D76E2B">
        <w:rPr>
          <w:rFonts w:ascii="Arial" w:hAnsi="Arial" w:cs="Arial"/>
          <w:color w:val="FF0000"/>
        </w:rPr>
        <w:tab/>
      </w:r>
      <w:r w:rsidR="000C3733" w:rsidRPr="000C3733">
        <w:rPr>
          <w:rFonts w:ascii="Arial" w:hAnsi="Arial" w:cs="Arial"/>
        </w:rPr>
        <w:t>The Urban Heights hotel is a hotel group, located in urban landscape. It provides the key services related to the hotel services with other services, such as bar, restaurants, resort, and event services. While this entity has experienced significant growth and profit since its inception, the past few years have been extremely challenging for it, as the hotel has faced a major decline in the revenue, rates of occupancy, and customer satisfaction. This is threatening the company’s existence, which has led the owner highly concerned about the business’s viability. Given the existing worst financial condition facing the company, the owner is looking for an expert analysis of the business condition and the recommendations for making turnaround to sustain the business operations for a long-term.</w:t>
      </w:r>
    </w:p>
    <w:p w14:paraId="31945E3A" w14:textId="77777777" w:rsidR="000C3733" w:rsidRDefault="000C3733" w:rsidP="000C3733">
      <w:pPr>
        <w:spacing w:line="360" w:lineRule="auto"/>
        <w:ind w:firstLine="720"/>
        <w:rPr>
          <w:rFonts w:ascii="Arial" w:hAnsi="Arial" w:cs="Arial"/>
        </w:rPr>
      </w:pPr>
      <w:r w:rsidRPr="000C3733">
        <w:rPr>
          <w:rFonts w:ascii="Arial" w:hAnsi="Arial" w:cs="Arial"/>
        </w:rPr>
        <w:t xml:space="preserve">Given this, this paper will </w:t>
      </w:r>
      <w:proofErr w:type="spellStart"/>
      <w:r w:rsidRPr="000C3733">
        <w:rPr>
          <w:rFonts w:ascii="Arial" w:hAnsi="Arial" w:cs="Arial"/>
        </w:rPr>
        <w:t>analyze</w:t>
      </w:r>
      <w:proofErr w:type="spellEnd"/>
      <w:r w:rsidRPr="000C3733">
        <w:rPr>
          <w:rFonts w:ascii="Arial" w:hAnsi="Arial" w:cs="Arial"/>
        </w:rPr>
        <w:t xml:space="preserve"> of Urban Heights Hotel’s financial position/performance. The main objectives of this paper will be an assessment of the key movement and trends of the Urban Heights’ financial condition during the past 3 years. Moreover, the focus will on expenses, revenue, profitability situation, liquidity position, and solvency position of the hotel. Further, the key reasons following the hotel’s reduced profitability will be identified, considering the current economy and the real-world events/activities. In addition, an effective comprehensive turnaround strategy for the hotel will be developed to re-invigorate its financial standing and restore its status.</w:t>
      </w:r>
    </w:p>
    <w:p w14:paraId="10FC3670" w14:textId="77777777" w:rsidR="000C3733" w:rsidRDefault="000C3733" w:rsidP="000C3733">
      <w:pPr>
        <w:spacing w:line="360" w:lineRule="auto"/>
        <w:ind w:firstLine="720"/>
        <w:rPr>
          <w:rFonts w:ascii="Arial" w:hAnsi="Arial" w:cs="Arial"/>
        </w:rPr>
      </w:pPr>
    </w:p>
    <w:p w14:paraId="2B9F31B4" w14:textId="77777777" w:rsidR="000C3733" w:rsidRPr="000C3733" w:rsidRDefault="000C3733" w:rsidP="000C3733">
      <w:pPr>
        <w:spacing w:line="360" w:lineRule="auto"/>
        <w:ind w:firstLine="720"/>
        <w:rPr>
          <w:rFonts w:ascii="Arial" w:hAnsi="Arial" w:cs="Arial"/>
        </w:rPr>
      </w:pPr>
    </w:p>
    <w:p w14:paraId="23EFB2C9" w14:textId="77777777" w:rsidR="000C3733" w:rsidRPr="000C3733" w:rsidRDefault="000C3733" w:rsidP="000C3733">
      <w:pPr>
        <w:pStyle w:val="Heading1"/>
        <w:rPr>
          <w:rFonts w:ascii="Arial" w:hAnsi="Arial" w:cs="Arial"/>
          <w:b/>
          <w:bCs/>
          <w:color w:val="auto"/>
          <w:sz w:val="36"/>
          <w:szCs w:val="36"/>
        </w:rPr>
      </w:pPr>
      <w:bookmarkStart w:id="1" w:name="_Toc168608483"/>
      <w:bookmarkStart w:id="2" w:name="_Toc168604753"/>
      <w:r w:rsidRPr="000C3733">
        <w:rPr>
          <w:rFonts w:ascii="Arial" w:hAnsi="Arial" w:cs="Arial"/>
          <w:b/>
          <w:bCs/>
          <w:color w:val="auto"/>
          <w:sz w:val="36"/>
          <w:szCs w:val="36"/>
        </w:rPr>
        <w:lastRenderedPageBreak/>
        <w:t>Trends and Patterns in the Hotel’s Financial Performance</w:t>
      </w:r>
      <w:bookmarkEnd w:id="1"/>
      <w:bookmarkEnd w:id="2"/>
    </w:p>
    <w:p w14:paraId="3DAA8915" w14:textId="77777777" w:rsidR="000C3733" w:rsidRPr="000C3733" w:rsidRDefault="000C3733" w:rsidP="000C3733">
      <w:pPr>
        <w:spacing w:line="360" w:lineRule="auto"/>
        <w:rPr>
          <w:rFonts w:ascii="Arial" w:hAnsi="Arial" w:cs="Arial"/>
        </w:rPr>
      </w:pPr>
      <w:r>
        <w:tab/>
      </w:r>
      <w:r w:rsidRPr="000C3733">
        <w:rPr>
          <w:rFonts w:ascii="Arial" w:hAnsi="Arial" w:cs="Arial"/>
        </w:rPr>
        <w:t>The past few decades have been extremely critical for the global hospitality industry due to the various unexpected trends, such as digitalization, and the global events, such as the pandemic. This has led the industry to undergo a radical transformation (Pillai et al., 2021). In this transformation, demographic shifts and post-pandemic transition will play a vital role. The industry is adapting to the changing customers’ preferences and demands. The recent pandemic has significantly impacted the hospitality industry’s working capital, cash, and profitability (</w:t>
      </w:r>
      <w:proofErr w:type="spellStart"/>
      <w:r w:rsidRPr="000C3733">
        <w:rPr>
          <w:rFonts w:ascii="Arial" w:hAnsi="Arial" w:cs="Arial"/>
        </w:rPr>
        <w:t>Mijinke</w:t>
      </w:r>
      <w:proofErr w:type="spellEnd"/>
      <w:r w:rsidRPr="000C3733">
        <w:rPr>
          <w:rFonts w:ascii="Arial" w:hAnsi="Arial" w:cs="Arial"/>
        </w:rPr>
        <w:t xml:space="preserve">, Obermann and Hamers 2020). </w:t>
      </w:r>
    </w:p>
    <w:p w14:paraId="5259D015" w14:textId="77777777" w:rsidR="000C3733" w:rsidRPr="000C3733" w:rsidRDefault="000C3733" w:rsidP="000C3733">
      <w:pPr>
        <w:spacing w:line="360" w:lineRule="auto"/>
        <w:ind w:firstLine="720"/>
        <w:rPr>
          <w:rFonts w:ascii="Arial" w:hAnsi="Arial" w:cs="Arial"/>
        </w:rPr>
      </w:pPr>
      <w:r w:rsidRPr="000C3733">
        <w:rPr>
          <w:rFonts w:ascii="Arial" w:hAnsi="Arial" w:cs="Arial"/>
        </w:rPr>
        <w:t xml:space="preserve">The Urban Heights operates in the hospitality industry; hence, is exposed to a range of challenges brought by the recent crisis and the resulting trends and patterns in the market. As an outcome of the crisis and the drastic change in the movements in the hospitality market, the hotel’s financial condition has been adversely affected that can be further </w:t>
      </w:r>
      <w:proofErr w:type="spellStart"/>
      <w:r w:rsidRPr="000C3733">
        <w:rPr>
          <w:rFonts w:ascii="Arial" w:hAnsi="Arial" w:cs="Arial"/>
        </w:rPr>
        <w:t>analyzed</w:t>
      </w:r>
      <w:proofErr w:type="spellEnd"/>
      <w:r w:rsidRPr="000C3733">
        <w:rPr>
          <w:rFonts w:ascii="Arial" w:hAnsi="Arial" w:cs="Arial"/>
        </w:rPr>
        <w:t xml:space="preserve"> below using the financial numbers reported in the hotel’s financial statements.</w:t>
      </w:r>
    </w:p>
    <w:p w14:paraId="40D0CFBF" w14:textId="77777777" w:rsidR="000C3733" w:rsidRPr="007D70F1" w:rsidRDefault="000C3733" w:rsidP="000C3733">
      <w:pPr>
        <w:spacing w:line="360" w:lineRule="auto"/>
        <w:ind w:firstLine="720"/>
        <w:rPr>
          <w:rFonts w:ascii="Arial" w:hAnsi="Arial" w:cs="Arial"/>
        </w:rPr>
      </w:pPr>
    </w:p>
    <w:tbl>
      <w:tblPr>
        <w:tblW w:w="6200" w:type="dxa"/>
        <w:jc w:val="center"/>
        <w:tblLook w:val="04A0" w:firstRow="1" w:lastRow="0" w:firstColumn="1" w:lastColumn="0" w:noHBand="0" w:noVBand="1"/>
      </w:tblPr>
      <w:tblGrid>
        <w:gridCol w:w="1916"/>
        <w:gridCol w:w="1751"/>
        <w:gridCol w:w="1751"/>
        <w:gridCol w:w="1751"/>
      </w:tblGrid>
      <w:tr w:rsidR="000C3733" w:rsidRPr="007D70F1" w14:paraId="2104262C" w14:textId="77777777" w:rsidTr="00094366">
        <w:trPr>
          <w:trHeight w:val="315"/>
          <w:jc w:val="center"/>
        </w:trPr>
        <w:tc>
          <w:tcPr>
            <w:tcW w:w="6200" w:type="dxa"/>
            <w:gridSpan w:val="4"/>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5BEBA77" w14:textId="77777777" w:rsidR="000C3733" w:rsidRPr="007D70F1" w:rsidRDefault="000C3733" w:rsidP="00094366">
            <w:pPr>
              <w:spacing w:after="0" w:line="240" w:lineRule="auto"/>
              <w:jc w:val="center"/>
              <w:rPr>
                <w:rFonts w:ascii="Arial" w:eastAsia="Times New Roman" w:hAnsi="Arial" w:cs="Arial"/>
                <w:b/>
                <w:bCs/>
                <w:color w:val="000000"/>
                <w:szCs w:val="24"/>
                <w:lang w:eastAsia="en-GB"/>
              </w:rPr>
            </w:pPr>
            <w:r w:rsidRPr="007D70F1">
              <w:rPr>
                <w:rFonts w:ascii="Arial" w:eastAsia="Times New Roman" w:hAnsi="Arial" w:cs="Arial"/>
                <w:b/>
                <w:bCs/>
                <w:color w:val="000000"/>
                <w:szCs w:val="24"/>
                <w:lang w:eastAsia="en-GB"/>
              </w:rPr>
              <w:t>Urban Heights Hotel (figures in GBP)</w:t>
            </w:r>
          </w:p>
        </w:tc>
      </w:tr>
      <w:tr w:rsidR="000C3733" w:rsidRPr="007D70F1" w14:paraId="52E99741" w14:textId="77777777" w:rsidTr="00094366">
        <w:trPr>
          <w:trHeight w:val="300"/>
          <w:jc w:val="center"/>
        </w:trPr>
        <w:tc>
          <w:tcPr>
            <w:tcW w:w="1916" w:type="dxa"/>
            <w:tcBorders>
              <w:top w:val="nil"/>
              <w:left w:val="single" w:sz="8" w:space="0" w:color="auto"/>
              <w:bottom w:val="single" w:sz="4" w:space="0" w:color="auto"/>
              <w:right w:val="single" w:sz="4" w:space="0" w:color="auto"/>
            </w:tcBorders>
            <w:shd w:val="clear" w:color="auto" w:fill="auto"/>
            <w:noWrap/>
            <w:vAlign w:val="bottom"/>
            <w:hideMark/>
          </w:tcPr>
          <w:p w14:paraId="37392FA4" w14:textId="77777777" w:rsidR="000C3733" w:rsidRPr="007D70F1" w:rsidRDefault="000C3733" w:rsidP="00094366">
            <w:pPr>
              <w:spacing w:after="0" w:line="240" w:lineRule="auto"/>
              <w:jc w:val="left"/>
              <w:rPr>
                <w:rFonts w:ascii="Arial" w:eastAsia="Times New Roman" w:hAnsi="Arial" w:cs="Arial"/>
                <w:color w:val="000000"/>
                <w:szCs w:val="24"/>
                <w:lang w:eastAsia="en-GB"/>
              </w:rPr>
            </w:pPr>
            <w:r w:rsidRPr="007D70F1">
              <w:rPr>
                <w:rFonts w:ascii="Arial" w:eastAsia="Times New Roman" w:hAnsi="Arial" w:cs="Arial"/>
                <w:color w:val="000000"/>
                <w:szCs w:val="24"/>
                <w:lang w:eastAsia="en-GB"/>
              </w:rPr>
              <w:t> </w:t>
            </w:r>
          </w:p>
        </w:tc>
        <w:tc>
          <w:tcPr>
            <w:tcW w:w="1439" w:type="dxa"/>
            <w:tcBorders>
              <w:top w:val="nil"/>
              <w:left w:val="nil"/>
              <w:bottom w:val="single" w:sz="4" w:space="0" w:color="auto"/>
              <w:right w:val="single" w:sz="4" w:space="0" w:color="auto"/>
            </w:tcBorders>
            <w:shd w:val="clear" w:color="auto" w:fill="auto"/>
            <w:noWrap/>
            <w:vAlign w:val="bottom"/>
            <w:hideMark/>
          </w:tcPr>
          <w:p w14:paraId="27E56F43" w14:textId="77777777" w:rsidR="000C3733" w:rsidRPr="007D70F1" w:rsidRDefault="000C3733" w:rsidP="00094366">
            <w:pPr>
              <w:spacing w:after="0" w:line="240" w:lineRule="auto"/>
              <w:jc w:val="right"/>
              <w:rPr>
                <w:rFonts w:ascii="Arial" w:eastAsia="Times New Roman" w:hAnsi="Arial" w:cs="Arial"/>
                <w:b/>
                <w:bCs/>
                <w:color w:val="000000"/>
                <w:szCs w:val="24"/>
                <w:lang w:eastAsia="en-GB"/>
              </w:rPr>
            </w:pPr>
            <w:r w:rsidRPr="007D70F1">
              <w:rPr>
                <w:rFonts w:ascii="Arial" w:eastAsia="Times New Roman" w:hAnsi="Arial" w:cs="Arial"/>
                <w:b/>
                <w:bCs/>
                <w:color w:val="000000"/>
                <w:szCs w:val="24"/>
                <w:lang w:eastAsia="en-GB"/>
              </w:rPr>
              <w:t>2021</w:t>
            </w:r>
          </w:p>
        </w:tc>
        <w:tc>
          <w:tcPr>
            <w:tcW w:w="1439" w:type="dxa"/>
            <w:tcBorders>
              <w:top w:val="nil"/>
              <w:left w:val="nil"/>
              <w:bottom w:val="single" w:sz="4" w:space="0" w:color="auto"/>
              <w:right w:val="single" w:sz="4" w:space="0" w:color="auto"/>
            </w:tcBorders>
            <w:shd w:val="clear" w:color="auto" w:fill="auto"/>
            <w:noWrap/>
            <w:vAlign w:val="bottom"/>
            <w:hideMark/>
          </w:tcPr>
          <w:p w14:paraId="27EA1829" w14:textId="77777777" w:rsidR="000C3733" w:rsidRPr="007D70F1" w:rsidRDefault="000C3733" w:rsidP="00094366">
            <w:pPr>
              <w:spacing w:after="0" w:line="240" w:lineRule="auto"/>
              <w:jc w:val="right"/>
              <w:rPr>
                <w:rFonts w:ascii="Arial" w:eastAsia="Times New Roman" w:hAnsi="Arial" w:cs="Arial"/>
                <w:b/>
                <w:bCs/>
                <w:color w:val="000000"/>
                <w:szCs w:val="24"/>
                <w:lang w:eastAsia="en-GB"/>
              </w:rPr>
            </w:pPr>
            <w:r w:rsidRPr="007D70F1">
              <w:rPr>
                <w:rFonts w:ascii="Arial" w:eastAsia="Times New Roman" w:hAnsi="Arial" w:cs="Arial"/>
                <w:b/>
                <w:bCs/>
                <w:color w:val="000000"/>
                <w:szCs w:val="24"/>
                <w:lang w:eastAsia="en-GB"/>
              </w:rPr>
              <w:t>2022</w:t>
            </w:r>
          </w:p>
        </w:tc>
        <w:tc>
          <w:tcPr>
            <w:tcW w:w="1406" w:type="dxa"/>
            <w:tcBorders>
              <w:top w:val="nil"/>
              <w:left w:val="nil"/>
              <w:bottom w:val="single" w:sz="4" w:space="0" w:color="auto"/>
              <w:right w:val="single" w:sz="8" w:space="0" w:color="auto"/>
            </w:tcBorders>
            <w:shd w:val="clear" w:color="auto" w:fill="auto"/>
            <w:noWrap/>
            <w:vAlign w:val="bottom"/>
            <w:hideMark/>
          </w:tcPr>
          <w:p w14:paraId="5AADA6EC" w14:textId="77777777" w:rsidR="000C3733" w:rsidRPr="007D70F1" w:rsidRDefault="000C3733" w:rsidP="00094366">
            <w:pPr>
              <w:spacing w:after="0" w:line="240" w:lineRule="auto"/>
              <w:jc w:val="right"/>
              <w:rPr>
                <w:rFonts w:ascii="Arial" w:eastAsia="Times New Roman" w:hAnsi="Arial" w:cs="Arial"/>
                <w:b/>
                <w:bCs/>
                <w:color w:val="000000"/>
                <w:szCs w:val="24"/>
                <w:lang w:eastAsia="en-GB"/>
              </w:rPr>
            </w:pPr>
            <w:r w:rsidRPr="007D70F1">
              <w:rPr>
                <w:rFonts w:ascii="Arial" w:eastAsia="Times New Roman" w:hAnsi="Arial" w:cs="Arial"/>
                <w:b/>
                <w:bCs/>
                <w:color w:val="000000"/>
                <w:szCs w:val="24"/>
                <w:lang w:eastAsia="en-GB"/>
              </w:rPr>
              <w:t>2023</w:t>
            </w:r>
          </w:p>
        </w:tc>
      </w:tr>
      <w:tr w:rsidR="000C3733" w:rsidRPr="007D70F1" w14:paraId="78D44016" w14:textId="77777777" w:rsidTr="00094366">
        <w:trPr>
          <w:trHeight w:val="300"/>
          <w:jc w:val="center"/>
        </w:trPr>
        <w:tc>
          <w:tcPr>
            <w:tcW w:w="1916" w:type="dxa"/>
            <w:tcBorders>
              <w:top w:val="nil"/>
              <w:left w:val="single" w:sz="8" w:space="0" w:color="auto"/>
              <w:bottom w:val="single" w:sz="4" w:space="0" w:color="auto"/>
              <w:right w:val="single" w:sz="4" w:space="0" w:color="auto"/>
            </w:tcBorders>
            <w:shd w:val="clear" w:color="auto" w:fill="auto"/>
            <w:noWrap/>
            <w:vAlign w:val="bottom"/>
            <w:hideMark/>
          </w:tcPr>
          <w:p w14:paraId="665C8B8D" w14:textId="77777777" w:rsidR="000C3733" w:rsidRPr="007D70F1" w:rsidRDefault="000C3733" w:rsidP="00094366">
            <w:pPr>
              <w:spacing w:after="0" w:line="240" w:lineRule="auto"/>
              <w:jc w:val="left"/>
              <w:rPr>
                <w:rFonts w:ascii="Arial" w:eastAsia="Times New Roman" w:hAnsi="Arial" w:cs="Arial"/>
                <w:b/>
                <w:bCs/>
                <w:color w:val="000000"/>
                <w:szCs w:val="24"/>
                <w:lang w:eastAsia="en-GB"/>
              </w:rPr>
            </w:pPr>
            <w:r w:rsidRPr="007D70F1">
              <w:rPr>
                <w:rFonts w:ascii="Arial" w:eastAsia="Times New Roman" w:hAnsi="Arial" w:cs="Arial"/>
                <w:b/>
                <w:bCs/>
                <w:color w:val="000000"/>
                <w:szCs w:val="24"/>
                <w:lang w:eastAsia="en-GB"/>
              </w:rPr>
              <w:t>Revenue</w:t>
            </w:r>
          </w:p>
        </w:tc>
        <w:tc>
          <w:tcPr>
            <w:tcW w:w="1439" w:type="dxa"/>
            <w:tcBorders>
              <w:top w:val="nil"/>
              <w:left w:val="nil"/>
              <w:bottom w:val="single" w:sz="4" w:space="0" w:color="auto"/>
              <w:right w:val="single" w:sz="4" w:space="0" w:color="auto"/>
            </w:tcBorders>
            <w:shd w:val="clear" w:color="auto" w:fill="auto"/>
            <w:noWrap/>
            <w:vAlign w:val="bottom"/>
            <w:hideMark/>
          </w:tcPr>
          <w:p w14:paraId="0762927E" w14:textId="77777777" w:rsidR="000C3733" w:rsidRPr="007D70F1" w:rsidRDefault="000C3733" w:rsidP="00094366">
            <w:pPr>
              <w:spacing w:after="0" w:line="240" w:lineRule="auto"/>
              <w:jc w:val="left"/>
              <w:rPr>
                <w:rFonts w:ascii="Arial" w:eastAsia="Times New Roman" w:hAnsi="Arial" w:cs="Arial"/>
                <w:color w:val="000000"/>
                <w:szCs w:val="24"/>
                <w:lang w:eastAsia="en-GB"/>
              </w:rPr>
            </w:pPr>
            <w:r w:rsidRPr="007D70F1">
              <w:rPr>
                <w:rFonts w:ascii="Arial" w:eastAsia="Times New Roman" w:hAnsi="Arial" w:cs="Arial"/>
                <w:color w:val="000000"/>
                <w:szCs w:val="24"/>
                <w:lang w:eastAsia="en-GB"/>
              </w:rPr>
              <w:t xml:space="preserve">   £2,500,000.00 </w:t>
            </w:r>
          </w:p>
        </w:tc>
        <w:tc>
          <w:tcPr>
            <w:tcW w:w="1439" w:type="dxa"/>
            <w:tcBorders>
              <w:top w:val="nil"/>
              <w:left w:val="nil"/>
              <w:bottom w:val="single" w:sz="4" w:space="0" w:color="auto"/>
              <w:right w:val="single" w:sz="4" w:space="0" w:color="auto"/>
            </w:tcBorders>
            <w:shd w:val="clear" w:color="auto" w:fill="auto"/>
            <w:noWrap/>
            <w:vAlign w:val="bottom"/>
            <w:hideMark/>
          </w:tcPr>
          <w:p w14:paraId="6B9A9F52" w14:textId="77777777" w:rsidR="000C3733" w:rsidRPr="007D70F1" w:rsidRDefault="000C3733" w:rsidP="00094366">
            <w:pPr>
              <w:spacing w:after="0" w:line="240" w:lineRule="auto"/>
              <w:jc w:val="left"/>
              <w:rPr>
                <w:rFonts w:ascii="Arial" w:eastAsia="Times New Roman" w:hAnsi="Arial" w:cs="Arial"/>
                <w:color w:val="000000"/>
                <w:szCs w:val="24"/>
                <w:lang w:eastAsia="en-GB"/>
              </w:rPr>
            </w:pPr>
            <w:r w:rsidRPr="007D70F1">
              <w:rPr>
                <w:rFonts w:ascii="Arial" w:eastAsia="Times New Roman" w:hAnsi="Arial" w:cs="Arial"/>
                <w:color w:val="000000"/>
                <w:szCs w:val="24"/>
                <w:lang w:eastAsia="en-GB"/>
              </w:rPr>
              <w:t xml:space="preserve">   £2,200,000.00 </w:t>
            </w:r>
          </w:p>
        </w:tc>
        <w:tc>
          <w:tcPr>
            <w:tcW w:w="1406" w:type="dxa"/>
            <w:tcBorders>
              <w:top w:val="nil"/>
              <w:left w:val="nil"/>
              <w:bottom w:val="single" w:sz="4" w:space="0" w:color="auto"/>
              <w:right w:val="single" w:sz="8" w:space="0" w:color="auto"/>
            </w:tcBorders>
            <w:shd w:val="clear" w:color="auto" w:fill="auto"/>
            <w:noWrap/>
            <w:vAlign w:val="bottom"/>
            <w:hideMark/>
          </w:tcPr>
          <w:p w14:paraId="25DF0BCB" w14:textId="77777777" w:rsidR="000C3733" w:rsidRPr="007D70F1" w:rsidRDefault="000C3733" w:rsidP="00094366">
            <w:pPr>
              <w:spacing w:after="0" w:line="240" w:lineRule="auto"/>
              <w:jc w:val="left"/>
              <w:rPr>
                <w:rFonts w:ascii="Arial" w:eastAsia="Times New Roman" w:hAnsi="Arial" w:cs="Arial"/>
                <w:color w:val="000000"/>
                <w:szCs w:val="24"/>
                <w:lang w:eastAsia="en-GB"/>
              </w:rPr>
            </w:pPr>
            <w:r w:rsidRPr="007D70F1">
              <w:rPr>
                <w:rFonts w:ascii="Arial" w:eastAsia="Times New Roman" w:hAnsi="Arial" w:cs="Arial"/>
                <w:color w:val="000000"/>
                <w:szCs w:val="24"/>
                <w:lang w:eastAsia="en-GB"/>
              </w:rPr>
              <w:t xml:space="preserve">   £1,800,000.00 </w:t>
            </w:r>
          </w:p>
        </w:tc>
      </w:tr>
      <w:tr w:rsidR="000C3733" w:rsidRPr="007D70F1" w14:paraId="62450630" w14:textId="77777777" w:rsidTr="00094366">
        <w:trPr>
          <w:trHeight w:val="300"/>
          <w:jc w:val="center"/>
        </w:trPr>
        <w:tc>
          <w:tcPr>
            <w:tcW w:w="1916" w:type="dxa"/>
            <w:tcBorders>
              <w:top w:val="nil"/>
              <w:left w:val="single" w:sz="8" w:space="0" w:color="auto"/>
              <w:bottom w:val="single" w:sz="4" w:space="0" w:color="auto"/>
              <w:right w:val="single" w:sz="4" w:space="0" w:color="auto"/>
            </w:tcBorders>
            <w:shd w:val="clear" w:color="auto" w:fill="auto"/>
            <w:noWrap/>
            <w:vAlign w:val="bottom"/>
            <w:hideMark/>
          </w:tcPr>
          <w:p w14:paraId="01AB87ED" w14:textId="77777777" w:rsidR="000C3733" w:rsidRPr="007D70F1" w:rsidRDefault="000C3733" w:rsidP="00094366">
            <w:pPr>
              <w:spacing w:after="0" w:line="240" w:lineRule="auto"/>
              <w:jc w:val="left"/>
              <w:rPr>
                <w:rFonts w:ascii="Arial" w:eastAsia="Times New Roman" w:hAnsi="Arial" w:cs="Arial"/>
                <w:b/>
                <w:bCs/>
                <w:color w:val="000000"/>
                <w:szCs w:val="24"/>
                <w:lang w:eastAsia="en-GB"/>
              </w:rPr>
            </w:pPr>
            <w:r w:rsidRPr="007D70F1">
              <w:rPr>
                <w:rFonts w:ascii="Arial" w:eastAsia="Times New Roman" w:hAnsi="Arial" w:cs="Arial"/>
                <w:b/>
                <w:bCs/>
                <w:color w:val="000000"/>
                <w:szCs w:val="24"/>
                <w:lang w:eastAsia="en-GB"/>
              </w:rPr>
              <w:t>Operating Expenses</w:t>
            </w:r>
          </w:p>
        </w:tc>
        <w:tc>
          <w:tcPr>
            <w:tcW w:w="1439" w:type="dxa"/>
            <w:tcBorders>
              <w:top w:val="nil"/>
              <w:left w:val="nil"/>
              <w:bottom w:val="single" w:sz="4" w:space="0" w:color="auto"/>
              <w:right w:val="single" w:sz="4" w:space="0" w:color="auto"/>
            </w:tcBorders>
            <w:shd w:val="clear" w:color="auto" w:fill="auto"/>
            <w:noWrap/>
            <w:vAlign w:val="bottom"/>
            <w:hideMark/>
          </w:tcPr>
          <w:p w14:paraId="2C8A535C" w14:textId="77777777" w:rsidR="000C3733" w:rsidRPr="007D70F1" w:rsidRDefault="000C3733" w:rsidP="00094366">
            <w:pPr>
              <w:spacing w:after="0" w:line="240" w:lineRule="auto"/>
              <w:jc w:val="left"/>
              <w:rPr>
                <w:rFonts w:ascii="Arial" w:eastAsia="Times New Roman" w:hAnsi="Arial" w:cs="Arial"/>
                <w:color w:val="000000"/>
                <w:szCs w:val="24"/>
                <w:lang w:eastAsia="en-GB"/>
              </w:rPr>
            </w:pPr>
            <w:r w:rsidRPr="007D70F1">
              <w:rPr>
                <w:rFonts w:ascii="Arial" w:eastAsia="Times New Roman" w:hAnsi="Arial" w:cs="Arial"/>
                <w:color w:val="000000"/>
                <w:szCs w:val="24"/>
                <w:lang w:eastAsia="en-GB"/>
              </w:rPr>
              <w:t xml:space="preserve">   £1,800,000.00 </w:t>
            </w:r>
          </w:p>
        </w:tc>
        <w:tc>
          <w:tcPr>
            <w:tcW w:w="1439" w:type="dxa"/>
            <w:tcBorders>
              <w:top w:val="nil"/>
              <w:left w:val="nil"/>
              <w:bottom w:val="single" w:sz="4" w:space="0" w:color="auto"/>
              <w:right w:val="single" w:sz="4" w:space="0" w:color="auto"/>
            </w:tcBorders>
            <w:shd w:val="clear" w:color="auto" w:fill="auto"/>
            <w:noWrap/>
            <w:vAlign w:val="bottom"/>
            <w:hideMark/>
          </w:tcPr>
          <w:p w14:paraId="51ACB61B" w14:textId="77777777" w:rsidR="000C3733" w:rsidRPr="007D70F1" w:rsidRDefault="000C3733" w:rsidP="00094366">
            <w:pPr>
              <w:spacing w:after="0" w:line="240" w:lineRule="auto"/>
              <w:jc w:val="left"/>
              <w:rPr>
                <w:rFonts w:ascii="Arial" w:eastAsia="Times New Roman" w:hAnsi="Arial" w:cs="Arial"/>
                <w:color w:val="000000"/>
                <w:szCs w:val="24"/>
                <w:lang w:eastAsia="en-GB"/>
              </w:rPr>
            </w:pPr>
            <w:r w:rsidRPr="007D70F1">
              <w:rPr>
                <w:rFonts w:ascii="Arial" w:eastAsia="Times New Roman" w:hAnsi="Arial" w:cs="Arial"/>
                <w:color w:val="000000"/>
                <w:szCs w:val="24"/>
                <w:lang w:eastAsia="en-GB"/>
              </w:rPr>
              <w:t xml:space="preserve">   £2,000,000.00 </w:t>
            </w:r>
          </w:p>
        </w:tc>
        <w:tc>
          <w:tcPr>
            <w:tcW w:w="1406" w:type="dxa"/>
            <w:tcBorders>
              <w:top w:val="nil"/>
              <w:left w:val="nil"/>
              <w:bottom w:val="single" w:sz="4" w:space="0" w:color="auto"/>
              <w:right w:val="single" w:sz="8" w:space="0" w:color="auto"/>
            </w:tcBorders>
            <w:shd w:val="clear" w:color="auto" w:fill="auto"/>
            <w:noWrap/>
            <w:vAlign w:val="bottom"/>
            <w:hideMark/>
          </w:tcPr>
          <w:p w14:paraId="69D317CD" w14:textId="77777777" w:rsidR="000C3733" w:rsidRPr="007D70F1" w:rsidRDefault="000C3733" w:rsidP="00094366">
            <w:pPr>
              <w:spacing w:after="0" w:line="240" w:lineRule="auto"/>
              <w:jc w:val="left"/>
              <w:rPr>
                <w:rFonts w:ascii="Arial" w:eastAsia="Times New Roman" w:hAnsi="Arial" w:cs="Arial"/>
                <w:color w:val="000000"/>
                <w:szCs w:val="24"/>
                <w:lang w:eastAsia="en-GB"/>
              </w:rPr>
            </w:pPr>
            <w:r w:rsidRPr="007D70F1">
              <w:rPr>
                <w:rFonts w:ascii="Arial" w:eastAsia="Times New Roman" w:hAnsi="Arial" w:cs="Arial"/>
                <w:color w:val="000000"/>
                <w:szCs w:val="24"/>
                <w:lang w:eastAsia="en-GB"/>
              </w:rPr>
              <w:t xml:space="preserve">   £2,300,000.00 </w:t>
            </w:r>
          </w:p>
        </w:tc>
      </w:tr>
      <w:tr w:rsidR="000C3733" w:rsidRPr="007D70F1" w14:paraId="76714401" w14:textId="77777777" w:rsidTr="00094366">
        <w:trPr>
          <w:trHeight w:val="300"/>
          <w:jc w:val="center"/>
        </w:trPr>
        <w:tc>
          <w:tcPr>
            <w:tcW w:w="1916" w:type="dxa"/>
            <w:tcBorders>
              <w:top w:val="nil"/>
              <w:left w:val="single" w:sz="8" w:space="0" w:color="auto"/>
              <w:bottom w:val="single" w:sz="4" w:space="0" w:color="auto"/>
              <w:right w:val="single" w:sz="4" w:space="0" w:color="auto"/>
            </w:tcBorders>
            <w:shd w:val="clear" w:color="auto" w:fill="auto"/>
            <w:noWrap/>
            <w:vAlign w:val="bottom"/>
            <w:hideMark/>
          </w:tcPr>
          <w:p w14:paraId="0D0B3CCD" w14:textId="77777777" w:rsidR="000C3733" w:rsidRPr="007D70F1" w:rsidRDefault="000C3733" w:rsidP="00094366">
            <w:pPr>
              <w:spacing w:after="0" w:line="240" w:lineRule="auto"/>
              <w:jc w:val="left"/>
              <w:rPr>
                <w:rFonts w:ascii="Arial" w:eastAsia="Times New Roman" w:hAnsi="Arial" w:cs="Arial"/>
                <w:b/>
                <w:bCs/>
                <w:color w:val="000000"/>
                <w:szCs w:val="24"/>
                <w:lang w:eastAsia="en-GB"/>
              </w:rPr>
            </w:pPr>
            <w:r w:rsidRPr="007D70F1">
              <w:rPr>
                <w:rFonts w:ascii="Arial" w:eastAsia="Times New Roman" w:hAnsi="Arial" w:cs="Arial"/>
                <w:b/>
                <w:bCs/>
                <w:color w:val="000000"/>
                <w:szCs w:val="24"/>
                <w:lang w:eastAsia="en-GB"/>
              </w:rPr>
              <w:t>Net Income</w:t>
            </w:r>
          </w:p>
        </w:tc>
        <w:tc>
          <w:tcPr>
            <w:tcW w:w="1439" w:type="dxa"/>
            <w:tcBorders>
              <w:top w:val="nil"/>
              <w:left w:val="nil"/>
              <w:bottom w:val="single" w:sz="4" w:space="0" w:color="auto"/>
              <w:right w:val="single" w:sz="4" w:space="0" w:color="auto"/>
            </w:tcBorders>
            <w:shd w:val="clear" w:color="auto" w:fill="auto"/>
            <w:noWrap/>
            <w:vAlign w:val="bottom"/>
            <w:hideMark/>
          </w:tcPr>
          <w:p w14:paraId="03284464" w14:textId="77777777" w:rsidR="000C3733" w:rsidRPr="007D70F1" w:rsidRDefault="000C3733" w:rsidP="00094366">
            <w:pPr>
              <w:spacing w:after="0" w:line="240" w:lineRule="auto"/>
              <w:jc w:val="left"/>
              <w:rPr>
                <w:rFonts w:ascii="Arial" w:eastAsia="Times New Roman" w:hAnsi="Arial" w:cs="Arial"/>
                <w:color w:val="000000"/>
                <w:szCs w:val="24"/>
                <w:lang w:eastAsia="en-GB"/>
              </w:rPr>
            </w:pPr>
            <w:r w:rsidRPr="007D70F1">
              <w:rPr>
                <w:rFonts w:ascii="Arial" w:eastAsia="Times New Roman" w:hAnsi="Arial" w:cs="Arial"/>
                <w:color w:val="000000"/>
                <w:szCs w:val="24"/>
                <w:lang w:eastAsia="en-GB"/>
              </w:rPr>
              <w:t xml:space="preserve">       £700,000.00 </w:t>
            </w:r>
          </w:p>
        </w:tc>
        <w:tc>
          <w:tcPr>
            <w:tcW w:w="1439" w:type="dxa"/>
            <w:tcBorders>
              <w:top w:val="nil"/>
              <w:left w:val="nil"/>
              <w:bottom w:val="single" w:sz="4" w:space="0" w:color="auto"/>
              <w:right w:val="single" w:sz="4" w:space="0" w:color="auto"/>
            </w:tcBorders>
            <w:shd w:val="clear" w:color="auto" w:fill="auto"/>
            <w:noWrap/>
            <w:vAlign w:val="bottom"/>
            <w:hideMark/>
          </w:tcPr>
          <w:p w14:paraId="3AD4617B" w14:textId="77777777" w:rsidR="000C3733" w:rsidRPr="007D70F1" w:rsidRDefault="000C3733" w:rsidP="00094366">
            <w:pPr>
              <w:spacing w:after="0" w:line="240" w:lineRule="auto"/>
              <w:jc w:val="left"/>
              <w:rPr>
                <w:rFonts w:ascii="Arial" w:eastAsia="Times New Roman" w:hAnsi="Arial" w:cs="Arial"/>
                <w:color w:val="000000"/>
                <w:szCs w:val="24"/>
                <w:lang w:eastAsia="en-GB"/>
              </w:rPr>
            </w:pPr>
            <w:r w:rsidRPr="007D70F1">
              <w:rPr>
                <w:rFonts w:ascii="Arial" w:eastAsia="Times New Roman" w:hAnsi="Arial" w:cs="Arial"/>
                <w:color w:val="000000"/>
                <w:szCs w:val="24"/>
                <w:lang w:eastAsia="en-GB"/>
              </w:rPr>
              <w:t xml:space="preserve">       £200,000.00 </w:t>
            </w:r>
          </w:p>
        </w:tc>
        <w:tc>
          <w:tcPr>
            <w:tcW w:w="1406" w:type="dxa"/>
            <w:tcBorders>
              <w:top w:val="nil"/>
              <w:left w:val="nil"/>
              <w:bottom w:val="single" w:sz="4" w:space="0" w:color="auto"/>
              <w:right w:val="single" w:sz="8" w:space="0" w:color="auto"/>
            </w:tcBorders>
            <w:shd w:val="clear" w:color="auto" w:fill="auto"/>
            <w:noWrap/>
            <w:vAlign w:val="bottom"/>
            <w:hideMark/>
          </w:tcPr>
          <w:p w14:paraId="00AC8B86" w14:textId="42302BAA" w:rsidR="000C3733" w:rsidRPr="007D70F1" w:rsidRDefault="000C3733" w:rsidP="00094366">
            <w:pPr>
              <w:spacing w:after="0" w:line="240" w:lineRule="auto"/>
              <w:jc w:val="left"/>
              <w:rPr>
                <w:rFonts w:ascii="Arial" w:eastAsia="Times New Roman" w:hAnsi="Arial" w:cs="Arial"/>
                <w:color w:val="000000"/>
                <w:szCs w:val="24"/>
                <w:lang w:eastAsia="en-GB"/>
              </w:rPr>
            </w:pPr>
            <w:r w:rsidRPr="007D70F1">
              <w:rPr>
                <w:rFonts w:ascii="Arial" w:eastAsia="Times New Roman" w:hAnsi="Arial" w:cs="Arial"/>
                <w:color w:val="000000"/>
                <w:szCs w:val="24"/>
                <w:lang w:eastAsia="en-GB"/>
              </w:rPr>
              <w:t xml:space="preserve">- £500,000.00 </w:t>
            </w:r>
          </w:p>
        </w:tc>
      </w:tr>
    </w:tbl>
    <w:p w14:paraId="724AE0A2" w14:textId="77777777" w:rsidR="000C3733" w:rsidRDefault="000C3733" w:rsidP="000C3733">
      <w:pPr>
        <w:spacing w:line="240" w:lineRule="auto"/>
        <w:jc w:val="center"/>
        <w:rPr>
          <w:b/>
          <w:bCs/>
        </w:rPr>
      </w:pPr>
    </w:p>
    <w:p w14:paraId="3D989F69" w14:textId="77777777" w:rsidR="000C3733" w:rsidRPr="007D70F1" w:rsidRDefault="000C3733" w:rsidP="000C3733">
      <w:pPr>
        <w:spacing w:line="240" w:lineRule="auto"/>
        <w:jc w:val="center"/>
        <w:rPr>
          <w:rFonts w:ascii="Arial" w:hAnsi="Arial" w:cs="Arial"/>
          <w:b/>
          <w:bCs/>
        </w:rPr>
      </w:pPr>
      <w:r w:rsidRPr="007D70F1">
        <w:rPr>
          <w:rFonts w:ascii="Arial" w:hAnsi="Arial" w:cs="Arial"/>
          <w:b/>
          <w:bCs/>
        </w:rPr>
        <w:t>Table 1: Performance of Urban Heights</w:t>
      </w:r>
    </w:p>
    <w:p w14:paraId="21886160" w14:textId="0295F122" w:rsidR="000C3733" w:rsidRDefault="000C3733" w:rsidP="000C3733">
      <w:pPr>
        <w:jc w:val="center"/>
      </w:pPr>
      <w:r>
        <w:rPr>
          <w:noProof/>
        </w:rPr>
        <w:lastRenderedPageBreak/>
        <w:drawing>
          <wp:inline distT="0" distB="0" distL="0" distR="0" wp14:anchorId="30A529B6" wp14:editId="7A67FE5B">
            <wp:extent cx="4572000" cy="2743200"/>
            <wp:effectExtent l="0" t="0" r="0" b="0"/>
            <wp:docPr id="845561257" name="Chart 4">
              <a:extLst xmlns:a="http://schemas.openxmlformats.org/drawingml/2006/main">
                <a:ext uri="{FF2B5EF4-FFF2-40B4-BE49-F238E27FC236}">
                  <a16:creationId xmlns:a16="http://schemas.microsoft.com/office/drawing/2014/main" id="{A13B2AB7-2E46-4268-9B79-85C6435ECA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80C62F1" w14:textId="77777777" w:rsidR="000C3733" w:rsidRPr="000C3733" w:rsidRDefault="000C3733" w:rsidP="000C3733">
      <w:pPr>
        <w:jc w:val="center"/>
        <w:rPr>
          <w:rFonts w:ascii="Arial" w:hAnsi="Arial" w:cs="Arial"/>
          <w:b/>
          <w:bCs/>
        </w:rPr>
      </w:pPr>
      <w:r w:rsidRPr="000C3733">
        <w:rPr>
          <w:rFonts w:ascii="Arial" w:hAnsi="Arial" w:cs="Arial"/>
          <w:b/>
          <w:bCs/>
        </w:rPr>
        <w:t>Figure 2: Performance of Urban Heights</w:t>
      </w:r>
    </w:p>
    <w:p w14:paraId="5E3C5A77" w14:textId="77777777" w:rsidR="000C3733" w:rsidRPr="000C3733" w:rsidRDefault="000C3733" w:rsidP="000C3733">
      <w:pPr>
        <w:spacing w:line="360" w:lineRule="auto"/>
        <w:rPr>
          <w:rFonts w:ascii="Arial" w:hAnsi="Arial" w:cs="Arial"/>
        </w:rPr>
      </w:pPr>
      <w:r>
        <w:tab/>
      </w:r>
      <w:r w:rsidRPr="000C3733">
        <w:rPr>
          <w:rFonts w:ascii="Arial" w:hAnsi="Arial" w:cs="Arial"/>
        </w:rPr>
        <w:t xml:space="preserve">The above figures show that Urban Heights’ revenue has significantly diminished over the past 3 years, </w:t>
      </w:r>
      <w:proofErr w:type="spellStart"/>
      <w:proofErr w:type="gramStart"/>
      <w:r w:rsidRPr="000C3733">
        <w:rPr>
          <w:rFonts w:ascii="Arial" w:hAnsi="Arial" w:cs="Arial"/>
        </w:rPr>
        <w:t>where as</w:t>
      </w:r>
      <w:proofErr w:type="spellEnd"/>
      <w:proofErr w:type="gramEnd"/>
      <w:r w:rsidRPr="000C3733">
        <w:rPr>
          <w:rFonts w:ascii="Arial" w:hAnsi="Arial" w:cs="Arial"/>
        </w:rPr>
        <w:t xml:space="preserve"> the operating expenses have ramped up to the high extent. This has led to the drop in Urban Heights Hotel’s net income over the last 3 years, revealing a significant drop in the hotel’s performance.</w:t>
      </w:r>
    </w:p>
    <w:tbl>
      <w:tblPr>
        <w:tblW w:w="4220" w:type="dxa"/>
        <w:jc w:val="center"/>
        <w:tblLook w:val="04A0" w:firstRow="1" w:lastRow="0" w:firstColumn="1" w:lastColumn="0" w:noHBand="0" w:noVBand="1"/>
      </w:tblPr>
      <w:tblGrid>
        <w:gridCol w:w="1340"/>
        <w:gridCol w:w="960"/>
        <w:gridCol w:w="960"/>
        <w:gridCol w:w="960"/>
      </w:tblGrid>
      <w:tr w:rsidR="000C3733" w:rsidRPr="000C3733" w14:paraId="7F5E6C28" w14:textId="77777777" w:rsidTr="000C3733">
        <w:trPr>
          <w:trHeight w:val="315"/>
          <w:jc w:val="center"/>
        </w:trPr>
        <w:tc>
          <w:tcPr>
            <w:tcW w:w="1340" w:type="dxa"/>
            <w:tcBorders>
              <w:top w:val="single" w:sz="8" w:space="0" w:color="auto"/>
              <w:left w:val="single" w:sz="8" w:space="0" w:color="auto"/>
              <w:bottom w:val="single" w:sz="4" w:space="0" w:color="auto"/>
              <w:right w:val="single" w:sz="4" w:space="0" w:color="auto"/>
            </w:tcBorders>
            <w:noWrap/>
            <w:vAlign w:val="bottom"/>
            <w:hideMark/>
          </w:tcPr>
          <w:p w14:paraId="4C6779CC" w14:textId="77777777" w:rsidR="000C3733" w:rsidRPr="000C3733" w:rsidRDefault="000C3733" w:rsidP="000C3733">
            <w:pPr>
              <w:spacing w:after="0" w:line="240" w:lineRule="auto"/>
              <w:jc w:val="left"/>
              <w:rPr>
                <w:rFonts w:ascii="Arial" w:eastAsia="Times New Roman" w:hAnsi="Arial" w:cs="Arial"/>
                <w:szCs w:val="24"/>
                <w:lang w:eastAsia="en-GB"/>
              </w:rPr>
            </w:pPr>
            <w:r w:rsidRPr="000C3733">
              <w:rPr>
                <w:rFonts w:ascii="Arial" w:eastAsia="Times New Roman" w:hAnsi="Arial" w:cs="Arial"/>
                <w:szCs w:val="24"/>
                <w:lang w:eastAsia="en-GB"/>
              </w:rPr>
              <w:t> </w:t>
            </w:r>
          </w:p>
        </w:tc>
        <w:tc>
          <w:tcPr>
            <w:tcW w:w="960" w:type="dxa"/>
            <w:tcBorders>
              <w:top w:val="single" w:sz="8" w:space="0" w:color="auto"/>
              <w:left w:val="nil"/>
              <w:bottom w:val="single" w:sz="4" w:space="0" w:color="auto"/>
              <w:right w:val="single" w:sz="4" w:space="0" w:color="auto"/>
            </w:tcBorders>
            <w:noWrap/>
            <w:vAlign w:val="bottom"/>
            <w:hideMark/>
          </w:tcPr>
          <w:p w14:paraId="38B85689" w14:textId="77777777" w:rsidR="000C3733" w:rsidRPr="000C3733" w:rsidRDefault="000C3733" w:rsidP="000C3733">
            <w:pPr>
              <w:spacing w:after="0" w:line="240" w:lineRule="auto"/>
              <w:jc w:val="right"/>
              <w:rPr>
                <w:rFonts w:ascii="Arial" w:eastAsia="Times New Roman" w:hAnsi="Arial" w:cs="Arial"/>
                <w:b/>
                <w:bCs/>
                <w:szCs w:val="24"/>
                <w:lang w:eastAsia="en-GB"/>
              </w:rPr>
            </w:pPr>
            <w:r w:rsidRPr="000C3733">
              <w:rPr>
                <w:rFonts w:ascii="Arial" w:eastAsia="Times New Roman" w:hAnsi="Arial" w:cs="Arial"/>
                <w:b/>
                <w:bCs/>
                <w:szCs w:val="24"/>
                <w:lang w:eastAsia="en-GB"/>
              </w:rPr>
              <w:t>2021</w:t>
            </w:r>
          </w:p>
        </w:tc>
        <w:tc>
          <w:tcPr>
            <w:tcW w:w="960" w:type="dxa"/>
            <w:tcBorders>
              <w:top w:val="single" w:sz="8" w:space="0" w:color="auto"/>
              <w:left w:val="nil"/>
              <w:bottom w:val="single" w:sz="4" w:space="0" w:color="auto"/>
              <w:right w:val="single" w:sz="4" w:space="0" w:color="auto"/>
            </w:tcBorders>
            <w:noWrap/>
            <w:vAlign w:val="bottom"/>
            <w:hideMark/>
          </w:tcPr>
          <w:p w14:paraId="12DC8DEE" w14:textId="77777777" w:rsidR="000C3733" w:rsidRPr="000C3733" w:rsidRDefault="000C3733" w:rsidP="000C3733">
            <w:pPr>
              <w:spacing w:after="0" w:line="240" w:lineRule="auto"/>
              <w:jc w:val="right"/>
              <w:rPr>
                <w:rFonts w:ascii="Arial" w:eastAsia="Times New Roman" w:hAnsi="Arial" w:cs="Arial"/>
                <w:b/>
                <w:bCs/>
                <w:szCs w:val="24"/>
                <w:lang w:eastAsia="en-GB"/>
              </w:rPr>
            </w:pPr>
            <w:r w:rsidRPr="000C3733">
              <w:rPr>
                <w:rFonts w:ascii="Arial" w:eastAsia="Times New Roman" w:hAnsi="Arial" w:cs="Arial"/>
                <w:b/>
                <w:bCs/>
                <w:szCs w:val="24"/>
                <w:lang w:eastAsia="en-GB"/>
              </w:rPr>
              <w:t>2022</w:t>
            </w:r>
          </w:p>
        </w:tc>
        <w:tc>
          <w:tcPr>
            <w:tcW w:w="960" w:type="dxa"/>
            <w:tcBorders>
              <w:top w:val="single" w:sz="8" w:space="0" w:color="auto"/>
              <w:left w:val="nil"/>
              <w:bottom w:val="single" w:sz="4" w:space="0" w:color="auto"/>
              <w:right w:val="single" w:sz="8" w:space="0" w:color="auto"/>
            </w:tcBorders>
            <w:noWrap/>
            <w:vAlign w:val="bottom"/>
            <w:hideMark/>
          </w:tcPr>
          <w:p w14:paraId="323D93DE" w14:textId="77777777" w:rsidR="000C3733" w:rsidRPr="000C3733" w:rsidRDefault="000C3733" w:rsidP="000C3733">
            <w:pPr>
              <w:spacing w:after="0" w:line="240" w:lineRule="auto"/>
              <w:jc w:val="right"/>
              <w:rPr>
                <w:rFonts w:ascii="Arial" w:eastAsia="Times New Roman" w:hAnsi="Arial" w:cs="Arial"/>
                <w:b/>
                <w:bCs/>
                <w:szCs w:val="24"/>
                <w:lang w:eastAsia="en-GB"/>
              </w:rPr>
            </w:pPr>
            <w:r w:rsidRPr="000C3733">
              <w:rPr>
                <w:rFonts w:ascii="Arial" w:eastAsia="Times New Roman" w:hAnsi="Arial" w:cs="Arial"/>
                <w:b/>
                <w:bCs/>
                <w:szCs w:val="24"/>
                <w:lang w:eastAsia="en-GB"/>
              </w:rPr>
              <w:t>2023</w:t>
            </w:r>
          </w:p>
        </w:tc>
      </w:tr>
      <w:tr w:rsidR="000C3733" w:rsidRPr="000C3733" w14:paraId="12D6FF5A" w14:textId="77777777" w:rsidTr="000C3733">
        <w:trPr>
          <w:trHeight w:val="300"/>
          <w:jc w:val="center"/>
        </w:trPr>
        <w:tc>
          <w:tcPr>
            <w:tcW w:w="1340" w:type="dxa"/>
            <w:tcBorders>
              <w:top w:val="nil"/>
              <w:left w:val="single" w:sz="8" w:space="0" w:color="auto"/>
              <w:bottom w:val="single" w:sz="4" w:space="0" w:color="auto"/>
              <w:right w:val="single" w:sz="4" w:space="0" w:color="auto"/>
            </w:tcBorders>
            <w:noWrap/>
            <w:vAlign w:val="bottom"/>
            <w:hideMark/>
          </w:tcPr>
          <w:p w14:paraId="646849CB" w14:textId="77777777" w:rsidR="000C3733" w:rsidRPr="000C3733" w:rsidRDefault="000C3733" w:rsidP="000C3733">
            <w:pPr>
              <w:spacing w:after="0" w:line="240" w:lineRule="auto"/>
              <w:jc w:val="left"/>
              <w:rPr>
                <w:rFonts w:ascii="Arial" w:eastAsia="Times New Roman" w:hAnsi="Arial" w:cs="Arial"/>
                <w:b/>
                <w:bCs/>
                <w:szCs w:val="24"/>
                <w:lang w:eastAsia="en-GB"/>
              </w:rPr>
            </w:pPr>
            <w:r w:rsidRPr="000C3733">
              <w:rPr>
                <w:rFonts w:ascii="Arial" w:eastAsia="Times New Roman" w:hAnsi="Arial" w:cs="Arial"/>
                <w:b/>
                <w:bCs/>
                <w:szCs w:val="24"/>
                <w:lang w:eastAsia="en-GB"/>
              </w:rPr>
              <w:t>NP Margin</w:t>
            </w:r>
          </w:p>
        </w:tc>
        <w:tc>
          <w:tcPr>
            <w:tcW w:w="960" w:type="dxa"/>
            <w:tcBorders>
              <w:top w:val="nil"/>
              <w:left w:val="nil"/>
              <w:bottom w:val="single" w:sz="4" w:space="0" w:color="auto"/>
              <w:right w:val="single" w:sz="4" w:space="0" w:color="auto"/>
            </w:tcBorders>
            <w:noWrap/>
            <w:vAlign w:val="bottom"/>
            <w:hideMark/>
          </w:tcPr>
          <w:p w14:paraId="0FE3D5FA"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28%</w:t>
            </w:r>
          </w:p>
        </w:tc>
        <w:tc>
          <w:tcPr>
            <w:tcW w:w="960" w:type="dxa"/>
            <w:tcBorders>
              <w:top w:val="nil"/>
              <w:left w:val="nil"/>
              <w:bottom w:val="single" w:sz="4" w:space="0" w:color="auto"/>
              <w:right w:val="single" w:sz="4" w:space="0" w:color="auto"/>
            </w:tcBorders>
            <w:noWrap/>
            <w:vAlign w:val="bottom"/>
            <w:hideMark/>
          </w:tcPr>
          <w:p w14:paraId="32949A82"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9%</w:t>
            </w:r>
          </w:p>
        </w:tc>
        <w:tc>
          <w:tcPr>
            <w:tcW w:w="960" w:type="dxa"/>
            <w:tcBorders>
              <w:top w:val="nil"/>
              <w:left w:val="nil"/>
              <w:bottom w:val="single" w:sz="4" w:space="0" w:color="auto"/>
              <w:right w:val="single" w:sz="8" w:space="0" w:color="auto"/>
            </w:tcBorders>
            <w:noWrap/>
            <w:vAlign w:val="bottom"/>
            <w:hideMark/>
          </w:tcPr>
          <w:p w14:paraId="09F83A08"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-28%</w:t>
            </w:r>
          </w:p>
        </w:tc>
      </w:tr>
      <w:tr w:rsidR="000C3733" w:rsidRPr="000C3733" w14:paraId="2E8A2E08" w14:textId="77777777" w:rsidTr="000C3733">
        <w:trPr>
          <w:trHeight w:val="300"/>
          <w:jc w:val="center"/>
        </w:trPr>
        <w:tc>
          <w:tcPr>
            <w:tcW w:w="1340" w:type="dxa"/>
            <w:tcBorders>
              <w:top w:val="nil"/>
              <w:left w:val="single" w:sz="8" w:space="0" w:color="auto"/>
              <w:bottom w:val="single" w:sz="4" w:space="0" w:color="auto"/>
              <w:right w:val="single" w:sz="4" w:space="0" w:color="auto"/>
            </w:tcBorders>
            <w:noWrap/>
            <w:vAlign w:val="bottom"/>
            <w:hideMark/>
          </w:tcPr>
          <w:p w14:paraId="5D0EED3F" w14:textId="77777777" w:rsidR="000C3733" w:rsidRPr="000C3733" w:rsidRDefault="000C3733" w:rsidP="000C3733">
            <w:pPr>
              <w:spacing w:after="0" w:line="240" w:lineRule="auto"/>
              <w:jc w:val="left"/>
              <w:rPr>
                <w:rFonts w:ascii="Arial" w:eastAsia="Times New Roman" w:hAnsi="Arial" w:cs="Arial"/>
                <w:b/>
                <w:bCs/>
                <w:szCs w:val="24"/>
                <w:lang w:eastAsia="en-GB"/>
              </w:rPr>
            </w:pPr>
            <w:r w:rsidRPr="000C3733">
              <w:rPr>
                <w:rFonts w:ascii="Arial" w:eastAsia="Times New Roman" w:hAnsi="Arial" w:cs="Arial"/>
                <w:b/>
                <w:bCs/>
                <w:szCs w:val="24"/>
                <w:lang w:eastAsia="en-GB"/>
              </w:rPr>
              <w:t>ROE</w:t>
            </w:r>
          </w:p>
        </w:tc>
        <w:tc>
          <w:tcPr>
            <w:tcW w:w="960" w:type="dxa"/>
            <w:tcBorders>
              <w:top w:val="nil"/>
              <w:left w:val="nil"/>
              <w:bottom w:val="single" w:sz="4" w:space="0" w:color="auto"/>
              <w:right w:val="single" w:sz="4" w:space="0" w:color="auto"/>
            </w:tcBorders>
            <w:noWrap/>
            <w:vAlign w:val="bottom"/>
            <w:hideMark/>
          </w:tcPr>
          <w:p w14:paraId="20B063A7"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32%</w:t>
            </w:r>
          </w:p>
        </w:tc>
        <w:tc>
          <w:tcPr>
            <w:tcW w:w="960" w:type="dxa"/>
            <w:tcBorders>
              <w:top w:val="nil"/>
              <w:left w:val="nil"/>
              <w:bottom w:val="single" w:sz="4" w:space="0" w:color="auto"/>
              <w:right w:val="single" w:sz="4" w:space="0" w:color="auto"/>
            </w:tcBorders>
            <w:noWrap/>
            <w:vAlign w:val="bottom"/>
            <w:hideMark/>
          </w:tcPr>
          <w:p w14:paraId="29EBC860"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11%</w:t>
            </w:r>
          </w:p>
        </w:tc>
        <w:tc>
          <w:tcPr>
            <w:tcW w:w="960" w:type="dxa"/>
            <w:tcBorders>
              <w:top w:val="nil"/>
              <w:left w:val="nil"/>
              <w:bottom w:val="single" w:sz="4" w:space="0" w:color="auto"/>
              <w:right w:val="single" w:sz="8" w:space="0" w:color="auto"/>
            </w:tcBorders>
            <w:noWrap/>
            <w:vAlign w:val="bottom"/>
            <w:hideMark/>
          </w:tcPr>
          <w:p w14:paraId="5572C205"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-36%</w:t>
            </w:r>
          </w:p>
        </w:tc>
      </w:tr>
      <w:tr w:rsidR="000C3733" w:rsidRPr="000C3733" w14:paraId="6A6B869A" w14:textId="77777777" w:rsidTr="000C3733">
        <w:trPr>
          <w:trHeight w:val="300"/>
          <w:jc w:val="center"/>
        </w:trPr>
        <w:tc>
          <w:tcPr>
            <w:tcW w:w="1340" w:type="dxa"/>
            <w:tcBorders>
              <w:top w:val="nil"/>
              <w:left w:val="single" w:sz="8" w:space="0" w:color="auto"/>
              <w:bottom w:val="single" w:sz="4" w:space="0" w:color="auto"/>
              <w:right w:val="single" w:sz="4" w:space="0" w:color="auto"/>
            </w:tcBorders>
            <w:noWrap/>
            <w:vAlign w:val="bottom"/>
            <w:hideMark/>
          </w:tcPr>
          <w:p w14:paraId="0614B82F" w14:textId="77777777" w:rsidR="000C3733" w:rsidRPr="000C3733" w:rsidRDefault="000C3733" w:rsidP="000C3733">
            <w:pPr>
              <w:spacing w:after="0" w:line="240" w:lineRule="auto"/>
              <w:jc w:val="left"/>
              <w:rPr>
                <w:rFonts w:ascii="Arial" w:eastAsia="Times New Roman" w:hAnsi="Arial" w:cs="Arial"/>
                <w:b/>
                <w:bCs/>
                <w:szCs w:val="24"/>
                <w:lang w:eastAsia="en-GB"/>
              </w:rPr>
            </w:pPr>
            <w:r w:rsidRPr="000C3733">
              <w:rPr>
                <w:rFonts w:ascii="Arial" w:eastAsia="Times New Roman" w:hAnsi="Arial" w:cs="Arial"/>
                <w:b/>
                <w:bCs/>
                <w:szCs w:val="24"/>
                <w:lang w:eastAsia="en-GB"/>
              </w:rPr>
              <w:t>ROA</w:t>
            </w:r>
          </w:p>
        </w:tc>
        <w:tc>
          <w:tcPr>
            <w:tcW w:w="960" w:type="dxa"/>
            <w:tcBorders>
              <w:top w:val="nil"/>
              <w:left w:val="nil"/>
              <w:bottom w:val="single" w:sz="4" w:space="0" w:color="auto"/>
              <w:right w:val="single" w:sz="4" w:space="0" w:color="auto"/>
            </w:tcBorders>
            <w:noWrap/>
            <w:vAlign w:val="bottom"/>
            <w:hideMark/>
          </w:tcPr>
          <w:p w14:paraId="63EA9D4B"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13%</w:t>
            </w:r>
          </w:p>
        </w:tc>
        <w:tc>
          <w:tcPr>
            <w:tcW w:w="960" w:type="dxa"/>
            <w:tcBorders>
              <w:top w:val="nil"/>
              <w:left w:val="nil"/>
              <w:bottom w:val="single" w:sz="4" w:space="0" w:color="auto"/>
              <w:right w:val="single" w:sz="4" w:space="0" w:color="auto"/>
            </w:tcBorders>
            <w:noWrap/>
            <w:vAlign w:val="bottom"/>
            <w:hideMark/>
          </w:tcPr>
          <w:p w14:paraId="3AA12541"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4%</w:t>
            </w:r>
          </w:p>
        </w:tc>
        <w:tc>
          <w:tcPr>
            <w:tcW w:w="960" w:type="dxa"/>
            <w:tcBorders>
              <w:top w:val="nil"/>
              <w:left w:val="nil"/>
              <w:bottom w:val="single" w:sz="4" w:space="0" w:color="auto"/>
              <w:right w:val="single" w:sz="8" w:space="0" w:color="auto"/>
            </w:tcBorders>
            <w:noWrap/>
            <w:vAlign w:val="bottom"/>
            <w:hideMark/>
          </w:tcPr>
          <w:p w14:paraId="531F14BD"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-11%</w:t>
            </w:r>
          </w:p>
        </w:tc>
      </w:tr>
      <w:tr w:rsidR="000C3733" w:rsidRPr="000C3733" w14:paraId="2E4834E8" w14:textId="77777777" w:rsidTr="000C3733">
        <w:trPr>
          <w:trHeight w:val="300"/>
          <w:jc w:val="center"/>
        </w:trPr>
        <w:tc>
          <w:tcPr>
            <w:tcW w:w="1340" w:type="dxa"/>
            <w:tcBorders>
              <w:top w:val="nil"/>
              <w:left w:val="single" w:sz="8" w:space="0" w:color="auto"/>
              <w:bottom w:val="single" w:sz="4" w:space="0" w:color="auto"/>
              <w:right w:val="single" w:sz="4" w:space="0" w:color="auto"/>
            </w:tcBorders>
            <w:noWrap/>
            <w:vAlign w:val="bottom"/>
            <w:hideMark/>
          </w:tcPr>
          <w:p w14:paraId="3A17AA05" w14:textId="77777777" w:rsidR="000C3733" w:rsidRPr="000C3733" w:rsidRDefault="000C3733" w:rsidP="000C3733">
            <w:pPr>
              <w:spacing w:after="0" w:line="240" w:lineRule="auto"/>
              <w:jc w:val="left"/>
              <w:rPr>
                <w:rFonts w:ascii="Arial" w:eastAsia="Times New Roman" w:hAnsi="Arial" w:cs="Arial"/>
                <w:b/>
                <w:bCs/>
                <w:szCs w:val="24"/>
                <w:lang w:eastAsia="en-GB"/>
              </w:rPr>
            </w:pPr>
            <w:r w:rsidRPr="000C3733">
              <w:rPr>
                <w:rFonts w:ascii="Arial" w:eastAsia="Times New Roman" w:hAnsi="Arial" w:cs="Arial"/>
                <w:b/>
                <w:bCs/>
                <w:szCs w:val="24"/>
                <w:lang w:eastAsia="en-GB"/>
              </w:rPr>
              <w:t>Current Ratio</w:t>
            </w:r>
          </w:p>
        </w:tc>
        <w:tc>
          <w:tcPr>
            <w:tcW w:w="960" w:type="dxa"/>
            <w:tcBorders>
              <w:top w:val="nil"/>
              <w:left w:val="nil"/>
              <w:bottom w:val="single" w:sz="4" w:space="0" w:color="auto"/>
              <w:right w:val="single" w:sz="4" w:space="0" w:color="auto"/>
            </w:tcBorders>
            <w:noWrap/>
            <w:vAlign w:val="bottom"/>
            <w:hideMark/>
          </w:tcPr>
          <w:p w14:paraId="38E2671F" w14:textId="77777777" w:rsidR="000C3733" w:rsidRPr="000C3733" w:rsidRDefault="000C3733" w:rsidP="000C3733">
            <w:pPr>
              <w:spacing w:after="0" w:line="240" w:lineRule="auto"/>
              <w:jc w:val="left"/>
              <w:rPr>
                <w:rFonts w:ascii="Arial" w:eastAsia="Times New Roman" w:hAnsi="Arial" w:cs="Arial"/>
                <w:szCs w:val="24"/>
                <w:lang w:eastAsia="en-GB"/>
              </w:rPr>
            </w:pPr>
            <w:r w:rsidRPr="000C3733">
              <w:rPr>
                <w:rFonts w:ascii="Arial" w:eastAsia="Times New Roman" w:hAnsi="Arial" w:cs="Arial"/>
                <w:szCs w:val="24"/>
                <w:lang w:eastAsia="en-GB"/>
              </w:rPr>
              <w:t xml:space="preserve">          1.80 </w:t>
            </w:r>
          </w:p>
        </w:tc>
        <w:tc>
          <w:tcPr>
            <w:tcW w:w="960" w:type="dxa"/>
            <w:tcBorders>
              <w:top w:val="nil"/>
              <w:left w:val="nil"/>
              <w:bottom w:val="single" w:sz="4" w:space="0" w:color="auto"/>
              <w:right w:val="single" w:sz="4" w:space="0" w:color="auto"/>
            </w:tcBorders>
            <w:noWrap/>
            <w:vAlign w:val="bottom"/>
            <w:hideMark/>
          </w:tcPr>
          <w:p w14:paraId="609AD9EA" w14:textId="77777777" w:rsidR="000C3733" w:rsidRPr="000C3733" w:rsidRDefault="000C3733" w:rsidP="000C3733">
            <w:pPr>
              <w:spacing w:after="0" w:line="240" w:lineRule="auto"/>
              <w:jc w:val="left"/>
              <w:rPr>
                <w:rFonts w:ascii="Arial" w:eastAsia="Times New Roman" w:hAnsi="Arial" w:cs="Arial"/>
                <w:szCs w:val="24"/>
                <w:lang w:eastAsia="en-GB"/>
              </w:rPr>
            </w:pPr>
            <w:r w:rsidRPr="000C3733">
              <w:rPr>
                <w:rFonts w:ascii="Arial" w:eastAsia="Times New Roman" w:hAnsi="Arial" w:cs="Arial"/>
                <w:szCs w:val="24"/>
                <w:lang w:eastAsia="en-GB"/>
              </w:rPr>
              <w:t xml:space="preserve">          1.11 </w:t>
            </w:r>
          </w:p>
        </w:tc>
        <w:tc>
          <w:tcPr>
            <w:tcW w:w="960" w:type="dxa"/>
            <w:tcBorders>
              <w:top w:val="nil"/>
              <w:left w:val="nil"/>
              <w:bottom w:val="single" w:sz="4" w:space="0" w:color="auto"/>
              <w:right w:val="single" w:sz="8" w:space="0" w:color="auto"/>
            </w:tcBorders>
            <w:noWrap/>
            <w:vAlign w:val="bottom"/>
            <w:hideMark/>
          </w:tcPr>
          <w:p w14:paraId="2FA6D50E" w14:textId="77777777" w:rsidR="000C3733" w:rsidRPr="000C3733" w:rsidRDefault="000C3733" w:rsidP="000C3733">
            <w:pPr>
              <w:spacing w:after="0" w:line="240" w:lineRule="auto"/>
              <w:jc w:val="left"/>
              <w:rPr>
                <w:rFonts w:ascii="Arial" w:eastAsia="Times New Roman" w:hAnsi="Arial" w:cs="Arial"/>
                <w:szCs w:val="24"/>
                <w:lang w:eastAsia="en-GB"/>
              </w:rPr>
            </w:pPr>
            <w:r w:rsidRPr="000C3733">
              <w:rPr>
                <w:rFonts w:ascii="Arial" w:eastAsia="Times New Roman" w:hAnsi="Arial" w:cs="Arial"/>
                <w:szCs w:val="24"/>
                <w:lang w:eastAsia="en-GB"/>
              </w:rPr>
              <w:t xml:space="preserve">          0.60 </w:t>
            </w:r>
          </w:p>
        </w:tc>
      </w:tr>
      <w:tr w:rsidR="000C3733" w:rsidRPr="000C3733" w14:paraId="76AF3FE3" w14:textId="77777777" w:rsidTr="000C3733">
        <w:trPr>
          <w:trHeight w:val="300"/>
          <w:jc w:val="center"/>
        </w:trPr>
        <w:tc>
          <w:tcPr>
            <w:tcW w:w="1340" w:type="dxa"/>
            <w:tcBorders>
              <w:top w:val="nil"/>
              <w:left w:val="single" w:sz="8" w:space="0" w:color="auto"/>
              <w:bottom w:val="single" w:sz="4" w:space="0" w:color="auto"/>
              <w:right w:val="single" w:sz="4" w:space="0" w:color="auto"/>
            </w:tcBorders>
            <w:noWrap/>
            <w:vAlign w:val="bottom"/>
            <w:hideMark/>
          </w:tcPr>
          <w:p w14:paraId="23227250" w14:textId="77777777" w:rsidR="000C3733" w:rsidRPr="000C3733" w:rsidRDefault="000C3733" w:rsidP="000C3733">
            <w:pPr>
              <w:spacing w:after="0" w:line="240" w:lineRule="auto"/>
              <w:jc w:val="left"/>
              <w:rPr>
                <w:rFonts w:ascii="Arial" w:eastAsia="Times New Roman" w:hAnsi="Arial" w:cs="Arial"/>
                <w:b/>
                <w:bCs/>
                <w:szCs w:val="24"/>
                <w:lang w:eastAsia="en-GB"/>
              </w:rPr>
            </w:pPr>
            <w:r w:rsidRPr="000C3733">
              <w:rPr>
                <w:rFonts w:ascii="Arial" w:eastAsia="Times New Roman" w:hAnsi="Arial" w:cs="Arial"/>
                <w:b/>
                <w:bCs/>
                <w:szCs w:val="24"/>
                <w:lang w:eastAsia="en-GB"/>
              </w:rPr>
              <w:t>Debt Ratio</w:t>
            </w:r>
          </w:p>
        </w:tc>
        <w:tc>
          <w:tcPr>
            <w:tcW w:w="960" w:type="dxa"/>
            <w:tcBorders>
              <w:top w:val="nil"/>
              <w:left w:val="nil"/>
              <w:bottom w:val="single" w:sz="4" w:space="0" w:color="auto"/>
              <w:right w:val="single" w:sz="4" w:space="0" w:color="auto"/>
            </w:tcBorders>
            <w:noWrap/>
            <w:vAlign w:val="bottom"/>
            <w:hideMark/>
          </w:tcPr>
          <w:p w14:paraId="7B882C38"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60%</w:t>
            </w:r>
          </w:p>
        </w:tc>
        <w:tc>
          <w:tcPr>
            <w:tcW w:w="960" w:type="dxa"/>
            <w:tcBorders>
              <w:top w:val="nil"/>
              <w:left w:val="nil"/>
              <w:bottom w:val="single" w:sz="4" w:space="0" w:color="auto"/>
              <w:right w:val="single" w:sz="4" w:space="0" w:color="auto"/>
            </w:tcBorders>
            <w:noWrap/>
            <w:vAlign w:val="bottom"/>
            <w:hideMark/>
          </w:tcPr>
          <w:p w14:paraId="32155349"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64%</w:t>
            </w:r>
          </w:p>
        </w:tc>
        <w:tc>
          <w:tcPr>
            <w:tcW w:w="960" w:type="dxa"/>
            <w:tcBorders>
              <w:top w:val="nil"/>
              <w:left w:val="nil"/>
              <w:bottom w:val="single" w:sz="4" w:space="0" w:color="auto"/>
              <w:right w:val="single" w:sz="8" w:space="0" w:color="auto"/>
            </w:tcBorders>
            <w:noWrap/>
            <w:vAlign w:val="bottom"/>
            <w:hideMark/>
          </w:tcPr>
          <w:p w14:paraId="7728E392"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71%</w:t>
            </w:r>
          </w:p>
        </w:tc>
      </w:tr>
      <w:tr w:rsidR="000C3733" w:rsidRPr="000C3733" w14:paraId="615D3CD3" w14:textId="77777777" w:rsidTr="000C3733">
        <w:trPr>
          <w:trHeight w:val="315"/>
          <w:jc w:val="center"/>
        </w:trPr>
        <w:tc>
          <w:tcPr>
            <w:tcW w:w="1340" w:type="dxa"/>
            <w:tcBorders>
              <w:top w:val="nil"/>
              <w:left w:val="single" w:sz="8" w:space="0" w:color="auto"/>
              <w:bottom w:val="nil"/>
              <w:right w:val="single" w:sz="4" w:space="0" w:color="auto"/>
            </w:tcBorders>
            <w:noWrap/>
            <w:vAlign w:val="bottom"/>
            <w:hideMark/>
          </w:tcPr>
          <w:p w14:paraId="3C32DE60" w14:textId="77777777" w:rsidR="000C3733" w:rsidRPr="000C3733" w:rsidRDefault="000C3733" w:rsidP="000C3733">
            <w:pPr>
              <w:spacing w:after="0" w:line="240" w:lineRule="auto"/>
              <w:jc w:val="left"/>
              <w:rPr>
                <w:rFonts w:ascii="Arial" w:eastAsia="Times New Roman" w:hAnsi="Arial" w:cs="Arial"/>
                <w:b/>
                <w:bCs/>
                <w:szCs w:val="24"/>
                <w:lang w:eastAsia="en-GB"/>
              </w:rPr>
            </w:pPr>
            <w:r w:rsidRPr="000C3733">
              <w:rPr>
                <w:rFonts w:ascii="Arial" w:eastAsia="Times New Roman" w:hAnsi="Arial" w:cs="Arial"/>
                <w:b/>
                <w:bCs/>
                <w:szCs w:val="24"/>
                <w:lang w:eastAsia="en-GB"/>
              </w:rPr>
              <w:t>D/E Ratio</w:t>
            </w:r>
          </w:p>
        </w:tc>
        <w:tc>
          <w:tcPr>
            <w:tcW w:w="960" w:type="dxa"/>
            <w:tcBorders>
              <w:top w:val="nil"/>
              <w:left w:val="nil"/>
              <w:bottom w:val="nil"/>
              <w:right w:val="single" w:sz="4" w:space="0" w:color="auto"/>
            </w:tcBorders>
            <w:noWrap/>
            <w:vAlign w:val="bottom"/>
            <w:hideMark/>
          </w:tcPr>
          <w:p w14:paraId="0689ECE8"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148%</w:t>
            </w:r>
          </w:p>
        </w:tc>
        <w:tc>
          <w:tcPr>
            <w:tcW w:w="960" w:type="dxa"/>
            <w:tcBorders>
              <w:top w:val="nil"/>
              <w:left w:val="nil"/>
              <w:bottom w:val="nil"/>
              <w:right w:val="single" w:sz="4" w:space="0" w:color="auto"/>
            </w:tcBorders>
            <w:noWrap/>
            <w:vAlign w:val="bottom"/>
            <w:hideMark/>
          </w:tcPr>
          <w:p w14:paraId="74524690"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179%</w:t>
            </w:r>
          </w:p>
        </w:tc>
        <w:tc>
          <w:tcPr>
            <w:tcW w:w="960" w:type="dxa"/>
            <w:tcBorders>
              <w:top w:val="nil"/>
              <w:left w:val="nil"/>
              <w:bottom w:val="nil"/>
              <w:right w:val="single" w:sz="8" w:space="0" w:color="auto"/>
            </w:tcBorders>
            <w:noWrap/>
            <w:vAlign w:val="bottom"/>
            <w:hideMark/>
          </w:tcPr>
          <w:p w14:paraId="1369EAB1" w14:textId="77777777" w:rsidR="000C3733" w:rsidRPr="000C3733" w:rsidRDefault="000C3733" w:rsidP="000C3733">
            <w:pPr>
              <w:spacing w:after="0" w:line="240" w:lineRule="auto"/>
              <w:jc w:val="right"/>
              <w:rPr>
                <w:rFonts w:ascii="Arial" w:eastAsia="Times New Roman" w:hAnsi="Arial" w:cs="Arial"/>
                <w:szCs w:val="24"/>
                <w:lang w:eastAsia="en-GB"/>
              </w:rPr>
            </w:pPr>
            <w:r w:rsidRPr="000C3733">
              <w:rPr>
                <w:rFonts w:ascii="Arial" w:eastAsia="Times New Roman" w:hAnsi="Arial" w:cs="Arial"/>
                <w:szCs w:val="24"/>
                <w:lang w:eastAsia="en-GB"/>
              </w:rPr>
              <w:t>239%</w:t>
            </w:r>
          </w:p>
        </w:tc>
      </w:tr>
      <w:tr w:rsidR="000C3733" w:rsidRPr="000C3733" w14:paraId="67C342A8" w14:textId="77777777" w:rsidTr="000C3733">
        <w:trPr>
          <w:trHeight w:val="315"/>
          <w:jc w:val="center"/>
        </w:trPr>
        <w:tc>
          <w:tcPr>
            <w:tcW w:w="1340" w:type="dxa"/>
            <w:tcBorders>
              <w:top w:val="nil"/>
              <w:left w:val="single" w:sz="8" w:space="0" w:color="auto"/>
              <w:bottom w:val="single" w:sz="8" w:space="0" w:color="auto"/>
              <w:right w:val="single" w:sz="4" w:space="0" w:color="auto"/>
            </w:tcBorders>
            <w:noWrap/>
            <w:vAlign w:val="bottom"/>
          </w:tcPr>
          <w:p w14:paraId="4764745D" w14:textId="77777777" w:rsidR="000C3733" w:rsidRPr="000C3733" w:rsidRDefault="000C3733" w:rsidP="000C3733">
            <w:pPr>
              <w:spacing w:after="0" w:line="240" w:lineRule="auto"/>
              <w:jc w:val="left"/>
              <w:rPr>
                <w:rFonts w:ascii="Arial" w:eastAsia="Times New Roman" w:hAnsi="Arial" w:cs="Arial"/>
                <w:b/>
                <w:bCs/>
                <w:szCs w:val="24"/>
                <w:lang w:eastAsia="en-GB"/>
              </w:rPr>
            </w:pPr>
          </w:p>
        </w:tc>
        <w:tc>
          <w:tcPr>
            <w:tcW w:w="960" w:type="dxa"/>
            <w:tcBorders>
              <w:top w:val="nil"/>
              <w:left w:val="nil"/>
              <w:bottom w:val="single" w:sz="8" w:space="0" w:color="auto"/>
              <w:right w:val="single" w:sz="4" w:space="0" w:color="auto"/>
            </w:tcBorders>
            <w:noWrap/>
            <w:vAlign w:val="bottom"/>
          </w:tcPr>
          <w:p w14:paraId="73D0F677" w14:textId="77777777" w:rsidR="000C3733" w:rsidRPr="000C3733" w:rsidRDefault="000C3733" w:rsidP="000C3733">
            <w:pPr>
              <w:spacing w:after="0" w:line="240" w:lineRule="auto"/>
              <w:jc w:val="right"/>
              <w:rPr>
                <w:rFonts w:ascii="Arial" w:eastAsia="Times New Roman" w:hAnsi="Arial" w:cs="Arial"/>
                <w:szCs w:val="24"/>
                <w:lang w:eastAsia="en-GB"/>
              </w:rPr>
            </w:pPr>
          </w:p>
        </w:tc>
        <w:tc>
          <w:tcPr>
            <w:tcW w:w="960" w:type="dxa"/>
            <w:tcBorders>
              <w:top w:val="nil"/>
              <w:left w:val="nil"/>
              <w:bottom w:val="single" w:sz="8" w:space="0" w:color="auto"/>
              <w:right w:val="single" w:sz="4" w:space="0" w:color="auto"/>
            </w:tcBorders>
            <w:noWrap/>
            <w:vAlign w:val="bottom"/>
          </w:tcPr>
          <w:p w14:paraId="328C23EC" w14:textId="77777777" w:rsidR="000C3733" w:rsidRPr="000C3733" w:rsidRDefault="000C3733" w:rsidP="000C3733">
            <w:pPr>
              <w:spacing w:after="0" w:line="240" w:lineRule="auto"/>
              <w:jc w:val="right"/>
              <w:rPr>
                <w:rFonts w:ascii="Arial" w:eastAsia="Times New Roman" w:hAnsi="Arial" w:cs="Arial"/>
                <w:szCs w:val="24"/>
                <w:lang w:eastAsia="en-GB"/>
              </w:rPr>
            </w:pPr>
          </w:p>
        </w:tc>
        <w:tc>
          <w:tcPr>
            <w:tcW w:w="960" w:type="dxa"/>
            <w:tcBorders>
              <w:top w:val="nil"/>
              <w:left w:val="nil"/>
              <w:bottom w:val="single" w:sz="8" w:space="0" w:color="auto"/>
              <w:right w:val="single" w:sz="8" w:space="0" w:color="auto"/>
            </w:tcBorders>
            <w:noWrap/>
            <w:vAlign w:val="bottom"/>
          </w:tcPr>
          <w:p w14:paraId="454AF5C4" w14:textId="77777777" w:rsidR="000C3733" w:rsidRPr="000C3733" w:rsidRDefault="000C3733" w:rsidP="000C3733">
            <w:pPr>
              <w:spacing w:after="0" w:line="240" w:lineRule="auto"/>
              <w:jc w:val="right"/>
              <w:rPr>
                <w:rFonts w:ascii="Arial" w:eastAsia="Times New Roman" w:hAnsi="Arial" w:cs="Arial"/>
                <w:szCs w:val="24"/>
                <w:lang w:eastAsia="en-GB"/>
              </w:rPr>
            </w:pPr>
          </w:p>
        </w:tc>
      </w:tr>
    </w:tbl>
    <w:p w14:paraId="7ECDCFEF" w14:textId="77777777" w:rsidR="000C3733" w:rsidRDefault="000C3733" w:rsidP="000C3733">
      <w:pPr>
        <w:spacing w:line="240" w:lineRule="auto"/>
        <w:jc w:val="center"/>
        <w:rPr>
          <w:rFonts w:ascii="Arial" w:hAnsi="Arial" w:cs="Arial"/>
          <w:b/>
          <w:bCs/>
          <w:szCs w:val="24"/>
        </w:rPr>
      </w:pPr>
    </w:p>
    <w:p w14:paraId="50F35127" w14:textId="48E11ACC" w:rsidR="000C3733" w:rsidRPr="000C3733" w:rsidRDefault="000C3733" w:rsidP="000C3733">
      <w:pPr>
        <w:spacing w:line="240" w:lineRule="auto"/>
        <w:jc w:val="center"/>
        <w:rPr>
          <w:rFonts w:ascii="Arial" w:hAnsi="Arial" w:cs="Arial"/>
          <w:b/>
          <w:bCs/>
          <w:szCs w:val="24"/>
          <w:lang w:val="en-US"/>
        </w:rPr>
      </w:pPr>
      <w:r w:rsidRPr="000C3733">
        <w:rPr>
          <w:rFonts w:ascii="Arial" w:hAnsi="Arial" w:cs="Arial"/>
          <w:b/>
          <w:bCs/>
          <w:szCs w:val="24"/>
        </w:rPr>
        <w:t>Table 3: Financial Ratios</w:t>
      </w:r>
    </w:p>
    <w:p w14:paraId="1BEA009C" w14:textId="77777777" w:rsidR="000C3733" w:rsidRDefault="000C3733" w:rsidP="000C3733">
      <w:pPr>
        <w:rPr>
          <w:rFonts w:ascii="Arial" w:hAnsi="Arial" w:cs="Arial"/>
          <w:b/>
          <w:bCs/>
          <w:sz w:val="36"/>
          <w:szCs w:val="36"/>
        </w:rPr>
      </w:pPr>
    </w:p>
    <w:p w14:paraId="018628F6" w14:textId="77777777" w:rsidR="000C3733" w:rsidRDefault="000C3733" w:rsidP="000C3733">
      <w:pPr>
        <w:rPr>
          <w:rFonts w:ascii="Arial" w:hAnsi="Arial" w:cs="Arial"/>
          <w:b/>
          <w:bCs/>
          <w:sz w:val="36"/>
          <w:szCs w:val="36"/>
        </w:rPr>
      </w:pPr>
    </w:p>
    <w:p w14:paraId="6B5AFFEF" w14:textId="77777777" w:rsidR="000C3733" w:rsidRDefault="000C3733" w:rsidP="000C3733">
      <w:pPr>
        <w:rPr>
          <w:rFonts w:ascii="Arial" w:hAnsi="Arial" w:cs="Arial"/>
          <w:b/>
          <w:bCs/>
          <w:sz w:val="36"/>
          <w:szCs w:val="36"/>
        </w:rPr>
      </w:pPr>
    </w:p>
    <w:p w14:paraId="217D3197" w14:textId="12DE0B0F" w:rsidR="000C3733" w:rsidRPr="000C3733" w:rsidRDefault="000C3733" w:rsidP="000C3733">
      <w:pPr>
        <w:rPr>
          <w:rFonts w:ascii="Arial" w:hAnsi="Arial" w:cs="Arial"/>
          <w:b/>
          <w:bCs/>
          <w:sz w:val="36"/>
          <w:szCs w:val="36"/>
        </w:rPr>
      </w:pPr>
      <w:r w:rsidRPr="000C3733">
        <w:rPr>
          <w:rFonts w:ascii="Arial" w:hAnsi="Arial" w:cs="Arial"/>
          <w:b/>
          <w:bCs/>
          <w:sz w:val="36"/>
          <w:szCs w:val="36"/>
        </w:rPr>
        <w:t>Profitability</w:t>
      </w:r>
    </w:p>
    <w:p w14:paraId="5AE44153" w14:textId="19E6F956" w:rsidR="000C3733" w:rsidRDefault="000C3733" w:rsidP="000C3733">
      <w:pPr>
        <w:jc w:val="center"/>
      </w:pPr>
      <w:r>
        <w:rPr>
          <w:noProof/>
        </w:rPr>
        <w:drawing>
          <wp:inline distT="0" distB="0" distL="0" distR="0" wp14:anchorId="4B3DEB41" wp14:editId="40EB31EC">
            <wp:extent cx="4572000" cy="2743200"/>
            <wp:effectExtent l="0" t="0" r="0" b="0"/>
            <wp:docPr id="79853085" name="Chart 3">
              <a:extLst xmlns:a="http://schemas.openxmlformats.org/drawingml/2006/main">
                <a:ext uri="{FF2B5EF4-FFF2-40B4-BE49-F238E27FC236}">
                  <a16:creationId xmlns:a16="http://schemas.microsoft.com/office/drawing/2014/main" id="{4A000C16-AACC-4C80-A43A-BF5EB20847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1AAF455" w14:textId="77777777" w:rsidR="000C3733" w:rsidRPr="000C3733" w:rsidRDefault="000C3733" w:rsidP="000C3733">
      <w:pPr>
        <w:jc w:val="center"/>
        <w:rPr>
          <w:rFonts w:ascii="Arial" w:hAnsi="Arial" w:cs="Arial"/>
          <w:b/>
          <w:bCs/>
        </w:rPr>
      </w:pPr>
      <w:r w:rsidRPr="000C3733">
        <w:rPr>
          <w:rFonts w:ascii="Arial" w:hAnsi="Arial" w:cs="Arial"/>
          <w:b/>
          <w:bCs/>
        </w:rPr>
        <w:t>Figure 4: Profitability of Urban Heights</w:t>
      </w:r>
    </w:p>
    <w:p w14:paraId="166C18EE" w14:textId="77777777" w:rsidR="000C3733" w:rsidRDefault="000C3733" w:rsidP="000C3733">
      <w:pPr>
        <w:spacing w:line="360" w:lineRule="auto"/>
        <w:rPr>
          <w:rFonts w:ascii="Arial" w:hAnsi="Arial" w:cs="Arial"/>
        </w:rPr>
      </w:pPr>
      <w:r>
        <w:tab/>
      </w:r>
      <w:r w:rsidRPr="000C3733">
        <w:rPr>
          <w:rFonts w:ascii="Arial" w:hAnsi="Arial" w:cs="Arial"/>
        </w:rPr>
        <w:t>Profitability is the key pillar for the entity to ensure the long-term survival (Rashid 2021). However, some key factors affect the entity’s profitability. Hence, identifying the factors affecting the profitability is crucial for both internal and external stakeholders to make effective decisions relating to the business and investments (</w:t>
      </w:r>
      <w:proofErr w:type="spellStart"/>
      <w:r w:rsidRPr="000C3733">
        <w:rPr>
          <w:rFonts w:ascii="Arial" w:hAnsi="Arial" w:cs="Arial"/>
        </w:rPr>
        <w:t>Alarussi</w:t>
      </w:r>
      <w:proofErr w:type="spellEnd"/>
      <w:r w:rsidRPr="000C3733">
        <w:rPr>
          <w:rFonts w:ascii="Arial" w:hAnsi="Arial" w:cs="Arial"/>
        </w:rPr>
        <w:t xml:space="preserve"> and </w:t>
      </w:r>
      <w:proofErr w:type="spellStart"/>
      <w:r w:rsidRPr="000C3733">
        <w:rPr>
          <w:rFonts w:ascii="Arial" w:hAnsi="Arial" w:cs="Arial"/>
        </w:rPr>
        <w:t>Alhaderi</w:t>
      </w:r>
      <w:proofErr w:type="spellEnd"/>
      <w:r w:rsidRPr="000C3733">
        <w:rPr>
          <w:rFonts w:ascii="Arial" w:hAnsi="Arial" w:cs="Arial"/>
        </w:rPr>
        <w:t xml:space="preserve"> 2018). The table 3 and figure 4 shows that the profitability situation of Urban Heights. The net profit margin of Urban Heights indicates the pattern that shows a diminishing ability of the hotel to generate enough income from the total sales made. The hotel is no more able to make profits and returns. Further, the trend of the ROE of Urban Heights shows diminished ability of the hotel to make adequate returns for the shareholders. Lastly, the trend of the ROA of Urban Heights shows diminishing trend of the hotel’s ability to make adequate income from utilizing the overall assets.</w:t>
      </w:r>
    </w:p>
    <w:p w14:paraId="442ECF2D" w14:textId="77777777" w:rsidR="000C3733" w:rsidRDefault="000C3733" w:rsidP="000C3733">
      <w:pPr>
        <w:spacing w:line="360" w:lineRule="auto"/>
        <w:rPr>
          <w:rFonts w:ascii="Arial" w:hAnsi="Arial" w:cs="Arial"/>
        </w:rPr>
      </w:pPr>
    </w:p>
    <w:p w14:paraId="60F711E3" w14:textId="77777777" w:rsidR="000C3733" w:rsidRPr="000C3733" w:rsidRDefault="000C3733" w:rsidP="000C3733">
      <w:pPr>
        <w:spacing w:line="360" w:lineRule="auto"/>
        <w:rPr>
          <w:rFonts w:ascii="Arial" w:hAnsi="Arial" w:cs="Arial"/>
        </w:rPr>
      </w:pPr>
    </w:p>
    <w:p w14:paraId="4C0510D8" w14:textId="77777777" w:rsidR="000C3733" w:rsidRPr="000C3733" w:rsidRDefault="000C3733" w:rsidP="000C3733">
      <w:pPr>
        <w:rPr>
          <w:rFonts w:ascii="Arial" w:hAnsi="Arial" w:cs="Arial"/>
          <w:b/>
          <w:bCs/>
          <w:sz w:val="36"/>
          <w:szCs w:val="36"/>
        </w:rPr>
      </w:pPr>
      <w:r w:rsidRPr="000C3733">
        <w:rPr>
          <w:rFonts w:ascii="Arial" w:hAnsi="Arial" w:cs="Arial"/>
          <w:b/>
          <w:bCs/>
          <w:sz w:val="36"/>
          <w:szCs w:val="36"/>
        </w:rPr>
        <w:lastRenderedPageBreak/>
        <w:t>Liquidity</w:t>
      </w:r>
    </w:p>
    <w:p w14:paraId="796409A7" w14:textId="330340F6" w:rsidR="000C3733" w:rsidRDefault="000C3733" w:rsidP="000C3733">
      <w:pPr>
        <w:jc w:val="center"/>
      </w:pPr>
      <w:r>
        <w:rPr>
          <w:noProof/>
        </w:rPr>
        <w:drawing>
          <wp:inline distT="0" distB="0" distL="0" distR="0" wp14:anchorId="21770909" wp14:editId="4177FBCA">
            <wp:extent cx="4572000" cy="2743200"/>
            <wp:effectExtent l="0" t="0" r="0" b="0"/>
            <wp:docPr id="240688946" name="Chart 2">
              <a:extLst xmlns:a="http://schemas.openxmlformats.org/drawingml/2006/main">
                <a:ext uri="{FF2B5EF4-FFF2-40B4-BE49-F238E27FC236}">
                  <a16:creationId xmlns:a16="http://schemas.microsoft.com/office/drawing/2014/main" id="{E2352049-8987-4ABA-87CE-A2591277C9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DD34E0C" w14:textId="77777777" w:rsidR="000C3733" w:rsidRPr="000C3733" w:rsidRDefault="000C3733" w:rsidP="000C3733">
      <w:pPr>
        <w:jc w:val="center"/>
        <w:rPr>
          <w:rFonts w:ascii="Arial" w:hAnsi="Arial" w:cs="Arial"/>
          <w:b/>
          <w:bCs/>
        </w:rPr>
      </w:pPr>
      <w:r w:rsidRPr="000C3733">
        <w:rPr>
          <w:rFonts w:ascii="Arial" w:hAnsi="Arial" w:cs="Arial"/>
          <w:b/>
          <w:bCs/>
        </w:rPr>
        <w:t>Figure 5: Liquidity of Urban Heights</w:t>
      </w:r>
    </w:p>
    <w:p w14:paraId="7E65D7EE" w14:textId="77777777" w:rsidR="000C3733" w:rsidRPr="000C3733" w:rsidRDefault="000C3733" w:rsidP="000C3733">
      <w:pPr>
        <w:spacing w:line="360" w:lineRule="auto"/>
        <w:ind w:firstLine="720"/>
        <w:rPr>
          <w:rFonts w:ascii="Arial" w:hAnsi="Arial" w:cs="Arial"/>
        </w:rPr>
      </w:pPr>
      <w:r w:rsidRPr="000C3733">
        <w:rPr>
          <w:rFonts w:ascii="Arial" w:hAnsi="Arial" w:cs="Arial"/>
        </w:rPr>
        <w:t xml:space="preserve">The next important pillar for the companies is liquidity. A good liquidation condition reveals that the company is liquid enough to effectively manage its obligations and can deal with the financial distress (Madushanka and Jathurika 2018). It increases the investors and creditors’ confidence in the company, thereby impacting their decision-making (Rashid 2018). The table 3 and figure 5 shows that the liquidity condition of Urban Heights Hotel has excessively dropped over the past 3 years. This can be explained as the hotel’s reduced ability to cover its near-term debt obligations with the short-term assets. Looking at the hotel’s balance sheet, the patterns of the short-term assets shows that the cash &amp; equivalents have significantly reduced, along with the drop in the account’s receivables, whereas the rise in the accounts payable. It implies payment to the creditors for the goods purchased has increased whereas the payment from the customers for the services sold have reduced, leading to the significant drop in the hotel’s liquidity position. </w:t>
      </w:r>
    </w:p>
    <w:p w14:paraId="6BE964DC" w14:textId="77777777" w:rsidR="000C3733" w:rsidRDefault="000C3733" w:rsidP="000C3733">
      <w:pPr>
        <w:rPr>
          <w:b/>
          <w:bCs/>
        </w:rPr>
      </w:pPr>
    </w:p>
    <w:p w14:paraId="7254DD32" w14:textId="77777777" w:rsidR="000C3733" w:rsidRDefault="000C3733" w:rsidP="000C3733">
      <w:pPr>
        <w:rPr>
          <w:b/>
          <w:bCs/>
        </w:rPr>
      </w:pPr>
    </w:p>
    <w:p w14:paraId="47FD5612" w14:textId="77777777" w:rsidR="000C3733" w:rsidRDefault="000C3733" w:rsidP="000C3733">
      <w:pPr>
        <w:rPr>
          <w:b/>
          <w:bCs/>
        </w:rPr>
      </w:pPr>
    </w:p>
    <w:p w14:paraId="2419C0CC" w14:textId="3CB6B2FD" w:rsidR="000C3733" w:rsidRPr="000C3733" w:rsidRDefault="000C3733" w:rsidP="000C3733">
      <w:pPr>
        <w:rPr>
          <w:rFonts w:ascii="Arial" w:hAnsi="Arial" w:cs="Arial"/>
          <w:b/>
          <w:bCs/>
          <w:sz w:val="36"/>
          <w:szCs w:val="36"/>
        </w:rPr>
      </w:pPr>
      <w:r w:rsidRPr="000C3733">
        <w:rPr>
          <w:rFonts w:ascii="Arial" w:hAnsi="Arial" w:cs="Arial"/>
          <w:b/>
          <w:bCs/>
          <w:sz w:val="36"/>
          <w:szCs w:val="36"/>
        </w:rPr>
        <w:lastRenderedPageBreak/>
        <w:t>Solvency</w:t>
      </w:r>
    </w:p>
    <w:p w14:paraId="0B0604FD" w14:textId="23E175AC" w:rsidR="000C3733" w:rsidRDefault="000C3733" w:rsidP="000C3733">
      <w:pPr>
        <w:jc w:val="center"/>
      </w:pPr>
      <w:r>
        <w:rPr>
          <w:noProof/>
        </w:rPr>
        <w:drawing>
          <wp:inline distT="0" distB="0" distL="0" distR="0" wp14:anchorId="6EA271BD" wp14:editId="078C13D5">
            <wp:extent cx="4572000" cy="2743200"/>
            <wp:effectExtent l="0" t="0" r="0" b="0"/>
            <wp:docPr id="376956724" name="Chart 1">
              <a:extLst xmlns:a="http://schemas.openxmlformats.org/drawingml/2006/main">
                <a:ext uri="{FF2B5EF4-FFF2-40B4-BE49-F238E27FC236}">
                  <a16:creationId xmlns:a16="http://schemas.microsoft.com/office/drawing/2014/main" id="{7F241FCE-8D6C-4F5C-86CB-A5AC4CCD2C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0FA1E34" w14:textId="77777777" w:rsidR="000C3733" w:rsidRDefault="000C3733" w:rsidP="00AF7328">
      <w:pPr>
        <w:spacing w:line="360" w:lineRule="auto"/>
        <w:jc w:val="center"/>
        <w:rPr>
          <w:rFonts w:ascii="Arial" w:hAnsi="Arial" w:cs="Arial"/>
          <w:b/>
          <w:bCs/>
        </w:rPr>
      </w:pPr>
      <w:r w:rsidRPr="00AF7328">
        <w:rPr>
          <w:rFonts w:ascii="Arial" w:hAnsi="Arial" w:cs="Arial"/>
          <w:b/>
          <w:bCs/>
        </w:rPr>
        <w:t>Figure 6: Solvency of Urban Heights</w:t>
      </w:r>
    </w:p>
    <w:p w14:paraId="201B4AE5" w14:textId="77777777" w:rsidR="00AF7328" w:rsidRPr="00AF7328" w:rsidRDefault="00AF7328" w:rsidP="00AF7328">
      <w:pPr>
        <w:spacing w:line="360" w:lineRule="auto"/>
        <w:jc w:val="center"/>
        <w:rPr>
          <w:rFonts w:ascii="Arial" w:hAnsi="Arial" w:cs="Arial"/>
          <w:b/>
          <w:bCs/>
        </w:rPr>
      </w:pPr>
    </w:p>
    <w:p w14:paraId="16655E86" w14:textId="77777777" w:rsidR="000C3733" w:rsidRDefault="000C3733" w:rsidP="00AF7328">
      <w:pPr>
        <w:spacing w:line="360" w:lineRule="auto"/>
        <w:ind w:firstLine="720"/>
        <w:rPr>
          <w:rFonts w:ascii="Arial" w:hAnsi="Arial" w:cs="Arial"/>
        </w:rPr>
      </w:pPr>
      <w:r w:rsidRPr="00AF7328">
        <w:rPr>
          <w:rFonts w:ascii="Arial" w:hAnsi="Arial" w:cs="Arial"/>
        </w:rPr>
        <w:t xml:space="preserve">The last important pillar for a company is solvency position. It is the important indicator used to investigate the entity’s ability to </w:t>
      </w:r>
      <w:proofErr w:type="spellStart"/>
      <w:r w:rsidRPr="00AF7328">
        <w:rPr>
          <w:rFonts w:ascii="Arial" w:hAnsi="Arial" w:cs="Arial"/>
        </w:rPr>
        <w:t>fulfill</w:t>
      </w:r>
      <w:proofErr w:type="spellEnd"/>
      <w:r w:rsidRPr="00AF7328">
        <w:rPr>
          <w:rFonts w:ascii="Arial" w:hAnsi="Arial" w:cs="Arial"/>
        </w:rPr>
        <w:t xml:space="preserve"> its entire obligations (</w:t>
      </w:r>
      <w:proofErr w:type="spellStart"/>
      <w:r w:rsidRPr="00AF7328">
        <w:rPr>
          <w:rFonts w:ascii="Arial" w:hAnsi="Arial" w:cs="Arial"/>
        </w:rPr>
        <w:t>Khidmat</w:t>
      </w:r>
      <w:proofErr w:type="spellEnd"/>
      <w:r w:rsidRPr="00AF7328">
        <w:rPr>
          <w:rFonts w:ascii="Arial" w:hAnsi="Arial" w:cs="Arial"/>
        </w:rPr>
        <w:t xml:space="preserve"> and Rehman 2014). The companies must be able to cover all its operational commitments. It indicates the company’s balance sheet strengths (</w:t>
      </w:r>
      <w:proofErr w:type="spellStart"/>
      <w:r w:rsidRPr="00AF7328">
        <w:rPr>
          <w:rFonts w:ascii="Arial" w:hAnsi="Arial" w:cs="Arial"/>
        </w:rPr>
        <w:t>Kajananthan</w:t>
      </w:r>
      <w:proofErr w:type="spellEnd"/>
      <w:r w:rsidRPr="00AF7328">
        <w:rPr>
          <w:rFonts w:ascii="Arial" w:hAnsi="Arial" w:cs="Arial"/>
        </w:rPr>
        <w:t xml:space="preserve"> and Velnampy 2014). The table 3 and figure 6 shows that the solvency position of Urban Heights. The debt ratio of Urban Heights reveals a significant upsurge in the hotel’s use of debt to finance assets, thereby creating excessive risks to the hotel. On the other hand, the D/E ratio of Urban Heights has drastically upsurged over the past 3 years, revealing the increased dependence on debt sources compared to the equity. The mounting debt level indicates an alarming situation for Urban Heights, as it may threaten its long-term survival. </w:t>
      </w:r>
    </w:p>
    <w:p w14:paraId="6CA86945" w14:textId="77777777" w:rsidR="00AF7328" w:rsidRDefault="00AF7328" w:rsidP="00AF7328">
      <w:pPr>
        <w:spacing w:line="360" w:lineRule="auto"/>
        <w:ind w:firstLine="720"/>
        <w:rPr>
          <w:rFonts w:ascii="Arial" w:hAnsi="Arial" w:cs="Arial"/>
        </w:rPr>
      </w:pPr>
    </w:p>
    <w:p w14:paraId="62F3DA93" w14:textId="77777777" w:rsidR="00AF7328" w:rsidRPr="00AF7328" w:rsidRDefault="00AF7328" w:rsidP="00AF7328">
      <w:pPr>
        <w:spacing w:line="360" w:lineRule="auto"/>
        <w:ind w:firstLine="720"/>
        <w:rPr>
          <w:rFonts w:ascii="Arial" w:hAnsi="Arial" w:cs="Arial"/>
        </w:rPr>
      </w:pPr>
    </w:p>
    <w:p w14:paraId="49E805E9" w14:textId="77777777" w:rsidR="000C3733" w:rsidRPr="00AF7328" w:rsidRDefault="000C3733" w:rsidP="000C3733">
      <w:pPr>
        <w:pStyle w:val="Heading1"/>
        <w:rPr>
          <w:rFonts w:ascii="Arial" w:hAnsi="Arial" w:cs="Arial"/>
          <w:b/>
          <w:bCs/>
          <w:color w:val="auto"/>
          <w:sz w:val="36"/>
          <w:szCs w:val="36"/>
        </w:rPr>
      </w:pPr>
      <w:bookmarkStart w:id="3" w:name="_Toc168608484"/>
      <w:bookmarkStart w:id="4" w:name="_Toc168604754"/>
      <w:r w:rsidRPr="00AF7328">
        <w:rPr>
          <w:rFonts w:ascii="Arial" w:hAnsi="Arial" w:cs="Arial"/>
          <w:b/>
          <w:bCs/>
          <w:color w:val="auto"/>
          <w:sz w:val="36"/>
          <w:szCs w:val="36"/>
        </w:rPr>
        <w:lastRenderedPageBreak/>
        <w:t>Key Reasons Behind the Financial Performance</w:t>
      </w:r>
      <w:bookmarkEnd w:id="3"/>
      <w:bookmarkEnd w:id="4"/>
    </w:p>
    <w:p w14:paraId="653788B5" w14:textId="77777777" w:rsidR="000C3733" w:rsidRPr="00AF7328" w:rsidRDefault="000C3733" w:rsidP="00AF7328">
      <w:pPr>
        <w:spacing w:line="360" w:lineRule="auto"/>
        <w:rPr>
          <w:rFonts w:ascii="Arial" w:hAnsi="Arial" w:cs="Arial"/>
        </w:rPr>
      </w:pPr>
      <w:r>
        <w:tab/>
      </w:r>
      <w:r w:rsidRPr="00AF7328">
        <w:rPr>
          <w:rFonts w:ascii="Arial" w:hAnsi="Arial" w:cs="Arial"/>
        </w:rPr>
        <w:t xml:space="preserve">There are both internal and external environments responsible for the drop in the financial performance of Urban Heights Hotel. It faced a major decline in the sales, its rates of occupancy, and the level of the customer satisfaction, which has led its owner worried about the business’s future viability. </w:t>
      </w:r>
    </w:p>
    <w:p w14:paraId="1E846DCF" w14:textId="77777777" w:rsidR="000C3733" w:rsidRPr="00AF7328" w:rsidRDefault="000C3733" w:rsidP="00AF7328">
      <w:pPr>
        <w:spacing w:line="360" w:lineRule="auto"/>
        <w:ind w:firstLine="720"/>
        <w:rPr>
          <w:rFonts w:ascii="Arial" w:hAnsi="Arial" w:cs="Arial"/>
        </w:rPr>
      </w:pPr>
      <w:r w:rsidRPr="00AF7328">
        <w:rPr>
          <w:rFonts w:ascii="Arial" w:hAnsi="Arial" w:cs="Arial"/>
        </w:rPr>
        <w:t xml:space="preserve">The pandemic has brough a great </w:t>
      </w:r>
      <w:proofErr w:type="gramStart"/>
      <w:r w:rsidRPr="00AF7328">
        <w:rPr>
          <w:rFonts w:ascii="Arial" w:hAnsi="Arial" w:cs="Arial"/>
        </w:rPr>
        <w:t>amount</w:t>
      </w:r>
      <w:proofErr w:type="gramEnd"/>
      <w:r w:rsidRPr="00AF7328">
        <w:rPr>
          <w:rFonts w:ascii="Arial" w:hAnsi="Arial" w:cs="Arial"/>
        </w:rPr>
        <w:t xml:space="preserve"> of uncertainties to the businesses operating in different sectors, and hotel industry is not an exception. This event has taken a toll on the companies’ performance (Mališ and </w:t>
      </w:r>
      <w:proofErr w:type="spellStart"/>
      <w:r w:rsidRPr="00AF7328">
        <w:rPr>
          <w:rFonts w:ascii="Arial" w:hAnsi="Arial" w:cs="Arial"/>
        </w:rPr>
        <w:t>Sačer</w:t>
      </w:r>
      <w:proofErr w:type="spellEnd"/>
      <w:r w:rsidRPr="00AF7328">
        <w:rPr>
          <w:rFonts w:ascii="Arial" w:hAnsi="Arial" w:cs="Arial"/>
        </w:rPr>
        <w:t xml:space="preserve"> 2021); (Lin and Chen 2022). The hotel industry is confronted with the unique challenges. The actions taken by the government to prevent the pandemic’s impact has caused reduced demand and various hospitality businesses’ closure. The government’s restrictions on the travel and the orders of staying-at-home caused a major fall in the occupancies rate and sales of the hotels (Gursoy and Chi 2020). </w:t>
      </w:r>
    </w:p>
    <w:p w14:paraId="597560CF" w14:textId="77777777" w:rsidR="000C3733" w:rsidRPr="00AF7328" w:rsidRDefault="000C3733" w:rsidP="00AF7328">
      <w:pPr>
        <w:spacing w:line="360" w:lineRule="auto"/>
        <w:ind w:firstLine="720"/>
        <w:rPr>
          <w:rFonts w:ascii="Arial" w:hAnsi="Arial" w:cs="Arial"/>
        </w:rPr>
      </w:pPr>
      <w:r w:rsidRPr="00AF7328">
        <w:rPr>
          <w:rFonts w:ascii="Arial" w:hAnsi="Arial" w:cs="Arial"/>
        </w:rPr>
        <w:t xml:space="preserve">In addition, the other </w:t>
      </w:r>
      <w:proofErr w:type="gramStart"/>
      <w:r w:rsidRPr="00AF7328">
        <w:rPr>
          <w:rFonts w:ascii="Arial" w:hAnsi="Arial" w:cs="Arial"/>
        </w:rPr>
        <w:t>trends</w:t>
      </w:r>
      <w:proofErr w:type="gramEnd"/>
      <w:r w:rsidRPr="00AF7328">
        <w:rPr>
          <w:rFonts w:ascii="Arial" w:hAnsi="Arial" w:cs="Arial"/>
        </w:rPr>
        <w:t xml:space="preserve"> in this industry includes technology integration, rising expectations of the customers/guests, customization of the services, focus on sustainability, rise of </w:t>
      </w:r>
      <w:proofErr w:type="spellStart"/>
      <w:r w:rsidRPr="00AF7328">
        <w:rPr>
          <w:rFonts w:ascii="Arial" w:hAnsi="Arial" w:cs="Arial"/>
        </w:rPr>
        <w:t>bleisure</w:t>
      </w:r>
      <w:proofErr w:type="spellEnd"/>
      <w:r w:rsidRPr="00AF7328">
        <w:rPr>
          <w:rFonts w:ascii="Arial" w:hAnsi="Arial" w:cs="Arial"/>
        </w:rPr>
        <w:t xml:space="preserve"> (business and leisure </w:t>
      </w:r>
      <w:proofErr w:type="spellStart"/>
      <w:r w:rsidRPr="00AF7328">
        <w:rPr>
          <w:rFonts w:ascii="Arial" w:hAnsi="Arial" w:cs="Arial"/>
        </w:rPr>
        <w:t>travelers</w:t>
      </w:r>
      <w:proofErr w:type="spellEnd"/>
      <w:r w:rsidRPr="00AF7328">
        <w:rPr>
          <w:rFonts w:ascii="Arial" w:hAnsi="Arial" w:cs="Arial"/>
        </w:rPr>
        <w:t>), and more emphasis on health &amp; wellness (</w:t>
      </w:r>
      <w:proofErr w:type="spellStart"/>
      <w:r w:rsidRPr="00AF7328">
        <w:rPr>
          <w:rFonts w:ascii="Arial" w:hAnsi="Arial" w:cs="Arial"/>
        </w:rPr>
        <w:t>Poonia</w:t>
      </w:r>
      <w:proofErr w:type="spellEnd"/>
      <w:r w:rsidRPr="00AF7328">
        <w:rPr>
          <w:rFonts w:ascii="Arial" w:hAnsi="Arial" w:cs="Arial"/>
        </w:rPr>
        <w:t xml:space="preserve"> 2023). All these are now putting a great challenge for the hotel companies, including Urban Heights Hotel to adapt to the changes and stay competitive (</w:t>
      </w:r>
      <w:proofErr w:type="spellStart"/>
      <w:r w:rsidRPr="00AF7328">
        <w:rPr>
          <w:rFonts w:ascii="Arial" w:hAnsi="Arial" w:cs="Arial"/>
        </w:rPr>
        <w:t>Poonia</w:t>
      </w:r>
      <w:proofErr w:type="spellEnd"/>
      <w:r w:rsidRPr="00AF7328">
        <w:rPr>
          <w:rFonts w:ascii="Arial" w:hAnsi="Arial" w:cs="Arial"/>
        </w:rPr>
        <w:t xml:space="preserve"> 2023).</w:t>
      </w:r>
    </w:p>
    <w:p w14:paraId="070FD166" w14:textId="77777777" w:rsidR="000C3733" w:rsidRPr="00AF7328" w:rsidRDefault="000C3733" w:rsidP="00AF7328">
      <w:pPr>
        <w:spacing w:line="360" w:lineRule="auto"/>
        <w:ind w:firstLine="720"/>
        <w:rPr>
          <w:rFonts w:ascii="Arial" w:hAnsi="Arial" w:cs="Arial"/>
        </w:rPr>
      </w:pPr>
      <w:r w:rsidRPr="00AF7328">
        <w:rPr>
          <w:rFonts w:ascii="Arial" w:hAnsi="Arial" w:cs="Arial"/>
        </w:rPr>
        <w:t>The Urban Heights Hotel’s profitability condition dropped during the last 3 consecutive years. Given this, the obvious reason behind diminishing profitability is the hotel’s reduced sales and the mounted expenses due to the pandemic’s impact. It has led to the continuous lockdown in the nations across the globe (</w:t>
      </w:r>
      <w:proofErr w:type="spellStart"/>
      <w:r w:rsidRPr="00AF7328">
        <w:rPr>
          <w:rFonts w:ascii="Arial" w:hAnsi="Arial" w:cs="Arial"/>
        </w:rPr>
        <w:t>Onyeaka</w:t>
      </w:r>
      <w:proofErr w:type="spellEnd"/>
      <w:r w:rsidRPr="00AF7328">
        <w:rPr>
          <w:rFonts w:ascii="Arial" w:hAnsi="Arial" w:cs="Arial"/>
        </w:rPr>
        <w:t xml:space="preserve"> et al., 2021). It prevented the visitors to travel in and out of the countries due to the various restrictions, leading to the reduced customers and occupancy rates in the hotel, thereby caused decline in the sales and increase in the costs (Liu, </w:t>
      </w:r>
      <w:proofErr w:type="gramStart"/>
      <w:r w:rsidRPr="00AF7328">
        <w:rPr>
          <w:rFonts w:ascii="Arial" w:hAnsi="Arial" w:cs="Arial"/>
        </w:rPr>
        <w:t>Wu</w:t>
      </w:r>
      <w:proofErr w:type="gramEnd"/>
      <w:r w:rsidRPr="00AF7328">
        <w:rPr>
          <w:rFonts w:ascii="Arial" w:hAnsi="Arial" w:cs="Arial"/>
        </w:rPr>
        <w:t xml:space="preserve"> and Li 2022); (</w:t>
      </w:r>
      <w:proofErr w:type="spellStart"/>
      <w:r w:rsidRPr="00AF7328">
        <w:rPr>
          <w:rFonts w:ascii="Arial" w:hAnsi="Arial" w:cs="Arial"/>
        </w:rPr>
        <w:t>Choirisa</w:t>
      </w:r>
      <w:proofErr w:type="spellEnd"/>
      <w:r w:rsidRPr="00AF7328">
        <w:rPr>
          <w:rFonts w:ascii="Arial" w:hAnsi="Arial" w:cs="Arial"/>
        </w:rPr>
        <w:t xml:space="preserve"> 2022). The hotel was unable to bear the costs, resulting in the significant drop in the net income (Nhamo et al., 2020). </w:t>
      </w:r>
    </w:p>
    <w:p w14:paraId="04E0F4A0" w14:textId="77777777" w:rsidR="000C3733" w:rsidRPr="00AF7328" w:rsidRDefault="000C3733" w:rsidP="00AF7328">
      <w:pPr>
        <w:spacing w:line="360" w:lineRule="auto"/>
        <w:ind w:firstLine="720"/>
        <w:rPr>
          <w:rFonts w:ascii="Arial" w:hAnsi="Arial" w:cs="Arial"/>
        </w:rPr>
      </w:pPr>
      <w:r w:rsidRPr="00AF7328">
        <w:rPr>
          <w:rFonts w:ascii="Arial" w:hAnsi="Arial" w:cs="Arial"/>
        </w:rPr>
        <w:t xml:space="preserve">The liquidity condition of Urban Heights Hotel dropped over the last 3 consecutive years. As stated, some key reasons of this dropped can be attributed to the reduced accounts receivables and cash position and increased accounts payable. </w:t>
      </w:r>
      <w:r w:rsidRPr="00AF7328">
        <w:rPr>
          <w:rFonts w:ascii="Arial" w:hAnsi="Arial" w:cs="Arial"/>
        </w:rPr>
        <w:lastRenderedPageBreak/>
        <w:t>It reveals that the hotel failed to recover the due payments from its customers, whereas its payments to the creditors and suppliers significantly increased, causing a significant drop in the hotel’s liquidity position. It clearly suggests that ineffective credit policy of the hotel. Also, the hotel is left with minimum cash that is inadequate to meet its near-term and long-term obligations, which is an alarming situation.</w:t>
      </w:r>
    </w:p>
    <w:p w14:paraId="451544F0" w14:textId="77777777" w:rsidR="000C3733" w:rsidRPr="00AF7328" w:rsidRDefault="000C3733" w:rsidP="00AF7328">
      <w:pPr>
        <w:spacing w:line="360" w:lineRule="auto"/>
        <w:ind w:firstLine="720"/>
        <w:rPr>
          <w:rFonts w:ascii="Arial" w:hAnsi="Arial" w:cs="Arial"/>
        </w:rPr>
      </w:pPr>
      <w:r w:rsidRPr="00AF7328">
        <w:rPr>
          <w:rFonts w:ascii="Arial" w:hAnsi="Arial" w:cs="Arial"/>
        </w:rPr>
        <w:t xml:space="preserve">Lastly, the solvency of Urban Heights Hotel showed a heightened use of debt compared to the equity sources over the last 3 consecutive years. The obvious reason of this is the mounted debt use to fund the operations and reduced the use of equity investments. While debt is often preferred due to its low-cost nature and tax-benefits, its excessive use may threaten the company’s survival (Obuya 2017). The current debt use by Urban Heights Hotel shows that the hotel is facing the increased risks of </w:t>
      </w:r>
      <w:proofErr w:type="gramStart"/>
      <w:r w:rsidRPr="00AF7328">
        <w:rPr>
          <w:rFonts w:ascii="Arial" w:hAnsi="Arial" w:cs="Arial"/>
        </w:rPr>
        <w:t>bankruptcy, if</w:t>
      </w:r>
      <w:proofErr w:type="gramEnd"/>
      <w:r w:rsidRPr="00AF7328">
        <w:rPr>
          <w:rFonts w:ascii="Arial" w:hAnsi="Arial" w:cs="Arial"/>
        </w:rPr>
        <w:t xml:space="preserve"> corrective measures are not taken.</w:t>
      </w:r>
    </w:p>
    <w:p w14:paraId="5C028879" w14:textId="77777777" w:rsidR="000C3733" w:rsidRDefault="000C3733" w:rsidP="000C3733">
      <w:pPr>
        <w:pStyle w:val="Heading1"/>
        <w:rPr>
          <w:rFonts w:ascii="Arial" w:hAnsi="Arial" w:cs="Arial"/>
          <w:b/>
          <w:bCs/>
          <w:color w:val="auto"/>
          <w:sz w:val="36"/>
          <w:szCs w:val="36"/>
        </w:rPr>
      </w:pPr>
      <w:bookmarkStart w:id="5" w:name="_Toc168608485"/>
      <w:bookmarkStart w:id="6" w:name="_Toc168604755"/>
      <w:r w:rsidRPr="00AF7328">
        <w:rPr>
          <w:rFonts w:ascii="Arial" w:hAnsi="Arial" w:cs="Arial"/>
          <w:b/>
          <w:bCs/>
          <w:color w:val="auto"/>
          <w:sz w:val="36"/>
          <w:szCs w:val="36"/>
        </w:rPr>
        <w:t>Conclusion</w:t>
      </w:r>
      <w:bookmarkEnd w:id="5"/>
      <w:bookmarkEnd w:id="6"/>
    </w:p>
    <w:p w14:paraId="2C0A3629" w14:textId="77777777" w:rsidR="00AF7328" w:rsidRPr="00AF7328" w:rsidRDefault="00AF7328" w:rsidP="00AF7328"/>
    <w:p w14:paraId="683A6944" w14:textId="77777777" w:rsidR="000C3733" w:rsidRDefault="000C3733" w:rsidP="00AF7328">
      <w:pPr>
        <w:spacing w:line="360" w:lineRule="auto"/>
        <w:rPr>
          <w:rFonts w:ascii="Arial" w:hAnsi="Arial" w:cs="Arial"/>
        </w:rPr>
      </w:pPr>
      <w:r>
        <w:tab/>
      </w:r>
      <w:r w:rsidRPr="00AF7328">
        <w:rPr>
          <w:rFonts w:ascii="Arial" w:hAnsi="Arial" w:cs="Arial"/>
        </w:rPr>
        <w:t xml:space="preserve">Therefore, Urban Heights’ financial position and performance has excessively dropped in the past few years. The sales of Urban Heights dropped, its expenses increased, income dropped, margin and returns dropped, liquidity position dropped, and the debt use mounted. All these reveals that the hotel is doing through the financial strain, and the existing situation may threaten the company’s survival, necessitating the management to take corrective actions and measures on immediate effect to save the company from facing the bankruptcy situation. Lastly, based on the analysis of the existing financial turmoil facing Urban Heights, the comprehensive turnaround strategy for the hotel will be suggested to improve its financial standing and ensure its long-term survival, thereby attaining a competitive edge. </w:t>
      </w:r>
    </w:p>
    <w:p w14:paraId="50BADCBF" w14:textId="77777777" w:rsidR="00AF7328" w:rsidRDefault="00AF7328" w:rsidP="00AF7328">
      <w:pPr>
        <w:spacing w:line="360" w:lineRule="auto"/>
        <w:rPr>
          <w:rFonts w:ascii="Arial" w:hAnsi="Arial" w:cs="Arial"/>
        </w:rPr>
      </w:pPr>
    </w:p>
    <w:p w14:paraId="59C3B350" w14:textId="77777777" w:rsidR="00AF7328" w:rsidRDefault="00AF7328" w:rsidP="00AF7328">
      <w:pPr>
        <w:spacing w:line="360" w:lineRule="auto"/>
        <w:rPr>
          <w:rFonts w:ascii="Arial" w:hAnsi="Arial" w:cs="Arial"/>
        </w:rPr>
      </w:pPr>
    </w:p>
    <w:p w14:paraId="6AC960D0" w14:textId="77777777" w:rsidR="00AF7328" w:rsidRPr="00AF7328" w:rsidRDefault="00AF7328" w:rsidP="00AF7328">
      <w:pPr>
        <w:spacing w:line="360" w:lineRule="auto"/>
        <w:rPr>
          <w:rFonts w:ascii="Arial" w:hAnsi="Arial" w:cs="Arial"/>
        </w:rPr>
      </w:pPr>
    </w:p>
    <w:p w14:paraId="23E53158" w14:textId="77777777" w:rsidR="000C3733" w:rsidRPr="00AF7328" w:rsidRDefault="000C3733" w:rsidP="000C3733">
      <w:pPr>
        <w:pStyle w:val="Heading1"/>
        <w:rPr>
          <w:rFonts w:ascii="Arial" w:hAnsi="Arial" w:cs="Arial"/>
          <w:b/>
          <w:bCs/>
          <w:color w:val="auto"/>
          <w:sz w:val="36"/>
          <w:szCs w:val="36"/>
        </w:rPr>
      </w:pPr>
      <w:bookmarkStart w:id="7" w:name="_Toc168608486"/>
      <w:bookmarkStart w:id="8" w:name="_Toc168604756"/>
      <w:r w:rsidRPr="00AF7328">
        <w:rPr>
          <w:rFonts w:ascii="Arial" w:hAnsi="Arial" w:cs="Arial"/>
          <w:b/>
          <w:bCs/>
          <w:color w:val="auto"/>
          <w:sz w:val="36"/>
          <w:szCs w:val="36"/>
        </w:rPr>
        <w:lastRenderedPageBreak/>
        <w:t>Recommendation of a Comprehensive Turnaround Strategy</w:t>
      </w:r>
      <w:bookmarkEnd w:id="7"/>
      <w:bookmarkEnd w:id="8"/>
    </w:p>
    <w:p w14:paraId="2AA2B611" w14:textId="77777777" w:rsidR="000C3733" w:rsidRPr="00AF7328" w:rsidRDefault="000C3733" w:rsidP="00AF7328">
      <w:pPr>
        <w:spacing w:line="360" w:lineRule="auto"/>
        <w:rPr>
          <w:rFonts w:ascii="Arial" w:hAnsi="Arial" w:cs="Arial"/>
        </w:rPr>
      </w:pPr>
      <w:r>
        <w:tab/>
      </w:r>
      <w:r w:rsidRPr="00AF7328">
        <w:rPr>
          <w:rFonts w:ascii="Arial" w:hAnsi="Arial" w:cs="Arial"/>
        </w:rPr>
        <w:t>Based on the existing financial difficulties facing Urban Heights Hotel, it is important to create an effective comprehensive turnaround strategy by the managers to help re-invigorate and improve the financial health of the hotel and its standing and to ensure its long-term survival in the uncertain and dynamic business settings both in present situation and in the future. A recovery from the present situation is important for the entities operating in the hospitality industries (Schmitt et al., 2019).</w:t>
      </w:r>
    </w:p>
    <w:p w14:paraId="3F2F6D63" w14:textId="77777777" w:rsidR="000C3733" w:rsidRPr="00AF7328" w:rsidRDefault="000C3733" w:rsidP="000C3733">
      <w:pPr>
        <w:rPr>
          <w:rFonts w:ascii="Arial" w:hAnsi="Arial" w:cs="Arial"/>
          <w:b/>
          <w:bCs/>
          <w:sz w:val="28"/>
          <w:szCs w:val="28"/>
        </w:rPr>
      </w:pPr>
      <w:r w:rsidRPr="00AF7328">
        <w:rPr>
          <w:rFonts w:ascii="Arial" w:hAnsi="Arial" w:cs="Arial"/>
          <w:b/>
          <w:bCs/>
          <w:sz w:val="28"/>
          <w:szCs w:val="28"/>
        </w:rPr>
        <w:t xml:space="preserve">Re-design Business Strategies: </w:t>
      </w:r>
    </w:p>
    <w:p w14:paraId="1984462F" w14:textId="77777777" w:rsidR="000C3733" w:rsidRPr="00AF7328" w:rsidRDefault="000C3733" w:rsidP="00AF7328">
      <w:pPr>
        <w:spacing w:line="360" w:lineRule="auto"/>
        <w:rPr>
          <w:rFonts w:ascii="Arial" w:hAnsi="Arial" w:cs="Arial"/>
        </w:rPr>
      </w:pPr>
      <w:r>
        <w:tab/>
      </w:r>
      <w:r w:rsidRPr="00AF7328">
        <w:rPr>
          <w:rFonts w:ascii="Arial" w:hAnsi="Arial" w:cs="Arial"/>
        </w:rPr>
        <w:t xml:space="preserve">The recent global events and challenges continues to emphasize the tourism &amp; hospitality entities to adapt to the changing business environment and innovate. To steer through the challenges posed by the recent global events and trends, it has become crucial for Urban Heights Hotel to re-assess its existing business models, business practices, and accordingly design the new and innovation solutions and strategies that helps safeguarding the employees and the </w:t>
      </w:r>
      <w:proofErr w:type="gramStart"/>
      <w:r w:rsidRPr="00AF7328">
        <w:rPr>
          <w:rFonts w:ascii="Arial" w:hAnsi="Arial" w:cs="Arial"/>
        </w:rPr>
        <w:t>customers, and</w:t>
      </w:r>
      <w:proofErr w:type="gramEnd"/>
      <w:r w:rsidRPr="00AF7328">
        <w:rPr>
          <w:rFonts w:ascii="Arial" w:hAnsi="Arial" w:cs="Arial"/>
        </w:rPr>
        <w:t xml:space="preserve"> restore their confidence level. Radical innovation mainly involves new technologies or the targeted knowledge towards the new market. An implementation of the innovative solutions could significantly help the hotels sustain and help improve the performance (Sharma et al., 2021).</w:t>
      </w:r>
    </w:p>
    <w:p w14:paraId="02853D0A" w14:textId="77777777" w:rsidR="000C3733" w:rsidRPr="00AF7328" w:rsidRDefault="000C3733" w:rsidP="000C3733">
      <w:pPr>
        <w:rPr>
          <w:rFonts w:ascii="Arial" w:hAnsi="Arial" w:cs="Arial"/>
          <w:b/>
          <w:bCs/>
          <w:sz w:val="28"/>
          <w:szCs w:val="28"/>
        </w:rPr>
      </w:pPr>
      <w:r w:rsidRPr="00AF7328">
        <w:rPr>
          <w:rFonts w:ascii="Arial" w:hAnsi="Arial" w:cs="Arial"/>
          <w:b/>
          <w:bCs/>
          <w:sz w:val="28"/>
          <w:szCs w:val="28"/>
        </w:rPr>
        <w:t xml:space="preserve">Assessing the impact on Occupancy and Revenue: </w:t>
      </w:r>
    </w:p>
    <w:p w14:paraId="4C835271" w14:textId="77777777" w:rsidR="000C3733" w:rsidRPr="00AF7328" w:rsidRDefault="000C3733" w:rsidP="00AF7328">
      <w:pPr>
        <w:spacing w:line="360" w:lineRule="auto"/>
        <w:rPr>
          <w:rFonts w:ascii="Arial" w:hAnsi="Arial" w:cs="Arial"/>
        </w:rPr>
      </w:pPr>
      <w:r>
        <w:tab/>
      </w:r>
      <w:r w:rsidRPr="00AF7328">
        <w:rPr>
          <w:rFonts w:ascii="Arial" w:hAnsi="Arial" w:cs="Arial"/>
        </w:rPr>
        <w:t>Urban Heights Hotel needs to access the overall impact on its occupancy rate and revenue and accordingly, develop a plan to improve the condition. It is crucial to understand that whether the losses the company is experiencing is just delayed or permanent (</w:t>
      </w:r>
      <w:proofErr w:type="spellStart"/>
      <w:r w:rsidRPr="00AF7328">
        <w:rPr>
          <w:rFonts w:ascii="Arial" w:hAnsi="Arial" w:cs="Arial"/>
        </w:rPr>
        <w:t>Mijinke</w:t>
      </w:r>
      <w:proofErr w:type="spellEnd"/>
      <w:r w:rsidRPr="00AF7328">
        <w:rPr>
          <w:rFonts w:ascii="Arial" w:hAnsi="Arial" w:cs="Arial"/>
        </w:rPr>
        <w:t xml:space="preserve">, Obermann and Hamers 2020). </w:t>
      </w:r>
    </w:p>
    <w:p w14:paraId="64FEA087" w14:textId="77777777" w:rsidR="000C3733" w:rsidRPr="00AF7328" w:rsidRDefault="000C3733" w:rsidP="000C3733">
      <w:pPr>
        <w:rPr>
          <w:rFonts w:ascii="Arial" w:hAnsi="Arial" w:cs="Arial"/>
          <w:b/>
          <w:bCs/>
          <w:sz w:val="28"/>
          <w:szCs w:val="28"/>
        </w:rPr>
      </w:pPr>
      <w:r w:rsidRPr="00AF7328">
        <w:rPr>
          <w:rFonts w:ascii="Arial" w:hAnsi="Arial" w:cs="Arial"/>
          <w:b/>
          <w:bCs/>
          <w:sz w:val="28"/>
          <w:szCs w:val="28"/>
        </w:rPr>
        <w:t>Personalization</w:t>
      </w:r>
    </w:p>
    <w:p w14:paraId="176145F8" w14:textId="77777777" w:rsidR="000C3733" w:rsidRPr="00AF7328" w:rsidRDefault="000C3733" w:rsidP="00AF7328">
      <w:pPr>
        <w:spacing w:line="360" w:lineRule="auto"/>
        <w:rPr>
          <w:rFonts w:ascii="Arial" w:hAnsi="Arial" w:cs="Arial"/>
        </w:rPr>
      </w:pPr>
      <w:r>
        <w:tab/>
      </w:r>
      <w:r w:rsidRPr="00AF7328">
        <w:rPr>
          <w:rFonts w:ascii="Arial" w:hAnsi="Arial" w:cs="Arial"/>
        </w:rPr>
        <w:t xml:space="preserve">Urban Heights can increase trust, confidence, and satisfaction level in their customers/guests by offering them personalized or customized solutions. In the contemporary business settings of the hospitality industry, following conventional marketing tactics and offerings to the customers can demotivate the customers and </w:t>
      </w:r>
      <w:r w:rsidRPr="00AF7328">
        <w:rPr>
          <w:rFonts w:ascii="Arial" w:hAnsi="Arial" w:cs="Arial"/>
        </w:rPr>
        <w:lastRenderedPageBreak/>
        <w:t xml:space="preserve">can result in loosing revenue and competitiveness (Bai 2022). Hence, guests must be provided with the unique offerings as it can help building trust and can retain the company’s customers in the </w:t>
      </w:r>
      <w:proofErr w:type="gramStart"/>
      <w:r w:rsidRPr="00AF7328">
        <w:rPr>
          <w:rFonts w:ascii="Arial" w:hAnsi="Arial" w:cs="Arial"/>
        </w:rPr>
        <w:t>long-run</w:t>
      </w:r>
      <w:proofErr w:type="gramEnd"/>
      <w:r w:rsidRPr="00AF7328">
        <w:rPr>
          <w:rFonts w:ascii="Arial" w:hAnsi="Arial" w:cs="Arial"/>
        </w:rPr>
        <w:t xml:space="preserve"> (</w:t>
      </w:r>
      <w:proofErr w:type="spellStart"/>
      <w:r w:rsidRPr="00AF7328">
        <w:rPr>
          <w:rFonts w:ascii="Arial" w:hAnsi="Arial" w:cs="Arial"/>
        </w:rPr>
        <w:t>Mijinke</w:t>
      </w:r>
      <w:proofErr w:type="spellEnd"/>
      <w:r w:rsidRPr="00AF7328">
        <w:rPr>
          <w:rFonts w:ascii="Arial" w:hAnsi="Arial" w:cs="Arial"/>
        </w:rPr>
        <w:t>, Obermann and Hamers 2020).</w:t>
      </w:r>
    </w:p>
    <w:p w14:paraId="09C5F64A" w14:textId="77777777" w:rsidR="000C3733" w:rsidRPr="00AF7328" w:rsidRDefault="000C3733" w:rsidP="000C3733">
      <w:pPr>
        <w:rPr>
          <w:rFonts w:ascii="Arial" w:hAnsi="Arial" w:cs="Arial"/>
          <w:b/>
          <w:bCs/>
          <w:sz w:val="28"/>
          <w:szCs w:val="28"/>
        </w:rPr>
      </w:pPr>
      <w:r w:rsidRPr="00AF7328">
        <w:rPr>
          <w:rFonts w:ascii="Arial" w:hAnsi="Arial" w:cs="Arial"/>
          <w:b/>
          <w:bCs/>
          <w:sz w:val="28"/>
          <w:szCs w:val="28"/>
        </w:rPr>
        <w:t>Keeping Plans Under Active Review:</w:t>
      </w:r>
    </w:p>
    <w:p w14:paraId="0A863B65" w14:textId="77777777" w:rsidR="000C3733" w:rsidRPr="00AF7328" w:rsidRDefault="000C3733" w:rsidP="00AF7328">
      <w:pPr>
        <w:spacing w:line="360" w:lineRule="auto"/>
        <w:rPr>
          <w:rFonts w:ascii="Arial" w:hAnsi="Arial" w:cs="Arial"/>
        </w:rPr>
      </w:pPr>
      <w:r>
        <w:tab/>
      </w:r>
      <w:r w:rsidRPr="00AF7328">
        <w:rPr>
          <w:rFonts w:ascii="Arial" w:hAnsi="Arial" w:cs="Arial"/>
        </w:rPr>
        <w:t xml:space="preserve">In a fast-moving and dynamic settings, Urban Heights must ensure keeping itself updated with the changes occurring in the environment and their likely effects. The company must be equipped enough to quicky respond to the changes external to the normal business and operating processes. It must permit to swiftly make decisions, communicate, and implements the strategies. In the </w:t>
      </w:r>
      <w:proofErr w:type="gramStart"/>
      <w:r w:rsidRPr="00AF7328">
        <w:rPr>
          <w:rFonts w:ascii="Arial" w:hAnsi="Arial" w:cs="Arial"/>
        </w:rPr>
        <w:t>down-time</w:t>
      </w:r>
      <w:proofErr w:type="gramEnd"/>
      <w:r w:rsidRPr="00AF7328">
        <w:rPr>
          <w:rFonts w:ascii="Arial" w:hAnsi="Arial" w:cs="Arial"/>
        </w:rPr>
        <w:t>, the company must re-assess their business, make new products/services, become more flexible, train employees, and seek various new opportunities (</w:t>
      </w:r>
      <w:proofErr w:type="spellStart"/>
      <w:r w:rsidRPr="00AF7328">
        <w:rPr>
          <w:rFonts w:ascii="Arial" w:hAnsi="Arial" w:cs="Arial"/>
        </w:rPr>
        <w:t>Mijinke</w:t>
      </w:r>
      <w:proofErr w:type="spellEnd"/>
      <w:r w:rsidRPr="00AF7328">
        <w:rPr>
          <w:rFonts w:ascii="Arial" w:hAnsi="Arial" w:cs="Arial"/>
        </w:rPr>
        <w:t>, Obermann and Hamers 2020).</w:t>
      </w:r>
    </w:p>
    <w:p w14:paraId="2CEF46DF" w14:textId="5AA1423E" w:rsidR="003A5DFC" w:rsidRPr="00AF7328" w:rsidRDefault="003A5DFC" w:rsidP="00AF7328">
      <w:pPr>
        <w:tabs>
          <w:tab w:val="left" w:pos="720"/>
          <w:tab w:val="left" w:pos="1440"/>
          <w:tab w:val="left" w:pos="2160"/>
          <w:tab w:val="left" w:pos="2880"/>
          <w:tab w:val="left" w:pos="3600"/>
          <w:tab w:val="left" w:pos="4320"/>
          <w:tab w:val="left" w:pos="5040"/>
          <w:tab w:val="left" w:pos="5760"/>
          <w:tab w:val="left" w:pos="6480"/>
          <w:tab w:val="left" w:pos="7200"/>
          <w:tab w:val="left" w:pos="7920"/>
          <w:tab w:val="right" w:pos="9027"/>
        </w:tabs>
        <w:spacing w:line="360" w:lineRule="auto"/>
        <w:rPr>
          <w:rFonts w:ascii="Arial" w:hAnsi="Arial" w:cs="Arial"/>
        </w:rPr>
      </w:pPr>
    </w:p>
    <w:p w14:paraId="727EB70B" w14:textId="77777777" w:rsidR="003A5DFC" w:rsidRPr="00AF7328" w:rsidRDefault="003A5DFC" w:rsidP="00AF7328">
      <w:pPr>
        <w:spacing w:line="360" w:lineRule="auto"/>
        <w:rPr>
          <w:rFonts w:ascii="Arial" w:hAnsi="Arial" w:cs="Arial"/>
        </w:rPr>
      </w:pPr>
    </w:p>
    <w:p w14:paraId="02411FA1" w14:textId="77777777" w:rsidR="003A5DFC" w:rsidRPr="00AF7328" w:rsidRDefault="003A5DFC" w:rsidP="00AF7328">
      <w:pPr>
        <w:spacing w:line="360" w:lineRule="auto"/>
        <w:jc w:val="left"/>
        <w:rPr>
          <w:rFonts w:ascii="Arial" w:eastAsiaTheme="majorEastAsia" w:hAnsi="Arial" w:cs="Arial"/>
          <w:b/>
          <w:szCs w:val="32"/>
        </w:rPr>
      </w:pPr>
      <w:r w:rsidRPr="00AF7328">
        <w:rPr>
          <w:rFonts w:ascii="Arial" w:hAnsi="Arial" w:cs="Arial"/>
        </w:rPr>
        <w:br w:type="page"/>
      </w:r>
    </w:p>
    <w:p w14:paraId="17671611" w14:textId="77777777" w:rsidR="003A5DFC" w:rsidRDefault="003A5DFC" w:rsidP="003A5DFC">
      <w:pPr>
        <w:pStyle w:val="Heading1"/>
        <w:spacing w:line="240" w:lineRule="auto"/>
        <w:rPr>
          <w:rFonts w:ascii="Arial" w:hAnsi="Arial" w:cs="Arial"/>
          <w:b/>
          <w:bCs/>
          <w:color w:val="auto"/>
          <w:sz w:val="36"/>
          <w:szCs w:val="36"/>
        </w:rPr>
      </w:pPr>
      <w:bookmarkStart w:id="9" w:name="_Toc168604757"/>
      <w:r w:rsidRPr="003A5DFC">
        <w:rPr>
          <w:rFonts w:ascii="Arial" w:hAnsi="Arial" w:cs="Arial"/>
          <w:b/>
          <w:bCs/>
          <w:color w:val="auto"/>
          <w:sz w:val="36"/>
          <w:szCs w:val="36"/>
        </w:rPr>
        <w:lastRenderedPageBreak/>
        <w:t>Reference</w:t>
      </w:r>
      <w:bookmarkEnd w:id="9"/>
      <w:r w:rsidRPr="003A5DFC">
        <w:rPr>
          <w:rFonts w:ascii="Arial" w:hAnsi="Arial" w:cs="Arial"/>
          <w:b/>
          <w:bCs/>
          <w:color w:val="auto"/>
          <w:sz w:val="36"/>
          <w:szCs w:val="36"/>
        </w:rPr>
        <w:t xml:space="preserve"> </w:t>
      </w:r>
    </w:p>
    <w:p w14:paraId="07F34E7E" w14:textId="77777777" w:rsidR="003A5DFC" w:rsidRPr="003A5DFC" w:rsidRDefault="003A5DFC" w:rsidP="003A5DFC">
      <w:pPr>
        <w:spacing w:line="240" w:lineRule="auto"/>
      </w:pPr>
    </w:p>
    <w:p w14:paraId="68C654F4" w14:textId="77777777" w:rsidR="003A5DFC" w:rsidRPr="00BB1C9F" w:rsidRDefault="003A5DFC" w:rsidP="003A5DFC">
      <w:pPr>
        <w:spacing w:line="360" w:lineRule="auto"/>
        <w:rPr>
          <w:rFonts w:ascii="Arial" w:hAnsi="Arial" w:cs="Arial"/>
        </w:rPr>
      </w:pPr>
      <w:proofErr w:type="spellStart"/>
      <w:r w:rsidRPr="00BB1C9F">
        <w:rPr>
          <w:rFonts w:ascii="Arial" w:hAnsi="Arial" w:cs="Arial"/>
        </w:rPr>
        <w:t>Alarussi</w:t>
      </w:r>
      <w:proofErr w:type="spellEnd"/>
      <w:r w:rsidRPr="00BB1C9F">
        <w:rPr>
          <w:rFonts w:ascii="Arial" w:hAnsi="Arial" w:cs="Arial"/>
        </w:rPr>
        <w:t xml:space="preserve">, A.S. and </w:t>
      </w:r>
      <w:proofErr w:type="spellStart"/>
      <w:r w:rsidRPr="00BB1C9F">
        <w:rPr>
          <w:rFonts w:ascii="Arial" w:hAnsi="Arial" w:cs="Arial"/>
        </w:rPr>
        <w:t>Alhaderi</w:t>
      </w:r>
      <w:proofErr w:type="spellEnd"/>
      <w:r w:rsidRPr="00BB1C9F">
        <w:rPr>
          <w:rFonts w:ascii="Arial" w:hAnsi="Arial" w:cs="Arial"/>
        </w:rPr>
        <w:t>, S.M. (2018). Factors affecting profitability in Malaysia. </w:t>
      </w:r>
      <w:r w:rsidRPr="00BB1C9F">
        <w:rPr>
          <w:rFonts w:ascii="Arial" w:hAnsi="Arial" w:cs="Arial"/>
          <w:i/>
          <w:iCs/>
        </w:rPr>
        <w:t>Journal of Economic Studies</w:t>
      </w:r>
      <w:r w:rsidRPr="00BB1C9F">
        <w:rPr>
          <w:rFonts w:ascii="Arial" w:hAnsi="Arial" w:cs="Arial"/>
        </w:rPr>
        <w:t>, </w:t>
      </w:r>
      <w:r w:rsidRPr="00BB1C9F">
        <w:rPr>
          <w:rFonts w:ascii="Arial" w:hAnsi="Arial" w:cs="Arial"/>
          <w:i/>
          <w:iCs/>
        </w:rPr>
        <w:t>45</w:t>
      </w:r>
      <w:r w:rsidRPr="00BB1C9F">
        <w:rPr>
          <w:rFonts w:ascii="Arial" w:hAnsi="Arial" w:cs="Arial"/>
        </w:rPr>
        <w:t xml:space="preserve">(3), pp.442-458. </w:t>
      </w:r>
      <w:hyperlink r:id="rId10" w:history="1">
        <w:r w:rsidRPr="00BB1C9F">
          <w:rPr>
            <w:rStyle w:val="Hyperlink"/>
            <w:rFonts w:ascii="Arial" w:hAnsi="Arial" w:cs="Arial"/>
          </w:rPr>
          <w:t>https://doi.org/10.1108/JES-05-2017-0124</w:t>
        </w:r>
      </w:hyperlink>
    </w:p>
    <w:p w14:paraId="1BB61020" w14:textId="77777777" w:rsidR="003A5DFC" w:rsidRPr="00BB1C9F" w:rsidRDefault="003A5DFC" w:rsidP="003A5DFC">
      <w:pPr>
        <w:spacing w:line="360" w:lineRule="auto"/>
        <w:rPr>
          <w:rFonts w:ascii="Arial" w:hAnsi="Arial" w:cs="Arial"/>
        </w:rPr>
      </w:pPr>
      <w:r w:rsidRPr="00BB1C9F">
        <w:rPr>
          <w:rFonts w:ascii="Arial" w:hAnsi="Arial" w:cs="Arial"/>
        </w:rPr>
        <w:t>Bai, Y. (2022). </w:t>
      </w:r>
      <w:r w:rsidRPr="00BB1C9F">
        <w:rPr>
          <w:rFonts w:ascii="Arial" w:hAnsi="Arial" w:cs="Arial"/>
          <w:i/>
          <w:iCs/>
        </w:rPr>
        <w:t>HOTEL ROOM RATE PRICING UNDER ONLINE CHANNEL COMPETITION, CONSUMER REACTION, AND EMPLOYEE TRAINING</w:t>
      </w:r>
      <w:r w:rsidRPr="00BB1C9F">
        <w:rPr>
          <w:rFonts w:ascii="Arial" w:hAnsi="Arial" w:cs="Arial"/>
        </w:rPr>
        <w:t xml:space="preserve"> (Doctoral dissertation, Purdue University Graduate School). Available at: </w:t>
      </w:r>
      <w:hyperlink r:id="rId11" w:history="1">
        <w:r w:rsidRPr="00BB1C9F">
          <w:rPr>
            <w:rStyle w:val="Hyperlink"/>
            <w:rFonts w:ascii="Arial" w:hAnsi="Arial" w:cs="Arial"/>
          </w:rPr>
          <w:t>https://hammer.purdue.edu/articles/thesis/HOTEL_ROOM_RATE_PRICING_UNDER_ONLINE_CHANNEL_COMPETITION_CONSUMER_REACTION_AND_EMPLOYEE_TRAINING/20353362</w:t>
        </w:r>
      </w:hyperlink>
      <w:r w:rsidRPr="00BB1C9F">
        <w:rPr>
          <w:rFonts w:ascii="Arial" w:hAnsi="Arial" w:cs="Arial"/>
        </w:rPr>
        <w:t xml:space="preserve"> (Accessed on: 25</w:t>
      </w:r>
      <w:r w:rsidRPr="00BB1C9F">
        <w:rPr>
          <w:rFonts w:ascii="Arial" w:hAnsi="Arial" w:cs="Arial"/>
          <w:vertAlign w:val="superscript"/>
        </w:rPr>
        <w:t>th</w:t>
      </w:r>
      <w:r w:rsidRPr="00BB1C9F">
        <w:rPr>
          <w:rFonts w:ascii="Arial" w:hAnsi="Arial" w:cs="Arial"/>
        </w:rPr>
        <w:t xml:space="preserve"> May 2024). </w:t>
      </w:r>
    </w:p>
    <w:p w14:paraId="32955C4A" w14:textId="77777777" w:rsidR="003A5DFC" w:rsidRPr="00BB1C9F" w:rsidRDefault="003A5DFC" w:rsidP="003A5DFC">
      <w:pPr>
        <w:spacing w:line="360" w:lineRule="auto"/>
        <w:rPr>
          <w:rFonts w:ascii="Arial" w:hAnsi="Arial" w:cs="Arial"/>
        </w:rPr>
      </w:pPr>
      <w:proofErr w:type="spellStart"/>
      <w:r w:rsidRPr="00BB1C9F">
        <w:rPr>
          <w:rFonts w:ascii="Arial" w:hAnsi="Arial" w:cs="Arial"/>
        </w:rPr>
        <w:t>Choirisa</w:t>
      </w:r>
      <w:proofErr w:type="spellEnd"/>
      <w:r w:rsidRPr="00BB1C9F">
        <w:rPr>
          <w:rFonts w:ascii="Arial" w:hAnsi="Arial" w:cs="Arial"/>
        </w:rPr>
        <w:t>, S.F. (2022). The impact of the Covid-19 pandemic on the hotel industry in Indonesia. </w:t>
      </w:r>
      <w:r w:rsidRPr="00BB1C9F">
        <w:rPr>
          <w:rFonts w:ascii="Arial" w:hAnsi="Arial" w:cs="Arial"/>
          <w:i/>
          <w:iCs/>
        </w:rPr>
        <w:t>Economics, Management and Sustainability</w:t>
      </w:r>
      <w:r w:rsidRPr="00BB1C9F">
        <w:rPr>
          <w:rFonts w:ascii="Arial" w:hAnsi="Arial" w:cs="Arial"/>
        </w:rPr>
        <w:t>, </w:t>
      </w:r>
      <w:r w:rsidRPr="00BB1C9F">
        <w:rPr>
          <w:rFonts w:ascii="Arial" w:hAnsi="Arial" w:cs="Arial"/>
          <w:i/>
          <w:iCs/>
        </w:rPr>
        <w:t>7</w:t>
      </w:r>
      <w:r w:rsidRPr="00BB1C9F">
        <w:rPr>
          <w:rFonts w:ascii="Arial" w:hAnsi="Arial" w:cs="Arial"/>
        </w:rPr>
        <w:t xml:space="preserve">(1), pp.86-94. Available at: </w:t>
      </w:r>
      <w:hyperlink r:id="rId12" w:history="1">
        <w:r w:rsidRPr="00BB1C9F">
          <w:rPr>
            <w:rStyle w:val="Hyperlink"/>
            <w:rFonts w:ascii="Arial" w:hAnsi="Arial" w:cs="Arial"/>
          </w:rPr>
          <w:t>https://www.ceeol.com/search/article-detail?id=1086311</w:t>
        </w:r>
      </w:hyperlink>
      <w:r w:rsidRPr="00BB1C9F">
        <w:rPr>
          <w:rFonts w:ascii="Arial" w:hAnsi="Arial" w:cs="Arial"/>
        </w:rPr>
        <w:t xml:space="preserve"> (Accessed on: 25</w:t>
      </w:r>
      <w:r w:rsidRPr="00BB1C9F">
        <w:rPr>
          <w:rFonts w:ascii="Arial" w:hAnsi="Arial" w:cs="Arial"/>
          <w:vertAlign w:val="superscript"/>
        </w:rPr>
        <w:t>th</w:t>
      </w:r>
      <w:r w:rsidRPr="00BB1C9F">
        <w:rPr>
          <w:rFonts w:ascii="Arial" w:hAnsi="Arial" w:cs="Arial"/>
        </w:rPr>
        <w:t xml:space="preserve"> May 2024). </w:t>
      </w:r>
    </w:p>
    <w:p w14:paraId="2702535C" w14:textId="77777777" w:rsidR="003A5DFC" w:rsidRPr="00BB1C9F" w:rsidRDefault="003A5DFC" w:rsidP="003A5DFC">
      <w:pPr>
        <w:spacing w:line="360" w:lineRule="auto"/>
        <w:rPr>
          <w:rFonts w:ascii="Arial" w:hAnsi="Arial" w:cs="Arial"/>
        </w:rPr>
      </w:pPr>
      <w:r w:rsidRPr="00BB1C9F">
        <w:rPr>
          <w:rFonts w:ascii="Arial" w:hAnsi="Arial" w:cs="Arial"/>
        </w:rPr>
        <w:t>Gursoy, D. and Chi, C.G. (2020). Effects of COVID-19 pandemic on hospitality industry: review of the current situations and a research agenda. </w:t>
      </w:r>
      <w:r w:rsidRPr="00BB1C9F">
        <w:rPr>
          <w:rFonts w:ascii="Arial" w:hAnsi="Arial" w:cs="Arial"/>
          <w:i/>
          <w:iCs/>
        </w:rPr>
        <w:t>Journal of Hospitality Marketing &amp; Management</w:t>
      </w:r>
      <w:r w:rsidRPr="00BB1C9F">
        <w:rPr>
          <w:rFonts w:ascii="Arial" w:hAnsi="Arial" w:cs="Arial"/>
        </w:rPr>
        <w:t>, </w:t>
      </w:r>
      <w:r w:rsidRPr="00BB1C9F">
        <w:rPr>
          <w:rFonts w:ascii="Arial" w:hAnsi="Arial" w:cs="Arial"/>
          <w:i/>
          <w:iCs/>
        </w:rPr>
        <w:t>29</w:t>
      </w:r>
      <w:r w:rsidRPr="00BB1C9F">
        <w:rPr>
          <w:rFonts w:ascii="Arial" w:hAnsi="Arial" w:cs="Arial"/>
        </w:rPr>
        <w:t>(5), pp.527-529.</w:t>
      </w:r>
    </w:p>
    <w:p w14:paraId="1F44A70C" w14:textId="77777777" w:rsidR="003A5DFC" w:rsidRPr="00BB1C9F" w:rsidRDefault="003A5DFC" w:rsidP="003A5DFC">
      <w:pPr>
        <w:spacing w:line="360" w:lineRule="auto"/>
        <w:rPr>
          <w:rFonts w:ascii="Arial" w:hAnsi="Arial" w:cs="Arial"/>
        </w:rPr>
      </w:pPr>
      <w:proofErr w:type="spellStart"/>
      <w:r w:rsidRPr="00BB1C9F">
        <w:rPr>
          <w:rFonts w:ascii="Arial" w:hAnsi="Arial" w:cs="Arial"/>
        </w:rPr>
        <w:t>Kajananthan</w:t>
      </w:r>
      <w:proofErr w:type="spellEnd"/>
      <w:r w:rsidRPr="00BB1C9F">
        <w:rPr>
          <w:rFonts w:ascii="Arial" w:hAnsi="Arial" w:cs="Arial"/>
        </w:rPr>
        <w:t xml:space="preserve">, R. and Velnampy, T. (2014). Liquidity, </w:t>
      </w:r>
      <w:proofErr w:type="gramStart"/>
      <w:r w:rsidRPr="00BB1C9F">
        <w:rPr>
          <w:rFonts w:ascii="Arial" w:hAnsi="Arial" w:cs="Arial"/>
        </w:rPr>
        <w:t>solvency</w:t>
      </w:r>
      <w:proofErr w:type="gramEnd"/>
      <w:r w:rsidRPr="00BB1C9F">
        <w:rPr>
          <w:rFonts w:ascii="Arial" w:hAnsi="Arial" w:cs="Arial"/>
        </w:rPr>
        <w:t xml:space="preserve"> and profitability analysis using cash flow ratios and traditional ratios: The telecommunication sector in Sri Lanka. </w:t>
      </w:r>
      <w:r w:rsidRPr="00BB1C9F">
        <w:rPr>
          <w:rFonts w:ascii="Arial" w:hAnsi="Arial" w:cs="Arial"/>
          <w:i/>
          <w:iCs/>
        </w:rPr>
        <w:t>Research Journal of Finance and Accounting</w:t>
      </w:r>
      <w:r w:rsidRPr="00BB1C9F">
        <w:rPr>
          <w:rFonts w:ascii="Arial" w:hAnsi="Arial" w:cs="Arial"/>
        </w:rPr>
        <w:t>, </w:t>
      </w:r>
      <w:r w:rsidRPr="00BB1C9F">
        <w:rPr>
          <w:rFonts w:ascii="Arial" w:hAnsi="Arial" w:cs="Arial"/>
          <w:i/>
          <w:iCs/>
        </w:rPr>
        <w:t>5</w:t>
      </w:r>
      <w:r w:rsidRPr="00BB1C9F">
        <w:rPr>
          <w:rFonts w:ascii="Arial" w:hAnsi="Arial" w:cs="Arial"/>
        </w:rPr>
        <w:t xml:space="preserve">(23), pp.163-170. Available at: </w:t>
      </w:r>
      <w:hyperlink r:id="rId13" w:history="1">
        <w:r w:rsidRPr="00BB1C9F">
          <w:rPr>
            <w:rStyle w:val="Hyperlink"/>
            <w:rFonts w:ascii="Arial" w:hAnsi="Arial" w:cs="Arial"/>
          </w:rPr>
          <w:t>https://core.ac.uk/download/pdf/234630372.pdf</w:t>
        </w:r>
      </w:hyperlink>
      <w:r w:rsidRPr="00BB1C9F">
        <w:rPr>
          <w:rFonts w:ascii="Arial" w:hAnsi="Arial" w:cs="Arial"/>
        </w:rPr>
        <w:t xml:space="preserve"> (Accessed on: 25</w:t>
      </w:r>
      <w:r w:rsidRPr="00BB1C9F">
        <w:rPr>
          <w:rFonts w:ascii="Arial" w:hAnsi="Arial" w:cs="Arial"/>
          <w:vertAlign w:val="superscript"/>
        </w:rPr>
        <w:t>th</w:t>
      </w:r>
      <w:r w:rsidRPr="00BB1C9F">
        <w:rPr>
          <w:rFonts w:ascii="Arial" w:hAnsi="Arial" w:cs="Arial"/>
        </w:rPr>
        <w:t xml:space="preserve"> May 2024). </w:t>
      </w:r>
    </w:p>
    <w:p w14:paraId="27C93ACC" w14:textId="77777777" w:rsidR="003A5DFC" w:rsidRPr="00BB1C9F" w:rsidRDefault="003A5DFC" w:rsidP="003A5DFC">
      <w:pPr>
        <w:spacing w:line="360" w:lineRule="auto"/>
        <w:rPr>
          <w:rFonts w:ascii="Arial" w:hAnsi="Arial" w:cs="Arial"/>
        </w:rPr>
      </w:pPr>
      <w:proofErr w:type="spellStart"/>
      <w:r w:rsidRPr="00BB1C9F">
        <w:rPr>
          <w:rFonts w:ascii="Arial" w:hAnsi="Arial" w:cs="Arial"/>
        </w:rPr>
        <w:t>Khidmat</w:t>
      </w:r>
      <w:proofErr w:type="spellEnd"/>
      <w:r w:rsidRPr="00BB1C9F">
        <w:rPr>
          <w:rFonts w:ascii="Arial" w:hAnsi="Arial" w:cs="Arial"/>
        </w:rPr>
        <w:t>, W.B. and Rehman, M. (2014). Impact of liquidity &amp; solvency on profitability chemical sector of Pakistan. </w:t>
      </w:r>
      <w:r w:rsidRPr="00BB1C9F">
        <w:rPr>
          <w:rFonts w:ascii="Arial" w:hAnsi="Arial" w:cs="Arial"/>
          <w:i/>
          <w:iCs/>
        </w:rPr>
        <w:t>Economics management innovation</w:t>
      </w:r>
      <w:r w:rsidRPr="00BB1C9F">
        <w:rPr>
          <w:rFonts w:ascii="Arial" w:hAnsi="Arial" w:cs="Arial"/>
        </w:rPr>
        <w:t>, </w:t>
      </w:r>
      <w:r w:rsidRPr="00BB1C9F">
        <w:rPr>
          <w:rFonts w:ascii="Arial" w:hAnsi="Arial" w:cs="Arial"/>
          <w:i/>
          <w:iCs/>
        </w:rPr>
        <w:t>6</w:t>
      </w:r>
      <w:r w:rsidRPr="00BB1C9F">
        <w:rPr>
          <w:rFonts w:ascii="Arial" w:hAnsi="Arial" w:cs="Arial"/>
        </w:rPr>
        <w:t xml:space="preserve">(3), pp.34-67. Available at: </w:t>
      </w:r>
      <w:hyperlink r:id="rId14" w:history="1">
        <w:r w:rsidRPr="00BB1C9F">
          <w:rPr>
            <w:rStyle w:val="Hyperlink"/>
            <w:rFonts w:ascii="Arial" w:hAnsi="Arial" w:cs="Arial"/>
          </w:rPr>
          <w:t>https://www.researchgate.net/profile/Mobeen-Rehman-2/publication/293781729_IMPACT_OF_LIQUIDITY_SOLVENCY_ON_PROFITABILITY_CHEMICAL_SECTOR_OF_PAKISTAN/links/56bc9a9f08ae5e7ba40eac09/IMPACT-OF-LIQUIDITY-SOLVENCY-ON-PROFITABILITY-CHEMICAL-SECTOR-OF-PAKISTAN.pdf</w:t>
        </w:r>
      </w:hyperlink>
      <w:r w:rsidRPr="00BB1C9F">
        <w:rPr>
          <w:rFonts w:ascii="Arial" w:hAnsi="Arial" w:cs="Arial"/>
        </w:rPr>
        <w:t xml:space="preserve"> (Accessed on: 25</w:t>
      </w:r>
      <w:r w:rsidRPr="00BB1C9F">
        <w:rPr>
          <w:rFonts w:ascii="Arial" w:hAnsi="Arial" w:cs="Arial"/>
          <w:vertAlign w:val="superscript"/>
        </w:rPr>
        <w:t>th</w:t>
      </w:r>
      <w:r w:rsidRPr="00BB1C9F">
        <w:rPr>
          <w:rFonts w:ascii="Arial" w:hAnsi="Arial" w:cs="Arial"/>
        </w:rPr>
        <w:t xml:space="preserve"> May 2024). </w:t>
      </w:r>
    </w:p>
    <w:p w14:paraId="6DE169DD" w14:textId="77777777" w:rsidR="003A5DFC" w:rsidRPr="00BB1C9F" w:rsidRDefault="003A5DFC" w:rsidP="003A5DFC">
      <w:pPr>
        <w:spacing w:line="360" w:lineRule="auto"/>
        <w:rPr>
          <w:rFonts w:ascii="Arial" w:hAnsi="Arial" w:cs="Arial"/>
        </w:rPr>
      </w:pPr>
      <w:r w:rsidRPr="00BB1C9F">
        <w:rPr>
          <w:rFonts w:ascii="Arial" w:hAnsi="Arial" w:cs="Arial"/>
        </w:rPr>
        <w:lastRenderedPageBreak/>
        <w:t>Lin, Y.C. and Chen, C.M. (2022). How do hotel characteristics moderate the impact of COVID-19 on hotel performance? Evidence from Taiwan. </w:t>
      </w:r>
      <w:r w:rsidRPr="00BB1C9F">
        <w:rPr>
          <w:rFonts w:ascii="Arial" w:hAnsi="Arial" w:cs="Arial"/>
          <w:i/>
          <w:iCs/>
        </w:rPr>
        <w:t>Current Issues in Tourism</w:t>
      </w:r>
      <w:r w:rsidRPr="00BB1C9F">
        <w:rPr>
          <w:rFonts w:ascii="Arial" w:hAnsi="Arial" w:cs="Arial"/>
        </w:rPr>
        <w:t>, </w:t>
      </w:r>
      <w:r w:rsidRPr="00BB1C9F">
        <w:rPr>
          <w:rFonts w:ascii="Arial" w:hAnsi="Arial" w:cs="Arial"/>
          <w:i/>
          <w:iCs/>
        </w:rPr>
        <w:t>25</w:t>
      </w:r>
      <w:r w:rsidRPr="00BB1C9F">
        <w:rPr>
          <w:rFonts w:ascii="Arial" w:hAnsi="Arial" w:cs="Arial"/>
        </w:rPr>
        <w:t xml:space="preserve">(8), pp.1192-1197. </w:t>
      </w:r>
      <w:hyperlink r:id="rId15" w:history="1">
        <w:r w:rsidRPr="00BB1C9F">
          <w:rPr>
            <w:rStyle w:val="Hyperlink"/>
            <w:rFonts w:ascii="Arial" w:hAnsi="Arial" w:cs="Arial"/>
          </w:rPr>
          <w:t>https://doi.org/10.1080/13683500.2021.1910213</w:t>
        </w:r>
      </w:hyperlink>
    </w:p>
    <w:p w14:paraId="7BA7479B" w14:textId="77777777" w:rsidR="003A5DFC" w:rsidRPr="00BB1C9F" w:rsidRDefault="003A5DFC" w:rsidP="003A5DFC">
      <w:pPr>
        <w:spacing w:line="360" w:lineRule="auto"/>
        <w:rPr>
          <w:rFonts w:ascii="Arial" w:hAnsi="Arial" w:cs="Arial"/>
        </w:rPr>
      </w:pPr>
      <w:r w:rsidRPr="00BB1C9F">
        <w:rPr>
          <w:rFonts w:ascii="Arial" w:hAnsi="Arial" w:cs="Arial"/>
        </w:rPr>
        <w:t xml:space="preserve">Liu, P., Wu, </w:t>
      </w:r>
      <w:proofErr w:type="gramStart"/>
      <w:r w:rsidRPr="00BB1C9F">
        <w:rPr>
          <w:rFonts w:ascii="Arial" w:hAnsi="Arial" w:cs="Arial"/>
        </w:rPr>
        <w:t>L.</w:t>
      </w:r>
      <w:proofErr w:type="gramEnd"/>
      <w:r w:rsidRPr="00BB1C9F">
        <w:rPr>
          <w:rFonts w:ascii="Arial" w:hAnsi="Arial" w:cs="Arial"/>
        </w:rPr>
        <w:t xml:space="preserve"> and Li, X.R. (2022). What can hotels learn from the last recovery? Examining hotel occupancy rate and the guest experience. </w:t>
      </w:r>
      <w:r w:rsidRPr="00BB1C9F">
        <w:rPr>
          <w:rFonts w:ascii="Arial" w:hAnsi="Arial" w:cs="Arial"/>
          <w:i/>
          <w:iCs/>
        </w:rPr>
        <w:t>International Journal of Hospitality Management</w:t>
      </w:r>
      <w:r w:rsidRPr="00BB1C9F">
        <w:rPr>
          <w:rFonts w:ascii="Arial" w:hAnsi="Arial" w:cs="Arial"/>
        </w:rPr>
        <w:t>, </w:t>
      </w:r>
      <w:r w:rsidRPr="00BB1C9F">
        <w:rPr>
          <w:rFonts w:ascii="Arial" w:hAnsi="Arial" w:cs="Arial"/>
          <w:i/>
          <w:iCs/>
        </w:rPr>
        <w:t>103</w:t>
      </w:r>
      <w:r w:rsidRPr="00BB1C9F">
        <w:rPr>
          <w:rFonts w:ascii="Arial" w:hAnsi="Arial" w:cs="Arial"/>
        </w:rPr>
        <w:t xml:space="preserve">, p.103200. </w:t>
      </w:r>
      <w:hyperlink r:id="rId16" w:history="1">
        <w:r w:rsidRPr="00BB1C9F">
          <w:rPr>
            <w:rStyle w:val="Hyperlink"/>
            <w:rFonts w:ascii="Arial" w:hAnsi="Arial" w:cs="Arial"/>
          </w:rPr>
          <w:t>https://doi.org/10.1016/j.ijhm.2022.103200</w:t>
        </w:r>
      </w:hyperlink>
    </w:p>
    <w:p w14:paraId="5B72FD1E" w14:textId="77777777" w:rsidR="003A5DFC" w:rsidRPr="00BB1C9F" w:rsidRDefault="003A5DFC" w:rsidP="003A5DFC">
      <w:pPr>
        <w:spacing w:line="360" w:lineRule="auto"/>
        <w:rPr>
          <w:rFonts w:ascii="Arial" w:hAnsi="Arial" w:cs="Arial"/>
        </w:rPr>
      </w:pPr>
      <w:r w:rsidRPr="00BB1C9F">
        <w:rPr>
          <w:rFonts w:ascii="Arial" w:hAnsi="Arial" w:cs="Arial"/>
        </w:rPr>
        <w:t>Madushanka, K.H. and Jathurika, M. (2018). The impact of liquidity ratios on profitability. </w:t>
      </w:r>
      <w:r w:rsidRPr="00BB1C9F">
        <w:rPr>
          <w:rFonts w:ascii="Arial" w:hAnsi="Arial" w:cs="Arial"/>
          <w:i/>
          <w:iCs/>
        </w:rPr>
        <w:t>International Research Journal of Advanced Engineering and Science</w:t>
      </w:r>
      <w:r w:rsidRPr="00BB1C9F">
        <w:rPr>
          <w:rFonts w:ascii="Arial" w:hAnsi="Arial" w:cs="Arial"/>
        </w:rPr>
        <w:t>, </w:t>
      </w:r>
      <w:r w:rsidRPr="00BB1C9F">
        <w:rPr>
          <w:rFonts w:ascii="Arial" w:hAnsi="Arial" w:cs="Arial"/>
          <w:i/>
          <w:iCs/>
        </w:rPr>
        <w:t>3</w:t>
      </w:r>
      <w:r w:rsidRPr="00BB1C9F">
        <w:rPr>
          <w:rFonts w:ascii="Arial" w:hAnsi="Arial" w:cs="Arial"/>
        </w:rPr>
        <w:t xml:space="preserve">(4), pp.157-161. Available at: </w:t>
      </w:r>
      <w:hyperlink r:id="rId17" w:history="1">
        <w:r w:rsidRPr="00BB1C9F">
          <w:rPr>
            <w:rStyle w:val="Hyperlink"/>
            <w:rFonts w:ascii="Arial" w:hAnsi="Arial" w:cs="Arial"/>
          </w:rPr>
          <w:t>https://www.researchgate.net/profile/Jathurika-Gowthaman/publication/331035336_The_Impact_of_Liquidity_Ratios_on_Profitability_With_special_reference_to_Listed_Manufacturing_Companies_in_Sri_Lanka/links/5c6259d545851582c3e18187/The-Impact-of-Liquidity-Ratios-on-Profitability-With-special-reference-to-Listed-Manufacturing-Companies-in-Sri-Lanka.pdf</w:t>
        </w:r>
      </w:hyperlink>
      <w:r w:rsidRPr="00BB1C9F">
        <w:rPr>
          <w:rFonts w:ascii="Arial" w:hAnsi="Arial" w:cs="Arial"/>
        </w:rPr>
        <w:t xml:space="preserve"> (Accessed on: 25</w:t>
      </w:r>
      <w:r w:rsidRPr="00BB1C9F">
        <w:rPr>
          <w:rFonts w:ascii="Arial" w:hAnsi="Arial" w:cs="Arial"/>
          <w:vertAlign w:val="superscript"/>
        </w:rPr>
        <w:t>th</w:t>
      </w:r>
      <w:r w:rsidRPr="00BB1C9F">
        <w:rPr>
          <w:rFonts w:ascii="Arial" w:hAnsi="Arial" w:cs="Arial"/>
        </w:rPr>
        <w:t xml:space="preserve"> May 2024). </w:t>
      </w:r>
    </w:p>
    <w:p w14:paraId="656552D2" w14:textId="77777777" w:rsidR="003A5DFC" w:rsidRPr="00BB1C9F" w:rsidRDefault="003A5DFC" w:rsidP="003A5DFC">
      <w:pPr>
        <w:spacing w:line="360" w:lineRule="auto"/>
        <w:rPr>
          <w:rFonts w:ascii="Arial" w:hAnsi="Arial" w:cs="Arial"/>
        </w:rPr>
      </w:pPr>
      <w:r w:rsidRPr="00BB1C9F">
        <w:rPr>
          <w:rFonts w:ascii="Arial" w:hAnsi="Arial" w:cs="Arial"/>
        </w:rPr>
        <w:t xml:space="preserve">Mališ, S.S. and </w:t>
      </w:r>
      <w:proofErr w:type="spellStart"/>
      <w:r w:rsidRPr="00BB1C9F">
        <w:rPr>
          <w:rFonts w:ascii="Arial" w:hAnsi="Arial" w:cs="Arial"/>
        </w:rPr>
        <w:t>Sačer</w:t>
      </w:r>
      <w:proofErr w:type="spellEnd"/>
      <w:r w:rsidRPr="00BB1C9F">
        <w:rPr>
          <w:rFonts w:ascii="Arial" w:hAnsi="Arial" w:cs="Arial"/>
        </w:rPr>
        <w:t>, I.M. (2021). The Impact of COVID-19 on the Business Performance and Financial Position in Hotel Industry: The Case of Croatia. In </w:t>
      </w:r>
      <w:r w:rsidRPr="00BB1C9F">
        <w:rPr>
          <w:rFonts w:ascii="Arial" w:hAnsi="Arial" w:cs="Arial"/>
          <w:i/>
          <w:iCs/>
        </w:rPr>
        <w:t>Handbook of Research on the Impacts and Implications of COVID-19 on the Tourism Industry</w:t>
      </w:r>
      <w:r w:rsidRPr="00BB1C9F">
        <w:rPr>
          <w:rFonts w:ascii="Arial" w:hAnsi="Arial" w:cs="Arial"/>
        </w:rPr>
        <w:t> (pp. 1-22). IGI Global. DOI: 10.4018/978-1-7998-8231-2.ch001</w:t>
      </w:r>
    </w:p>
    <w:p w14:paraId="7B2723D8" w14:textId="77777777" w:rsidR="003A5DFC" w:rsidRPr="00BB1C9F" w:rsidRDefault="003A5DFC" w:rsidP="003A5DFC">
      <w:pPr>
        <w:spacing w:line="360" w:lineRule="auto"/>
        <w:rPr>
          <w:rFonts w:ascii="Arial" w:hAnsi="Arial" w:cs="Arial"/>
        </w:rPr>
      </w:pPr>
      <w:bookmarkStart w:id="10" w:name="_Hlk167264556"/>
      <w:proofErr w:type="spellStart"/>
      <w:r w:rsidRPr="00BB1C9F">
        <w:rPr>
          <w:rFonts w:ascii="Arial" w:hAnsi="Arial" w:cs="Arial"/>
        </w:rPr>
        <w:t>Mijinke</w:t>
      </w:r>
      <w:proofErr w:type="spellEnd"/>
      <w:r w:rsidRPr="00BB1C9F">
        <w:rPr>
          <w:rFonts w:ascii="Arial" w:hAnsi="Arial" w:cs="Arial"/>
        </w:rPr>
        <w:t xml:space="preserve">, F., Obermann, W., and Hamers, T. (2020). Impact of COVID-19 on the hospitality industry. Deloitte. Available at: </w:t>
      </w:r>
      <w:hyperlink r:id="rId18" w:history="1">
        <w:r w:rsidRPr="00BB1C9F">
          <w:rPr>
            <w:rStyle w:val="Hyperlink"/>
            <w:rFonts w:ascii="Arial" w:hAnsi="Arial" w:cs="Arial"/>
          </w:rPr>
          <w:t>https://www2.deloitte.com/nl/nl/pages/consumer/articles/impact-of-covid-19-on-the-hospitality-industry.html</w:t>
        </w:r>
      </w:hyperlink>
      <w:r w:rsidRPr="00BB1C9F">
        <w:rPr>
          <w:rFonts w:ascii="Arial" w:hAnsi="Arial" w:cs="Arial"/>
        </w:rPr>
        <w:t xml:space="preserve"> </w:t>
      </w:r>
      <w:bookmarkEnd w:id="10"/>
    </w:p>
    <w:p w14:paraId="27970257" w14:textId="77777777" w:rsidR="003A5DFC" w:rsidRPr="00BB1C9F" w:rsidRDefault="003A5DFC" w:rsidP="003A5DFC">
      <w:pPr>
        <w:spacing w:line="360" w:lineRule="auto"/>
        <w:rPr>
          <w:rFonts w:ascii="Arial" w:hAnsi="Arial" w:cs="Arial"/>
        </w:rPr>
      </w:pPr>
      <w:r w:rsidRPr="00BB1C9F">
        <w:rPr>
          <w:rFonts w:ascii="Arial" w:hAnsi="Arial" w:cs="Arial"/>
        </w:rPr>
        <w:t xml:space="preserve">Nhamo, G., Dube, K., </w:t>
      </w:r>
      <w:proofErr w:type="spellStart"/>
      <w:r w:rsidRPr="00BB1C9F">
        <w:rPr>
          <w:rFonts w:ascii="Arial" w:hAnsi="Arial" w:cs="Arial"/>
        </w:rPr>
        <w:t>Chikodzi</w:t>
      </w:r>
      <w:proofErr w:type="spellEnd"/>
      <w:r w:rsidRPr="00BB1C9F">
        <w:rPr>
          <w:rFonts w:ascii="Arial" w:hAnsi="Arial" w:cs="Arial"/>
        </w:rPr>
        <w:t xml:space="preserve">, D., Nhamo, G., Dube, K. and </w:t>
      </w:r>
      <w:proofErr w:type="spellStart"/>
      <w:r w:rsidRPr="00BB1C9F">
        <w:rPr>
          <w:rFonts w:ascii="Arial" w:hAnsi="Arial" w:cs="Arial"/>
        </w:rPr>
        <w:t>Chikodzi</w:t>
      </w:r>
      <w:proofErr w:type="spellEnd"/>
      <w:r w:rsidRPr="00BB1C9F">
        <w:rPr>
          <w:rFonts w:ascii="Arial" w:hAnsi="Arial" w:cs="Arial"/>
        </w:rPr>
        <w:t>, D. (2020). Impacts and implications of COVID-19 on the global hotel industry and Airbnb. </w:t>
      </w:r>
      <w:r w:rsidRPr="00BB1C9F">
        <w:rPr>
          <w:rFonts w:ascii="Arial" w:hAnsi="Arial" w:cs="Arial"/>
          <w:i/>
          <w:iCs/>
        </w:rPr>
        <w:t>Counting the Cost of COVID-19 on the global tourism industry</w:t>
      </w:r>
      <w:r w:rsidRPr="00BB1C9F">
        <w:rPr>
          <w:rFonts w:ascii="Arial" w:hAnsi="Arial" w:cs="Arial"/>
        </w:rPr>
        <w:t xml:space="preserve">, pp.183-204. </w:t>
      </w:r>
      <w:hyperlink r:id="rId19" w:history="1">
        <w:r w:rsidRPr="00BB1C9F">
          <w:rPr>
            <w:rStyle w:val="Hyperlink"/>
            <w:rFonts w:ascii="Arial" w:hAnsi="Arial" w:cs="Arial"/>
          </w:rPr>
          <w:t>https://doi.org/10.1007/978-3-030-56231-1_8</w:t>
        </w:r>
      </w:hyperlink>
    </w:p>
    <w:p w14:paraId="67419A98" w14:textId="77777777" w:rsidR="003A5DFC" w:rsidRPr="00BB1C9F" w:rsidRDefault="003A5DFC" w:rsidP="003A5DFC">
      <w:pPr>
        <w:spacing w:line="360" w:lineRule="auto"/>
        <w:rPr>
          <w:rFonts w:ascii="Arial" w:hAnsi="Arial" w:cs="Arial"/>
        </w:rPr>
      </w:pPr>
      <w:r w:rsidRPr="00BB1C9F">
        <w:rPr>
          <w:rFonts w:ascii="Arial" w:hAnsi="Arial" w:cs="Arial"/>
        </w:rPr>
        <w:t>Obuya, D.O. (2017). Debt financing option and financial performance of micro and small enterprises: A critical literature review. </w:t>
      </w:r>
      <w:r w:rsidRPr="00BB1C9F">
        <w:rPr>
          <w:rFonts w:ascii="Arial" w:hAnsi="Arial" w:cs="Arial"/>
          <w:i/>
          <w:iCs/>
        </w:rPr>
        <w:t>International Journal of Business and Management</w:t>
      </w:r>
      <w:r w:rsidRPr="00BB1C9F">
        <w:rPr>
          <w:rFonts w:ascii="Arial" w:hAnsi="Arial" w:cs="Arial"/>
        </w:rPr>
        <w:t>, </w:t>
      </w:r>
      <w:r w:rsidRPr="00BB1C9F">
        <w:rPr>
          <w:rFonts w:ascii="Arial" w:hAnsi="Arial" w:cs="Arial"/>
          <w:i/>
          <w:iCs/>
        </w:rPr>
        <w:t>12</w:t>
      </w:r>
      <w:r w:rsidRPr="00BB1C9F">
        <w:rPr>
          <w:rFonts w:ascii="Arial" w:hAnsi="Arial" w:cs="Arial"/>
        </w:rPr>
        <w:t xml:space="preserve">(3), pp.221-231. Available at: </w:t>
      </w:r>
      <w:hyperlink r:id="rId20" w:history="1">
        <w:r w:rsidRPr="00BB1C9F">
          <w:rPr>
            <w:rStyle w:val="Hyperlink"/>
            <w:rFonts w:ascii="Arial" w:hAnsi="Arial" w:cs="Arial"/>
          </w:rPr>
          <w:t>https://pdfs.semanticscholar.org/d2ce/b136ac86d0bcf4bc1c5f86531c82c458f26c.pdf</w:t>
        </w:r>
      </w:hyperlink>
      <w:r w:rsidRPr="00BB1C9F">
        <w:rPr>
          <w:rFonts w:ascii="Arial" w:hAnsi="Arial" w:cs="Arial"/>
        </w:rPr>
        <w:t xml:space="preserve"> (Accessed on: 25</w:t>
      </w:r>
      <w:r w:rsidRPr="00BB1C9F">
        <w:rPr>
          <w:rFonts w:ascii="Arial" w:hAnsi="Arial" w:cs="Arial"/>
          <w:vertAlign w:val="superscript"/>
        </w:rPr>
        <w:t>th</w:t>
      </w:r>
      <w:r w:rsidRPr="00BB1C9F">
        <w:rPr>
          <w:rFonts w:ascii="Arial" w:hAnsi="Arial" w:cs="Arial"/>
        </w:rPr>
        <w:t xml:space="preserve"> May 2024). </w:t>
      </w:r>
    </w:p>
    <w:p w14:paraId="5AD4B500" w14:textId="77777777" w:rsidR="003A5DFC" w:rsidRPr="00BB1C9F" w:rsidRDefault="003A5DFC" w:rsidP="003A5DFC">
      <w:pPr>
        <w:spacing w:line="360" w:lineRule="auto"/>
        <w:rPr>
          <w:rFonts w:ascii="Arial" w:hAnsi="Arial" w:cs="Arial"/>
        </w:rPr>
      </w:pPr>
      <w:proofErr w:type="spellStart"/>
      <w:r w:rsidRPr="00BB1C9F">
        <w:rPr>
          <w:rFonts w:ascii="Arial" w:hAnsi="Arial" w:cs="Arial"/>
        </w:rPr>
        <w:t>Onyeaka</w:t>
      </w:r>
      <w:proofErr w:type="spellEnd"/>
      <w:r w:rsidRPr="00BB1C9F">
        <w:rPr>
          <w:rFonts w:ascii="Arial" w:hAnsi="Arial" w:cs="Arial"/>
        </w:rPr>
        <w:t xml:space="preserve">, H., </w:t>
      </w:r>
      <w:proofErr w:type="spellStart"/>
      <w:r w:rsidRPr="00BB1C9F">
        <w:rPr>
          <w:rFonts w:ascii="Arial" w:hAnsi="Arial" w:cs="Arial"/>
        </w:rPr>
        <w:t>Anumudu</w:t>
      </w:r>
      <w:proofErr w:type="spellEnd"/>
      <w:r w:rsidRPr="00BB1C9F">
        <w:rPr>
          <w:rFonts w:ascii="Arial" w:hAnsi="Arial" w:cs="Arial"/>
        </w:rPr>
        <w:t>, C.K., Al-</w:t>
      </w:r>
      <w:proofErr w:type="spellStart"/>
      <w:r w:rsidRPr="00BB1C9F">
        <w:rPr>
          <w:rFonts w:ascii="Arial" w:hAnsi="Arial" w:cs="Arial"/>
        </w:rPr>
        <w:t>Sharify</w:t>
      </w:r>
      <w:proofErr w:type="spellEnd"/>
      <w:r w:rsidRPr="00BB1C9F">
        <w:rPr>
          <w:rFonts w:ascii="Arial" w:hAnsi="Arial" w:cs="Arial"/>
        </w:rPr>
        <w:t xml:space="preserve">, Z.T., </w:t>
      </w:r>
      <w:proofErr w:type="spellStart"/>
      <w:r w:rsidRPr="00BB1C9F">
        <w:rPr>
          <w:rFonts w:ascii="Arial" w:hAnsi="Arial" w:cs="Arial"/>
        </w:rPr>
        <w:t>Egele</w:t>
      </w:r>
      <w:proofErr w:type="spellEnd"/>
      <w:r w:rsidRPr="00BB1C9F">
        <w:rPr>
          <w:rFonts w:ascii="Arial" w:hAnsi="Arial" w:cs="Arial"/>
        </w:rPr>
        <w:t xml:space="preserve">-Godswill, E. and </w:t>
      </w:r>
      <w:proofErr w:type="spellStart"/>
      <w:r w:rsidRPr="00BB1C9F">
        <w:rPr>
          <w:rFonts w:ascii="Arial" w:hAnsi="Arial" w:cs="Arial"/>
        </w:rPr>
        <w:t>Mbaegbu</w:t>
      </w:r>
      <w:proofErr w:type="spellEnd"/>
      <w:r w:rsidRPr="00BB1C9F">
        <w:rPr>
          <w:rFonts w:ascii="Arial" w:hAnsi="Arial" w:cs="Arial"/>
        </w:rPr>
        <w:t>, P. (2021). COVID-19 pandemic: A review of the global lockdown and its far-reaching effects. </w:t>
      </w:r>
      <w:r w:rsidRPr="00BB1C9F">
        <w:rPr>
          <w:rFonts w:ascii="Arial" w:hAnsi="Arial" w:cs="Arial"/>
          <w:i/>
          <w:iCs/>
        </w:rPr>
        <w:t>Science progress</w:t>
      </w:r>
      <w:r w:rsidRPr="00BB1C9F">
        <w:rPr>
          <w:rFonts w:ascii="Arial" w:hAnsi="Arial" w:cs="Arial"/>
        </w:rPr>
        <w:t>, </w:t>
      </w:r>
      <w:r w:rsidRPr="00BB1C9F">
        <w:rPr>
          <w:rFonts w:ascii="Arial" w:hAnsi="Arial" w:cs="Arial"/>
          <w:i/>
          <w:iCs/>
        </w:rPr>
        <w:t>104</w:t>
      </w:r>
      <w:r w:rsidRPr="00BB1C9F">
        <w:rPr>
          <w:rFonts w:ascii="Arial" w:hAnsi="Arial" w:cs="Arial"/>
        </w:rPr>
        <w:t xml:space="preserve">(2), p.00368504211019854. Available at: </w:t>
      </w:r>
      <w:hyperlink r:id="rId21" w:history="1">
        <w:r w:rsidRPr="00BB1C9F">
          <w:rPr>
            <w:rStyle w:val="Hyperlink"/>
            <w:rFonts w:ascii="Arial" w:hAnsi="Arial" w:cs="Arial"/>
          </w:rPr>
          <w:t>https://journals.sagepub.com/doi/abs/10.1177/00368504211019854</w:t>
        </w:r>
      </w:hyperlink>
      <w:r w:rsidRPr="00BB1C9F">
        <w:rPr>
          <w:rFonts w:ascii="Arial" w:hAnsi="Arial" w:cs="Arial"/>
        </w:rPr>
        <w:t xml:space="preserve"> (Accessed on: 25</w:t>
      </w:r>
      <w:r w:rsidRPr="00BB1C9F">
        <w:rPr>
          <w:rFonts w:ascii="Arial" w:hAnsi="Arial" w:cs="Arial"/>
          <w:vertAlign w:val="superscript"/>
        </w:rPr>
        <w:t>th</w:t>
      </w:r>
      <w:r w:rsidRPr="00BB1C9F">
        <w:rPr>
          <w:rFonts w:ascii="Arial" w:hAnsi="Arial" w:cs="Arial"/>
        </w:rPr>
        <w:t xml:space="preserve"> May 2024). </w:t>
      </w:r>
    </w:p>
    <w:p w14:paraId="2D309D8A" w14:textId="77777777" w:rsidR="003A5DFC" w:rsidRPr="00BB1C9F" w:rsidRDefault="003A5DFC" w:rsidP="003A5DFC">
      <w:pPr>
        <w:spacing w:line="360" w:lineRule="auto"/>
        <w:rPr>
          <w:rFonts w:ascii="Arial" w:hAnsi="Arial" w:cs="Arial"/>
        </w:rPr>
      </w:pPr>
      <w:r w:rsidRPr="00BB1C9F">
        <w:rPr>
          <w:rFonts w:ascii="Arial" w:hAnsi="Arial" w:cs="Arial"/>
        </w:rPr>
        <w:t xml:space="preserve">Pillai, S.G., </w:t>
      </w:r>
      <w:proofErr w:type="spellStart"/>
      <w:r w:rsidRPr="00BB1C9F">
        <w:rPr>
          <w:rFonts w:ascii="Arial" w:hAnsi="Arial" w:cs="Arial"/>
        </w:rPr>
        <w:t>Haldorai</w:t>
      </w:r>
      <w:proofErr w:type="spellEnd"/>
      <w:r w:rsidRPr="00BB1C9F">
        <w:rPr>
          <w:rFonts w:ascii="Arial" w:hAnsi="Arial" w:cs="Arial"/>
        </w:rPr>
        <w:t>, K., Seo, W.S. and Kim, W.G. (2021). COVID-19 and hospitality 5.0: Redefining hospitality operations. </w:t>
      </w:r>
      <w:r w:rsidRPr="00BB1C9F">
        <w:rPr>
          <w:rFonts w:ascii="Arial" w:hAnsi="Arial" w:cs="Arial"/>
          <w:i/>
          <w:iCs/>
        </w:rPr>
        <w:t>International Journal of Hospitality Management</w:t>
      </w:r>
      <w:r w:rsidRPr="00BB1C9F">
        <w:rPr>
          <w:rFonts w:ascii="Arial" w:hAnsi="Arial" w:cs="Arial"/>
        </w:rPr>
        <w:t>, </w:t>
      </w:r>
      <w:r w:rsidRPr="00BB1C9F">
        <w:rPr>
          <w:rFonts w:ascii="Arial" w:hAnsi="Arial" w:cs="Arial"/>
          <w:i/>
          <w:iCs/>
        </w:rPr>
        <w:t>94</w:t>
      </w:r>
      <w:r w:rsidRPr="00BB1C9F">
        <w:rPr>
          <w:rFonts w:ascii="Arial" w:hAnsi="Arial" w:cs="Arial"/>
        </w:rPr>
        <w:t xml:space="preserve">, p.102869. Available at: </w:t>
      </w:r>
      <w:hyperlink r:id="rId22" w:history="1">
        <w:r w:rsidRPr="00BB1C9F">
          <w:rPr>
            <w:rStyle w:val="Hyperlink"/>
            <w:rFonts w:ascii="Arial" w:hAnsi="Arial" w:cs="Arial"/>
          </w:rPr>
          <w:t>https://www.sciencedirect.com/science/article/pii/S0278431921000128</w:t>
        </w:r>
      </w:hyperlink>
      <w:r w:rsidRPr="00BB1C9F">
        <w:rPr>
          <w:rFonts w:ascii="Arial" w:hAnsi="Arial" w:cs="Arial"/>
        </w:rPr>
        <w:t xml:space="preserve"> (Accessed on: 25</w:t>
      </w:r>
      <w:r w:rsidRPr="00BB1C9F">
        <w:rPr>
          <w:rFonts w:ascii="Arial" w:hAnsi="Arial" w:cs="Arial"/>
          <w:vertAlign w:val="superscript"/>
        </w:rPr>
        <w:t>th</w:t>
      </w:r>
      <w:r w:rsidRPr="00BB1C9F">
        <w:rPr>
          <w:rFonts w:ascii="Arial" w:hAnsi="Arial" w:cs="Arial"/>
        </w:rPr>
        <w:t xml:space="preserve"> May 2024). </w:t>
      </w:r>
    </w:p>
    <w:p w14:paraId="3D18771F" w14:textId="77777777" w:rsidR="003A5DFC" w:rsidRPr="00BB1C9F" w:rsidRDefault="003A5DFC" w:rsidP="003A5DFC">
      <w:pPr>
        <w:spacing w:line="360" w:lineRule="auto"/>
        <w:rPr>
          <w:rFonts w:ascii="Arial" w:hAnsi="Arial" w:cs="Arial"/>
        </w:rPr>
      </w:pPr>
      <w:proofErr w:type="spellStart"/>
      <w:r w:rsidRPr="00BB1C9F">
        <w:rPr>
          <w:rFonts w:ascii="Arial" w:hAnsi="Arial" w:cs="Arial"/>
        </w:rPr>
        <w:t>Poonia</w:t>
      </w:r>
      <w:proofErr w:type="spellEnd"/>
      <w:r w:rsidRPr="00BB1C9F">
        <w:rPr>
          <w:rFonts w:ascii="Arial" w:hAnsi="Arial" w:cs="Arial"/>
        </w:rPr>
        <w:t xml:space="preserve">, S. (2023). Next five years: Future hospitality industry trends you need to know. Times of India. Available at: </w:t>
      </w:r>
      <w:hyperlink r:id="rId23" w:history="1">
        <w:r w:rsidRPr="00BB1C9F">
          <w:rPr>
            <w:rStyle w:val="Hyperlink"/>
            <w:rFonts w:ascii="Arial" w:hAnsi="Arial" w:cs="Arial"/>
          </w:rPr>
          <w:t>https://timesofindia.indiatimes.com/blogs/voices/next-five-years-future-hospitality-industry-trends-you-need-to-know/</w:t>
        </w:r>
      </w:hyperlink>
      <w:r w:rsidRPr="00BB1C9F">
        <w:rPr>
          <w:rFonts w:ascii="Arial" w:hAnsi="Arial" w:cs="Arial"/>
        </w:rPr>
        <w:t xml:space="preserve"> (Accessed on: 25</w:t>
      </w:r>
      <w:r w:rsidRPr="00BB1C9F">
        <w:rPr>
          <w:rFonts w:ascii="Arial" w:hAnsi="Arial" w:cs="Arial"/>
          <w:vertAlign w:val="superscript"/>
        </w:rPr>
        <w:t>th</w:t>
      </w:r>
      <w:r w:rsidRPr="00BB1C9F">
        <w:rPr>
          <w:rFonts w:ascii="Arial" w:hAnsi="Arial" w:cs="Arial"/>
        </w:rPr>
        <w:t xml:space="preserve"> May 2024). </w:t>
      </w:r>
    </w:p>
    <w:p w14:paraId="6E9EBEBE" w14:textId="77777777" w:rsidR="003A5DFC" w:rsidRPr="00BB1C9F" w:rsidRDefault="003A5DFC" w:rsidP="003A5DFC">
      <w:pPr>
        <w:spacing w:line="360" w:lineRule="auto"/>
        <w:rPr>
          <w:rFonts w:ascii="Arial" w:hAnsi="Arial" w:cs="Arial"/>
        </w:rPr>
      </w:pPr>
      <w:r w:rsidRPr="00BB1C9F">
        <w:rPr>
          <w:rFonts w:ascii="Arial" w:hAnsi="Arial" w:cs="Arial"/>
        </w:rPr>
        <w:t>Rashid, C.A. (2018). Efficiency of financial ratios analysis for evaluating companies’ liquidity. </w:t>
      </w:r>
      <w:r w:rsidRPr="00BB1C9F">
        <w:rPr>
          <w:rFonts w:ascii="Arial" w:hAnsi="Arial" w:cs="Arial"/>
          <w:i/>
          <w:iCs/>
        </w:rPr>
        <w:t>International Journal of Social Sciences &amp; Educational Studies</w:t>
      </w:r>
      <w:r w:rsidRPr="00BB1C9F">
        <w:rPr>
          <w:rFonts w:ascii="Arial" w:hAnsi="Arial" w:cs="Arial"/>
        </w:rPr>
        <w:t>, </w:t>
      </w:r>
      <w:r w:rsidRPr="00BB1C9F">
        <w:rPr>
          <w:rFonts w:ascii="Arial" w:hAnsi="Arial" w:cs="Arial"/>
          <w:i/>
          <w:iCs/>
        </w:rPr>
        <w:t>4</w:t>
      </w:r>
      <w:r w:rsidRPr="00BB1C9F">
        <w:rPr>
          <w:rFonts w:ascii="Arial" w:hAnsi="Arial" w:cs="Arial"/>
        </w:rPr>
        <w:t xml:space="preserve">(4), p.110. </w:t>
      </w:r>
      <w:proofErr w:type="spellStart"/>
      <w:r w:rsidRPr="00BB1C9F">
        <w:rPr>
          <w:rFonts w:ascii="Arial" w:hAnsi="Arial" w:cs="Arial"/>
        </w:rPr>
        <w:t>doi</w:t>
      </w:r>
      <w:proofErr w:type="spellEnd"/>
      <w:r w:rsidRPr="00BB1C9F">
        <w:rPr>
          <w:rFonts w:ascii="Arial" w:hAnsi="Arial" w:cs="Arial"/>
        </w:rPr>
        <w:t>: 10.23918/</w:t>
      </w:r>
      <w:proofErr w:type="gramStart"/>
      <w:r w:rsidRPr="00BB1C9F">
        <w:rPr>
          <w:rFonts w:ascii="Arial" w:hAnsi="Arial" w:cs="Arial"/>
        </w:rPr>
        <w:t>ijsses.v</w:t>
      </w:r>
      <w:proofErr w:type="gramEnd"/>
      <w:r w:rsidRPr="00BB1C9F">
        <w:rPr>
          <w:rFonts w:ascii="Arial" w:hAnsi="Arial" w:cs="Arial"/>
        </w:rPr>
        <w:t>4i4p110</w:t>
      </w:r>
    </w:p>
    <w:p w14:paraId="5B088119" w14:textId="77777777" w:rsidR="003A5DFC" w:rsidRPr="00BB1C9F" w:rsidRDefault="003A5DFC" w:rsidP="003A5DFC">
      <w:pPr>
        <w:spacing w:line="360" w:lineRule="auto"/>
        <w:rPr>
          <w:rFonts w:ascii="Arial" w:hAnsi="Arial" w:cs="Arial"/>
        </w:rPr>
      </w:pPr>
      <w:r w:rsidRPr="00BB1C9F">
        <w:rPr>
          <w:rFonts w:ascii="Arial" w:hAnsi="Arial" w:cs="Arial"/>
        </w:rPr>
        <w:t>Rashid, C.A. (2021). The efficiency of financial ratios analysis to evaluate company’s profitability. </w:t>
      </w:r>
      <w:r w:rsidRPr="00BB1C9F">
        <w:rPr>
          <w:rFonts w:ascii="Arial" w:hAnsi="Arial" w:cs="Arial"/>
          <w:i/>
          <w:iCs/>
        </w:rPr>
        <w:t>Journal of Global Economics and Business</w:t>
      </w:r>
      <w:r w:rsidRPr="00BB1C9F">
        <w:rPr>
          <w:rFonts w:ascii="Arial" w:hAnsi="Arial" w:cs="Arial"/>
        </w:rPr>
        <w:t>, </w:t>
      </w:r>
      <w:r w:rsidRPr="00BB1C9F">
        <w:rPr>
          <w:rFonts w:ascii="Arial" w:hAnsi="Arial" w:cs="Arial"/>
          <w:i/>
          <w:iCs/>
        </w:rPr>
        <w:t>2</w:t>
      </w:r>
      <w:r w:rsidRPr="00BB1C9F">
        <w:rPr>
          <w:rFonts w:ascii="Arial" w:hAnsi="Arial" w:cs="Arial"/>
        </w:rPr>
        <w:t xml:space="preserve">(4), pp.119-132. Available at: </w:t>
      </w:r>
      <w:hyperlink r:id="rId24" w:history="1">
        <w:r w:rsidRPr="00BB1C9F">
          <w:rPr>
            <w:rStyle w:val="Hyperlink"/>
            <w:rFonts w:ascii="Arial" w:hAnsi="Arial" w:cs="Arial"/>
          </w:rPr>
          <w:t>https://www.researchgate.net/profile/Chnar-Rashid/publication/348686551_THE_EFFICIENCY_OF_FINANCIAL_RATIOS_ANALYSIS_TO_EVALUATE_COMPANY'S_PROFITABILITY/links/600ad9df92851c13fe2b24ba/THE-EFFICIENCY-OF-FINANCIAL-RATIOS-ANALYSIS-TO-EVALUATE-COMPANYS-PROFITABILITY.pdf</w:t>
        </w:r>
      </w:hyperlink>
      <w:r w:rsidRPr="00BB1C9F">
        <w:rPr>
          <w:rFonts w:ascii="Arial" w:hAnsi="Arial" w:cs="Arial"/>
        </w:rPr>
        <w:t xml:space="preserve"> (Accessed on: 25</w:t>
      </w:r>
      <w:r w:rsidRPr="00BB1C9F">
        <w:rPr>
          <w:rFonts w:ascii="Arial" w:hAnsi="Arial" w:cs="Arial"/>
          <w:vertAlign w:val="superscript"/>
        </w:rPr>
        <w:t>th</w:t>
      </w:r>
      <w:r w:rsidRPr="00BB1C9F">
        <w:rPr>
          <w:rFonts w:ascii="Arial" w:hAnsi="Arial" w:cs="Arial"/>
        </w:rPr>
        <w:t xml:space="preserve"> May 2024). </w:t>
      </w:r>
    </w:p>
    <w:p w14:paraId="704D8282" w14:textId="77777777" w:rsidR="003A5DFC" w:rsidRPr="00BB1C9F" w:rsidRDefault="003A5DFC" w:rsidP="003A5DFC">
      <w:pPr>
        <w:spacing w:line="360" w:lineRule="auto"/>
        <w:rPr>
          <w:rFonts w:ascii="Arial" w:hAnsi="Arial" w:cs="Arial"/>
        </w:rPr>
      </w:pPr>
      <w:r w:rsidRPr="00BB1C9F">
        <w:rPr>
          <w:rFonts w:ascii="Arial" w:hAnsi="Arial" w:cs="Arial"/>
        </w:rPr>
        <w:t>Schmitt, A., Raub, S., Schmid, S. and Harrigan, K.R. (2019). Changing tires on a moving car: the role of timing in hospitality and service turnaround processes. </w:t>
      </w:r>
      <w:r w:rsidRPr="00BB1C9F">
        <w:rPr>
          <w:rFonts w:ascii="Arial" w:hAnsi="Arial" w:cs="Arial"/>
          <w:i/>
          <w:iCs/>
        </w:rPr>
        <w:t>International Journal of Hospitality Management</w:t>
      </w:r>
      <w:r w:rsidRPr="00BB1C9F">
        <w:rPr>
          <w:rFonts w:ascii="Arial" w:hAnsi="Arial" w:cs="Arial"/>
        </w:rPr>
        <w:t>, </w:t>
      </w:r>
      <w:r w:rsidRPr="00BB1C9F">
        <w:rPr>
          <w:rFonts w:ascii="Arial" w:hAnsi="Arial" w:cs="Arial"/>
          <w:i/>
          <w:iCs/>
        </w:rPr>
        <w:t>77</w:t>
      </w:r>
      <w:r w:rsidRPr="00BB1C9F">
        <w:rPr>
          <w:rFonts w:ascii="Arial" w:hAnsi="Arial" w:cs="Arial"/>
        </w:rPr>
        <w:t xml:space="preserve">, pp.549-561. </w:t>
      </w:r>
      <w:hyperlink r:id="rId25" w:history="1">
        <w:r w:rsidRPr="00BB1C9F">
          <w:rPr>
            <w:rStyle w:val="Hyperlink"/>
            <w:rFonts w:ascii="Arial" w:hAnsi="Arial" w:cs="Arial"/>
          </w:rPr>
          <w:t>https://doi.org/10.1016/j.ijhm.2018.08.019</w:t>
        </w:r>
      </w:hyperlink>
    </w:p>
    <w:p w14:paraId="68949AAD" w14:textId="77777777" w:rsidR="003A5DFC" w:rsidRPr="00BB1C9F" w:rsidRDefault="003A5DFC" w:rsidP="003A5DFC">
      <w:pPr>
        <w:spacing w:line="360" w:lineRule="auto"/>
        <w:rPr>
          <w:rFonts w:ascii="Arial" w:hAnsi="Arial" w:cs="Arial"/>
        </w:rPr>
      </w:pPr>
      <w:r w:rsidRPr="00BB1C9F">
        <w:rPr>
          <w:rFonts w:ascii="Arial" w:hAnsi="Arial" w:cs="Arial"/>
        </w:rPr>
        <w:lastRenderedPageBreak/>
        <w:t>Sharma, A., Shin, H., Santa-María, M.J. and Nicolau, J.L. (2021). Hotels' COVID-19 innovation and performance. </w:t>
      </w:r>
      <w:r w:rsidRPr="00BB1C9F">
        <w:rPr>
          <w:rFonts w:ascii="Arial" w:hAnsi="Arial" w:cs="Arial"/>
          <w:i/>
          <w:iCs/>
        </w:rPr>
        <w:t>Annals of Tourism Research</w:t>
      </w:r>
      <w:r w:rsidRPr="00BB1C9F">
        <w:rPr>
          <w:rFonts w:ascii="Arial" w:hAnsi="Arial" w:cs="Arial"/>
        </w:rPr>
        <w:t>, </w:t>
      </w:r>
      <w:r w:rsidRPr="00BB1C9F">
        <w:rPr>
          <w:rFonts w:ascii="Arial" w:hAnsi="Arial" w:cs="Arial"/>
          <w:i/>
          <w:iCs/>
        </w:rPr>
        <w:t>88</w:t>
      </w:r>
      <w:r w:rsidRPr="00BB1C9F">
        <w:rPr>
          <w:rFonts w:ascii="Arial" w:hAnsi="Arial" w:cs="Arial"/>
        </w:rPr>
        <w:t xml:space="preserve">, p.103180. </w:t>
      </w:r>
      <w:hyperlink r:id="rId26" w:history="1">
        <w:r w:rsidRPr="00BB1C9F">
          <w:rPr>
            <w:rStyle w:val="Hyperlink"/>
            <w:rFonts w:ascii="Arial" w:hAnsi="Arial" w:cs="Arial"/>
          </w:rPr>
          <w:t>https://doi.org/10.1016/j.annals.2021.103180</w:t>
        </w:r>
      </w:hyperlink>
    </w:p>
    <w:p w14:paraId="27FEDCF4" w14:textId="77777777" w:rsidR="003A5DFC" w:rsidRPr="00BB1C9F" w:rsidRDefault="003A5DFC" w:rsidP="003A5DFC">
      <w:pPr>
        <w:spacing w:line="360" w:lineRule="auto"/>
        <w:rPr>
          <w:rFonts w:ascii="Arial" w:hAnsi="Arial" w:cs="Arial"/>
        </w:rPr>
      </w:pPr>
    </w:p>
    <w:p w14:paraId="776F4B03" w14:textId="77777777" w:rsidR="003A5DFC" w:rsidRPr="00A77D96" w:rsidRDefault="003A5DFC" w:rsidP="003A5DFC"/>
    <w:p w14:paraId="039DB225" w14:textId="77777777" w:rsidR="003A5DFC" w:rsidRDefault="003A5DFC" w:rsidP="003A5DFC"/>
    <w:p w14:paraId="53C7F940" w14:textId="77777777" w:rsidR="003A5DFC" w:rsidRDefault="003A5DFC" w:rsidP="003A5DFC"/>
    <w:p w14:paraId="39B1F4DA" w14:textId="77777777" w:rsidR="003A5DFC" w:rsidRDefault="003A5DFC" w:rsidP="003A5DFC"/>
    <w:p w14:paraId="7B0B188C" w14:textId="77777777" w:rsidR="003A5DFC" w:rsidRPr="007918AA" w:rsidRDefault="003A5DFC" w:rsidP="003A5DFC"/>
    <w:p w14:paraId="084E20EA" w14:textId="77777777" w:rsidR="00634DA5" w:rsidRPr="00EF28C3" w:rsidRDefault="00634DA5" w:rsidP="00EF28C3"/>
    <w:sectPr w:rsidR="00634DA5" w:rsidRPr="00EF28C3" w:rsidSect="002B31E8">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CD1298" w14:textId="77777777" w:rsidR="00090AC7" w:rsidRDefault="00090AC7">
      <w:pPr>
        <w:spacing w:after="0" w:line="240" w:lineRule="auto"/>
      </w:pPr>
      <w:r>
        <w:separator/>
      </w:r>
    </w:p>
  </w:endnote>
  <w:endnote w:type="continuationSeparator" w:id="0">
    <w:p w14:paraId="1889EC3E" w14:textId="77777777" w:rsidR="00090AC7" w:rsidRDefault="00090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15245"/>
      <w:docPartObj>
        <w:docPartGallery w:val="Page Numbers (Bottom of Page)"/>
        <w:docPartUnique/>
      </w:docPartObj>
    </w:sdtPr>
    <w:sdtEndPr>
      <w:rPr>
        <w:noProof/>
      </w:rPr>
    </w:sdtEndPr>
    <w:sdtContent>
      <w:p w14:paraId="364118DE" w14:textId="77777777" w:rsidR="009835E7"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63CA7F" w14:textId="77777777" w:rsidR="009835E7" w:rsidRDefault="00983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B4D86D" w14:textId="77777777" w:rsidR="00090AC7" w:rsidRDefault="00090AC7">
      <w:pPr>
        <w:spacing w:after="0" w:line="240" w:lineRule="auto"/>
      </w:pPr>
      <w:r>
        <w:separator/>
      </w:r>
    </w:p>
  </w:footnote>
  <w:footnote w:type="continuationSeparator" w:id="0">
    <w:p w14:paraId="695E0E69" w14:textId="77777777" w:rsidR="00090AC7" w:rsidRDefault="00090A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2F3"/>
    <w:rsid w:val="00090AC7"/>
    <w:rsid w:val="000C3733"/>
    <w:rsid w:val="002B31E8"/>
    <w:rsid w:val="002C54A4"/>
    <w:rsid w:val="003A5DFC"/>
    <w:rsid w:val="005022F3"/>
    <w:rsid w:val="00526AEB"/>
    <w:rsid w:val="005401AE"/>
    <w:rsid w:val="00634DA5"/>
    <w:rsid w:val="00732C50"/>
    <w:rsid w:val="007572EF"/>
    <w:rsid w:val="00780847"/>
    <w:rsid w:val="00921210"/>
    <w:rsid w:val="009835E7"/>
    <w:rsid w:val="009E6E18"/>
    <w:rsid w:val="00A9414A"/>
    <w:rsid w:val="00AF7328"/>
    <w:rsid w:val="00B40085"/>
    <w:rsid w:val="00C15434"/>
    <w:rsid w:val="00CA6D59"/>
    <w:rsid w:val="00D57DE6"/>
    <w:rsid w:val="00D76E2B"/>
    <w:rsid w:val="00D871C5"/>
    <w:rsid w:val="00EF2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866B6"/>
  <w15:chartTrackingRefBased/>
  <w15:docId w15:val="{971903EC-F96C-4ED3-B975-249D4C900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1E8"/>
    <w:pPr>
      <w:spacing w:after="200" w:line="48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5022F3"/>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5022F3"/>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022F3"/>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5022F3"/>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5022F3"/>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5022F3"/>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5022F3"/>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5022F3"/>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5022F3"/>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2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22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22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22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22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22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22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22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22F3"/>
    <w:rPr>
      <w:rFonts w:eastAsiaTheme="majorEastAsia" w:cstheme="majorBidi"/>
      <w:color w:val="272727" w:themeColor="text1" w:themeTint="D8"/>
    </w:rPr>
  </w:style>
  <w:style w:type="paragraph" w:styleId="Title">
    <w:name w:val="Title"/>
    <w:basedOn w:val="Normal"/>
    <w:next w:val="Normal"/>
    <w:link w:val="TitleChar"/>
    <w:uiPriority w:val="10"/>
    <w:qFormat/>
    <w:rsid w:val="005022F3"/>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022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22F3"/>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022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22F3"/>
    <w:pPr>
      <w:spacing w:before="160" w:after="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5022F3"/>
    <w:rPr>
      <w:i/>
      <w:iCs/>
      <w:color w:val="404040" w:themeColor="text1" w:themeTint="BF"/>
    </w:rPr>
  </w:style>
  <w:style w:type="paragraph" w:styleId="ListParagraph">
    <w:name w:val="List Paragraph"/>
    <w:basedOn w:val="Normal"/>
    <w:uiPriority w:val="34"/>
    <w:qFormat/>
    <w:rsid w:val="005022F3"/>
    <w:pPr>
      <w:spacing w:after="160"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5022F3"/>
    <w:rPr>
      <w:i/>
      <w:iCs/>
      <w:color w:val="0F4761" w:themeColor="accent1" w:themeShade="BF"/>
    </w:rPr>
  </w:style>
  <w:style w:type="paragraph" w:styleId="IntenseQuote">
    <w:name w:val="Intense Quote"/>
    <w:basedOn w:val="Normal"/>
    <w:next w:val="Normal"/>
    <w:link w:val="IntenseQuoteChar"/>
    <w:uiPriority w:val="30"/>
    <w:qFormat/>
    <w:rsid w:val="005022F3"/>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5022F3"/>
    <w:rPr>
      <w:i/>
      <w:iCs/>
      <w:color w:val="0F4761" w:themeColor="accent1" w:themeShade="BF"/>
    </w:rPr>
  </w:style>
  <w:style w:type="character" w:styleId="IntenseReference">
    <w:name w:val="Intense Reference"/>
    <w:basedOn w:val="DefaultParagraphFont"/>
    <w:uiPriority w:val="32"/>
    <w:qFormat/>
    <w:rsid w:val="005022F3"/>
    <w:rPr>
      <w:b/>
      <w:bCs/>
      <w:smallCaps/>
      <w:color w:val="0F4761" w:themeColor="accent1" w:themeShade="BF"/>
      <w:spacing w:val="5"/>
    </w:rPr>
  </w:style>
  <w:style w:type="character" w:styleId="Hyperlink">
    <w:name w:val="Hyperlink"/>
    <w:basedOn w:val="DefaultParagraphFont"/>
    <w:uiPriority w:val="99"/>
    <w:unhideWhenUsed/>
    <w:rsid w:val="002B31E8"/>
    <w:rPr>
      <w:color w:val="467886" w:themeColor="hyperlink"/>
      <w:u w:val="single"/>
    </w:rPr>
  </w:style>
  <w:style w:type="paragraph" w:styleId="TOC1">
    <w:name w:val="toc 1"/>
    <w:basedOn w:val="Normal"/>
    <w:next w:val="Normal"/>
    <w:autoRedefine/>
    <w:uiPriority w:val="39"/>
    <w:unhideWhenUsed/>
    <w:rsid w:val="002B31E8"/>
    <w:pPr>
      <w:tabs>
        <w:tab w:val="right" w:leader="dot" w:pos="9016"/>
      </w:tabs>
      <w:spacing w:after="100"/>
    </w:pPr>
  </w:style>
  <w:style w:type="paragraph" w:styleId="TOC2">
    <w:name w:val="toc 2"/>
    <w:basedOn w:val="Normal"/>
    <w:next w:val="Normal"/>
    <w:autoRedefine/>
    <w:uiPriority w:val="39"/>
    <w:unhideWhenUsed/>
    <w:rsid w:val="002B31E8"/>
    <w:pPr>
      <w:spacing w:after="100"/>
      <w:ind w:left="240"/>
    </w:pPr>
  </w:style>
  <w:style w:type="paragraph" w:styleId="Caption">
    <w:name w:val="caption"/>
    <w:basedOn w:val="Normal"/>
    <w:next w:val="Normal"/>
    <w:uiPriority w:val="35"/>
    <w:semiHidden/>
    <w:unhideWhenUsed/>
    <w:qFormat/>
    <w:rsid w:val="002B31E8"/>
    <w:pPr>
      <w:jc w:val="center"/>
    </w:pPr>
    <w:rPr>
      <w:iCs/>
      <w:szCs w:val="18"/>
    </w:rPr>
  </w:style>
  <w:style w:type="paragraph" w:styleId="TOCHeading">
    <w:name w:val="TOC Heading"/>
    <w:basedOn w:val="Heading1"/>
    <w:next w:val="Normal"/>
    <w:uiPriority w:val="39"/>
    <w:unhideWhenUsed/>
    <w:qFormat/>
    <w:rsid w:val="002B31E8"/>
    <w:pPr>
      <w:suppressAutoHyphens/>
      <w:autoSpaceDN w:val="0"/>
      <w:spacing w:before="240" w:after="0" w:line="256" w:lineRule="auto"/>
      <w:outlineLvl w:val="9"/>
    </w:pPr>
    <w:rPr>
      <w:rFonts w:eastAsia="Times New Roman" w:cs="Times New Roman"/>
      <w:kern w:val="0"/>
      <w:sz w:val="32"/>
      <w:szCs w:val="32"/>
      <w:lang w:val="en-US"/>
      <w14:ligatures w14:val="none"/>
    </w:rPr>
  </w:style>
  <w:style w:type="table" w:styleId="PlainTable2">
    <w:name w:val="Plain Table 2"/>
    <w:basedOn w:val="TableNormal"/>
    <w:uiPriority w:val="42"/>
    <w:rsid w:val="002B31E8"/>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Footer">
    <w:name w:val="footer"/>
    <w:basedOn w:val="Normal"/>
    <w:link w:val="FooterChar"/>
    <w:uiPriority w:val="99"/>
    <w:unhideWhenUsed/>
    <w:rsid w:val="002B3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1E8"/>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1407093">
      <w:bodyDiv w:val="1"/>
      <w:marLeft w:val="0"/>
      <w:marRight w:val="0"/>
      <w:marTop w:val="0"/>
      <w:marBottom w:val="0"/>
      <w:divBdr>
        <w:top w:val="none" w:sz="0" w:space="0" w:color="auto"/>
        <w:left w:val="none" w:sz="0" w:space="0" w:color="auto"/>
        <w:bottom w:val="none" w:sz="0" w:space="0" w:color="auto"/>
        <w:right w:val="none" w:sz="0" w:space="0" w:color="auto"/>
      </w:divBdr>
    </w:div>
    <w:div w:id="408502450">
      <w:bodyDiv w:val="1"/>
      <w:marLeft w:val="0"/>
      <w:marRight w:val="0"/>
      <w:marTop w:val="0"/>
      <w:marBottom w:val="0"/>
      <w:divBdr>
        <w:top w:val="none" w:sz="0" w:space="0" w:color="auto"/>
        <w:left w:val="none" w:sz="0" w:space="0" w:color="auto"/>
        <w:bottom w:val="none" w:sz="0" w:space="0" w:color="auto"/>
        <w:right w:val="none" w:sz="0" w:space="0" w:color="auto"/>
      </w:divBdr>
    </w:div>
    <w:div w:id="635989339">
      <w:bodyDiv w:val="1"/>
      <w:marLeft w:val="0"/>
      <w:marRight w:val="0"/>
      <w:marTop w:val="0"/>
      <w:marBottom w:val="0"/>
      <w:divBdr>
        <w:top w:val="none" w:sz="0" w:space="0" w:color="auto"/>
        <w:left w:val="none" w:sz="0" w:space="0" w:color="auto"/>
        <w:bottom w:val="none" w:sz="0" w:space="0" w:color="auto"/>
        <w:right w:val="none" w:sz="0" w:space="0" w:color="auto"/>
      </w:divBdr>
    </w:div>
    <w:div w:id="672682730">
      <w:bodyDiv w:val="1"/>
      <w:marLeft w:val="0"/>
      <w:marRight w:val="0"/>
      <w:marTop w:val="0"/>
      <w:marBottom w:val="0"/>
      <w:divBdr>
        <w:top w:val="none" w:sz="0" w:space="0" w:color="auto"/>
        <w:left w:val="none" w:sz="0" w:space="0" w:color="auto"/>
        <w:bottom w:val="none" w:sz="0" w:space="0" w:color="auto"/>
        <w:right w:val="none" w:sz="0" w:space="0" w:color="auto"/>
      </w:divBdr>
    </w:div>
    <w:div w:id="724109628">
      <w:bodyDiv w:val="1"/>
      <w:marLeft w:val="0"/>
      <w:marRight w:val="0"/>
      <w:marTop w:val="0"/>
      <w:marBottom w:val="0"/>
      <w:divBdr>
        <w:top w:val="none" w:sz="0" w:space="0" w:color="auto"/>
        <w:left w:val="none" w:sz="0" w:space="0" w:color="auto"/>
        <w:bottom w:val="none" w:sz="0" w:space="0" w:color="auto"/>
        <w:right w:val="none" w:sz="0" w:space="0" w:color="auto"/>
      </w:divBdr>
    </w:div>
    <w:div w:id="841896364">
      <w:bodyDiv w:val="1"/>
      <w:marLeft w:val="0"/>
      <w:marRight w:val="0"/>
      <w:marTop w:val="0"/>
      <w:marBottom w:val="0"/>
      <w:divBdr>
        <w:top w:val="none" w:sz="0" w:space="0" w:color="auto"/>
        <w:left w:val="none" w:sz="0" w:space="0" w:color="auto"/>
        <w:bottom w:val="none" w:sz="0" w:space="0" w:color="auto"/>
        <w:right w:val="none" w:sz="0" w:space="0" w:color="auto"/>
      </w:divBdr>
    </w:div>
    <w:div w:id="867982937">
      <w:bodyDiv w:val="1"/>
      <w:marLeft w:val="0"/>
      <w:marRight w:val="0"/>
      <w:marTop w:val="0"/>
      <w:marBottom w:val="0"/>
      <w:divBdr>
        <w:top w:val="none" w:sz="0" w:space="0" w:color="auto"/>
        <w:left w:val="none" w:sz="0" w:space="0" w:color="auto"/>
        <w:bottom w:val="none" w:sz="0" w:space="0" w:color="auto"/>
        <w:right w:val="none" w:sz="0" w:space="0" w:color="auto"/>
      </w:divBdr>
    </w:div>
    <w:div w:id="954017310">
      <w:bodyDiv w:val="1"/>
      <w:marLeft w:val="0"/>
      <w:marRight w:val="0"/>
      <w:marTop w:val="0"/>
      <w:marBottom w:val="0"/>
      <w:divBdr>
        <w:top w:val="none" w:sz="0" w:space="0" w:color="auto"/>
        <w:left w:val="none" w:sz="0" w:space="0" w:color="auto"/>
        <w:bottom w:val="none" w:sz="0" w:space="0" w:color="auto"/>
        <w:right w:val="none" w:sz="0" w:space="0" w:color="auto"/>
      </w:divBdr>
    </w:div>
    <w:div w:id="1152986941">
      <w:bodyDiv w:val="1"/>
      <w:marLeft w:val="0"/>
      <w:marRight w:val="0"/>
      <w:marTop w:val="0"/>
      <w:marBottom w:val="0"/>
      <w:divBdr>
        <w:top w:val="none" w:sz="0" w:space="0" w:color="auto"/>
        <w:left w:val="none" w:sz="0" w:space="0" w:color="auto"/>
        <w:bottom w:val="none" w:sz="0" w:space="0" w:color="auto"/>
        <w:right w:val="none" w:sz="0" w:space="0" w:color="auto"/>
      </w:divBdr>
    </w:div>
    <w:div w:id="1329626727">
      <w:bodyDiv w:val="1"/>
      <w:marLeft w:val="0"/>
      <w:marRight w:val="0"/>
      <w:marTop w:val="0"/>
      <w:marBottom w:val="0"/>
      <w:divBdr>
        <w:top w:val="none" w:sz="0" w:space="0" w:color="auto"/>
        <w:left w:val="none" w:sz="0" w:space="0" w:color="auto"/>
        <w:bottom w:val="none" w:sz="0" w:space="0" w:color="auto"/>
        <w:right w:val="none" w:sz="0" w:space="0" w:color="auto"/>
      </w:divBdr>
    </w:div>
    <w:div w:id="1570455660">
      <w:bodyDiv w:val="1"/>
      <w:marLeft w:val="0"/>
      <w:marRight w:val="0"/>
      <w:marTop w:val="0"/>
      <w:marBottom w:val="0"/>
      <w:divBdr>
        <w:top w:val="none" w:sz="0" w:space="0" w:color="auto"/>
        <w:left w:val="none" w:sz="0" w:space="0" w:color="auto"/>
        <w:bottom w:val="none" w:sz="0" w:space="0" w:color="auto"/>
        <w:right w:val="none" w:sz="0" w:space="0" w:color="auto"/>
      </w:divBdr>
    </w:div>
    <w:div w:id="1660575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s://core.ac.uk/download/pdf/234630372.pdf" TargetMode="External"/><Relationship Id="rId18" Type="http://schemas.openxmlformats.org/officeDocument/2006/relationships/hyperlink" Target="https://www2.deloitte.com/nl/nl/pages/consumer/articles/impact-of-covid-19-on-the-hospitality-industry.html" TargetMode="External"/><Relationship Id="rId26" Type="http://schemas.openxmlformats.org/officeDocument/2006/relationships/hyperlink" Target="https://doi.org/10.1016/j.annals.2021.103180" TargetMode="External"/><Relationship Id="rId3" Type="http://schemas.openxmlformats.org/officeDocument/2006/relationships/webSettings" Target="webSettings.xml"/><Relationship Id="rId21" Type="http://schemas.openxmlformats.org/officeDocument/2006/relationships/hyperlink" Target="https://journals.sagepub.com/doi/abs/10.1177/00368504211019854" TargetMode="External"/><Relationship Id="rId7" Type="http://schemas.openxmlformats.org/officeDocument/2006/relationships/chart" Target="charts/chart2.xml"/><Relationship Id="rId12" Type="http://schemas.openxmlformats.org/officeDocument/2006/relationships/hyperlink" Target="https://www.ceeol.com/search/article-detail?id=1086311" TargetMode="External"/><Relationship Id="rId17" Type="http://schemas.openxmlformats.org/officeDocument/2006/relationships/hyperlink" Target="https://www.researchgate.net/profile/Jathurika-Gowthaman/publication/331035336_The_Impact_of_Liquidity_Ratios_on_Profitability_With_special_reference_to_Listed_Manufacturing_Companies_in_Sri_Lanka/links/5c6259d545851582c3e18187/The-Impact-of-Liquidity-Ratios-on-Profitability-With-special-reference-to-Listed-Manufacturing-Companies-in-Sri-Lanka.pdf" TargetMode="External"/><Relationship Id="rId25" Type="http://schemas.openxmlformats.org/officeDocument/2006/relationships/hyperlink" Target="https://doi.org/10.1016/j.ijhm.2018.08.019" TargetMode="External"/><Relationship Id="rId2" Type="http://schemas.openxmlformats.org/officeDocument/2006/relationships/settings" Target="settings.xml"/><Relationship Id="rId16" Type="http://schemas.openxmlformats.org/officeDocument/2006/relationships/hyperlink" Target="https://doi.org/10.1016/j.ijhm.2022.103200" TargetMode="External"/><Relationship Id="rId20" Type="http://schemas.openxmlformats.org/officeDocument/2006/relationships/hyperlink" Target="https://pdfs.semanticscholar.org/d2ce/b136ac86d0bcf4bc1c5f86531c82c458f26c.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hammer.purdue.edu/articles/thesis/HOTEL_ROOM_RATE_PRICING_UNDER_ONLINE_CHANNEL_COMPETITION_CONSUMER_REACTION_AND_EMPLOYEE_TRAINING/20353362" TargetMode="External"/><Relationship Id="rId24" Type="http://schemas.openxmlformats.org/officeDocument/2006/relationships/hyperlink" Target="https://www.researchgate.net/profile/Chnar-Rashid/publication/348686551_THE_EFFICIENCY_OF_FINANCIAL_RATIOS_ANALYSIS_TO_EVALUATE_COMPANY'S_PROFITABILITY/links/600ad9df92851c13fe2b24ba/THE-EFFICIENCY-OF-FINANCIAL-RATIOS-ANALYSIS-TO-EVALUATE-COMPANYS-PROFITABILITY.pdf" TargetMode="External"/><Relationship Id="rId5" Type="http://schemas.openxmlformats.org/officeDocument/2006/relationships/endnotes" Target="endnotes.xml"/><Relationship Id="rId15" Type="http://schemas.openxmlformats.org/officeDocument/2006/relationships/hyperlink" Target="https://doi.org/10.1080/13683500.2021.1910213" TargetMode="External"/><Relationship Id="rId23" Type="http://schemas.openxmlformats.org/officeDocument/2006/relationships/hyperlink" Target="https://timesofindia.indiatimes.com/blogs/voices/next-five-years-future-hospitality-industry-trends-you-need-to-know/" TargetMode="External"/><Relationship Id="rId28" Type="http://schemas.openxmlformats.org/officeDocument/2006/relationships/fontTable" Target="fontTable.xml"/><Relationship Id="rId10" Type="http://schemas.openxmlformats.org/officeDocument/2006/relationships/hyperlink" Target="https://doi.org/10.1108/JES-05-2017-0124" TargetMode="External"/><Relationship Id="rId19" Type="http://schemas.openxmlformats.org/officeDocument/2006/relationships/hyperlink" Target="https://doi.org/10.1007/978-3-030-56231-1_8" TargetMode="Externa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hyperlink" Target="https://www.researchgate.net/profile/Mobeen-Rehman-2/publication/293781729_IMPACT_OF_LIQUIDITY_SOLVENCY_ON_PROFITABILITY_CHEMICAL_SECTOR_OF_PAKISTAN/links/56bc9a9f08ae5e7ba40eac09/IMPACT-OF-LIQUIDITY-SOLVENCY-ON-PROFITABILITY-CHEMICAL-SECTOR-OF-PAKISTAN.pdf" TargetMode="External"/><Relationship Id="rId22" Type="http://schemas.openxmlformats.org/officeDocument/2006/relationships/hyperlink" Target="https://www.sciencedirect.com/science/article/pii/S0278431921000128"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OLHP00056\Downloads\6788049_1575280553_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OLHP00056\Desktop\Vandana%2027.10.21\2305908-Financial%20Management\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KOLHP00056\Desktop\Vandana%2027.10.21\2305908-Financial%20Management\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KOLHP00056\Desktop\Vandana%2027.10.21\2305908-Financial%20Management\Book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Performance of Urban Heights (Figures in GBP)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Sheet1!$B$5</c:f>
              <c:strCache>
                <c:ptCount val="1"/>
                <c:pt idx="0">
                  <c:v>Revenue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Sheet1!$C$4:$E$4</c:f>
              <c:numCache>
                <c:formatCode>General</c:formatCode>
                <c:ptCount val="3"/>
                <c:pt idx="0">
                  <c:v>2021</c:v>
                </c:pt>
                <c:pt idx="1">
                  <c:v>2022</c:v>
                </c:pt>
                <c:pt idx="2">
                  <c:v>2023</c:v>
                </c:pt>
              </c:numCache>
            </c:numRef>
          </c:cat>
          <c:val>
            <c:numRef>
              <c:f>Sheet1!$C$5:$E$5</c:f>
              <c:numCache>
                <c:formatCode>"£"#,##0_);[Red]\("£"#,##0\)</c:formatCode>
                <c:ptCount val="3"/>
                <c:pt idx="0">
                  <c:v>2500000</c:v>
                </c:pt>
                <c:pt idx="1">
                  <c:v>2200000</c:v>
                </c:pt>
                <c:pt idx="2">
                  <c:v>1800000</c:v>
                </c:pt>
              </c:numCache>
            </c:numRef>
          </c:val>
          <c:extLst>
            <c:ext xmlns:c16="http://schemas.microsoft.com/office/drawing/2014/chart" uri="{C3380CC4-5D6E-409C-BE32-E72D297353CC}">
              <c16:uniqueId val="{00000000-CA18-4637-965C-2DC98A76CF95}"/>
            </c:ext>
          </c:extLst>
        </c:ser>
        <c:ser>
          <c:idx val="1"/>
          <c:order val="1"/>
          <c:tx>
            <c:strRef>
              <c:f>Sheet1!$B$6</c:f>
              <c:strCache>
                <c:ptCount val="1"/>
                <c:pt idx="0">
                  <c:v>Operating Expenses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Sheet1!$C$4:$E$4</c:f>
              <c:numCache>
                <c:formatCode>General</c:formatCode>
                <c:ptCount val="3"/>
                <c:pt idx="0">
                  <c:v>2021</c:v>
                </c:pt>
                <c:pt idx="1">
                  <c:v>2022</c:v>
                </c:pt>
                <c:pt idx="2">
                  <c:v>2023</c:v>
                </c:pt>
              </c:numCache>
            </c:numRef>
          </c:cat>
          <c:val>
            <c:numRef>
              <c:f>Sheet1!$C$6:$E$6</c:f>
              <c:numCache>
                <c:formatCode>"£"#,##0_);[Red]\("£"#,##0\)</c:formatCode>
                <c:ptCount val="3"/>
                <c:pt idx="0">
                  <c:v>1800000</c:v>
                </c:pt>
                <c:pt idx="1">
                  <c:v>2000000</c:v>
                </c:pt>
                <c:pt idx="2">
                  <c:v>2300000</c:v>
                </c:pt>
              </c:numCache>
            </c:numRef>
          </c:val>
          <c:extLst>
            <c:ext xmlns:c16="http://schemas.microsoft.com/office/drawing/2014/chart" uri="{C3380CC4-5D6E-409C-BE32-E72D297353CC}">
              <c16:uniqueId val="{00000001-CA18-4637-965C-2DC98A76CF95}"/>
            </c:ext>
          </c:extLst>
        </c:ser>
        <c:ser>
          <c:idx val="2"/>
          <c:order val="2"/>
          <c:tx>
            <c:strRef>
              <c:f>Sheet1!$B$7</c:f>
              <c:strCache>
                <c:ptCount val="1"/>
                <c:pt idx="0">
                  <c:v>Net Income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Sheet1!$C$4:$E$4</c:f>
              <c:numCache>
                <c:formatCode>General</c:formatCode>
                <c:ptCount val="3"/>
                <c:pt idx="0">
                  <c:v>2021</c:v>
                </c:pt>
                <c:pt idx="1">
                  <c:v>2022</c:v>
                </c:pt>
                <c:pt idx="2">
                  <c:v>2023</c:v>
                </c:pt>
              </c:numCache>
            </c:numRef>
          </c:cat>
          <c:val>
            <c:numRef>
              <c:f>Sheet1!$C$7:$E$7</c:f>
              <c:numCache>
                <c:formatCode>"£"#,##0_);[Red]\("£"#,##0\)</c:formatCode>
                <c:ptCount val="3"/>
                <c:pt idx="0">
                  <c:v>700000</c:v>
                </c:pt>
                <c:pt idx="1">
                  <c:v>200000</c:v>
                </c:pt>
                <c:pt idx="2">
                  <c:v>-500000</c:v>
                </c:pt>
              </c:numCache>
            </c:numRef>
          </c:val>
          <c:extLst>
            <c:ext xmlns:c16="http://schemas.microsoft.com/office/drawing/2014/chart" uri="{C3380CC4-5D6E-409C-BE32-E72D297353CC}">
              <c16:uniqueId val="{00000002-CA18-4637-965C-2DC98A76CF95}"/>
            </c:ext>
          </c:extLst>
        </c:ser>
        <c:dLbls>
          <c:showLegendKey val="0"/>
          <c:showVal val="0"/>
          <c:showCatName val="0"/>
          <c:showSerName val="0"/>
          <c:showPercent val="0"/>
          <c:showBubbleSize val="0"/>
        </c:dLbls>
        <c:gapWidth val="100"/>
        <c:overlap val="-24"/>
        <c:axId val="447134496"/>
        <c:axId val="447133184"/>
      </c:barChart>
      <c:catAx>
        <c:axId val="44713449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7133184"/>
        <c:crosses val="autoZero"/>
        <c:auto val="1"/>
        <c:lblAlgn val="ctr"/>
        <c:lblOffset val="100"/>
        <c:noMultiLvlLbl val="0"/>
      </c:catAx>
      <c:valAx>
        <c:axId val="447133184"/>
        <c:scaling>
          <c:orientation val="minMax"/>
        </c:scaling>
        <c:delete val="0"/>
        <c:axPos val="l"/>
        <c:majorGridlines>
          <c:spPr>
            <a:ln w="9525" cap="flat" cmpd="sng" algn="ctr">
              <a:solidFill>
                <a:schemeClr val="lt1">
                  <a:lumMod val="95000"/>
                  <a:alpha val="10000"/>
                </a:schemeClr>
              </a:solidFill>
              <a:round/>
            </a:ln>
            <a:effectLst/>
          </c:spPr>
        </c:majorGridlines>
        <c:numFmt formatCode="_-[$£-809]* #,##0.00_-;\-[$£-809]* #,##0.00_-;_-[$£-809]* &quot;-&quot;??_-;_-@_-"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7134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Profitability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Sheet1!$G$4</c:f>
              <c:strCache>
                <c:ptCount val="1"/>
                <c:pt idx="0">
                  <c:v>NP Margin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Sheet1!$H$3:$J$3</c:f>
              <c:numCache>
                <c:formatCode>General</c:formatCode>
                <c:ptCount val="3"/>
                <c:pt idx="0">
                  <c:v>2021</c:v>
                </c:pt>
                <c:pt idx="1">
                  <c:v>2022</c:v>
                </c:pt>
                <c:pt idx="2">
                  <c:v>2023</c:v>
                </c:pt>
              </c:numCache>
            </c:numRef>
          </c:cat>
          <c:val>
            <c:numRef>
              <c:f>Sheet1!$H$4:$J$4</c:f>
              <c:numCache>
                <c:formatCode>0%</c:formatCode>
                <c:ptCount val="3"/>
                <c:pt idx="0">
                  <c:v>0.28000000000000003</c:v>
                </c:pt>
                <c:pt idx="1">
                  <c:v>0.09</c:v>
                </c:pt>
                <c:pt idx="2">
                  <c:v>-0.28000000000000003</c:v>
                </c:pt>
              </c:numCache>
            </c:numRef>
          </c:val>
          <c:extLst>
            <c:ext xmlns:c16="http://schemas.microsoft.com/office/drawing/2014/chart" uri="{C3380CC4-5D6E-409C-BE32-E72D297353CC}">
              <c16:uniqueId val="{00000000-9A8A-481F-998E-743AC6270790}"/>
            </c:ext>
          </c:extLst>
        </c:ser>
        <c:ser>
          <c:idx val="1"/>
          <c:order val="1"/>
          <c:tx>
            <c:strRef>
              <c:f>Sheet1!$G$5</c:f>
              <c:strCache>
                <c:ptCount val="1"/>
                <c:pt idx="0">
                  <c:v>ROE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Sheet1!$H$3:$J$3</c:f>
              <c:numCache>
                <c:formatCode>General</c:formatCode>
                <c:ptCount val="3"/>
                <c:pt idx="0">
                  <c:v>2021</c:v>
                </c:pt>
                <c:pt idx="1">
                  <c:v>2022</c:v>
                </c:pt>
                <c:pt idx="2">
                  <c:v>2023</c:v>
                </c:pt>
              </c:numCache>
            </c:numRef>
          </c:cat>
          <c:val>
            <c:numRef>
              <c:f>Sheet1!$H$5:$J$5</c:f>
              <c:numCache>
                <c:formatCode>0%</c:formatCode>
                <c:ptCount val="3"/>
                <c:pt idx="0">
                  <c:v>0.32</c:v>
                </c:pt>
                <c:pt idx="1">
                  <c:v>0.11</c:v>
                </c:pt>
                <c:pt idx="2">
                  <c:v>-0.36</c:v>
                </c:pt>
              </c:numCache>
            </c:numRef>
          </c:val>
          <c:extLst>
            <c:ext xmlns:c16="http://schemas.microsoft.com/office/drawing/2014/chart" uri="{C3380CC4-5D6E-409C-BE32-E72D297353CC}">
              <c16:uniqueId val="{00000001-9A8A-481F-998E-743AC6270790}"/>
            </c:ext>
          </c:extLst>
        </c:ser>
        <c:ser>
          <c:idx val="2"/>
          <c:order val="2"/>
          <c:tx>
            <c:strRef>
              <c:f>Sheet1!$G$6</c:f>
              <c:strCache>
                <c:ptCount val="1"/>
                <c:pt idx="0">
                  <c:v>ROA</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Sheet1!$H$3:$J$3</c:f>
              <c:numCache>
                <c:formatCode>General</c:formatCode>
                <c:ptCount val="3"/>
                <c:pt idx="0">
                  <c:v>2021</c:v>
                </c:pt>
                <c:pt idx="1">
                  <c:v>2022</c:v>
                </c:pt>
                <c:pt idx="2">
                  <c:v>2023</c:v>
                </c:pt>
              </c:numCache>
            </c:numRef>
          </c:cat>
          <c:val>
            <c:numRef>
              <c:f>Sheet1!$H$6:$J$6</c:f>
              <c:numCache>
                <c:formatCode>0%</c:formatCode>
                <c:ptCount val="3"/>
                <c:pt idx="0">
                  <c:v>0.13</c:v>
                </c:pt>
                <c:pt idx="1">
                  <c:v>0.04</c:v>
                </c:pt>
                <c:pt idx="2">
                  <c:v>-0.11</c:v>
                </c:pt>
              </c:numCache>
            </c:numRef>
          </c:val>
          <c:extLst>
            <c:ext xmlns:c16="http://schemas.microsoft.com/office/drawing/2014/chart" uri="{C3380CC4-5D6E-409C-BE32-E72D297353CC}">
              <c16:uniqueId val="{00000002-9A8A-481F-998E-743AC6270790}"/>
            </c:ext>
          </c:extLst>
        </c:ser>
        <c:dLbls>
          <c:showLegendKey val="0"/>
          <c:showVal val="0"/>
          <c:showCatName val="0"/>
          <c:showSerName val="0"/>
          <c:showPercent val="0"/>
          <c:showBubbleSize val="0"/>
        </c:dLbls>
        <c:gapWidth val="100"/>
        <c:overlap val="-24"/>
        <c:axId val="596669096"/>
        <c:axId val="596668768"/>
      </c:barChart>
      <c:catAx>
        <c:axId val="59666909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6668768"/>
        <c:crosses val="autoZero"/>
        <c:auto val="1"/>
        <c:lblAlgn val="ctr"/>
        <c:lblOffset val="100"/>
        <c:noMultiLvlLbl val="0"/>
      </c:catAx>
      <c:valAx>
        <c:axId val="596668768"/>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66690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Sheet1!$G$7</c:f>
              <c:strCache>
                <c:ptCount val="1"/>
                <c:pt idx="0">
                  <c:v>Current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Sheet1!$H$3:$J$3</c:f>
              <c:numCache>
                <c:formatCode>General</c:formatCode>
                <c:ptCount val="3"/>
                <c:pt idx="0">
                  <c:v>2021</c:v>
                </c:pt>
                <c:pt idx="1">
                  <c:v>2022</c:v>
                </c:pt>
                <c:pt idx="2">
                  <c:v>2023</c:v>
                </c:pt>
              </c:numCache>
            </c:numRef>
          </c:cat>
          <c:val>
            <c:numRef>
              <c:f>Sheet1!$H$7:$J$7</c:f>
              <c:numCache>
                <c:formatCode>_(* #,##0.00_);_(* \(#,##0.00\);_(* "-"??_);_(@_)</c:formatCode>
                <c:ptCount val="3"/>
                <c:pt idx="0">
                  <c:v>1.8</c:v>
                </c:pt>
                <c:pt idx="1">
                  <c:v>1.1100000000000001</c:v>
                </c:pt>
                <c:pt idx="2">
                  <c:v>0.6</c:v>
                </c:pt>
              </c:numCache>
            </c:numRef>
          </c:val>
          <c:extLst>
            <c:ext xmlns:c16="http://schemas.microsoft.com/office/drawing/2014/chart" uri="{C3380CC4-5D6E-409C-BE32-E72D297353CC}">
              <c16:uniqueId val="{00000000-A325-4D37-8CEB-A76FC1B1851C}"/>
            </c:ext>
          </c:extLst>
        </c:ser>
        <c:dLbls>
          <c:showLegendKey val="0"/>
          <c:showVal val="0"/>
          <c:showCatName val="0"/>
          <c:showSerName val="0"/>
          <c:showPercent val="0"/>
          <c:showBubbleSize val="0"/>
        </c:dLbls>
        <c:gapWidth val="100"/>
        <c:overlap val="-24"/>
        <c:axId val="596822024"/>
        <c:axId val="596822352"/>
      </c:barChart>
      <c:catAx>
        <c:axId val="59682202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6822352"/>
        <c:crosses val="autoZero"/>
        <c:auto val="1"/>
        <c:lblAlgn val="ctr"/>
        <c:lblOffset val="100"/>
        <c:noMultiLvlLbl val="0"/>
      </c:catAx>
      <c:valAx>
        <c:axId val="596822352"/>
        <c:scaling>
          <c:orientation val="minMax"/>
        </c:scaling>
        <c:delete val="0"/>
        <c:axPos val="l"/>
        <c:majorGridlines>
          <c:spPr>
            <a:ln w="9525" cap="flat" cmpd="sng" algn="ctr">
              <a:solidFill>
                <a:schemeClr val="lt1">
                  <a:lumMod val="95000"/>
                  <a:alpha val="10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68220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Solvency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Sheet1!$G$8</c:f>
              <c:strCache>
                <c:ptCount val="1"/>
                <c:pt idx="0">
                  <c:v>Debt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Sheet1!$H$3:$J$3</c:f>
              <c:numCache>
                <c:formatCode>General</c:formatCode>
                <c:ptCount val="3"/>
                <c:pt idx="0">
                  <c:v>2021</c:v>
                </c:pt>
                <c:pt idx="1">
                  <c:v>2022</c:v>
                </c:pt>
                <c:pt idx="2">
                  <c:v>2023</c:v>
                </c:pt>
              </c:numCache>
            </c:numRef>
          </c:cat>
          <c:val>
            <c:numRef>
              <c:f>Sheet1!$H$8:$J$8</c:f>
              <c:numCache>
                <c:formatCode>0%</c:formatCode>
                <c:ptCount val="3"/>
                <c:pt idx="0">
                  <c:v>0.6</c:v>
                </c:pt>
                <c:pt idx="1">
                  <c:v>0.64</c:v>
                </c:pt>
                <c:pt idx="2">
                  <c:v>0.71</c:v>
                </c:pt>
              </c:numCache>
            </c:numRef>
          </c:val>
          <c:extLst>
            <c:ext xmlns:c16="http://schemas.microsoft.com/office/drawing/2014/chart" uri="{C3380CC4-5D6E-409C-BE32-E72D297353CC}">
              <c16:uniqueId val="{00000000-D69C-4B77-A651-9BF1E471AD48}"/>
            </c:ext>
          </c:extLst>
        </c:ser>
        <c:ser>
          <c:idx val="1"/>
          <c:order val="1"/>
          <c:tx>
            <c:strRef>
              <c:f>Sheet1!$G$9</c:f>
              <c:strCache>
                <c:ptCount val="1"/>
                <c:pt idx="0">
                  <c:v>D/E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Sheet1!$H$3:$J$3</c:f>
              <c:numCache>
                <c:formatCode>General</c:formatCode>
                <c:ptCount val="3"/>
                <c:pt idx="0">
                  <c:v>2021</c:v>
                </c:pt>
                <c:pt idx="1">
                  <c:v>2022</c:v>
                </c:pt>
                <c:pt idx="2">
                  <c:v>2023</c:v>
                </c:pt>
              </c:numCache>
            </c:numRef>
          </c:cat>
          <c:val>
            <c:numRef>
              <c:f>Sheet1!$H$9:$J$9</c:f>
              <c:numCache>
                <c:formatCode>0%</c:formatCode>
                <c:ptCount val="3"/>
                <c:pt idx="0">
                  <c:v>1.48</c:v>
                </c:pt>
                <c:pt idx="1">
                  <c:v>1.79</c:v>
                </c:pt>
                <c:pt idx="2">
                  <c:v>2.39</c:v>
                </c:pt>
              </c:numCache>
            </c:numRef>
          </c:val>
          <c:extLst>
            <c:ext xmlns:c16="http://schemas.microsoft.com/office/drawing/2014/chart" uri="{C3380CC4-5D6E-409C-BE32-E72D297353CC}">
              <c16:uniqueId val="{00000001-D69C-4B77-A651-9BF1E471AD48}"/>
            </c:ext>
          </c:extLst>
        </c:ser>
        <c:dLbls>
          <c:showLegendKey val="0"/>
          <c:showVal val="0"/>
          <c:showCatName val="0"/>
          <c:showSerName val="0"/>
          <c:showPercent val="0"/>
          <c:showBubbleSize val="0"/>
        </c:dLbls>
        <c:gapWidth val="100"/>
        <c:overlap val="-24"/>
        <c:axId val="597417992"/>
        <c:axId val="597413072"/>
      </c:barChart>
      <c:catAx>
        <c:axId val="59741799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7413072"/>
        <c:crosses val="autoZero"/>
        <c:auto val="1"/>
        <c:lblAlgn val="ctr"/>
        <c:lblOffset val="100"/>
        <c:noMultiLvlLbl val="0"/>
      </c:catAx>
      <c:valAx>
        <c:axId val="597413072"/>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7417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Pages>
  <Words>3376</Words>
  <Characters>19245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8</cp:revision>
  <dcterms:created xsi:type="dcterms:W3CDTF">2024-05-12T21:44:00Z</dcterms:created>
  <dcterms:modified xsi:type="dcterms:W3CDTF">2024-06-06T21:19:00Z</dcterms:modified>
</cp:coreProperties>
</file>