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jc w:val="center"/>
      </w:pPr>
      <w:r>
        <w:t>Executive Financial Summary &amp; Benchmark Analysis (FY 2016 – FY 2020)</w:t>
      </w:r>
    </w:p>
    <w:p>
      <w:pPr>
        <w:pStyle w:val="Heading1"/>
      </w:pPr>
      <w:r>
        <w:t>PAGE 1: MASTER DATA MATRIX &amp; EXECUTIVE OVERVIEW</w:t>
      </w:r>
    </w:p>
    <w:p>
      <w:pPr>
        <w:pStyle w:val="Heading2"/>
      </w:pPr>
      <w:r>
        <w:t>1. Executive Summary</w:t>
      </w:r>
    </w:p>
    <w:p>
      <w:r>
        <w:t>This report provides a comprehensive 5-year financial performance analysis using all data points from the dataset (benchmark.xlsx). The analysis evaluates five key performance indicators categorized under Investment Performance and Cash Flow Health across Fiscal Years 2016 through 2020.</w:t>
      </w:r>
    </w:p>
    <w:p>
      <w:r>
        <w:rPr>
          <w:b/>
        </w:rPr>
        <w:t xml:space="preserve">Key Takeaway: </w:t>
      </w:r>
      <w:r>
        <w:t>The historical data highlights two distinct operational phases: a period of robust profitability and steady cash generation from FY 2016 to FY 2019, followed by a severe operational shock in FY 2020. While cash flow margins and return metrics experienced steep drops in FY 2020, the valuation multiple (P/E) rose significantly to 63.4x, reflecting an earnings contraction relative to market capitalization.</w:t>
      </w:r>
    </w:p>
    <w:p>
      <w:pPr>
        <w:pStyle w:val="Heading2"/>
      </w:pPr>
      <w:r>
        <w:t>2. Complete Master Benchmark Data Table</w:t>
      </w:r>
    </w:p>
    <w:p>
      <w:r>
        <w:t>Below is the consolidated data extracted directly from the spreadsheet, including formatted metric values and calculated 4-year baseline averages prior to the FY 2020 disruption:</w:t>
      </w:r>
    </w:p>
    <w:tbl>
      <w:tblPr>
        <w:tblStyle w:val="TableGrid"/>
        <w:tblW w:type="auto" w:w="0"/>
        <w:tblLook w:firstColumn="1" w:firstRow="1" w:lastColumn="0" w:lastRow="0" w:noHBand="0" w:noVBand="1" w:val="04A0"/>
      </w:tblPr>
      <w:tblGrid>
        <w:gridCol w:w="1080"/>
        <w:gridCol w:w="1080"/>
        <w:gridCol w:w="1080"/>
        <w:gridCol w:w="1080"/>
        <w:gridCol w:w="1080"/>
        <w:gridCol w:w="1080"/>
        <w:gridCol w:w="1080"/>
        <w:gridCol w:w="1080"/>
      </w:tblGrid>
      <w:tr>
        <w:tc>
          <w:tcPr>
            <w:tcW w:type="dxa" w:w="1080"/>
          </w:tcPr>
          <w:p>
            <w:r>
              <w:rPr>
                <w:b/>
              </w:rPr>
              <w:t>Category</w:t>
            </w:r>
          </w:p>
        </w:tc>
        <w:tc>
          <w:tcPr>
            <w:tcW w:type="dxa" w:w="1080"/>
          </w:tcPr>
          <w:p>
            <w:r>
              <w:rPr>
                <w:b/>
              </w:rPr>
              <w:t>Financial Ratio / Metric</w:t>
            </w:r>
          </w:p>
        </w:tc>
        <w:tc>
          <w:tcPr>
            <w:tcW w:type="dxa" w:w="1080"/>
          </w:tcPr>
          <w:p>
            <w:r>
              <w:rPr>
                <w:b/>
              </w:rPr>
              <w:t>FY 2016</w:t>
            </w:r>
          </w:p>
        </w:tc>
        <w:tc>
          <w:tcPr>
            <w:tcW w:type="dxa" w:w="1080"/>
          </w:tcPr>
          <w:p>
            <w:r>
              <w:rPr>
                <w:b/>
              </w:rPr>
              <w:t>FY 2017</w:t>
            </w:r>
          </w:p>
        </w:tc>
        <w:tc>
          <w:tcPr>
            <w:tcW w:type="dxa" w:w="1080"/>
          </w:tcPr>
          <w:p>
            <w:r>
              <w:rPr>
                <w:b/>
              </w:rPr>
              <w:t>FY 2018</w:t>
            </w:r>
          </w:p>
        </w:tc>
        <w:tc>
          <w:tcPr>
            <w:tcW w:type="dxa" w:w="1080"/>
          </w:tcPr>
          <w:p>
            <w:r>
              <w:rPr>
                <w:b/>
              </w:rPr>
              <w:t>FY 2019</w:t>
            </w:r>
          </w:p>
        </w:tc>
        <w:tc>
          <w:tcPr>
            <w:tcW w:type="dxa" w:w="1080"/>
          </w:tcPr>
          <w:p>
            <w:r>
              <w:rPr>
                <w:b/>
              </w:rPr>
              <w:t>FY 2020</w:t>
            </w:r>
          </w:p>
        </w:tc>
        <w:tc>
          <w:tcPr>
            <w:tcW w:type="dxa" w:w="1080"/>
          </w:tcPr>
          <w:p>
            <w:r>
              <w:rPr>
                <w:b/>
              </w:rPr>
              <w:t>Pre-2020 Avg</w:t>
            </w:r>
          </w:p>
        </w:tc>
      </w:tr>
      <w:tr>
        <w:tc>
          <w:tcPr>
            <w:tcW w:type="dxa" w:w="1080"/>
          </w:tcPr>
          <w:p>
            <w:r>
              <w:t>Investment</w:t>
            </w:r>
          </w:p>
        </w:tc>
        <w:tc>
          <w:tcPr>
            <w:tcW w:type="dxa" w:w="1080"/>
          </w:tcPr>
          <w:p>
            <w:r>
              <w:t>Return on Equity (ROE)</w:t>
            </w:r>
          </w:p>
        </w:tc>
        <w:tc>
          <w:tcPr>
            <w:tcW w:type="dxa" w:w="1080"/>
          </w:tcPr>
          <w:p>
            <w:r>
              <w:t>39.1%</w:t>
            </w:r>
          </w:p>
        </w:tc>
        <w:tc>
          <w:tcPr>
            <w:tcW w:type="dxa" w:w="1080"/>
          </w:tcPr>
          <w:p>
            <w:r>
              <w:t>39.8%</w:t>
            </w:r>
          </w:p>
        </w:tc>
        <w:tc>
          <w:tcPr>
            <w:tcW w:type="dxa" w:w="1080"/>
          </w:tcPr>
          <w:p>
            <w:r>
              <w:t>35.0%</w:t>
            </w:r>
          </w:p>
        </w:tc>
        <w:tc>
          <w:tcPr>
            <w:tcW w:type="dxa" w:w="1080"/>
          </w:tcPr>
          <w:p>
            <w:r>
              <w:t>30.7%</w:t>
            </w:r>
          </w:p>
        </w:tc>
        <w:tc>
          <w:tcPr>
            <w:tcW w:type="dxa" w:w="1080"/>
          </w:tcPr>
          <w:p>
            <w:r>
              <w:t>2.6%</w:t>
            </w:r>
          </w:p>
        </w:tc>
        <w:tc>
          <w:tcPr>
            <w:tcW w:type="dxa" w:w="1080"/>
          </w:tcPr>
          <w:p>
            <w:r>
              <w:t>36.15%</w:t>
            </w:r>
          </w:p>
        </w:tc>
      </w:tr>
      <w:tr>
        <w:tc>
          <w:tcPr>
            <w:tcW w:type="dxa" w:w="1080"/>
          </w:tcPr>
          <w:p>
            <w:r>
              <w:t>Investment</w:t>
            </w:r>
          </w:p>
        </w:tc>
        <w:tc>
          <w:tcPr>
            <w:tcW w:type="dxa" w:w="1080"/>
          </w:tcPr>
          <w:p>
            <w:r>
              <w:t>Return on Assets (ROA)</w:t>
            </w:r>
          </w:p>
        </w:tc>
        <w:tc>
          <w:tcPr>
            <w:tcW w:type="dxa" w:w="1080"/>
          </w:tcPr>
          <w:p>
            <w:r>
              <w:t>8.5%</w:t>
            </w:r>
          </w:p>
        </w:tc>
        <w:tc>
          <w:tcPr>
            <w:tcW w:type="dxa" w:w="1080"/>
          </w:tcPr>
          <w:p>
            <w:r>
              <w:t>9.5%</w:t>
            </w:r>
          </w:p>
        </w:tc>
        <w:tc>
          <w:tcPr>
            <w:tcW w:type="dxa" w:w="1080"/>
          </w:tcPr>
          <w:p>
            <w:r>
              <w:t>8.7%</w:t>
            </w:r>
          </w:p>
        </w:tc>
        <w:tc>
          <w:tcPr>
            <w:tcW w:type="dxa" w:w="1080"/>
          </w:tcPr>
          <w:p>
            <w:r>
              <w:t>8.0%</w:t>
            </w:r>
          </w:p>
        </w:tc>
        <w:tc>
          <w:tcPr>
            <w:tcW w:type="dxa" w:w="1080"/>
          </w:tcPr>
          <w:p>
            <w:r>
              <w:t>0.8%</w:t>
            </w:r>
          </w:p>
        </w:tc>
        <w:tc>
          <w:tcPr>
            <w:tcW w:type="dxa" w:w="1080"/>
          </w:tcPr>
          <w:p>
            <w:r>
              <w:t>8.68%</w:t>
            </w:r>
          </w:p>
        </w:tc>
      </w:tr>
      <w:tr>
        <w:tc>
          <w:tcPr>
            <w:tcW w:type="dxa" w:w="1080"/>
          </w:tcPr>
          <w:p>
            <w:r>
              <w:t>Investment</w:t>
            </w:r>
          </w:p>
        </w:tc>
        <w:tc>
          <w:tcPr>
            <w:tcW w:type="dxa" w:w="1080"/>
          </w:tcPr>
          <w:p>
            <w:r>
              <w:t>Price-to-Earnings Ratio (P/E)</w:t>
            </w:r>
          </w:p>
        </w:tc>
        <w:tc>
          <w:tcPr>
            <w:tcW w:type="dxa" w:w="1080"/>
          </w:tcPr>
          <w:p>
            <w:r>
              <w:t>27.0x</w:t>
            </w:r>
          </w:p>
        </w:tc>
        <w:tc>
          <w:tcPr>
            <w:tcW w:type="dxa" w:w="1080"/>
          </w:tcPr>
          <w:p>
            <w:r>
              <w:t>25.9x</w:t>
            </w:r>
          </w:p>
        </w:tc>
        <w:tc>
          <w:tcPr>
            <w:tcW w:type="dxa" w:w="1080"/>
          </w:tcPr>
          <w:p>
            <w:r>
              <w:t>23.2x</w:t>
            </w:r>
          </w:p>
        </w:tc>
        <w:tc>
          <w:tcPr>
            <w:tcW w:type="dxa" w:w="1080"/>
          </w:tcPr>
          <w:p>
            <w:r>
              <w:t>24.2x</w:t>
            </w:r>
          </w:p>
        </w:tc>
        <w:tc>
          <w:tcPr>
            <w:tcW w:type="dxa" w:w="1080"/>
          </w:tcPr>
          <w:p>
            <w:r>
              <w:t>63.4x</w:t>
            </w:r>
          </w:p>
        </w:tc>
        <w:tc>
          <w:tcPr>
            <w:tcW w:type="dxa" w:w="1080"/>
          </w:tcPr>
          <w:p>
            <w:r>
              <w:t>25.08x</w:t>
            </w:r>
          </w:p>
        </w:tc>
      </w:tr>
      <w:tr>
        <w:tc>
          <w:tcPr>
            <w:tcW w:type="dxa" w:w="1080"/>
          </w:tcPr>
          <w:p>
            <w:r>
              <w:t>Cash Flow</w:t>
            </w:r>
          </w:p>
        </w:tc>
        <w:tc>
          <w:tcPr>
            <w:tcW w:type="dxa" w:w="1080"/>
          </w:tcPr>
          <w:p>
            <w:r>
              <w:t>Operating Cash Flow Ratio</w:t>
            </w:r>
          </w:p>
        </w:tc>
        <w:tc>
          <w:tcPr>
            <w:tcW w:type="dxa" w:w="1080"/>
          </w:tcPr>
          <w:p>
            <w:r>
              <w:t>0.30x</w:t>
            </w:r>
          </w:p>
        </w:tc>
        <w:tc>
          <w:tcPr>
            <w:tcW w:type="dxa" w:w="1080"/>
          </w:tcPr>
          <w:p>
            <w:r>
              <w:t>0.30x</w:t>
            </w:r>
          </w:p>
        </w:tc>
        <w:tc>
          <w:tcPr>
            <w:tcW w:type="dxa" w:w="1080"/>
          </w:tcPr>
          <w:p>
            <w:r>
              <w:t>0.31x</w:t>
            </w:r>
          </w:p>
        </w:tc>
        <w:tc>
          <w:tcPr>
            <w:tcW w:type="dxa" w:w="1080"/>
          </w:tcPr>
          <w:p>
            <w:r>
              <w:t>0.30x</w:t>
            </w:r>
          </w:p>
        </w:tc>
        <w:tc>
          <w:tcPr>
            <w:tcW w:type="dxa" w:w="1080"/>
          </w:tcPr>
          <w:p>
            <w:r>
              <w:t>0.13x</w:t>
            </w:r>
          </w:p>
        </w:tc>
        <w:tc>
          <w:tcPr>
            <w:tcW w:type="dxa" w:w="1080"/>
          </w:tcPr>
          <w:p>
            <w:r>
              <w:t>0.3025x</w:t>
            </w:r>
          </w:p>
        </w:tc>
      </w:tr>
      <w:tr>
        <w:tc>
          <w:tcPr>
            <w:tcW w:type="dxa" w:w="1080"/>
          </w:tcPr>
          <w:p>
            <w:r>
              <w:t>Cash Flow</w:t>
            </w:r>
          </w:p>
        </w:tc>
        <w:tc>
          <w:tcPr>
            <w:tcW w:type="dxa" w:w="1080"/>
          </w:tcPr>
          <w:p>
            <w:r>
              <w:t>Free Cash Flow (FCF) Margin</w:t>
            </w:r>
          </w:p>
        </w:tc>
        <w:tc>
          <w:tcPr>
            <w:tcW w:type="dxa" w:w="1080"/>
          </w:tcPr>
          <w:p>
            <w:r>
              <w:t>4.1%</w:t>
            </w:r>
          </w:p>
        </w:tc>
        <w:tc>
          <w:tcPr>
            <w:tcW w:type="dxa" w:w="1080"/>
          </w:tcPr>
          <w:p>
            <w:r>
              <w:t>4.3%</w:t>
            </w:r>
          </w:p>
        </w:tc>
        <w:tc>
          <w:tcPr>
            <w:tcW w:type="dxa" w:w="1080"/>
          </w:tcPr>
          <w:p>
            <w:r>
              <w:t>4.9%</w:t>
            </w:r>
          </w:p>
        </w:tc>
        <w:tc>
          <w:tcPr>
            <w:tcW w:type="dxa" w:w="1080"/>
          </w:tcPr>
          <w:p>
            <w:r>
              <w:t>5.0%</w:t>
            </w:r>
          </w:p>
        </w:tc>
        <w:tc>
          <w:tcPr>
            <w:tcW w:type="dxa" w:w="1080"/>
          </w:tcPr>
          <w:p>
            <w:r>
              <w:t>1.1%</w:t>
            </w:r>
          </w:p>
        </w:tc>
        <w:tc>
          <w:tcPr>
            <w:tcW w:type="dxa" w:w="1080"/>
          </w:tcPr>
          <w:p>
            <w:r>
              <w:t>4.58%</w:t>
            </w:r>
          </w:p>
        </w:tc>
      </w:tr>
    </w:tbl>
    <w:p>
      <w:pPr>
        <w:pStyle w:val="Heading2"/>
      </w:pPr>
      <w:r>
        <w:t>3. Individual Metric Performance Breakdown</w:t>
      </w:r>
    </w:p>
    <w:p>
      <w:pPr>
        <w:pStyle w:val="Heading3"/>
      </w:pPr>
      <w:r>
        <w:t>A. Investment Ratios</w:t>
      </w:r>
    </w:p>
    <w:p>
      <w:pPr>
        <w:pStyle w:val="ListBullet"/>
      </w:pPr>
      <w:r>
        <w:rPr>
          <w:b/>
        </w:rPr>
        <w:t xml:space="preserve">Return on Equity (ROE): </w:t>
      </w:r>
      <w:r>
        <w:t>Peak performance occurred in FY 2017 at 39.8%. A gradual tapering occurred in FY 2018 (35.0%) and FY 2019 (30.7%), before a steep reduction in FY 2020 to 2.6%.</w:t>
      </w:r>
    </w:p>
    <w:p>
      <w:pPr>
        <w:pStyle w:val="ListBullet"/>
      </w:pPr>
      <w:r>
        <w:rPr>
          <w:b/>
        </w:rPr>
        <w:t xml:space="preserve">Return on Assets (ROA): </w:t>
      </w:r>
      <w:r>
        <w:t>Reached its highest level in FY 2017 at 9.5%, maintaining an efficient range of 8.0% – 9.5% through FY 2019. In FY 2020, asset productivity declined significantly to 0.8%.</w:t>
      </w:r>
    </w:p>
    <w:p>
      <w:pPr>
        <w:pStyle w:val="ListBullet"/>
      </w:pPr>
      <w:r>
        <w:rPr>
          <w:b/>
        </w:rPr>
        <w:t xml:space="preserve">Price-to-Earnings (P/E) Ratio: </w:t>
      </w:r>
      <w:r>
        <w:t>Trading multiples remained stable between 23.2x and 27.0x during FY 2016–2019 (averaging 25.08x). In FY 2020, the P/E multiple expanded to 63.4x, driven primarily by net income compression.</w:t>
      </w:r>
    </w:p>
    <w:p>
      <w:pPr>
        <w:pStyle w:val="Heading3"/>
      </w:pPr>
      <w:r>
        <w:t>B. Cash Flow Ratios</w:t>
      </w:r>
    </w:p>
    <w:p>
      <w:pPr>
        <w:pStyle w:val="ListBullet"/>
      </w:pPr>
      <w:r>
        <w:rPr>
          <w:b/>
        </w:rPr>
        <w:t xml:space="preserve">Operating Cash Flow Ratio: </w:t>
      </w:r>
      <w:r>
        <w:t>Displayed high stability from FY 2016 to FY 2019, hovering within a tight range of 0.30x to 0.31x. In FY 2020, the ratio fell to 0.13x, indicating lower operational cash coverage against short-term liabilities.</w:t>
      </w:r>
    </w:p>
    <w:p>
      <w:pPr>
        <w:pStyle w:val="ListBullet"/>
      </w:pPr>
      <w:r>
        <w:rPr>
          <w:b/>
        </w:rPr>
        <w:t xml:space="preserve">Free Cash Flow Margin: </w:t>
      </w:r>
      <w:r>
        <w:t>Demonstrated consecutive expansion from 4.1% in FY 2016 to a high of 5.0% in FY 2019. In FY 2020, capital constraints and reduced earnings dropped the margin to 1.1%.</w:t>
      </w:r>
    </w:p>
    <w:p>
      <w:r>
        <w:br w:type="page"/>
      </w:r>
    </w:p>
    <w:p>
      <w:pPr>
        <w:pStyle w:val="Heading1"/>
      </w:pPr>
      <w:r>
        <w:t>PAGE 2: TREND ANALYSIS &amp; STRATEGIC INSIGHTS</w:t>
      </w:r>
    </w:p>
    <w:p>
      <w:pPr>
        <w:pStyle w:val="Heading2"/>
      </w:pPr>
      <w:r>
        <w:t>4. Year-over-Year (YoY) Growth &amp; Variance Matrix</w:t>
      </w:r>
    </w:p>
    <w:p>
      <w:r>
        <w:t>The table below details the percentage change for each metric period-over-period to highlight structural trends and velocity of changes:</w:t>
      </w:r>
    </w:p>
    <w:tbl>
      <w:tblPr>
        <w:tblStyle w:val="TableGrid"/>
        <w:tblW w:type="auto" w:w="0"/>
        <w:tblLook w:firstColumn="1" w:firstRow="1" w:lastColumn="0" w:lastRow="0" w:noHBand="0" w:noVBand="1" w:val="04A0"/>
      </w:tblPr>
      <w:tblGrid>
        <w:gridCol w:w="1440"/>
        <w:gridCol w:w="1440"/>
        <w:gridCol w:w="1440"/>
        <w:gridCol w:w="1440"/>
        <w:gridCol w:w="1440"/>
        <w:gridCol w:w="1440"/>
      </w:tblGrid>
      <w:tr>
        <w:tc>
          <w:tcPr>
            <w:tcW w:type="dxa" w:w="1440"/>
          </w:tcPr>
          <w:p>
            <w:r>
              <w:rPr>
                <w:b/>
              </w:rPr>
              <w:t>Metric Name</w:t>
            </w:r>
          </w:p>
        </w:tc>
        <w:tc>
          <w:tcPr>
            <w:tcW w:type="dxa" w:w="1440"/>
          </w:tcPr>
          <w:p>
            <w:r>
              <w:rPr>
                <w:b/>
              </w:rPr>
              <w:t>FY16-&gt;FY17</w:t>
            </w:r>
          </w:p>
        </w:tc>
        <w:tc>
          <w:tcPr>
            <w:tcW w:type="dxa" w:w="1440"/>
          </w:tcPr>
          <w:p>
            <w:r>
              <w:rPr>
                <w:b/>
              </w:rPr>
              <w:t>FY17-&gt;FY18</w:t>
            </w:r>
          </w:p>
        </w:tc>
        <w:tc>
          <w:tcPr>
            <w:tcW w:type="dxa" w:w="1440"/>
          </w:tcPr>
          <w:p>
            <w:r>
              <w:rPr>
                <w:b/>
              </w:rPr>
              <w:t>FY18-&gt;FY19</w:t>
            </w:r>
          </w:p>
        </w:tc>
        <w:tc>
          <w:tcPr>
            <w:tcW w:type="dxa" w:w="1440"/>
          </w:tcPr>
          <w:p>
            <w:r>
              <w:rPr>
                <w:b/>
              </w:rPr>
              <w:t>FY19-&gt;FY20</w:t>
            </w:r>
          </w:p>
        </w:tc>
        <w:tc>
          <w:tcPr>
            <w:tcW w:type="dxa" w:w="1440"/>
          </w:tcPr>
          <w:p>
            <w:r>
              <w:rPr>
                <w:b/>
              </w:rPr>
              <w:t>Cumulative (FY16-&gt;FY20)</w:t>
            </w:r>
          </w:p>
        </w:tc>
      </w:tr>
      <w:tr>
        <w:tc>
          <w:tcPr>
            <w:tcW w:type="dxa" w:w="1440"/>
          </w:tcPr>
          <w:p>
            <w:r>
              <w:t>Return on Equity (ROE)</w:t>
            </w:r>
          </w:p>
        </w:tc>
        <w:tc>
          <w:tcPr>
            <w:tcW w:type="dxa" w:w="1440"/>
          </w:tcPr>
          <w:p>
            <w:r>
              <w:t>+1.79%</w:t>
            </w:r>
          </w:p>
        </w:tc>
        <w:tc>
          <w:tcPr>
            <w:tcW w:type="dxa" w:w="1440"/>
          </w:tcPr>
          <w:p>
            <w:r>
              <w:t>-12.06%</w:t>
            </w:r>
          </w:p>
        </w:tc>
        <w:tc>
          <w:tcPr>
            <w:tcW w:type="dxa" w:w="1440"/>
          </w:tcPr>
          <w:p>
            <w:r>
              <w:t>-12.29%</w:t>
            </w:r>
          </w:p>
        </w:tc>
        <w:tc>
          <w:tcPr>
            <w:tcW w:type="dxa" w:w="1440"/>
          </w:tcPr>
          <w:p>
            <w:r>
              <w:t>-91.53%</w:t>
            </w:r>
          </w:p>
        </w:tc>
        <w:tc>
          <w:tcPr>
            <w:tcW w:type="dxa" w:w="1440"/>
          </w:tcPr>
          <w:p>
            <w:r>
              <w:t>-93.35%</w:t>
            </w:r>
          </w:p>
        </w:tc>
      </w:tr>
      <w:tr>
        <w:tc>
          <w:tcPr>
            <w:tcW w:type="dxa" w:w="1440"/>
          </w:tcPr>
          <w:p>
            <w:r>
              <w:t>Return on Assets (ROA)</w:t>
            </w:r>
          </w:p>
        </w:tc>
        <w:tc>
          <w:tcPr>
            <w:tcW w:type="dxa" w:w="1440"/>
          </w:tcPr>
          <w:p>
            <w:r>
              <w:t>+11.76%</w:t>
            </w:r>
          </w:p>
        </w:tc>
        <w:tc>
          <w:tcPr>
            <w:tcW w:type="dxa" w:w="1440"/>
          </w:tcPr>
          <w:p>
            <w:r>
              <w:t>-8.42%</w:t>
            </w:r>
          </w:p>
        </w:tc>
        <w:tc>
          <w:tcPr>
            <w:tcW w:type="dxa" w:w="1440"/>
          </w:tcPr>
          <w:p>
            <w:r>
              <w:t>-8.05%</w:t>
            </w:r>
          </w:p>
        </w:tc>
        <w:tc>
          <w:tcPr>
            <w:tcW w:type="dxa" w:w="1440"/>
          </w:tcPr>
          <w:p>
            <w:r>
              <w:t>-90.00%</w:t>
            </w:r>
          </w:p>
        </w:tc>
        <w:tc>
          <w:tcPr>
            <w:tcW w:type="dxa" w:w="1440"/>
          </w:tcPr>
          <w:p>
            <w:r>
              <w:t>-90.59%</w:t>
            </w:r>
          </w:p>
        </w:tc>
      </w:tr>
      <w:tr>
        <w:tc>
          <w:tcPr>
            <w:tcW w:type="dxa" w:w="1440"/>
          </w:tcPr>
          <w:p>
            <w:r>
              <w:t>Price-to-Earnings (P/E)</w:t>
            </w:r>
          </w:p>
        </w:tc>
        <w:tc>
          <w:tcPr>
            <w:tcW w:type="dxa" w:w="1440"/>
          </w:tcPr>
          <w:p>
            <w:r>
              <w:t>-4.07%</w:t>
            </w:r>
          </w:p>
        </w:tc>
        <w:tc>
          <w:tcPr>
            <w:tcW w:type="dxa" w:w="1440"/>
          </w:tcPr>
          <w:p>
            <w:r>
              <w:t>-10.42%</w:t>
            </w:r>
          </w:p>
        </w:tc>
        <w:tc>
          <w:tcPr>
            <w:tcW w:type="dxa" w:w="1440"/>
          </w:tcPr>
          <w:p>
            <w:r>
              <w:t>+4.31%</w:t>
            </w:r>
          </w:p>
        </w:tc>
        <w:tc>
          <w:tcPr>
            <w:tcW w:type="dxa" w:w="1440"/>
          </w:tcPr>
          <w:p>
            <w:r>
              <w:t>+161.98%</w:t>
            </w:r>
          </w:p>
        </w:tc>
        <w:tc>
          <w:tcPr>
            <w:tcW w:type="dxa" w:w="1440"/>
          </w:tcPr>
          <w:p>
            <w:r>
              <w:t>+134.81%</w:t>
            </w:r>
          </w:p>
        </w:tc>
      </w:tr>
      <w:tr>
        <w:tc>
          <w:tcPr>
            <w:tcW w:type="dxa" w:w="1440"/>
          </w:tcPr>
          <w:p>
            <w:r>
              <w:t>Operating Cash Flow Ratio</w:t>
            </w:r>
          </w:p>
        </w:tc>
        <w:tc>
          <w:tcPr>
            <w:tcW w:type="dxa" w:w="1440"/>
          </w:tcPr>
          <w:p>
            <w:r>
              <w:t>0.00%</w:t>
            </w:r>
          </w:p>
        </w:tc>
        <w:tc>
          <w:tcPr>
            <w:tcW w:type="dxa" w:w="1440"/>
          </w:tcPr>
          <w:p>
            <w:r>
              <w:t>+3.33%</w:t>
            </w:r>
          </w:p>
        </w:tc>
        <w:tc>
          <w:tcPr>
            <w:tcW w:type="dxa" w:w="1440"/>
          </w:tcPr>
          <w:p>
            <w:r>
              <w:t>-3.23%</w:t>
            </w:r>
          </w:p>
        </w:tc>
        <w:tc>
          <w:tcPr>
            <w:tcW w:type="dxa" w:w="1440"/>
          </w:tcPr>
          <w:p>
            <w:r>
              <w:t>-56.67%</w:t>
            </w:r>
          </w:p>
        </w:tc>
        <w:tc>
          <w:tcPr>
            <w:tcW w:type="dxa" w:w="1440"/>
          </w:tcPr>
          <w:p>
            <w:r>
              <w:t>-56.67%</w:t>
            </w:r>
          </w:p>
        </w:tc>
      </w:tr>
      <w:tr>
        <w:tc>
          <w:tcPr>
            <w:tcW w:type="dxa" w:w="1440"/>
          </w:tcPr>
          <w:p>
            <w:r>
              <w:t>Free Cash Flow Margin</w:t>
            </w:r>
          </w:p>
        </w:tc>
        <w:tc>
          <w:tcPr>
            <w:tcW w:type="dxa" w:w="1440"/>
          </w:tcPr>
          <w:p>
            <w:r>
              <w:t>+4.88%</w:t>
            </w:r>
          </w:p>
        </w:tc>
        <w:tc>
          <w:tcPr>
            <w:tcW w:type="dxa" w:w="1440"/>
          </w:tcPr>
          <w:p>
            <w:r>
              <w:t>+13.95%</w:t>
            </w:r>
          </w:p>
        </w:tc>
        <w:tc>
          <w:tcPr>
            <w:tcW w:type="dxa" w:w="1440"/>
          </w:tcPr>
          <w:p>
            <w:r>
              <w:t>+2.04%</w:t>
            </w:r>
          </w:p>
        </w:tc>
        <w:tc>
          <w:tcPr>
            <w:tcW w:type="dxa" w:w="1440"/>
          </w:tcPr>
          <w:p>
            <w:r>
              <w:t>-78.00%</w:t>
            </w:r>
          </w:p>
        </w:tc>
        <w:tc>
          <w:tcPr>
            <w:tcW w:type="dxa" w:w="1440"/>
          </w:tcPr>
          <w:p>
            <w:r>
              <w:t>-73.17%</w:t>
            </w:r>
          </w:p>
        </w:tc>
      </w:tr>
    </w:tbl>
    <w:p>
      <w:pPr>
        <w:pStyle w:val="Heading2"/>
      </w:pPr>
      <w:r>
        <w:t>5. Deep-Dive Trend Analysis &amp; Key Drivers</w:t>
      </w:r>
    </w:p>
    <w:p>
      <w:pPr>
        <w:pStyle w:val="Heading3"/>
      </w:pPr>
      <w:r>
        <w:t>1. Pre-2020 Baseline vs. FY 2020 Shock</w:t>
      </w:r>
    </w:p>
    <w:p>
      <w:r>
        <w:t>Comparing the Pre-2020 Average against FY 2020 Actuals demonstrates the scale of the financial impact:</w:t>
      </w:r>
    </w:p>
    <w:p>
      <w:pPr>
        <w:pStyle w:val="ListBullet"/>
      </w:pPr>
      <w:r>
        <w:t>• ROE: Contracted by 33.55 percentage points relative to its pre-2020 baseline (36.15% vs. 2.6%).</w:t>
      </w:r>
    </w:p>
    <w:p>
      <w:pPr>
        <w:pStyle w:val="ListBullet"/>
      </w:pPr>
      <w:r>
        <w:t>• ROA: Decreased by 7.88 percentage points from its pre-2020 average (8.68% vs. 0.8%).</w:t>
      </w:r>
    </w:p>
    <w:p>
      <w:pPr>
        <w:pStyle w:val="ListBullet"/>
      </w:pPr>
      <w:r>
        <w:t>• FCF Margin: Dropped by 3.48 percentage points from its historical baseline (4.58% vs. 1.1%).</w:t>
      </w:r>
    </w:p>
    <w:p>
      <w:pPr>
        <w:pStyle w:val="Heading3"/>
      </w:pPr>
      <w:r>
        <w:t>2. Analysis of the Valuation Surge (P/E = 63.4x)</w:t>
      </w:r>
    </w:p>
    <w:p>
      <w:r>
        <w:t>The expansion of the P/E ratio from 24.2x in FY 2019 to 63.4x in FY 2020 (+161.98%) represents a classic earnings squeeze. Net earnings dropped significantly faster than equity market prices adjusted, inflating the valuation multiple.</w:t>
      </w:r>
    </w:p>
    <w:p>
      <w:pPr>
        <w:pStyle w:val="Heading3"/>
      </w:pPr>
      <w:r>
        <w:t>3. Cash Flow Contraction</w:t>
      </w:r>
    </w:p>
    <w:p>
      <w:pPr>
        <w:pStyle w:val="ListBullet"/>
      </w:pPr>
      <w:r>
        <w:t>• While the Operating Cash Flow Ratio decreased by 56.67% (from 0.30x to 0.13x), the Free Cash Flow Margin experienced a larger drop of 78.00% (from 5.0% to 1.1%).</w:t>
      </w:r>
    </w:p>
    <w:p>
      <w:pPr>
        <w:pStyle w:val="ListBullet"/>
      </w:pPr>
      <w:r>
        <w:t>• This larger decline in Free Cash Flow relative to Operating Cash Flow indicates that ongoing fixed commitments or capital expenditures consumed a higher proportion of operating cash during the low-revenue environment in FY 2020.</w:t>
      </w:r>
    </w:p>
    <w:p>
      <w:pPr>
        <w:pStyle w:val="Heading2"/>
      </w:pPr>
      <w:r>
        <w:t>6. Strategic Conclusions &amp; Business Recommendations</w:t>
      </w:r>
    </w:p>
    <w:p>
      <w:pPr>
        <w:pStyle w:val="ListNumber"/>
      </w:pPr>
      <w:r>
        <w:rPr>
          <w:b/>
        </w:rPr>
        <w:t xml:space="preserve">Rebuild Asset Efficiency &amp; Margin Quality: </w:t>
      </w:r>
      <w:r>
        <w:t>Prior to FY 2020, the business sustained strong asset productivity (ROA 8.0% - 9.5%). Operational priorities should focus on cost optimization and asset utilization to restore ROA toward historical averages.</w:t>
      </w:r>
    </w:p>
    <w:p>
      <w:pPr>
        <w:pStyle w:val="ListNumber"/>
      </w:pPr>
      <w:r>
        <w:rPr>
          <w:b/>
        </w:rPr>
        <w:t xml:space="preserve">Normalize Valuation Dynamics: </w:t>
      </w:r>
      <w:r>
        <w:t>Investors and executive management should recognize that the 63.4x P/E ratio reflects temporary earnings suppression rather than high market growth expectations. Restoring profitability will help normalize valuation multiples toward historical ranges (23x - 27x).</w:t>
      </w:r>
    </w:p>
    <w:p>
      <w:pPr>
        <w:pStyle w:val="ListNumber"/>
      </w:pPr>
      <w:r>
        <w:rPr>
          <w:b/>
        </w:rPr>
        <w:t xml:space="preserve">Strengthen Short-Term Liquidity Reserves: </w:t>
      </w:r>
      <w:r>
        <w:t>With the Operating Cash Flow ratio dropping to 0.13x in FY 2020, management should review working capital management to maintain sufficient liquidity buffers during challenging operating conditions.</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