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3814E"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 xml:space="preserve">Name: </w:t>
      </w:r>
      <w:proofErr w:type="spellStart"/>
      <w:r>
        <w:rPr>
          <w:rFonts w:ascii="Arial" w:hAnsi="Arial" w:cs="Arial"/>
          <w:sz w:val="22"/>
          <w:szCs w:val="22"/>
        </w:rPr>
        <w:t>Laiba</w:t>
      </w:r>
      <w:proofErr w:type="spellEnd"/>
      <w:r>
        <w:rPr>
          <w:rFonts w:ascii="Arial" w:hAnsi="Arial" w:cs="Arial"/>
          <w:sz w:val="22"/>
          <w:szCs w:val="22"/>
        </w:rPr>
        <w:t xml:space="preserve"> </w:t>
      </w:r>
      <w:proofErr w:type="spellStart"/>
      <w:r>
        <w:rPr>
          <w:rFonts w:ascii="Arial" w:hAnsi="Arial" w:cs="Arial"/>
          <w:sz w:val="22"/>
          <w:szCs w:val="22"/>
        </w:rPr>
        <w:t>Zafran</w:t>
      </w:r>
      <w:proofErr w:type="spellEnd"/>
    </w:p>
    <w:p w14:paraId="20F45498"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Student number: 2421654</w:t>
      </w:r>
    </w:p>
    <w:p w14:paraId="585E1B17"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Assignment title: Component 1: Written Assignment (Reflective Report)</w:t>
      </w:r>
    </w:p>
    <w:p w14:paraId="2D423353"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Module code: BMHP5016</w:t>
      </w:r>
    </w:p>
    <w:p w14:paraId="5FB7B531"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 xml:space="preserve">Lecturers name: </w:t>
      </w:r>
      <w:proofErr w:type="spellStart"/>
      <w:r>
        <w:rPr>
          <w:rFonts w:ascii="Arial" w:hAnsi="Arial" w:cs="Arial"/>
          <w:sz w:val="22"/>
          <w:szCs w:val="22"/>
        </w:rPr>
        <w:t>Aishat</w:t>
      </w:r>
      <w:proofErr w:type="spellEnd"/>
      <w:r>
        <w:rPr>
          <w:rFonts w:ascii="Arial" w:hAnsi="Arial" w:cs="Arial"/>
          <w:sz w:val="22"/>
          <w:szCs w:val="22"/>
        </w:rPr>
        <w:t xml:space="preserve"> </w:t>
      </w:r>
      <w:proofErr w:type="spellStart"/>
      <w:r>
        <w:rPr>
          <w:rFonts w:ascii="Arial" w:hAnsi="Arial" w:cs="Arial"/>
          <w:sz w:val="22"/>
          <w:szCs w:val="22"/>
        </w:rPr>
        <w:t>Bakre</w:t>
      </w:r>
      <w:proofErr w:type="spellEnd"/>
    </w:p>
    <w:p w14:paraId="25AF01ED"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Module title: Principles of Health and Social Care practice</w:t>
      </w:r>
    </w:p>
    <w:p w14:paraId="45E9B4DE" w14:textId="77777777" w:rsidR="00D60CCF" w:rsidRDefault="00D60CCF" w:rsidP="00090E6F">
      <w:pPr>
        <w:spacing w:line="360" w:lineRule="auto"/>
        <w:jc w:val="center"/>
        <w:rPr>
          <w:rFonts w:ascii="Arial" w:hAnsi="Arial" w:cs="Arial"/>
          <w:sz w:val="22"/>
          <w:szCs w:val="22"/>
        </w:rPr>
      </w:pPr>
    </w:p>
    <w:p w14:paraId="2143C16A" w14:textId="77777777" w:rsidR="00200F44" w:rsidRDefault="00200F44" w:rsidP="00E042A5">
      <w:pPr>
        <w:spacing w:line="360" w:lineRule="auto"/>
        <w:jc w:val="center"/>
        <w:rPr>
          <w:rFonts w:ascii="Arial" w:hAnsi="Arial" w:cs="Arial"/>
          <w:sz w:val="22"/>
          <w:szCs w:val="22"/>
        </w:rPr>
      </w:pPr>
    </w:p>
    <w:p w14:paraId="5ABA81A9" w14:textId="77777777" w:rsidR="00200F44" w:rsidRDefault="00200F44" w:rsidP="00E042A5">
      <w:pPr>
        <w:spacing w:line="360" w:lineRule="auto"/>
        <w:jc w:val="center"/>
        <w:rPr>
          <w:rFonts w:ascii="Arial" w:hAnsi="Arial" w:cs="Arial"/>
          <w:sz w:val="22"/>
          <w:szCs w:val="22"/>
        </w:rPr>
      </w:pPr>
    </w:p>
    <w:p w14:paraId="4E79BB0A" w14:textId="77777777" w:rsidR="00200F44" w:rsidRDefault="00200F44" w:rsidP="00E042A5">
      <w:pPr>
        <w:spacing w:line="360" w:lineRule="auto"/>
        <w:jc w:val="center"/>
        <w:rPr>
          <w:rFonts w:ascii="Arial" w:hAnsi="Arial" w:cs="Arial"/>
          <w:sz w:val="22"/>
          <w:szCs w:val="22"/>
        </w:rPr>
      </w:pPr>
    </w:p>
    <w:p w14:paraId="75F4F1A6" w14:textId="77777777" w:rsidR="00B1319B" w:rsidRDefault="00B1319B" w:rsidP="00E042A5">
      <w:pPr>
        <w:spacing w:line="360" w:lineRule="auto"/>
        <w:jc w:val="center"/>
        <w:rPr>
          <w:rFonts w:ascii="Arial" w:hAnsi="Arial" w:cs="Arial"/>
          <w:sz w:val="22"/>
          <w:szCs w:val="22"/>
        </w:rPr>
      </w:pPr>
    </w:p>
    <w:p w14:paraId="55339615" w14:textId="77777777" w:rsidR="00B1319B" w:rsidRDefault="00B1319B" w:rsidP="00E042A5">
      <w:pPr>
        <w:spacing w:line="360" w:lineRule="auto"/>
        <w:jc w:val="center"/>
        <w:rPr>
          <w:rFonts w:ascii="Arial" w:hAnsi="Arial" w:cs="Arial"/>
          <w:sz w:val="22"/>
          <w:szCs w:val="22"/>
        </w:rPr>
      </w:pPr>
    </w:p>
    <w:p w14:paraId="35C7CD9A" w14:textId="77777777" w:rsidR="00B1319B" w:rsidRDefault="00B1319B" w:rsidP="00E042A5">
      <w:pPr>
        <w:spacing w:line="360" w:lineRule="auto"/>
        <w:jc w:val="center"/>
        <w:rPr>
          <w:rFonts w:ascii="Arial" w:hAnsi="Arial" w:cs="Arial"/>
          <w:sz w:val="22"/>
          <w:szCs w:val="22"/>
        </w:rPr>
      </w:pPr>
    </w:p>
    <w:p w14:paraId="0CD65C20" w14:textId="77777777" w:rsidR="003F5D31" w:rsidRDefault="003F5D31" w:rsidP="00E042A5">
      <w:pPr>
        <w:spacing w:line="360" w:lineRule="auto"/>
        <w:jc w:val="center"/>
        <w:rPr>
          <w:rFonts w:ascii="Arial" w:hAnsi="Arial" w:cs="Arial"/>
          <w:sz w:val="22"/>
          <w:szCs w:val="22"/>
        </w:rPr>
      </w:pPr>
    </w:p>
    <w:p w14:paraId="04E765F5" w14:textId="77777777" w:rsidR="003F5D31" w:rsidRDefault="003F5D31" w:rsidP="00E042A5">
      <w:pPr>
        <w:spacing w:line="360" w:lineRule="auto"/>
        <w:jc w:val="center"/>
        <w:rPr>
          <w:rFonts w:ascii="Arial" w:hAnsi="Arial" w:cs="Arial"/>
          <w:sz w:val="22"/>
          <w:szCs w:val="22"/>
        </w:rPr>
      </w:pPr>
    </w:p>
    <w:p w14:paraId="59874C74" w14:textId="77777777" w:rsidR="003F5D31" w:rsidRDefault="003F5D31" w:rsidP="00E042A5">
      <w:pPr>
        <w:spacing w:line="360" w:lineRule="auto"/>
        <w:jc w:val="center"/>
        <w:rPr>
          <w:rFonts w:ascii="Arial" w:hAnsi="Arial" w:cs="Arial"/>
          <w:sz w:val="22"/>
          <w:szCs w:val="22"/>
        </w:rPr>
      </w:pPr>
    </w:p>
    <w:p w14:paraId="552F5F61" w14:textId="77777777" w:rsidR="003F5D31" w:rsidRDefault="003F5D31" w:rsidP="00E042A5">
      <w:pPr>
        <w:spacing w:line="360" w:lineRule="auto"/>
        <w:jc w:val="center"/>
        <w:rPr>
          <w:rFonts w:ascii="Arial" w:hAnsi="Arial" w:cs="Arial"/>
          <w:sz w:val="22"/>
          <w:szCs w:val="22"/>
        </w:rPr>
      </w:pPr>
    </w:p>
    <w:p w14:paraId="42AFEBED" w14:textId="77777777" w:rsidR="003F5D31" w:rsidRDefault="003F5D31" w:rsidP="00E042A5">
      <w:pPr>
        <w:spacing w:line="360" w:lineRule="auto"/>
        <w:jc w:val="center"/>
        <w:rPr>
          <w:rFonts w:ascii="Arial" w:hAnsi="Arial" w:cs="Arial"/>
          <w:sz w:val="22"/>
          <w:szCs w:val="22"/>
        </w:rPr>
      </w:pPr>
    </w:p>
    <w:p w14:paraId="3C5167CC" w14:textId="77777777" w:rsidR="003F5D31" w:rsidRDefault="003F5D31" w:rsidP="00E042A5">
      <w:pPr>
        <w:spacing w:line="360" w:lineRule="auto"/>
        <w:jc w:val="center"/>
        <w:rPr>
          <w:rFonts w:ascii="Arial" w:hAnsi="Arial" w:cs="Arial"/>
          <w:sz w:val="22"/>
          <w:szCs w:val="22"/>
        </w:rPr>
      </w:pPr>
    </w:p>
    <w:p w14:paraId="3A9CF0A3" w14:textId="77777777" w:rsidR="003F5D31" w:rsidRDefault="003F5D31" w:rsidP="00E042A5">
      <w:pPr>
        <w:spacing w:line="360" w:lineRule="auto"/>
        <w:jc w:val="center"/>
        <w:rPr>
          <w:rFonts w:ascii="Arial" w:hAnsi="Arial" w:cs="Arial"/>
          <w:sz w:val="22"/>
          <w:szCs w:val="22"/>
        </w:rPr>
      </w:pPr>
    </w:p>
    <w:p w14:paraId="7401D4F1" w14:textId="77777777" w:rsidR="003F5D31" w:rsidRDefault="003F5D31" w:rsidP="00E042A5">
      <w:pPr>
        <w:spacing w:line="360" w:lineRule="auto"/>
        <w:jc w:val="center"/>
        <w:rPr>
          <w:rFonts w:ascii="Arial" w:hAnsi="Arial" w:cs="Arial"/>
          <w:sz w:val="22"/>
          <w:szCs w:val="22"/>
        </w:rPr>
      </w:pPr>
    </w:p>
    <w:p w14:paraId="6165394E" w14:textId="77777777" w:rsidR="003F5D31" w:rsidRDefault="003F5D31" w:rsidP="00E042A5">
      <w:pPr>
        <w:spacing w:line="360" w:lineRule="auto"/>
        <w:jc w:val="center"/>
        <w:rPr>
          <w:rFonts w:ascii="Arial" w:hAnsi="Arial" w:cs="Arial"/>
          <w:sz w:val="22"/>
          <w:szCs w:val="22"/>
        </w:rPr>
      </w:pPr>
    </w:p>
    <w:p w14:paraId="7E761A34" w14:textId="77777777" w:rsidR="003F5D31" w:rsidRDefault="003F5D31" w:rsidP="003F5D31">
      <w:pPr>
        <w:spacing w:line="360" w:lineRule="auto"/>
        <w:rPr>
          <w:rFonts w:ascii="Arial" w:hAnsi="Arial" w:cs="Arial"/>
          <w:sz w:val="22"/>
          <w:szCs w:val="22"/>
        </w:rPr>
      </w:pPr>
    </w:p>
    <w:p w14:paraId="27D1E7EB" w14:textId="77777777" w:rsidR="001342AE" w:rsidRDefault="001342AE" w:rsidP="003F5D31">
      <w:pPr>
        <w:spacing w:line="360" w:lineRule="auto"/>
        <w:rPr>
          <w:rFonts w:ascii="Arial" w:hAnsi="Arial" w:cs="Arial"/>
          <w:sz w:val="22"/>
          <w:szCs w:val="22"/>
        </w:rPr>
      </w:pPr>
    </w:p>
    <w:p w14:paraId="720FA188" w14:textId="3E91D54B" w:rsidR="00A4783D" w:rsidRDefault="00A4783D" w:rsidP="003F5D31">
      <w:pPr>
        <w:spacing w:line="360" w:lineRule="auto"/>
        <w:rPr>
          <w:rFonts w:ascii="Arial" w:hAnsi="Arial" w:cs="Arial"/>
          <w:b/>
          <w:bCs/>
          <w:sz w:val="22"/>
          <w:szCs w:val="22"/>
          <w:u w:val="single"/>
        </w:rPr>
      </w:pPr>
      <w:r>
        <w:rPr>
          <w:rFonts w:ascii="Arial" w:hAnsi="Arial" w:cs="Arial"/>
          <w:b/>
          <w:bCs/>
          <w:sz w:val="22"/>
          <w:szCs w:val="22"/>
          <w:u w:val="single"/>
        </w:rPr>
        <w:lastRenderedPageBreak/>
        <w:t xml:space="preserve">Abstract </w:t>
      </w:r>
    </w:p>
    <w:p w14:paraId="633BFA9B" w14:textId="5B5D3431" w:rsidR="00A4783D" w:rsidRPr="00A4783D" w:rsidRDefault="00A4783D" w:rsidP="003F5D31">
      <w:pPr>
        <w:spacing w:line="360" w:lineRule="auto"/>
        <w:rPr>
          <w:rFonts w:ascii="Arial" w:hAnsi="Arial" w:cs="Arial"/>
          <w:sz w:val="22"/>
          <w:szCs w:val="22"/>
        </w:rPr>
      </w:pPr>
      <w:r w:rsidRPr="00A4783D">
        <w:rPr>
          <w:rFonts w:ascii="Arial" w:hAnsi="Arial" w:cs="Arial"/>
          <w:sz w:val="22"/>
          <w:szCs w:val="22"/>
        </w:rPr>
        <w:t xml:space="preserve">This report will cover the concepts of </w:t>
      </w:r>
      <w:proofErr w:type="spellStart"/>
      <w:r w:rsidRPr="00A4783D">
        <w:rPr>
          <w:rFonts w:ascii="Arial" w:hAnsi="Arial" w:cs="Arial"/>
          <w:sz w:val="22"/>
          <w:szCs w:val="22"/>
        </w:rPr>
        <w:t>person-centred</w:t>
      </w:r>
      <w:proofErr w:type="spellEnd"/>
      <w:r w:rsidRPr="00A4783D">
        <w:rPr>
          <w:rFonts w:ascii="Arial" w:hAnsi="Arial" w:cs="Arial"/>
          <w:sz w:val="22"/>
          <w:szCs w:val="22"/>
        </w:rPr>
        <w:t xml:space="preserve"> </w:t>
      </w:r>
      <w:r w:rsidR="00E519AD" w:rsidRPr="00A4783D">
        <w:rPr>
          <w:rFonts w:ascii="Arial" w:hAnsi="Arial" w:cs="Arial"/>
          <w:sz w:val="22"/>
          <w:szCs w:val="22"/>
        </w:rPr>
        <w:t>care and</w:t>
      </w:r>
      <w:r w:rsidRPr="00A4783D">
        <w:rPr>
          <w:rFonts w:ascii="Arial" w:hAnsi="Arial" w:cs="Arial"/>
          <w:sz w:val="22"/>
          <w:szCs w:val="22"/>
        </w:rPr>
        <w:t xml:space="preserve"> partnership working specifically in the UK's mental health care system and its community care services. It will cover the concepts behind the idea of </w:t>
      </w:r>
      <w:proofErr w:type="spellStart"/>
      <w:r w:rsidRPr="00A4783D">
        <w:rPr>
          <w:rFonts w:ascii="Arial" w:hAnsi="Arial" w:cs="Arial"/>
          <w:sz w:val="22"/>
          <w:szCs w:val="22"/>
        </w:rPr>
        <w:t>person-centred</w:t>
      </w:r>
      <w:proofErr w:type="spellEnd"/>
      <w:r w:rsidRPr="00A4783D">
        <w:rPr>
          <w:rFonts w:ascii="Arial" w:hAnsi="Arial" w:cs="Arial"/>
          <w:sz w:val="22"/>
          <w:szCs w:val="22"/>
        </w:rPr>
        <w:t xml:space="preserve"> care and why it is important to the users of the mental health care system, including the concepts of humanistic theory and the recovery model. It will also cover the basic ethical concepts of autonomy, beneficence, non-maleficence, and justice and the ethical dilemmas that come up in the mental health care system, particularly in relation to autonomy and risk managemen</w:t>
      </w:r>
      <w:r w:rsidR="00BF68D8">
        <w:rPr>
          <w:rFonts w:ascii="Arial" w:hAnsi="Arial" w:cs="Arial"/>
          <w:sz w:val="22"/>
          <w:szCs w:val="22"/>
        </w:rPr>
        <w:t>t</w:t>
      </w:r>
      <w:r w:rsidRPr="00A4783D">
        <w:rPr>
          <w:rFonts w:ascii="Arial" w:hAnsi="Arial" w:cs="Arial"/>
          <w:sz w:val="22"/>
          <w:szCs w:val="22"/>
        </w:rPr>
        <w:t xml:space="preserve">. It will cover the laws such as the Mental Health Act, the Mental Capacity Act, and the Care Act and their relation to the concepts of </w:t>
      </w:r>
      <w:proofErr w:type="spellStart"/>
      <w:r w:rsidRPr="00A4783D">
        <w:rPr>
          <w:rFonts w:ascii="Arial" w:hAnsi="Arial" w:cs="Arial"/>
          <w:sz w:val="22"/>
          <w:szCs w:val="22"/>
        </w:rPr>
        <w:t>person-centred</w:t>
      </w:r>
      <w:proofErr w:type="spellEnd"/>
      <w:r w:rsidRPr="00A4783D">
        <w:rPr>
          <w:rFonts w:ascii="Arial" w:hAnsi="Arial" w:cs="Arial"/>
          <w:sz w:val="22"/>
          <w:szCs w:val="22"/>
        </w:rPr>
        <w:t xml:space="preserve"> care and partnership working. In conclusion, the concepts of </w:t>
      </w:r>
      <w:proofErr w:type="spellStart"/>
      <w:r w:rsidRPr="00A4783D">
        <w:rPr>
          <w:rFonts w:ascii="Arial" w:hAnsi="Arial" w:cs="Arial"/>
          <w:sz w:val="22"/>
          <w:szCs w:val="22"/>
        </w:rPr>
        <w:t>person-centred</w:t>
      </w:r>
      <w:proofErr w:type="spellEnd"/>
      <w:r w:rsidRPr="00A4783D">
        <w:rPr>
          <w:rFonts w:ascii="Arial" w:hAnsi="Arial" w:cs="Arial"/>
          <w:sz w:val="22"/>
          <w:szCs w:val="22"/>
        </w:rPr>
        <w:t xml:space="preserve"> car and partnership working are still relevant to the mental health care system, but the problems that still need to be solved in the system, such as the lack of resources and communication, need to be further addressed to build on the recovery model.</w:t>
      </w:r>
    </w:p>
    <w:p w14:paraId="57D324E3" w14:textId="1F2BE57D" w:rsidR="0030256F" w:rsidRDefault="00E218B6" w:rsidP="003F5D31">
      <w:pPr>
        <w:spacing w:line="360" w:lineRule="auto"/>
        <w:rPr>
          <w:rFonts w:ascii="Arial" w:hAnsi="Arial" w:cs="Arial"/>
          <w:b/>
          <w:bCs/>
          <w:sz w:val="22"/>
          <w:szCs w:val="22"/>
          <w:u w:val="single"/>
        </w:rPr>
      </w:pPr>
      <w:r w:rsidRPr="00E218B6">
        <w:rPr>
          <w:rFonts w:ascii="Arial" w:hAnsi="Arial" w:cs="Arial"/>
          <w:b/>
          <w:bCs/>
          <w:sz w:val="22"/>
          <w:szCs w:val="22"/>
          <w:u w:val="single"/>
        </w:rPr>
        <w:t>Introduction</w:t>
      </w:r>
    </w:p>
    <w:p w14:paraId="0DFC929F" w14:textId="3A37FD09" w:rsidR="00504553" w:rsidRPr="00504553" w:rsidRDefault="00504553" w:rsidP="00504553">
      <w:pPr>
        <w:spacing w:line="360" w:lineRule="auto"/>
        <w:rPr>
          <w:rFonts w:ascii="Arial" w:hAnsi="Arial" w:cs="Arial"/>
          <w:sz w:val="22"/>
          <w:szCs w:val="22"/>
        </w:rPr>
      </w:pPr>
      <w:proofErr w:type="spellStart"/>
      <w:r w:rsidRPr="00504553">
        <w:rPr>
          <w:rFonts w:ascii="Arial" w:hAnsi="Arial" w:cs="Arial"/>
          <w:sz w:val="22"/>
          <w:szCs w:val="22"/>
        </w:rPr>
        <w:t>Person-centred</w:t>
      </w:r>
      <w:proofErr w:type="spellEnd"/>
      <w:r w:rsidRPr="00504553">
        <w:rPr>
          <w:rFonts w:ascii="Arial" w:hAnsi="Arial" w:cs="Arial"/>
          <w:sz w:val="22"/>
          <w:szCs w:val="22"/>
        </w:rPr>
        <w:t xml:space="preserve"> care (PCC) and partnership working (PW) are two fundamental concepts in health and social care services in the United Kingdom today. </w:t>
      </w:r>
      <w:proofErr w:type="spellStart"/>
      <w:r w:rsidRPr="00504553">
        <w:rPr>
          <w:rFonts w:ascii="Arial" w:hAnsi="Arial" w:cs="Arial"/>
          <w:sz w:val="22"/>
          <w:szCs w:val="22"/>
        </w:rPr>
        <w:t>Person-centred</w:t>
      </w:r>
      <w:proofErr w:type="spellEnd"/>
      <w:r w:rsidRPr="00504553">
        <w:rPr>
          <w:rFonts w:ascii="Arial" w:hAnsi="Arial" w:cs="Arial"/>
          <w:sz w:val="22"/>
          <w:szCs w:val="22"/>
        </w:rPr>
        <w:t xml:space="preserve"> care and partnership working are particularly important in community mental health services since individuals often have complex and interconnected physical, mental health, and social care needs. Mental health care should not only manage symptoms but also promote independence and integration back into society. </w:t>
      </w:r>
      <w:proofErr w:type="spellStart"/>
      <w:r w:rsidRPr="00504553">
        <w:rPr>
          <w:rFonts w:ascii="Arial" w:hAnsi="Arial" w:cs="Arial"/>
          <w:sz w:val="22"/>
          <w:szCs w:val="22"/>
        </w:rPr>
        <w:t>Person-centred</w:t>
      </w:r>
      <w:proofErr w:type="spellEnd"/>
      <w:r w:rsidRPr="00504553">
        <w:rPr>
          <w:rFonts w:ascii="Arial" w:hAnsi="Arial" w:cs="Arial"/>
          <w:sz w:val="22"/>
          <w:szCs w:val="22"/>
        </w:rPr>
        <w:t xml:space="preserve"> and collaborative approaches to care have thus become the core of mental health care services</w:t>
      </w:r>
    </w:p>
    <w:p w14:paraId="1598EE26" w14:textId="2D9189BF" w:rsidR="00504553" w:rsidRDefault="00504553" w:rsidP="003F5D31">
      <w:pPr>
        <w:spacing w:line="360" w:lineRule="auto"/>
        <w:rPr>
          <w:rFonts w:ascii="Arial" w:hAnsi="Arial" w:cs="Arial"/>
          <w:sz w:val="22"/>
          <w:szCs w:val="22"/>
        </w:rPr>
      </w:pPr>
      <w:r w:rsidRPr="00504553">
        <w:rPr>
          <w:rFonts w:ascii="Arial" w:hAnsi="Arial" w:cs="Arial"/>
          <w:sz w:val="22"/>
          <w:szCs w:val="22"/>
        </w:rPr>
        <w:t xml:space="preserve">This report provides an in-depth examination of the application of </w:t>
      </w:r>
      <w:proofErr w:type="spellStart"/>
      <w:r w:rsidRPr="00504553">
        <w:rPr>
          <w:rFonts w:ascii="Arial" w:hAnsi="Arial" w:cs="Arial"/>
          <w:sz w:val="22"/>
          <w:szCs w:val="22"/>
        </w:rPr>
        <w:t>person-centred</w:t>
      </w:r>
      <w:proofErr w:type="spellEnd"/>
      <w:r w:rsidRPr="00504553">
        <w:rPr>
          <w:rFonts w:ascii="Arial" w:hAnsi="Arial" w:cs="Arial"/>
          <w:sz w:val="22"/>
          <w:szCs w:val="22"/>
        </w:rPr>
        <w:t xml:space="preserve"> care and partnership working in the United Kingdom's mental health care services in the community. The report also discusses the underlying philosophy and values of </w:t>
      </w:r>
      <w:proofErr w:type="spellStart"/>
      <w:r w:rsidRPr="00504553">
        <w:rPr>
          <w:rFonts w:ascii="Arial" w:hAnsi="Arial" w:cs="Arial"/>
          <w:sz w:val="22"/>
          <w:szCs w:val="22"/>
        </w:rPr>
        <w:t>person-centred</w:t>
      </w:r>
      <w:proofErr w:type="spellEnd"/>
      <w:r w:rsidRPr="00504553">
        <w:rPr>
          <w:rFonts w:ascii="Arial" w:hAnsi="Arial" w:cs="Arial"/>
          <w:sz w:val="22"/>
          <w:szCs w:val="22"/>
        </w:rPr>
        <w:t xml:space="preserve"> care practice, such as the humanistic perspective and the recovery model. The report also discusses the ethical principles of autonomy, doing good, non-maleficence, and justice in relation to mental health care dilemmas. The report also discusses the effectiveness of multidisciplinary teams in meeting the needs of mental health care users and the relevant laws governing mental health care services in the United Kingdom, such as the Mental Health Act 1983, the Mental Capacity Act 2005, and the Care Act 2014.</w:t>
      </w:r>
    </w:p>
    <w:p w14:paraId="382255CD" w14:textId="77777777" w:rsidR="00C10510" w:rsidRPr="00504553" w:rsidRDefault="00C10510" w:rsidP="003F5D31">
      <w:pPr>
        <w:spacing w:line="360" w:lineRule="auto"/>
        <w:rPr>
          <w:rFonts w:ascii="Arial" w:hAnsi="Arial" w:cs="Arial"/>
          <w:sz w:val="22"/>
          <w:szCs w:val="22"/>
        </w:rPr>
      </w:pPr>
    </w:p>
    <w:p w14:paraId="7D769A13" w14:textId="77777777" w:rsidR="00C14D56" w:rsidRDefault="006F5CC7" w:rsidP="006F5CC7">
      <w:pPr>
        <w:spacing w:line="360" w:lineRule="auto"/>
        <w:rPr>
          <w:rFonts w:ascii="Arial" w:hAnsi="Arial" w:cs="Arial"/>
          <w:b/>
          <w:bCs/>
          <w:sz w:val="22"/>
          <w:szCs w:val="22"/>
          <w:u w:val="single"/>
        </w:rPr>
      </w:pPr>
      <w:r w:rsidRPr="006F5CC7">
        <w:rPr>
          <w:rFonts w:ascii="Arial" w:hAnsi="Arial" w:cs="Arial"/>
          <w:b/>
          <w:bCs/>
          <w:sz w:val="22"/>
          <w:szCs w:val="22"/>
          <w:u w:val="single"/>
        </w:rPr>
        <w:lastRenderedPageBreak/>
        <w:t xml:space="preserve">Definition of Person </w:t>
      </w:r>
      <w:proofErr w:type="spellStart"/>
      <w:r w:rsidRPr="006F5CC7">
        <w:rPr>
          <w:rFonts w:ascii="Arial" w:hAnsi="Arial" w:cs="Arial"/>
          <w:b/>
          <w:bCs/>
          <w:sz w:val="22"/>
          <w:szCs w:val="22"/>
          <w:u w:val="single"/>
        </w:rPr>
        <w:t>Centred</w:t>
      </w:r>
      <w:proofErr w:type="spellEnd"/>
      <w:r w:rsidRPr="006F5CC7">
        <w:rPr>
          <w:rFonts w:ascii="Arial" w:hAnsi="Arial" w:cs="Arial"/>
          <w:b/>
          <w:bCs/>
          <w:sz w:val="22"/>
          <w:szCs w:val="22"/>
          <w:u w:val="single"/>
        </w:rPr>
        <w:t xml:space="preserve"> Care</w:t>
      </w:r>
      <w:r>
        <w:rPr>
          <w:rFonts w:ascii="Arial" w:hAnsi="Arial" w:cs="Arial"/>
          <w:b/>
          <w:bCs/>
          <w:sz w:val="22"/>
          <w:szCs w:val="22"/>
          <w:u w:val="single"/>
        </w:rPr>
        <w:t xml:space="preserve"> (PCC)</w:t>
      </w:r>
    </w:p>
    <w:p w14:paraId="1154A293" w14:textId="5F7C3F0E" w:rsidR="006F5CC7" w:rsidRPr="007C122C" w:rsidRDefault="006F5CC7" w:rsidP="006F5CC7">
      <w:pPr>
        <w:spacing w:line="360" w:lineRule="auto"/>
        <w:rPr>
          <w:rFonts w:ascii="Arial" w:hAnsi="Arial" w:cs="Arial"/>
          <w:b/>
          <w:bCs/>
          <w:sz w:val="22"/>
          <w:szCs w:val="22"/>
          <w:u w:val="single"/>
        </w:rPr>
      </w:pPr>
      <w:r w:rsidRPr="006C2B2D">
        <w:rPr>
          <w:rFonts w:ascii="Arial" w:hAnsi="Arial" w:cs="Arial"/>
          <w:sz w:val="22"/>
          <w:szCs w:val="22"/>
        </w:rPr>
        <w:t xml:space="preserve">The basic concept of </w:t>
      </w:r>
      <w:proofErr w:type="spellStart"/>
      <w:r w:rsidRPr="006C2B2D">
        <w:rPr>
          <w:rFonts w:ascii="Arial" w:hAnsi="Arial" w:cs="Arial"/>
          <w:sz w:val="22"/>
          <w:szCs w:val="22"/>
        </w:rPr>
        <w:t>person-centred</w:t>
      </w:r>
      <w:proofErr w:type="spellEnd"/>
      <w:r w:rsidRPr="006C2B2D">
        <w:rPr>
          <w:rFonts w:ascii="Arial" w:hAnsi="Arial" w:cs="Arial"/>
          <w:sz w:val="22"/>
          <w:szCs w:val="22"/>
        </w:rPr>
        <w:t xml:space="preserve"> care (PCC) in today’s health and social care is the need to treat the individual as an active partner in the decision-making process regarding their own care. It is the move from the mere completion of tasks and the application of medical rules to the concepts of dignity, respect, free choice, and individual support. McCormack and </w:t>
      </w:r>
      <w:proofErr w:type="spellStart"/>
      <w:r w:rsidRPr="006C2B2D">
        <w:rPr>
          <w:rFonts w:ascii="Arial" w:hAnsi="Arial" w:cs="Arial"/>
          <w:sz w:val="22"/>
          <w:szCs w:val="22"/>
        </w:rPr>
        <w:t>McCance</w:t>
      </w:r>
      <w:proofErr w:type="spellEnd"/>
      <w:r w:rsidRPr="006C2B2D">
        <w:rPr>
          <w:rFonts w:ascii="Arial" w:hAnsi="Arial" w:cs="Arial"/>
          <w:sz w:val="22"/>
          <w:szCs w:val="22"/>
        </w:rPr>
        <w:t xml:space="preserve"> describe </w:t>
      </w:r>
      <w:proofErr w:type="spellStart"/>
      <w:r w:rsidRPr="006C2B2D">
        <w:rPr>
          <w:rFonts w:ascii="Arial" w:hAnsi="Arial" w:cs="Arial"/>
          <w:sz w:val="22"/>
          <w:szCs w:val="22"/>
        </w:rPr>
        <w:t>person-centred</w:t>
      </w:r>
      <w:proofErr w:type="spellEnd"/>
      <w:r w:rsidRPr="006C2B2D">
        <w:rPr>
          <w:rFonts w:ascii="Arial" w:hAnsi="Arial" w:cs="Arial"/>
          <w:sz w:val="22"/>
          <w:szCs w:val="22"/>
        </w:rPr>
        <w:t xml:space="preserve"> practice as care built on good therapeutic relationships, joint decision-making, and the understanding of the person’s values and lived </w:t>
      </w:r>
      <w:r w:rsidR="002B7583" w:rsidRPr="006C2B2D">
        <w:rPr>
          <w:rFonts w:ascii="Arial" w:hAnsi="Arial" w:cs="Arial"/>
          <w:sz w:val="22"/>
          <w:szCs w:val="22"/>
        </w:rPr>
        <w:t>experience</w:t>
      </w:r>
      <w:r w:rsidR="002B7583">
        <w:rPr>
          <w:rStyle w:val="Strong"/>
          <w:rFonts w:eastAsia="Times New Roman"/>
          <w:color w:val="000000"/>
        </w:rPr>
        <w:t xml:space="preserve"> (</w:t>
      </w:r>
      <w:r w:rsidR="004C62D9" w:rsidRPr="002B7583">
        <w:rPr>
          <w:rStyle w:val="Strong"/>
          <w:rFonts w:ascii="Arial" w:eastAsia="Times New Roman" w:hAnsi="Arial" w:cs="Arial"/>
          <w:b w:val="0"/>
          <w:bCs w:val="0"/>
          <w:color w:val="000000"/>
          <w:sz w:val="22"/>
          <w:szCs w:val="22"/>
        </w:rPr>
        <w:t xml:space="preserve">McCormack and </w:t>
      </w:r>
      <w:proofErr w:type="spellStart"/>
      <w:r w:rsidR="004C62D9" w:rsidRPr="002B7583">
        <w:rPr>
          <w:rStyle w:val="Strong"/>
          <w:rFonts w:ascii="Arial" w:eastAsia="Times New Roman" w:hAnsi="Arial" w:cs="Arial"/>
          <w:b w:val="0"/>
          <w:bCs w:val="0"/>
          <w:color w:val="000000"/>
          <w:sz w:val="22"/>
          <w:szCs w:val="22"/>
        </w:rPr>
        <w:t>McCance</w:t>
      </w:r>
      <w:proofErr w:type="spellEnd"/>
      <w:r w:rsidR="004C62D9" w:rsidRPr="002B7583">
        <w:rPr>
          <w:rStyle w:val="Strong"/>
          <w:rFonts w:ascii="Arial" w:eastAsia="Times New Roman" w:hAnsi="Arial" w:cs="Arial"/>
          <w:b w:val="0"/>
          <w:bCs w:val="0"/>
          <w:color w:val="000000"/>
          <w:sz w:val="22"/>
          <w:szCs w:val="22"/>
        </w:rPr>
        <w:t>, 2017)</w:t>
      </w:r>
      <w:r w:rsidR="004C62D9" w:rsidRPr="002B7583">
        <w:rPr>
          <w:rFonts w:ascii="Arial" w:eastAsia="Times New Roman" w:hAnsi="Arial" w:cs="Arial"/>
          <w:b/>
          <w:bCs/>
          <w:color w:val="000000"/>
          <w:sz w:val="22"/>
          <w:szCs w:val="22"/>
        </w:rPr>
        <w:t>.</w:t>
      </w:r>
      <w:r w:rsidRPr="006C2B2D">
        <w:rPr>
          <w:rFonts w:ascii="Arial" w:hAnsi="Arial" w:cs="Arial"/>
          <w:sz w:val="22"/>
          <w:szCs w:val="22"/>
        </w:rPr>
        <w:t xml:space="preserve"> Rogers’ humanistic theory supports the concept of </w:t>
      </w:r>
      <w:proofErr w:type="spellStart"/>
      <w:r w:rsidRPr="006C2B2D">
        <w:rPr>
          <w:rFonts w:ascii="Arial" w:hAnsi="Arial" w:cs="Arial"/>
          <w:sz w:val="22"/>
          <w:szCs w:val="22"/>
        </w:rPr>
        <w:t>person-centred</w:t>
      </w:r>
      <w:proofErr w:type="spellEnd"/>
      <w:r w:rsidRPr="006C2B2D">
        <w:rPr>
          <w:rFonts w:ascii="Arial" w:hAnsi="Arial" w:cs="Arial"/>
          <w:sz w:val="22"/>
          <w:szCs w:val="22"/>
        </w:rPr>
        <w:t xml:space="preserve"> care in the form of empathy, unconditional positive regard, and genuineness in the helping relationship.</w:t>
      </w:r>
    </w:p>
    <w:p w14:paraId="6C72E83C" w14:textId="43EE63DF" w:rsidR="006F5CC7" w:rsidRPr="006C2B2D" w:rsidRDefault="006F5CC7" w:rsidP="006F5CC7">
      <w:pPr>
        <w:spacing w:line="360" w:lineRule="auto"/>
        <w:rPr>
          <w:rFonts w:ascii="Arial" w:hAnsi="Arial" w:cs="Arial"/>
          <w:sz w:val="22"/>
          <w:szCs w:val="22"/>
        </w:rPr>
      </w:pPr>
      <w:r w:rsidRPr="006C2B2D">
        <w:rPr>
          <w:rFonts w:ascii="Arial" w:hAnsi="Arial" w:cs="Arial"/>
          <w:sz w:val="22"/>
          <w:szCs w:val="22"/>
        </w:rPr>
        <w:t>The advantages of PCC in mental health care include enhanced therapeutic relationships and increased client engagement and recovery outcomes. When clients are listened to and respected, they are more willing to engage in care and remain connected with services. It is also consistent with policy objectives of maximizing independence and social inclusion in community services.</w:t>
      </w:r>
    </w:p>
    <w:p w14:paraId="0F44336C" w14:textId="77777777" w:rsidR="006F5CC7" w:rsidRPr="006C2B2D" w:rsidRDefault="006F5CC7" w:rsidP="006F5CC7">
      <w:pPr>
        <w:spacing w:line="360" w:lineRule="auto"/>
        <w:rPr>
          <w:rFonts w:ascii="Arial" w:hAnsi="Arial" w:cs="Arial"/>
          <w:sz w:val="22"/>
          <w:szCs w:val="22"/>
        </w:rPr>
      </w:pPr>
      <w:r w:rsidRPr="006C2B2D">
        <w:rPr>
          <w:rFonts w:ascii="Arial" w:hAnsi="Arial" w:cs="Arial"/>
          <w:sz w:val="22"/>
          <w:szCs w:val="22"/>
        </w:rPr>
        <w:t>However, there are challenges in implementing PCC in mental health care services. For example, risk management and duties of care and compulsory treatment under mental health laws may restrict autonomy. In addition, heavy caseloads and scarce resources in community services may make collaboration difficult. These challenges indicate that while PCC is crucial in delivering quality mental health care services, it requires critical ethical considerations and robust organizational support.</w:t>
      </w:r>
    </w:p>
    <w:p w14:paraId="46755FD2" w14:textId="77777777" w:rsidR="006F5CC7" w:rsidRPr="006C2B2D" w:rsidRDefault="006F5CC7" w:rsidP="006F5CC7">
      <w:pPr>
        <w:spacing w:line="360" w:lineRule="auto"/>
        <w:rPr>
          <w:rFonts w:ascii="Arial" w:hAnsi="Arial" w:cs="Arial"/>
          <w:sz w:val="22"/>
          <w:szCs w:val="22"/>
        </w:rPr>
      </w:pPr>
    </w:p>
    <w:p w14:paraId="16E82891" w14:textId="5028C2AE" w:rsidR="003B1BD4" w:rsidRPr="00B23B93" w:rsidRDefault="00B23B93" w:rsidP="003F5D31">
      <w:pPr>
        <w:spacing w:line="360" w:lineRule="auto"/>
        <w:rPr>
          <w:rFonts w:ascii="Arial" w:hAnsi="Arial" w:cs="Arial"/>
          <w:b/>
          <w:bCs/>
          <w:sz w:val="22"/>
          <w:szCs w:val="22"/>
          <w:u w:val="single"/>
        </w:rPr>
      </w:pPr>
      <w:r w:rsidRPr="00B23B93">
        <w:rPr>
          <w:rFonts w:ascii="Arial" w:hAnsi="Arial" w:cs="Arial"/>
          <w:b/>
          <w:bCs/>
          <w:sz w:val="22"/>
          <w:szCs w:val="22"/>
          <w:u w:val="single"/>
        </w:rPr>
        <w:t>Relevant theories</w:t>
      </w:r>
    </w:p>
    <w:p w14:paraId="422F4A81" w14:textId="0FA4098C" w:rsidR="003B1BD4" w:rsidRPr="003B1BD4" w:rsidRDefault="003B1BD4" w:rsidP="003B1BD4">
      <w:pPr>
        <w:spacing w:line="360" w:lineRule="auto"/>
        <w:rPr>
          <w:rFonts w:ascii="Arial" w:hAnsi="Arial" w:cs="Arial"/>
          <w:sz w:val="22"/>
          <w:szCs w:val="22"/>
        </w:rPr>
      </w:pPr>
      <w:r w:rsidRPr="003B1BD4">
        <w:rPr>
          <w:rFonts w:ascii="Arial" w:hAnsi="Arial" w:cs="Arial"/>
          <w:sz w:val="22"/>
          <w:szCs w:val="22"/>
        </w:rPr>
        <w:t xml:space="preserve">The theories behind person-centered care in community mental health services inform the way we work today. The big theorists here are humanistic theory, specifically Rogers; the recovery model; and the </w:t>
      </w:r>
      <w:proofErr w:type="spellStart"/>
      <w:r w:rsidRPr="003B1BD4">
        <w:rPr>
          <w:rFonts w:ascii="Arial" w:hAnsi="Arial" w:cs="Arial"/>
          <w:sz w:val="22"/>
          <w:szCs w:val="22"/>
        </w:rPr>
        <w:t>biopsychosocial</w:t>
      </w:r>
      <w:proofErr w:type="spellEnd"/>
      <w:r w:rsidRPr="003B1BD4">
        <w:rPr>
          <w:rFonts w:ascii="Arial" w:hAnsi="Arial" w:cs="Arial"/>
          <w:sz w:val="22"/>
          <w:szCs w:val="22"/>
        </w:rPr>
        <w:t xml:space="preserve"> approach. </w:t>
      </w:r>
      <w:r w:rsidR="00E5378A" w:rsidRPr="003B1BD4">
        <w:rPr>
          <w:rFonts w:ascii="Arial" w:hAnsi="Arial" w:cs="Arial"/>
          <w:sz w:val="22"/>
          <w:szCs w:val="22"/>
        </w:rPr>
        <w:t>They are</w:t>
      </w:r>
      <w:r w:rsidRPr="003B1BD4">
        <w:rPr>
          <w:rFonts w:ascii="Arial" w:hAnsi="Arial" w:cs="Arial"/>
          <w:sz w:val="22"/>
          <w:szCs w:val="22"/>
        </w:rPr>
        <w:t xml:space="preserve"> challenging the biomedical model, moving us towards a more holistic, person-centered, empowered approach to care.</w:t>
      </w:r>
    </w:p>
    <w:p w14:paraId="50507F04" w14:textId="4F0CA2CB" w:rsidR="003B1BD4" w:rsidRPr="003B1BD4" w:rsidRDefault="003B1BD4" w:rsidP="003B1BD4">
      <w:pPr>
        <w:spacing w:line="360" w:lineRule="auto"/>
        <w:rPr>
          <w:rFonts w:ascii="Arial" w:hAnsi="Arial" w:cs="Arial"/>
          <w:sz w:val="22"/>
          <w:szCs w:val="22"/>
        </w:rPr>
      </w:pPr>
      <w:r w:rsidRPr="003B1BD4">
        <w:rPr>
          <w:rFonts w:ascii="Arial" w:hAnsi="Arial" w:cs="Arial"/>
          <w:sz w:val="22"/>
          <w:szCs w:val="22"/>
        </w:rPr>
        <w:t xml:space="preserve">Firstly, the humanistic approach, as espoused by Rogers, gives us a very strong base for person-centered work. Rogers emphasized the importance of empathy, unconditional positive regard, and congruence in the therapeutic </w:t>
      </w:r>
      <w:r w:rsidR="00021371" w:rsidRPr="003B1BD4">
        <w:rPr>
          <w:rFonts w:ascii="Arial" w:hAnsi="Arial" w:cs="Arial"/>
          <w:sz w:val="22"/>
          <w:szCs w:val="22"/>
        </w:rPr>
        <w:t>relationship</w:t>
      </w:r>
      <w:r w:rsidR="00021371">
        <w:rPr>
          <w:rFonts w:ascii="Arial" w:hAnsi="Arial" w:cs="Arial"/>
          <w:sz w:val="22"/>
          <w:szCs w:val="22"/>
        </w:rPr>
        <w:t xml:space="preserve"> (Roger</w:t>
      </w:r>
      <w:r w:rsidR="00D0578E">
        <w:rPr>
          <w:rFonts w:ascii="Arial" w:hAnsi="Arial" w:cs="Arial"/>
          <w:sz w:val="22"/>
          <w:szCs w:val="22"/>
        </w:rPr>
        <w:t>s</w:t>
      </w:r>
      <w:r w:rsidR="00021371">
        <w:rPr>
          <w:rFonts w:ascii="Arial" w:hAnsi="Arial" w:cs="Arial"/>
          <w:sz w:val="22"/>
          <w:szCs w:val="22"/>
        </w:rPr>
        <w:t>, 1951</w:t>
      </w:r>
      <w:r w:rsidR="00D0578E">
        <w:rPr>
          <w:rFonts w:ascii="Arial" w:hAnsi="Arial" w:cs="Arial"/>
          <w:sz w:val="22"/>
          <w:szCs w:val="22"/>
        </w:rPr>
        <w:t>).</w:t>
      </w:r>
      <w:r w:rsidRPr="003B1BD4">
        <w:rPr>
          <w:rFonts w:ascii="Arial" w:hAnsi="Arial" w:cs="Arial"/>
          <w:sz w:val="22"/>
          <w:szCs w:val="22"/>
        </w:rPr>
        <w:t xml:space="preserve"> These are the very building blocks of a trusting relationship, especially in mental health work, which has historically been stigmatizing to the client. Where there is a genuine relationship, a sense of value and </w:t>
      </w:r>
      <w:r w:rsidRPr="003B1BD4">
        <w:rPr>
          <w:rFonts w:ascii="Arial" w:hAnsi="Arial" w:cs="Arial"/>
          <w:sz w:val="22"/>
          <w:szCs w:val="22"/>
        </w:rPr>
        <w:lastRenderedPageBreak/>
        <w:t xml:space="preserve">worth, the client feels heard, which goes a long way towards empowerment. Of course, the reality of a busy case load means the time we </w:t>
      </w:r>
      <w:r w:rsidR="00E5378A" w:rsidRPr="003B1BD4">
        <w:rPr>
          <w:rFonts w:ascii="Arial" w:hAnsi="Arial" w:cs="Arial"/>
          <w:sz w:val="22"/>
          <w:szCs w:val="22"/>
        </w:rPr>
        <w:t>must</w:t>
      </w:r>
      <w:r w:rsidRPr="003B1BD4">
        <w:rPr>
          <w:rFonts w:ascii="Arial" w:hAnsi="Arial" w:cs="Arial"/>
          <w:sz w:val="22"/>
          <w:szCs w:val="22"/>
        </w:rPr>
        <w:t xml:space="preserve"> build a relationship with the client can be limited.</w:t>
      </w:r>
    </w:p>
    <w:p w14:paraId="2B2916C0" w14:textId="0A1410D5" w:rsidR="003B1BD4" w:rsidRPr="003B1BD4" w:rsidRDefault="003B1BD4" w:rsidP="003B1BD4">
      <w:pPr>
        <w:spacing w:line="360" w:lineRule="auto"/>
        <w:rPr>
          <w:rFonts w:ascii="Arial" w:hAnsi="Arial" w:cs="Arial"/>
          <w:sz w:val="22"/>
          <w:szCs w:val="22"/>
        </w:rPr>
      </w:pPr>
      <w:r w:rsidRPr="003B1BD4">
        <w:rPr>
          <w:rFonts w:ascii="Arial" w:hAnsi="Arial" w:cs="Arial"/>
          <w:sz w:val="22"/>
          <w:szCs w:val="22"/>
        </w:rPr>
        <w:t>Then there is the recovery model, which is the other significant factor that influences practice. Unlike the conventional medical model, which focuses on the alleviation of symptoms, the recovery model focuses on the importance of hope, personal meaning, empowerment, and self-</w:t>
      </w:r>
      <w:r w:rsidR="00A16301" w:rsidRPr="003B1BD4">
        <w:rPr>
          <w:rFonts w:ascii="Arial" w:hAnsi="Arial" w:cs="Arial"/>
          <w:sz w:val="22"/>
          <w:szCs w:val="22"/>
        </w:rPr>
        <w:t>determination</w:t>
      </w:r>
      <w:r w:rsidR="00A16301">
        <w:rPr>
          <w:rFonts w:ascii="Arial" w:hAnsi="Arial" w:cs="Arial"/>
          <w:sz w:val="22"/>
          <w:szCs w:val="22"/>
        </w:rPr>
        <w:t xml:space="preserve"> (</w:t>
      </w:r>
      <w:proofErr w:type="spellStart"/>
      <w:r w:rsidR="00A16301">
        <w:rPr>
          <w:rFonts w:ascii="Arial" w:hAnsi="Arial" w:cs="Arial"/>
          <w:sz w:val="22"/>
          <w:szCs w:val="22"/>
        </w:rPr>
        <w:t>Slade</w:t>
      </w:r>
      <w:proofErr w:type="spellEnd"/>
      <w:r w:rsidR="00A16301">
        <w:rPr>
          <w:rFonts w:ascii="Arial" w:hAnsi="Arial" w:cs="Arial"/>
          <w:sz w:val="22"/>
          <w:szCs w:val="22"/>
        </w:rPr>
        <w:t>, 2009)</w:t>
      </w:r>
      <w:r w:rsidRPr="003B1BD4">
        <w:rPr>
          <w:rFonts w:ascii="Arial" w:hAnsi="Arial" w:cs="Arial"/>
          <w:sz w:val="22"/>
          <w:szCs w:val="22"/>
        </w:rPr>
        <w:t>. It focuses on the person’s journey to recovery rather than the medical model’s focus on the finish line. In the community, this results in care plans that have been developed to incorporate the service user’s values and aspirations. This model supports the service user’s autonomy and the strengths-based approach to care, which results in social inclusion and participation. Conflicts may also arise when the principles of recovery have to be balanced against risk management, especially where there is a need to address concerns around the service user’s safety or where there is a need to consider compulsory treatment.</w:t>
      </w:r>
    </w:p>
    <w:p w14:paraId="625A7D12" w14:textId="0D1A4532" w:rsidR="003B1BD4" w:rsidRDefault="003B1BD4" w:rsidP="003B1BD4">
      <w:pPr>
        <w:spacing w:line="360" w:lineRule="auto"/>
        <w:rPr>
          <w:rFonts w:ascii="Arial" w:hAnsi="Arial" w:cs="Arial"/>
          <w:sz w:val="22"/>
          <w:szCs w:val="22"/>
        </w:rPr>
      </w:pPr>
      <w:r w:rsidRPr="003B1BD4">
        <w:rPr>
          <w:rFonts w:ascii="Arial" w:hAnsi="Arial" w:cs="Arial"/>
          <w:sz w:val="22"/>
          <w:szCs w:val="22"/>
        </w:rPr>
        <w:t xml:space="preserve">Finally, there is the </w:t>
      </w:r>
      <w:proofErr w:type="spellStart"/>
      <w:r w:rsidRPr="003B1BD4">
        <w:rPr>
          <w:rFonts w:ascii="Arial" w:hAnsi="Arial" w:cs="Arial"/>
          <w:sz w:val="22"/>
          <w:szCs w:val="22"/>
        </w:rPr>
        <w:t>biopsychosocial</w:t>
      </w:r>
      <w:proofErr w:type="spellEnd"/>
      <w:r w:rsidRPr="003B1BD4">
        <w:rPr>
          <w:rFonts w:ascii="Arial" w:hAnsi="Arial" w:cs="Arial"/>
          <w:sz w:val="22"/>
          <w:szCs w:val="22"/>
        </w:rPr>
        <w:t xml:space="preserve"> model, which recognizes that mental health is the result of the interaction of biological, psychological, and social factors</w:t>
      </w:r>
      <w:r w:rsidR="00491FEF">
        <w:rPr>
          <w:rFonts w:ascii="Arial" w:hAnsi="Arial" w:cs="Arial"/>
          <w:sz w:val="22"/>
          <w:szCs w:val="22"/>
        </w:rPr>
        <w:t xml:space="preserve"> (Engel, 1977)</w:t>
      </w:r>
      <w:r w:rsidRPr="003B1BD4">
        <w:rPr>
          <w:rFonts w:ascii="Arial" w:hAnsi="Arial" w:cs="Arial"/>
          <w:sz w:val="22"/>
          <w:szCs w:val="22"/>
        </w:rPr>
        <w:t>. This model supports the holistic assessment of the service user and the integration of all the disciplines that affect the service user’s care, whether it be the effect of the service user’s living conditions or the effect of the service user’s mental health on their social situation. It also supports the collaborative working relationship that is required of mental health care teams, who must work together to address the complex nature of mental illness.</w:t>
      </w:r>
    </w:p>
    <w:p w14:paraId="12C40A5D" w14:textId="77777777" w:rsidR="003575FE" w:rsidRPr="003B1BD4" w:rsidRDefault="003575FE" w:rsidP="003B1BD4">
      <w:pPr>
        <w:spacing w:line="360" w:lineRule="auto"/>
        <w:rPr>
          <w:rFonts w:ascii="Arial" w:hAnsi="Arial" w:cs="Arial"/>
          <w:sz w:val="22"/>
          <w:szCs w:val="22"/>
        </w:rPr>
      </w:pPr>
    </w:p>
    <w:p w14:paraId="19C40361" w14:textId="33C2336F" w:rsidR="002E77D4" w:rsidRDefault="00F57FDC" w:rsidP="00E5378A">
      <w:pPr>
        <w:spacing w:line="360" w:lineRule="auto"/>
        <w:rPr>
          <w:rFonts w:ascii="Arial" w:hAnsi="Arial" w:cs="Arial"/>
          <w:b/>
          <w:bCs/>
          <w:sz w:val="22"/>
          <w:szCs w:val="22"/>
          <w:u w:val="single"/>
        </w:rPr>
      </w:pPr>
      <w:r>
        <w:rPr>
          <w:rFonts w:ascii="Arial" w:hAnsi="Arial" w:cs="Arial"/>
          <w:b/>
          <w:bCs/>
          <w:sz w:val="22"/>
          <w:szCs w:val="22"/>
          <w:u w:val="single"/>
        </w:rPr>
        <w:t>Ethical Fundamentals</w:t>
      </w:r>
    </w:p>
    <w:p w14:paraId="72F0EA35" w14:textId="0A64734A" w:rsidR="00CC5600" w:rsidRPr="00CC5600" w:rsidRDefault="00CC5600" w:rsidP="00CC5600">
      <w:pPr>
        <w:spacing w:line="360" w:lineRule="auto"/>
        <w:rPr>
          <w:rFonts w:ascii="Arial" w:hAnsi="Arial" w:cs="Arial"/>
          <w:sz w:val="22"/>
          <w:szCs w:val="22"/>
        </w:rPr>
      </w:pPr>
      <w:r w:rsidRPr="00CC5600">
        <w:rPr>
          <w:rFonts w:ascii="Arial" w:hAnsi="Arial" w:cs="Arial"/>
          <w:sz w:val="22"/>
          <w:szCs w:val="22"/>
        </w:rPr>
        <w:t xml:space="preserve">Ethics forms the foundation for person-centered care and team working within the context of community mental health work. The ethics that guide our practice are autonomy, beneficence, non-maleficence, and </w:t>
      </w:r>
      <w:r w:rsidR="007A3EBA" w:rsidRPr="00CC5600">
        <w:rPr>
          <w:rFonts w:ascii="Arial" w:hAnsi="Arial" w:cs="Arial"/>
          <w:sz w:val="22"/>
          <w:szCs w:val="22"/>
        </w:rPr>
        <w:t>justice</w:t>
      </w:r>
      <w:r w:rsidR="007A3EBA">
        <w:rPr>
          <w:rFonts w:ascii="Arial" w:hAnsi="Arial" w:cs="Arial"/>
          <w:sz w:val="22"/>
          <w:szCs w:val="22"/>
        </w:rPr>
        <w:t xml:space="preserve"> (</w:t>
      </w:r>
      <w:r w:rsidR="008D3A6D">
        <w:rPr>
          <w:rFonts w:ascii="Arial" w:hAnsi="Arial" w:cs="Arial"/>
          <w:sz w:val="22"/>
          <w:szCs w:val="22"/>
        </w:rPr>
        <w:t>Beauchamp and Childress, 2019</w:t>
      </w:r>
      <w:r w:rsidR="007A3EBA">
        <w:rPr>
          <w:rFonts w:ascii="Arial" w:hAnsi="Arial" w:cs="Arial"/>
          <w:sz w:val="22"/>
          <w:szCs w:val="22"/>
        </w:rPr>
        <w:t>)</w:t>
      </w:r>
      <w:r w:rsidRPr="00CC5600">
        <w:rPr>
          <w:rFonts w:ascii="Arial" w:hAnsi="Arial" w:cs="Arial"/>
          <w:sz w:val="22"/>
          <w:szCs w:val="22"/>
        </w:rPr>
        <w:t>. Autonomy is the respect for the service user's right to participate in decisions regarding their care and treatment by the use of shared decision making and recovery-focused interventions. However, autonomy is limited by concerns over the risks to the individual and others, which may create an ethical dilemma within mental health work.</w:t>
      </w:r>
    </w:p>
    <w:p w14:paraId="1F55DD94" w14:textId="77777777" w:rsidR="00CC5600" w:rsidRPr="00CC5600" w:rsidRDefault="00CC5600" w:rsidP="00CC5600">
      <w:pPr>
        <w:spacing w:line="360" w:lineRule="auto"/>
        <w:rPr>
          <w:rFonts w:ascii="Arial" w:hAnsi="Arial" w:cs="Arial"/>
          <w:sz w:val="22"/>
          <w:szCs w:val="22"/>
        </w:rPr>
      </w:pPr>
    </w:p>
    <w:p w14:paraId="3C224704" w14:textId="77777777" w:rsidR="00CC5600" w:rsidRPr="00CC5600" w:rsidRDefault="00CC5600" w:rsidP="00CC5600">
      <w:pPr>
        <w:spacing w:line="360" w:lineRule="auto"/>
        <w:rPr>
          <w:rFonts w:ascii="Arial" w:hAnsi="Arial" w:cs="Arial"/>
          <w:sz w:val="22"/>
          <w:szCs w:val="22"/>
        </w:rPr>
      </w:pPr>
      <w:r w:rsidRPr="00CC5600">
        <w:rPr>
          <w:rFonts w:ascii="Arial" w:hAnsi="Arial" w:cs="Arial"/>
          <w:sz w:val="22"/>
          <w:szCs w:val="22"/>
        </w:rPr>
        <w:lastRenderedPageBreak/>
        <w:t>The ethics of beneficence and non-maleficence encourage us to act in the best interest of the service user while performing our role without causing harm. In the real world, this would mean taking actions that restrict the individual, which might conflict with person-centered care values. Justice relates to fair and equal access to mental health services. However, this might not always be possible due to resource constraints and regional variations that might affect the ability to practice person-centered care ethically.</w:t>
      </w:r>
    </w:p>
    <w:p w14:paraId="0A0B2C8A" w14:textId="77777777" w:rsidR="00CC5600" w:rsidRPr="00CC5600" w:rsidRDefault="00CC5600" w:rsidP="00CC5600">
      <w:pPr>
        <w:spacing w:line="360" w:lineRule="auto"/>
        <w:rPr>
          <w:rFonts w:ascii="Arial" w:hAnsi="Arial" w:cs="Arial"/>
          <w:sz w:val="22"/>
          <w:szCs w:val="22"/>
        </w:rPr>
      </w:pPr>
    </w:p>
    <w:p w14:paraId="103B9916" w14:textId="69B85391" w:rsidR="00CC5600" w:rsidRDefault="00CC5600" w:rsidP="00E5378A">
      <w:pPr>
        <w:spacing w:line="360" w:lineRule="auto"/>
        <w:rPr>
          <w:rFonts w:ascii="Arial" w:hAnsi="Arial" w:cs="Arial"/>
          <w:sz w:val="22"/>
          <w:szCs w:val="22"/>
        </w:rPr>
      </w:pPr>
      <w:r w:rsidRPr="00CC5600">
        <w:rPr>
          <w:rFonts w:ascii="Arial" w:hAnsi="Arial" w:cs="Arial"/>
          <w:sz w:val="22"/>
          <w:szCs w:val="22"/>
        </w:rPr>
        <w:t>Mental health workers practice reflective practice and work together to make decisions within the multidisciplinary team to resolve the ethical dilemma within mental health work while providing care that is safe, legal, and person-centered within the community.</w:t>
      </w:r>
    </w:p>
    <w:p w14:paraId="1957F5C1" w14:textId="77777777" w:rsidR="00CC5600" w:rsidRPr="00CC5600" w:rsidRDefault="00CC5600" w:rsidP="00E5378A">
      <w:pPr>
        <w:spacing w:line="360" w:lineRule="auto"/>
        <w:rPr>
          <w:rFonts w:ascii="Arial" w:hAnsi="Arial" w:cs="Arial"/>
          <w:sz w:val="22"/>
          <w:szCs w:val="22"/>
        </w:rPr>
      </w:pPr>
    </w:p>
    <w:p w14:paraId="630D8E0D" w14:textId="5C2930FF" w:rsidR="00F57FDC" w:rsidRDefault="008D74EF" w:rsidP="00E5378A">
      <w:pPr>
        <w:spacing w:line="360" w:lineRule="auto"/>
        <w:rPr>
          <w:rFonts w:ascii="Arial" w:hAnsi="Arial" w:cs="Arial"/>
          <w:b/>
          <w:bCs/>
          <w:sz w:val="22"/>
          <w:szCs w:val="22"/>
          <w:u w:val="single"/>
        </w:rPr>
      </w:pPr>
      <w:r>
        <w:rPr>
          <w:rFonts w:ascii="Arial" w:hAnsi="Arial" w:cs="Arial"/>
          <w:b/>
          <w:bCs/>
          <w:sz w:val="22"/>
          <w:szCs w:val="22"/>
          <w:u w:val="single"/>
        </w:rPr>
        <w:t>Evaluation of partnership working</w:t>
      </w:r>
    </w:p>
    <w:p w14:paraId="4B9B06AF" w14:textId="14A5CC18" w:rsidR="00CC5600" w:rsidRPr="00DF455F" w:rsidRDefault="00DF455F" w:rsidP="00E5378A">
      <w:pPr>
        <w:spacing w:line="360" w:lineRule="auto"/>
        <w:rPr>
          <w:rFonts w:ascii="Arial" w:hAnsi="Arial" w:cs="Arial"/>
          <w:sz w:val="22"/>
          <w:szCs w:val="22"/>
        </w:rPr>
      </w:pPr>
      <w:r w:rsidRPr="00DF455F">
        <w:rPr>
          <w:rFonts w:ascii="Arial" w:hAnsi="Arial" w:cs="Arial"/>
          <w:sz w:val="22"/>
          <w:szCs w:val="22"/>
        </w:rPr>
        <w:t>Effective partnership working is considered to be central to effective community mental health services, especially for people with complex and long-term mental health issues. When partnership working is effective, it means that care is integrated and holistic, cutting across traditional boundaries and ensuring that people remain “connected to the care they need.” By effective partnership working, it is possible for people to have better access to counseling and psychological services, medication management, social services, and housing support. However, in practice, the effectiveness of partnership working is not always consistent. Professional differences, cultural differences, and differences in the way that accountabilities are structured can create barriers to effective partnership working. Ineffective communication and lack of information sharing can lead to delays and duplicated assessment. In addition, with high caseloads and insufficient staff, opportunities for partnership working and engaging with people can be limited. There is policy pressure to deliver integrated care, but partnership working can be more about processes than people. For effective partnership working to be embedded, it is necessary to prioritize effective communication, clear roles, and the active involvement of people as equal partners in care planning and decision-making.</w:t>
      </w:r>
    </w:p>
    <w:p w14:paraId="7870496D" w14:textId="284CA2E9" w:rsidR="00187E12" w:rsidRDefault="00187E12" w:rsidP="00E5378A">
      <w:pPr>
        <w:spacing w:line="360" w:lineRule="auto"/>
        <w:rPr>
          <w:rFonts w:ascii="Arial" w:hAnsi="Arial" w:cs="Arial"/>
          <w:b/>
          <w:bCs/>
          <w:sz w:val="22"/>
          <w:szCs w:val="22"/>
          <w:u w:val="single"/>
        </w:rPr>
      </w:pPr>
      <w:r>
        <w:rPr>
          <w:rFonts w:ascii="Arial" w:hAnsi="Arial" w:cs="Arial"/>
          <w:b/>
          <w:bCs/>
          <w:sz w:val="22"/>
          <w:szCs w:val="22"/>
          <w:u w:val="single"/>
        </w:rPr>
        <w:t>Policy and legislation</w:t>
      </w:r>
    </w:p>
    <w:p w14:paraId="064ED548" w14:textId="77777777" w:rsidR="005E2746" w:rsidRPr="005E2746" w:rsidRDefault="005E2746" w:rsidP="005E2746">
      <w:pPr>
        <w:spacing w:line="360" w:lineRule="auto"/>
        <w:rPr>
          <w:rFonts w:ascii="Arial" w:hAnsi="Arial" w:cs="Arial"/>
          <w:sz w:val="22"/>
          <w:szCs w:val="22"/>
        </w:rPr>
      </w:pPr>
      <w:r w:rsidRPr="005E2746">
        <w:rPr>
          <w:rFonts w:ascii="Arial" w:hAnsi="Arial" w:cs="Arial"/>
          <w:sz w:val="22"/>
          <w:szCs w:val="22"/>
        </w:rPr>
        <w:t xml:space="preserve">Policy and legislation influence our approach to person-centered care and partnership working within UK mental health services within the community. The Mental Health Act 1983 provides the legal authority for compulsory care and treatment, which focuses on safety and risk </w:t>
      </w:r>
      <w:r w:rsidRPr="005E2746">
        <w:rPr>
          <w:rFonts w:ascii="Arial" w:hAnsi="Arial" w:cs="Arial"/>
          <w:sz w:val="22"/>
          <w:szCs w:val="22"/>
        </w:rPr>
        <w:lastRenderedPageBreak/>
        <w:t>assessment. This supports beneficence and non-maleficence while limiting autonomy and recovery-focused practice.</w:t>
      </w:r>
    </w:p>
    <w:p w14:paraId="1958EF1E" w14:textId="77777777" w:rsidR="005E2746" w:rsidRPr="005E2746" w:rsidRDefault="005E2746" w:rsidP="005E2746">
      <w:pPr>
        <w:spacing w:line="360" w:lineRule="auto"/>
        <w:rPr>
          <w:rFonts w:ascii="Arial" w:hAnsi="Arial" w:cs="Arial"/>
          <w:sz w:val="22"/>
          <w:szCs w:val="22"/>
        </w:rPr>
      </w:pPr>
    </w:p>
    <w:p w14:paraId="6259F403" w14:textId="404FB873" w:rsidR="005E2746" w:rsidRPr="005E2746" w:rsidRDefault="005E2746" w:rsidP="005E2746">
      <w:pPr>
        <w:spacing w:line="360" w:lineRule="auto"/>
        <w:rPr>
          <w:rFonts w:ascii="Arial" w:hAnsi="Arial" w:cs="Arial"/>
          <w:sz w:val="22"/>
          <w:szCs w:val="22"/>
        </w:rPr>
      </w:pPr>
      <w:r w:rsidRPr="005E2746">
        <w:rPr>
          <w:rFonts w:ascii="Arial" w:hAnsi="Arial" w:cs="Arial"/>
          <w:sz w:val="22"/>
          <w:szCs w:val="22"/>
        </w:rPr>
        <w:t>The Mental Capacity Act 2005 supports person-centered decision-making by making assumptions of capacity and advocating the least restrictive approach. If capacity is lacking, decisions should be made in the person's best interest, taking into account their values and wishes whenever possible. The Care Act 2014 reinforces partnership working by supporting wellbeing, safeguarding, and inter-professional collaboration</w:t>
      </w:r>
      <w:r w:rsidR="00B33BAC">
        <w:rPr>
          <w:rFonts w:ascii="Arial" w:hAnsi="Arial" w:cs="Arial"/>
          <w:sz w:val="22"/>
          <w:szCs w:val="22"/>
        </w:rPr>
        <w:t xml:space="preserve"> (Care </w:t>
      </w:r>
      <w:r w:rsidR="00BF19DD">
        <w:rPr>
          <w:rFonts w:ascii="Arial" w:hAnsi="Arial" w:cs="Arial"/>
          <w:sz w:val="22"/>
          <w:szCs w:val="22"/>
        </w:rPr>
        <w:t>Act, 2014)</w:t>
      </w:r>
      <w:r w:rsidRPr="005E2746">
        <w:rPr>
          <w:rFonts w:ascii="Arial" w:hAnsi="Arial" w:cs="Arial"/>
          <w:sz w:val="22"/>
          <w:szCs w:val="22"/>
        </w:rPr>
        <w:t>.</w:t>
      </w:r>
    </w:p>
    <w:p w14:paraId="269F0082" w14:textId="2FF31160" w:rsidR="00187E12" w:rsidRPr="005E2746" w:rsidRDefault="005E2746" w:rsidP="00E5378A">
      <w:pPr>
        <w:spacing w:line="360" w:lineRule="auto"/>
        <w:rPr>
          <w:rFonts w:ascii="Arial" w:hAnsi="Arial" w:cs="Arial"/>
          <w:sz w:val="22"/>
          <w:szCs w:val="22"/>
        </w:rPr>
      </w:pPr>
      <w:r w:rsidRPr="005E2746">
        <w:rPr>
          <w:rFonts w:ascii="Arial" w:hAnsi="Arial" w:cs="Arial"/>
          <w:sz w:val="22"/>
          <w:szCs w:val="22"/>
        </w:rPr>
        <w:t>The Health and Care Act 2022 introduced Integrated Care Systems to improve coordination and prevent fragmentation within care delivery. This supports person-centered care and partnership working, although real-life issues such as resource and staff constraints hinder this approach.</w:t>
      </w:r>
    </w:p>
    <w:p w14:paraId="556580C6" w14:textId="77777777" w:rsidR="00A95935" w:rsidRDefault="00A95935" w:rsidP="00E5378A">
      <w:pPr>
        <w:spacing w:line="360" w:lineRule="auto"/>
        <w:rPr>
          <w:rFonts w:ascii="Arial" w:hAnsi="Arial" w:cs="Arial"/>
          <w:sz w:val="22"/>
          <w:szCs w:val="22"/>
        </w:rPr>
      </w:pPr>
    </w:p>
    <w:p w14:paraId="136EADB7" w14:textId="77777777" w:rsidR="00C12283" w:rsidRDefault="00C12283" w:rsidP="00090E6F">
      <w:pPr>
        <w:spacing w:line="360" w:lineRule="auto"/>
        <w:rPr>
          <w:rFonts w:ascii="Arial" w:hAnsi="Arial" w:cs="Arial"/>
          <w:sz w:val="22"/>
          <w:szCs w:val="22"/>
        </w:rPr>
      </w:pPr>
    </w:p>
    <w:p w14:paraId="7622D7D8" w14:textId="1576ED92" w:rsidR="00C12283" w:rsidRPr="00C12283" w:rsidRDefault="00C12283" w:rsidP="00090E6F">
      <w:pPr>
        <w:spacing w:line="360" w:lineRule="auto"/>
        <w:rPr>
          <w:rFonts w:ascii="Arial" w:hAnsi="Arial" w:cs="Arial"/>
          <w:b/>
          <w:bCs/>
          <w:sz w:val="22"/>
          <w:szCs w:val="22"/>
          <w:u w:val="single"/>
        </w:rPr>
      </w:pPr>
      <w:r w:rsidRPr="00C12283">
        <w:rPr>
          <w:rFonts w:ascii="Arial" w:hAnsi="Arial" w:cs="Arial"/>
          <w:b/>
          <w:bCs/>
          <w:sz w:val="22"/>
          <w:szCs w:val="22"/>
          <w:u w:val="single"/>
        </w:rPr>
        <w:t xml:space="preserve">Recommendations </w:t>
      </w:r>
    </w:p>
    <w:p w14:paraId="7B7F635D" w14:textId="30EB9955" w:rsidR="00360853" w:rsidRPr="00585A87" w:rsidRDefault="00360853" w:rsidP="00090E6F">
      <w:pPr>
        <w:spacing w:line="360" w:lineRule="auto"/>
        <w:rPr>
          <w:rFonts w:ascii="Arial" w:hAnsi="Arial" w:cs="Arial"/>
          <w:sz w:val="22"/>
          <w:szCs w:val="22"/>
        </w:rPr>
      </w:pPr>
      <w:r w:rsidRPr="00585A87">
        <w:rPr>
          <w:rFonts w:ascii="Arial" w:hAnsi="Arial" w:cs="Arial"/>
          <w:sz w:val="22"/>
          <w:szCs w:val="22"/>
        </w:rPr>
        <w:t>To address these challenges, some steps can be taken. Firstly, there can be increased cross-professional training, which can increase our understanding of each other’s roles, the ethical</w:t>
      </w:r>
      <w:r w:rsidR="00E35129">
        <w:rPr>
          <w:rFonts w:ascii="Arial" w:hAnsi="Arial" w:cs="Arial"/>
          <w:sz w:val="22"/>
          <w:szCs w:val="22"/>
        </w:rPr>
        <w:t xml:space="preserve"> </w:t>
      </w:r>
      <w:r w:rsidRPr="00585A87">
        <w:rPr>
          <w:rFonts w:ascii="Arial" w:hAnsi="Arial" w:cs="Arial"/>
          <w:sz w:val="22"/>
          <w:szCs w:val="22"/>
        </w:rPr>
        <w:t>implications, and how we can work together effectively. Such training, which can include the involvement of health, social care, and voluntary sector professionals, can improve our communication and facilitate integrated care. However, time constraints and staff pressures might hinder the process.</w:t>
      </w:r>
    </w:p>
    <w:p w14:paraId="535D8BFC" w14:textId="33878D28" w:rsidR="00360853" w:rsidRPr="00585A87" w:rsidRDefault="00360853" w:rsidP="00090E6F">
      <w:pPr>
        <w:spacing w:line="360" w:lineRule="auto"/>
        <w:rPr>
          <w:rFonts w:ascii="Arial" w:hAnsi="Arial" w:cs="Arial"/>
          <w:sz w:val="22"/>
          <w:szCs w:val="22"/>
        </w:rPr>
      </w:pPr>
      <w:r w:rsidRPr="00585A87">
        <w:rPr>
          <w:rFonts w:ascii="Arial" w:hAnsi="Arial" w:cs="Arial"/>
          <w:sz w:val="22"/>
          <w:szCs w:val="22"/>
        </w:rPr>
        <w:t>Secondly, investment in shared digital systems can be increased, which can include the development of a single electronic records system, facilitating more continuous care, better risk management, and crisis resolution. This can be challenging due to data protection issues and varying IT systems.</w:t>
      </w:r>
    </w:p>
    <w:p w14:paraId="39762CC8" w14:textId="5EC31843" w:rsidR="00360853" w:rsidRPr="00E35129" w:rsidRDefault="00360853" w:rsidP="00090E6F">
      <w:pPr>
        <w:spacing w:line="360" w:lineRule="auto"/>
        <w:rPr>
          <w:rFonts w:ascii="Arial" w:hAnsi="Arial" w:cs="Arial"/>
          <w:sz w:val="22"/>
          <w:szCs w:val="22"/>
        </w:rPr>
      </w:pPr>
      <w:r w:rsidRPr="00585A87">
        <w:rPr>
          <w:rFonts w:ascii="Arial" w:hAnsi="Arial" w:cs="Arial"/>
          <w:sz w:val="22"/>
          <w:szCs w:val="22"/>
        </w:rPr>
        <w:t>Thirdly, the active engagement of the service users can be encouraged through co-production, which can be challenging due to the varying capacities and resistances of the individuals.</w:t>
      </w:r>
    </w:p>
    <w:p w14:paraId="05A0D9D0" w14:textId="77777777" w:rsidR="00360853" w:rsidRPr="00585A87" w:rsidRDefault="00360853" w:rsidP="00090E6F">
      <w:pPr>
        <w:spacing w:line="360" w:lineRule="auto"/>
        <w:rPr>
          <w:rFonts w:ascii="Arial" w:hAnsi="Arial" w:cs="Arial"/>
          <w:sz w:val="22"/>
          <w:szCs w:val="22"/>
        </w:rPr>
      </w:pPr>
      <w:r w:rsidRPr="00585A87">
        <w:rPr>
          <w:rFonts w:ascii="Arial" w:hAnsi="Arial" w:cs="Arial"/>
          <w:sz w:val="22"/>
          <w:szCs w:val="22"/>
        </w:rPr>
        <w:t>Lastly, increased resources for mental health services are essential for reducing pressures and facilitating partnership work. This can be challenging due to financial constraints, which can hinder the development of person-centered care and partnership work.</w:t>
      </w:r>
    </w:p>
    <w:p w14:paraId="116F3DA8" w14:textId="77777777" w:rsidR="00DC5181" w:rsidRDefault="00DC5181" w:rsidP="00E5378A">
      <w:pPr>
        <w:spacing w:line="360" w:lineRule="auto"/>
        <w:rPr>
          <w:rFonts w:ascii="Arial" w:hAnsi="Arial" w:cs="Arial"/>
          <w:sz w:val="22"/>
          <w:szCs w:val="22"/>
        </w:rPr>
      </w:pPr>
    </w:p>
    <w:p w14:paraId="00DFE185" w14:textId="1C910AA1" w:rsidR="001A21FB" w:rsidRPr="00DC5181" w:rsidRDefault="001A21FB" w:rsidP="00E5378A">
      <w:pPr>
        <w:spacing w:line="360" w:lineRule="auto"/>
        <w:rPr>
          <w:rFonts w:ascii="Arial" w:hAnsi="Arial" w:cs="Arial"/>
          <w:b/>
          <w:bCs/>
          <w:sz w:val="22"/>
          <w:szCs w:val="22"/>
          <w:u w:val="single"/>
        </w:rPr>
      </w:pPr>
      <w:r w:rsidRPr="00DC5181">
        <w:rPr>
          <w:rFonts w:ascii="Arial" w:hAnsi="Arial" w:cs="Arial"/>
          <w:b/>
          <w:bCs/>
          <w:sz w:val="22"/>
          <w:szCs w:val="22"/>
          <w:u w:val="single"/>
        </w:rPr>
        <w:t>Conclusion</w:t>
      </w:r>
    </w:p>
    <w:p w14:paraId="0199AE87" w14:textId="4D192634" w:rsidR="00DC5181" w:rsidRPr="00DC5181" w:rsidRDefault="00DC5181" w:rsidP="00DC5181">
      <w:pPr>
        <w:spacing w:line="360" w:lineRule="auto"/>
        <w:rPr>
          <w:rFonts w:ascii="Arial" w:hAnsi="Arial" w:cs="Arial"/>
          <w:sz w:val="22"/>
          <w:szCs w:val="22"/>
        </w:rPr>
      </w:pPr>
      <w:r w:rsidRPr="00DC5181">
        <w:rPr>
          <w:rFonts w:ascii="Arial" w:hAnsi="Arial" w:cs="Arial"/>
          <w:sz w:val="22"/>
          <w:szCs w:val="22"/>
        </w:rPr>
        <w:t xml:space="preserve">In brief, this report has explored the way person-centered care and partnership working influence UK community mental health services. It has </w:t>
      </w:r>
      <w:r w:rsidR="00F21B69" w:rsidRPr="00DC5181">
        <w:rPr>
          <w:rFonts w:ascii="Arial" w:hAnsi="Arial" w:cs="Arial"/>
          <w:sz w:val="22"/>
          <w:szCs w:val="22"/>
        </w:rPr>
        <w:t>shown</w:t>
      </w:r>
      <w:r w:rsidRPr="00DC5181">
        <w:rPr>
          <w:rFonts w:ascii="Arial" w:hAnsi="Arial" w:cs="Arial"/>
          <w:sz w:val="22"/>
          <w:szCs w:val="22"/>
        </w:rPr>
        <w:t xml:space="preserve"> the positive impact of putting the individual at the heart of care, respecting their autonomy, dignity, and rights, which promotes a more holistic approach to care and support towards the individual’s recovery. Additionally, the partnership approach to working among health, social care, and voluntary sectors has a positive impact in delivering integrated care.</w:t>
      </w:r>
    </w:p>
    <w:p w14:paraId="7FC91AB3" w14:textId="77777777" w:rsidR="00DC5181" w:rsidRPr="00DC5181" w:rsidRDefault="00DC5181" w:rsidP="00DC5181">
      <w:pPr>
        <w:spacing w:line="360" w:lineRule="auto"/>
        <w:rPr>
          <w:rFonts w:ascii="Arial" w:hAnsi="Arial" w:cs="Arial"/>
          <w:sz w:val="22"/>
          <w:szCs w:val="22"/>
        </w:rPr>
      </w:pPr>
    </w:p>
    <w:p w14:paraId="611244EE" w14:textId="77777777" w:rsidR="00DC5181" w:rsidRPr="00DC5181" w:rsidRDefault="00DC5181" w:rsidP="00DC5181">
      <w:pPr>
        <w:spacing w:line="360" w:lineRule="auto"/>
        <w:rPr>
          <w:rFonts w:ascii="Arial" w:hAnsi="Arial" w:cs="Arial"/>
          <w:sz w:val="22"/>
          <w:szCs w:val="22"/>
        </w:rPr>
      </w:pPr>
      <w:r w:rsidRPr="00DC5181">
        <w:rPr>
          <w:rFonts w:ascii="Arial" w:hAnsi="Arial" w:cs="Arial"/>
          <w:sz w:val="22"/>
          <w:szCs w:val="22"/>
        </w:rPr>
        <w:t xml:space="preserve">Theories such as the humanistic approach, the recovery model, and the </w:t>
      </w:r>
      <w:proofErr w:type="spellStart"/>
      <w:r w:rsidRPr="00DC5181">
        <w:rPr>
          <w:rFonts w:ascii="Arial" w:hAnsi="Arial" w:cs="Arial"/>
          <w:sz w:val="22"/>
          <w:szCs w:val="22"/>
        </w:rPr>
        <w:t>biopsychosocial</w:t>
      </w:r>
      <w:proofErr w:type="spellEnd"/>
      <w:r w:rsidRPr="00DC5181">
        <w:rPr>
          <w:rFonts w:ascii="Arial" w:hAnsi="Arial" w:cs="Arial"/>
          <w:sz w:val="22"/>
          <w:szCs w:val="22"/>
        </w:rPr>
        <w:t xml:space="preserve"> model have demonstrated a shift towards a more holistic approach to care, moving from the biomedical model to a more person-centered approach to care, which incorporates the use of partnership working.</w:t>
      </w:r>
    </w:p>
    <w:p w14:paraId="14EB4617" w14:textId="77777777" w:rsidR="00DC5181" w:rsidRPr="00DC5181" w:rsidRDefault="00DC5181" w:rsidP="00DC5181">
      <w:pPr>
        <w:spacing w:line="360" w:lineRule="auto"/>
        <w:rPr>
          <w:rFonts w:ascii="Arial" w:hAnsi="Arial" w:cs="Arial"/>
          <w:sz w:val="22"/>
          <w:szCs w:val="22"/>
        </w:rPr>
      </w:pPr>
    </w:p>
    <w:p w14:paraId="20EC9BDA" w14:textId="77777777" w:rsidR="00DC5181" w:rsidRPr="00DC5181" w:rsidRDefault="00DC5181" w:rsidP="00DC5181">
      <w:pPr>
        <w:spacing w:line="360" w:lineRule="auto"/>
        <w:rPr>
          <w:rFonts w:ascii="Arial" w:hAnsi="Arial" w:cs="Arial"/>
          <w:sz w:val="22"/>
          <w:szCs w:val="22"/>
        </w:rPr>
      </w:pPr>
      <w:r w:rsidRPr="00DC5181">
        <w:rPr>
          <w:rFonts w:ascii="Arial" w:hAnsi="Arial" w:cs="Arial"/>
          <w:sz w:val="22"/>
          <w:szCs w:val="22"/>
        </w:rPr>
        <w:t>Ethical theories such as autonomy, beneficence, non-maleficence, and justice form the basis of practice, although there appears to be a conflict of interest at times, particularly in balancing the individual’s rights against the need to protect the individual.</w:t>
      </w:r>
    </w:p>
    <w:p w14:paraId="3023B637" w14:textId="77777777" w:rsidR="00DC5181" w:rsidRPr="00DC5181" w:rsidRDefault="00DC5181" w:rsidP="00DC5181">
      <w:pPr>
        <w:spacing w:line="360" w:lineRule="auto"/>
        <w:rPr>
          <w:rFonts w:ascii="Arial" w:hAnsi="Arial" w:cs="Arial"/>
          <w:b/>
          <w:bCs/>
          <w:sz w:val="22"/>
          <w:szCs w:val="22"/>
          <w:u w:val="single"/>
        </w:rPr>
      </w:pPr>
    </w:p>
    <w:p w14:paraId="65122269" w14:textId="77777777" w:rsidR="00DC5181" w:rsidRPr="00DC5181" w:rsidRDefault="00DC5181" w:rsidP="00DC5181">
      <w:pPr>
        <w:spacing w:line="360" w:lineRule="auto"/>
        <w:rPr>
          <w:rFonts w:ascii="Arial" w:hAnsi="Arial" w:cs="Arial"/>
          <w:sz w:val="22"/>
          <w:szCs w:val="22"/>
        </w:rPr>
      </w:pPr>
      <w:r w:rsidRPr="00DC5181">
        <w:rPr>
          <w:rFonts w:ascii="Arial" w:hAnsi="Arial" w:cs="Arial"/>
          <w:sz w:val="22"/>
          <w:szCs w:val="22"/>
        </w:rPr>
        <w:t>Legislative bases such as the Mental Health Act 1983, the Mental Capacity Act 2005, the Care Act 2014, and the Health and Care Act 2022 form a strong base for person-centered care and partnership working, although there appears to be a gap in the way the legislation is implemented in practice.</w:t>
      </w:r>
    </w:p>
    <w:p w14:paraId="03BF0C76" w14:textId="77777777" w:rsidR="00DC5181" w:rsidRPr="00DC5181" w:rsidRDefault="00DC5181" w:rsidP="00DC5181">
      <w:pPr>
        <w:spacing w:line="360" w:lineRule="auto"/>
        <w:rPr>
          <w:rFonts w:ascii="Arial" w:hAnsi="Arial" w:cs="Arial"/>
          <w:sz w:val="22"/>
          <w:szCs w:val="22"/>
        </w:rPr>
      </w:pPr>
    </w:p>
    <w:p w14:paraId="20D6C386" w14:textId="534DB713" w:rsidR="00DC5181" w:rsidRDefault="00DC5181" w:rsidP="00E5378A">
      <w:pPr>
        <w:spacing w:line="360" w:lineRule="auto"/>
        <w:rPr>
          <w:rFonts w:ascii="Arial" w:hAnsi="Arial" w:cs="Arial"/>
          <w:sz w:val="22"/>
          <w:szCs w:val="22"/>
        </w:rPr>
      </w:pPr>
      <w:r w:rsidRPr="00DC5181">
        <w:rPr>
          <w:rFonts w:ascii="Arial" w:hAnsi="Arial" w:cs="Arial"/>
          <w:sz w:val="22"/>
          <w:szCs w:val="22"/>
        </w:rPr>
        <w:t>Finally, person-centered care and partnership working remain the heart of effective mental health services, although there are challenges to be addressed, such as the use of training, communication, and adequate funding to improve the quality of care in the UK.</w:t>
      </w:r>
    </w:p>
    <w:p w14:paraId="34BCBAF0" w14:textId="77777777" w:rsidR="00FA15FF" w:rsidRDefault="00FA15FF" w:rsidP="00E5378A">
      <w:pPr>
        <w:spacing w:line="360" w:lineRule="auto"/>
        <w:rPr>
          <w:rFonts w:ascii="Arial" w:hAnsi="Arial" w:cs="Arial"/>
          <w:sz w:val="22"/>
          <w:szCs w:val="22"/>
        </w:rPr>
      </w:pPr>
    </w:p>
    <w:p w14:paraId="3C672B33" w14:textId="48765864" w:rsidR="00FA15FF" w:rsidRDefault="00FA15FF" w:rsidP="00E5378A">
      <w:pPr>
        <w:spacing w:line="360" w:lineRule="auto"/>
        <w:rPr>
          <w:rFonts w:ascii="Arial" w:hAnsi="Arial" w:cs="Arial"/>
          <w:sz w:val="22"/>
          <w:szCs w:val="22"/>
        </w:rPr>
      </w:pPr>
    </w:p>
    <w:p w14:paraId="086CC393" w14:textId="77777777" w:rsidR="00FA15FF" w:rsidRDefault="00FA15FF" w:rsidP="00E5378A">
      <w:pPr>
        <w:spacing w:line="360" w:lineRule="auto"/>
        <w:rPr>
          <w:rFonts w:ascii="Arial" w:hAnsi="Arial" w:cs="Arial"/>
          <w:sz w:val="22"/>
          <w:szCs w:val="22"/>
        </w:rPr>
      </w:pPr>
    </w:p>
    <w:p w14:paraId="1ACDF822" w14:textId="45F618C9" w:rsidR="00FA15FF" w:rsidRDefault="00FA15FF" w:rsidP="00E5378A">
      <w:pPr>
        <w:spacing w:line="360" w:lineRule="auto"/>
        <w:rPr>
          <w:rFonts w:ascii="Arial" w:hAnsi="Arial" w:cs="Arial"/>
          <w:b/>
          <w:bCs/>
          <w:sz w:val="22"/>
          <w:szCs w:val="22"/>
          <w:u w:val="single"/>
        </w:rPr>
      </w:pPr>
      <w:r w:rsidRPr="00FA15FF">
        <w:rPr>
          <w:rFonts w:ascii="Arial" w:hAnsi="Arial" w:cs="Arial"/>
          <w:b/>
          <w:bCs/>
          <w:sz w:val="22"/>
          <w:szCs w:val="22"/>
          <w:u w:val="single"/>
        </w:rPr>
        <w:lastRenderedPageBreak/>
        <w:t>References</w:t>
      </w:r>
    </w:p>
    <w:p w14:paraId="3A1CEF3F" w14:textId="0FA6966A" w:rsidR="005F44DF" w:rsidRDefault="00DE0297" w:rsidP="00E5378A">
      <w:pPr>
        <w:spacing w:line="360" w:lineRule="auto"/>
        <w:rPr>
          <w:rStyle w:val="apple-converted-space"/>
          <w:rFonts w:ascii="Arial" w:eastAsia="Times New Roman" w:hAnsi="Arial" w:cs="Arial"/>
          <w:color w:val="000000"/>
          <w:sz w:val="22"/>
          <w:szCs w:val="22"/>
        </w:rPr>
      </w:pPr>
      <w:r w:rsidRPr="00A1532A">
        <w:rPr>
          <w:rFonts w:ascii="Arial" w:eastAsia="Times New Roman" w:hAnsi="Arial" w:cs="Arial"/>
          <w:color w:val="000000"/>
          <w:sz w:val="22"/>
          <w:szCs w:val="22"/>
        </w:rPr>
        <w:t xml:space="preserve">National Health Service </w:t>
      </w:r>
      <w:r w:rsidR="00653614" w:rsidRPr="00A1532A">
        <w:rPr>
          <w:rFonts w:ascii="Arial" w:eastAsia="Times New Roman" w:hAnsi="Arial" w:cs="Arial"/>
          <w:color w:val="000000"/>
          <w:sz w:val="22"/>
          <w:szCs w:val="22"/>
        </w:rPr>
        <w:t>England,</w:t>
      </w:r>
      <w:r w:rsidR="00653614">
        <w:rPr>
          <w:rFonts w:ascii="Arial" w:eastAsia="Times New Roman" w:hAnsi="Arial" w:cs="Arial"/>
          <w:color w:val="000000"/>
          <w:sz w:val="22"/>
          <w:szCs w:val="22"/>
        </w:rPr>
        <w:t xml:space="preserve"> (</w:t>
      </w:r>
      <w:r w:rsidR="00653614" w:rsidRPr="00A1532A">
        <w:rPr>
          <w:rFonts w:ascii="Arial" w:eastAsia="Times New Roman" w:hAnsi="Arial" w:cs="Arial"/>
          <w:color w:val="000000"/>
          <w:sz w:val="22"/>
          <w:szCs w:val="22"/>
        </w:rPr>
        <w:t>2019</w:t>
      </w:r>
      <w:r w:rsidR="0087427D">
        <w:rPr>
          <w:rFonts w:ascii="Arial" w:eastAsia="Times New Roman" w:hAnsi="Arial" w:cs="Arial"/>
          <w:color w:val="000000"/>
          <w:sz w:val="22"/>
          <w:szCs w:val="22"/>
        </w:rPr>
        <w:t>)</w:t>
      </w:r>
      <w:r w:rsidRPr="00A1532A">
        <w:rPr>
          <w:rFonts w:ascii="Arial" w:eastAsia="Times New Roman" w:hAnsi="Arial" w:cs="Arial"/>
          <w:color w:val="000000"/>
          <w:sz w:val="22"/>
          <w:szCs w:val="22"/>
        </w:rPr>
        <w:t>.</w:t>
      </w:r>
      <w:r w:rsidRPr="00A1532A">
        <w:rPr>
          <w:rStyle w:val="apple-converted-space"/>
          <w:rFonts w:ascii="Arial" w:eastAsia="Times New Roman" w:hAnsi="Arial" w:cs="Arial"/>
          <w:color w:val="000000"/>
          <w:sz w:val="22"/>
          <w:szCs w:val="22"/>
        </w:rPr>
        <w:t> </w:t>
      </w:r>
      <w:r w:rsidRPr="00A1532A">
        <w:rPr>
          <w:rStyle w:val="Emphasis"/>
          <w:rFonts w:ascii="Arial" w:eastAsia="Times New Roman" w:hAnsi="Arial" w:cs="Arial"/>
          <w:i w:val="0"/>
          <w:iCs w:val="0"/>
          <w:color w:val="000000"/>
          <w:sz w:val="22"/>
          <w:szCs w:val="22"/>
        </w:rPr>
        <w:t>The NHS Long Term Plan</w:t>
      </w:r>
      <w:r w:rsidRPr="00A1532A">
        <w:rPr>
          <w:rFonts w:ascii="Arial" w:eastAsia="Times New Roman" w:hAnsi="Arial" w:cs="Arial"/>
          <w:i/>
          <w:iCs/>
          <w:color w:val="000000"/>
          <w:sz w:val="22"/>
          <w:szCs w:val="22"/>
        </w:rPr>
        <w:t xml:space="preserve">. </w:t>
      </w:r>
      <w:r w:rsidRPr="00A1532A">
        <w:rPr>
          <w:rFonts w:ascii="Arial" w:eastAsia="Times New Roman" w:hAnsi="Arial" w:cs="Arial"/>
          <w:color w:val="000000"/>
          <w:sz w:val="22"/>
          <w:szCs w:val="22"/>
        </w:rPr>
        <w:t>London: NHS England. Available at:</w:t>
      </w:r>
      <w:r w:rsidRPr="00A1532A">
        <w:rPr>
          <w:rStyle w:val="apple-converted-space"/>
          <w:rFonts w:ascii="Arial" w:eastAsia="Times New Roman" w:hAnsi="Arial" w:cs="Arial"/>
          <w:color w:val="000000"/>
          <w:sz w:val="22"/>
          <w:szCs w:val="22"/>
        </w:rPr>
        <w:t> </w:t>
      </w:r>
      <w:hyperlink r:id="rId6" w:tgtFrame="_new" w:history="1">
        <w:r w:rsidRPr="00A1532A">
          <w:rPr>
            <w:rStyle w:val="Hyperlink"/>
            <w:rFonts w:ascii="Arial" w:eastAsia="Times New Roman" w:hAnsi="Arial" w:cs="Arial"/>
            <w:sz w:val="22"/>
            <w:szCs w:val="22"/>
          </w:rPr>
          <w:t>https://www.longtermplan.nhs.uk/</w:t>
        </w:r>
      </w:hyperlink>
      <w:r w:rsidRPr="00A1532A">
        <w:rPr>
          <w:rStyle w:val="apple-converted-space"/>
          <w:rFonts w:ascii="Arial" w:eastAsia="Times New Roman" w:hAnsi="Arial" w:cs="Arial"/>
          <w:color w:val="000000"/>
          <w:sz w:val="22"/>
          <w:szCs w:val="22"/>
        </w:rPr>
        <w:t> </w:t>
      </w:r>
    </w:p>
    <w:p w14:paraId="4FE6648C" w14:textId="167B8ACD" w:rsidR="00653614" w:rsidRPr="00653614" w:rsidRDefault="00653614" w:rsidP="00E5378A">
      <w:pPr>
        <w:spacing w:line="360" w:lineRule="auto"/>
        <w:rPr>
          <w:rStyle w:val="apple-converted-space"/>
          <w:rFonts w:ascii="Arial" w:eastAsia="Times New Roman" w:hAnsi="Arial" w:cs="Arial"/>
          <w:color w:val="000000"/>
          <w:sz w:val="22"/>
          <w:szCs w:val="22"/>
        </w:rPr>
      </w:pPr>
      <w:r w:rsidRPr="00653614">
        <w:rPr>
          <w:rFonts w:ascii="Arial" w:eastAsia="Times New Roman" w:hAnsi="Arial" w:cs="Arial"/>
          <w:color w:val="000000"/>
          <w:sz w:val="22"/>
          <w:szCs w:val="22"/>
        </w:rPr>
        <w:t>McKay, R. et al. (2012).</w:t>
      </w:r>
      <w:r w:rsidRPr="00653614">
        <w:rPr>
          <w:rStyle w:val="apple-converted-space"/>
          <w:rFonts w:ascii="Arial" w:eastAsia="Times New Roman" w:hAnsi="Arial" w:cs="Arial"/>
          <w:color w:val="000000"/>
          <w:sz w:val="22"/>
          <w:szCs w:val="22"/>
        </w:rPr>
        <w:t> </w:t>
      </w:r>
      <w:r w:rsidRPr="00653614">
        <w:rPr>
          <w:rStyle w:val="Emphasis"/>
          <w:rFonts w:ascii="Arial" w:eastAsia="Times New Roman" w:hAnsi="Arial" w:cs="Arial"/>
          <w:i w:val="0"/>
          <w:iCs w:val="0"/>
          <w:color w:val="000000"/>
          <w:sz w:val="22"/>
          <w:szCs w:val="22"/>
        </w:rPr>
        <w:t xml:space="preserve">Reclaiming the best of the </w:t>
      </w:r>
      <w:proofErr w:type="spellStart"/>
      <w:r w:rsidRPr="00653614">
        <w:rPr>
          <w:rStyle w:val="Emphasis"/>
          <w:rFonts w:ascii="Arial" w:eastAsia="Times New Roman" w:hAnsi="Arial" w:cs="Arial"/>
          <w:i w:val="0"/>
          <w:iCs w:val="0"/>
          <w:color w:val="000000"/>
          <w:sz w:val="22"/>
          <w:szCs w:val="22"/>
        </w:rPr>
        <w:t>biopsychosocial</w:t>
      </w:r>
      <w:proofErr w:type="spellEnd"/>
      <w:r w:rsidRPr="00653614">
        <w:rPr>
          <w:rStyle w:val="Emphasis"/>
          <w:rFonts w:ascii="Arial" w:eastAsia="Times New Roman" w:hAnsi="Arial" w:cs="Arial"/>
          <w:i w:val="0"/>
          <w:iCs w:val="0"/>
          <w:color w:val="000000"/>
          <w:sz w:val="22"/>
          <w:szCs w:val="22"/>
        </w:rPr>
        <w:t xml:space="preserve"> model of mental health care and ‘recovery’ through a </w:t>
      </w:r>
      <w:proofErr w:type="spellStart"/>
      <w:r w:rsidRPr="00653614">
        <w:rPr>
          <w:rStyle w:val="Emphasis"/>
          <w:rFonts w:ascii="Arial" w:eastAsia="Times New Roman" w:hAnsi="Arial" w:cs="Arial"/>
          <w:i w:val="0"/>
          <w:iCs w:val="0"/>
          <w:color w:val="000000"/>
          <w:sz w:val="22"/>
          <w:szCs w:val="22"/>
        </w:rPr>
        <w:t>person-centred</w:t>
      </w:r>
      <w:proofErr w:type="spellEnd"/>
      <w:r w:rsidRPr="00653614">
        <w:rPr>
          <w:rStyle w:val="Emphasis"/>
          <w:rFonts w:ascii="Arial" w:eastAsia="Times New Roman" w:hAnsi="Arial" w:cs="Arial"/>
          <w:i w:val="0"/>
          <w:iCs w:val="0"/>
          <w:color w:val="000000"/>
          <w:sz w:val="22"/>
          <w:szCs w:val="22"/>
        </w:rPr>
        <w:t xml:space="preserve"> approach</w:t>
      </w:r>
      <w:r w:rsidRPr="00653614">
        <w:rPr>
          <w:rFonts w:ascii="Arial" w:eastAsia="Times New Roman" w:hAnsi="Arial" w:cs="Arial"/>
          <w:i/>
          <w:iCs/>
          <w:color w:val="000000"/>
          <w:sz w:val="22"/>
          <w:szCs w:val="22"/>
        </w:rPr>
        <w:t>.</w:t>
      </w:r>
      <w:r w:rsidRPr="00653614">
        <w:rPr>
          <w:rFonts w:ascii="Arial" w:eastAsia="Times New Roman" w:hAnsi="Arial" w:cs="Arial"/>
          <w:color w:val="000000"/>
          <w:sz w:val="22"/>
          <w:szCs w:val="22"/>
        </w:rPr>
        <w:t xml:space="preserve"> Australasian Psychiatry, 20(6), </w:t>
      </w:r>
      <w:r>
        <w:rPr>
          <w:rFonts w:ascii="Arial" w:eastAsia="Times New Roman" w:hAnsi="Arial" w:cs="Arial"/>
          <w:color w:val="000000"/>
          <w:sz w:val="22"/>
          <w:szCs w:val="22"/>
        </w:rPr>
        <w:t xml:space="preserve">pp. </w:t>
      </w:r>
      <w:r w:rsidRPr="00653614">
        <w:rPr>
          <w:rFonts w:ascii="Arial" w:eastAsia="Times New Roman" w:hAnsi="Arial" w:cs="Arial"/>
          <w:color w:val="000000"/>
          <w:sz w:val="22"/>
          <w:szCs w:val="22"/>
        </w:rPr>
        <w:t>492-495</w:t>
      </w:r>
    </w:p>
    <w:p w14:paraId="65CCB531" w14:textId="3F9C62E1" w:rsidR="0087427D" w:rsidRDefault="009C5EEF" w:rsidP="00D03834">
      <w:pPr>
        <w:pStyle w:val="Heading1"/>
        <w:rPr>
          <w:rFonts w:ascii="Arial" w:eastAsia="Times New Roman" w:hAnsi="Arial" w:cs="Arial"/>
          <w:color w:val="0E0E0E"/>
          <w:kern w:val="36"/>
          <w:sz w:val="22"/>
          <w:szCs w:val="22"/>
          <w14:ligatures w14:val="none"/>
        </w:rPr>
      </w:pPr>
      <w:r w:rsidRPr="00653614">
        <w:rPr>
          <w:rFonts w:ascii="Arial" w:hAnsi="Arial" w:cs="Arial"/>
          <w:color w:val="000000" w:themeColor="text1"/>
          <w:sz w:val="22"/>
          <w:szCs w:val="22"/>
        </w:rPr>
        <w:t xml:space="preserve">National Institute </w:t>
      </w:r>
      <w:r w:rsidR="00653614" w:rsidRPr="00653614">
        <w:rPr>
          <w:rFonts w:ascii="Arial" w:hAnsi="Arial" w:cs="Arial"/>
          <w:color w:val="000000" w:themeColor="text1"/>
          <w:sz w:val="22"/>
          <w:szCs w:val="22"/>
        </w:rPr>
        <w:t>for</w:t>
      </w:r>
      <w:r w:rsidRPr="00653614">
        <w:rPr>
          <w:rFonts w:ascii="Arial" w:hAnsi="Arial" w:cs="Arial"/>
          <w:color w:val="000000" w:themeColor="text1"/>
          <w:sz w:val="22"/>
          <w:szCs w:val="22"/>
        </w:rPr>
        <w:t xml:space="preserve"> Health </w:t>
      </w:r>
      <w:r w:rsidR="00653614" w:rsidRPr="00653614">
        <w:rPr>
          <w:rFonts w:ascii="Arial" w:hAnsi="Arial" w:cs="Arial"/>
          <w:color w:val="000000" w:themeColor="text1"/>
          <w:sz w:val="22"/>
          <w:szCs w:val="22"/>
        </w:rPr>
        <w:t>and</w:t>
      </w:r>
      <w:r w:rsidRPr="00653614">
        <w:rPr>
          <w:rFonts w:ascii="Arial" w:hAnsi="Arial" w:cs="Arial"/>
          <w:color w:val="000000" w:themeColor="text1"/>
          <w:sz w:val="22"/>
          <w:szCs w:val="22"/>
        </w:rPr>
        <w:t xml:space="preserve"> Care Excellence</w:t>
      </w:r>
      <w:r w:rsidR="00606FDE" w:rsidRPr="00653614">
        <w:rPr>
          <w:rFonts w:ascii="Arial" w:hAnsi="Arial" w:cs="Arial"/>
          <w:color w:val="000000" w:themeColor="text1"/>
          <w:sz w:val="22"/>
          <w:szCs w:val="22"/>
        </w:rPr>
        <w:t xml:space="preserve">, </w:t>
      </w:r>
      <w:r w:rsidR="0087427D" w:rsidRPr="00653614">
        <w:rPr>
          <w:rFonts w:ascii="Arial" w:hAnsi="Arial" w:cs="Arial"/>
          <w:color w:val="000000" w:themeColor="text1"/>
          <w:sz w:val="22"/>
          <w:szCs w:val="22"/>
        </w:rPr>
        <w:t>(</w:t>
      </w:r>
      <w:r w:rsidR="00606FDE" w:rsidRPr="00653614">
        <w:rPr>
          <w:rFonts w:ascii="Arial" w:hAnsi="Arial" w:cs="Arial"/>
          <w:color w:val="000000" w:themeColor="text1"/>
          <w:sz w:val="22"/>
          <w:szCs w:val="22"/>
        </w:rPr>
        <w:t>2011</w:t>
      </w:r>
      <w:r w:rsidR="0087427D" w:rsidRPr="00653614">
        <w:rPr>
          <w:rFonts w:ascii="Arial" w:hAnsi="Arial" w:cs="Arial"/>
          <w:color w:val="000000" w:themeColor="text1"/>
          <w:sz w:val="22"/>
          <w:szCs w:val="22"/>
        </w:rPr>
        <w:t>)</w:t>
      </w:r>
      <w:r w:rsidR="00606FDE" w:rsidRPr="00653614">
        <w:rPr>
          <w:rFonts w:ascii="Arial" w:hAnsi="Arial" w:cs="Arial"/>
          <w:sz w:val="22"/>
          <w:szCs w:val="22"/>
        </w:rPr>
        <w:t>.</w:t>
      </w:r>
      <w:r w:rsidR="00D2318B" w:rsidRPr="00653614">
        <w:rPr>
          <w:rFonts w:ascii="Arial" w:hAnsi="Arial" w:cs="Arial"/>
          <w:sz w:val="22"/>
          <w:szCs w:val="22"/>
        </w:rPr>
        <w:t xml:space="preserve"> </w:t>
      </w:r>
      <w:r w:rsidR="00D2318B" w:rsidRPr="00653614">
        <w:rPr>
          <w:rFonts w:ascii="Arial" w:eastAsia="Times New Roman" w:hAnsi="Arial" w:cs="Arial"/>
          <w:color w:val="0E0E0E"/>
          <w:kern w:val="36"/>
          <w:sz w:val="22"/>
          <w:szCs w:val="22"/>
          <w14:ligatures w14:val="none"/>
        </w:rPr>
        <w:t>Service user experience in adult mental health: improving the exp</w:t>
      </w:r>
      <w:r w:rsidR="00D2318B" w:rsidRPr="00D2318B">
        <w:rPr>
          <w:rFonts w:ascii="Arial" w:eastAsia="Times New Roman" w:hAnsi="Arial" w:cs="Arial"/>
          <w:color w:val="0E0E0E"/>
          <w:kern w:val="36"/>
          <w:sz w:val="22"/>
          <w:szCs w:val="22"/>
          <w14:ligatures w14:val="none"/>
        </w:rPr>
        <w:t>erience of care for people using adult NHS mental health services</w:t>
      </w:r>
      <w:r w:rsidR="00D2318B">
        <w:rPr>
          <w:rFonts w:ascii="Arial" w:eastAsia="Times New Roman" w:hAnsi="Arial" w:cs="Arial"/>
          <w:color w:val="0E0E0E"/>
          <w:kern w:val="36"/>
          <w:sz w:val="22"/>
          <w:szCs w:val="22"/>
          <w14:ligatures w14:val="none"/>
        </w:rPr>
        <w:t>. Available at:</w:t>
      </w:r>
      <w:r w:rsidR="0087427D" w:rsidRPr="0087427D">
        <w:rPr>
          <w:rFonts w:ascii="Arial" w:eastAsia="Times New Roman" w:hAnsi="Arial" w:cs="Arial"/>
          <w:color w:val="0E0E0E"/>
          <w:kern w:val="36"/>
          <w:sz w:val="22"/>
          <w:szCs w:val="22"/>
          <w14:ligatures w14:val="none"/>
        </w:rPr>
        <w:t xml:space="preserve"> </w:t>
      </w:r>
      <w:hyperlink r:id="rId7" w:history="1">
        <w:r w:rsidR="0087427D" w:rsidRPr="006C1C80">
          <w:rPr>
            <w:rStyle w:val="Hyperlink"/>
            <w:rFonts w:ascii="Arial" w:eastAsia="Times New Roman" w:hAnsi="Arial" w:cs="Arial"/>
            <w:kern w:val="36"/>
            <w:sz w:val="22"/>
            <w:szCs w:val="22"/>
            <w14:ligatures w14:val="none"/>
          </w:rPr>
          <w:t>https://www.nice.org.uk/guidance/cg136/chapter/Introduction</w:t>
        </w:r>
      </w:hyperlink>
    </w:p>
    <w:p w14:paraId="5AA254B1" w14:textId="77777777" w:rsidR="00653614" w:rsidRPr="00653614" w:rsidRDefault="00653614" w:rsidP="00653614"/>
    <w:p w14:paraId="04A1CEA4" w14:textId="7DF374DD" w:rsidR="0087427D" w:rsidRDefault="002660F9" w:rsidP="005B7E9C">
      <w:pPr>
        <w:pStyle w:val="Heading1"/>
        <w:spacing w:before="0" w:after="0"/>
        <w:textAlignment w:val="baseline"/>
        <w:rPr>
          <w:rFonts w:ascii="Arial" w:eastAsia="Times New Roman" w:hAnsi="Arial" w:cs="Arial"/>
          <w:color w:val="auto"/>
          <w:kern w:val="36"/>
          <w:sz w:val="22"/>
          <w:szCs w:val="22"/>
          <w14:ligatures w14:val="none"/>
        </w:rPr>
      </w:pPr>
      <w:r w:rsidRPr="00653614">
        <w:rPr>
          <w:rFonts w:ascii="Arial" w:hAnsi="Arial" w:cs="Arial"/>
          <w:color w:val="000000" w:themeColor="text1"/>
          <w:sz w:val="22"/>
          <w:szCs w:val="22"/>
        </w:rPr>
        <w:t>Priory individuals and families</w:t>
      </w:r>
      <w:r w:rsidR="00653614" w:rsidRPr="00653614">
        <w:rPr>
          <w:rFonts w:ascii="Arial" w:hAnsi="Arial" w:cs="Arial"/>
          <w:color w:val="000000" w:themeColor="text1"/>
          <w:sz w:val="22"/>
          <w:szCs w:val="22"/>
        </w:rPr>
        <w:t>,</w:t>
      </w:r>
      <w:r w:rsidRPr="00653614">
        <w:rPr>
          <w:rFonts w:ascii="Arial" w:hAnsi="Arial" w:cs="Arial"/>
          <w:color w:val="000000" w:themeColor="text1"/>
          <w:sz w:val="22"/>
          <w:szCs w:val="22"/>
        </w:rPr>
        <w:t xml:space="preserve"> (</w:t>
      </w:r>
      <w:r w:rsidR="00DB24C0" w:rsidRPr="00653614">
        <w:rPr>
          <w:rFonts w:ascii="Arial" w:hAnsi="Arial" w:cs="Arial"/>
          <w:color w:val="000000" w:themeColor="text1"/>
          <w:sz w:val="22"/>
          <w:szCs w:val="22"/>
        </w:rPr>
        <w:t>2026)</w:t>
      </w:r>
      <w:r w:rsidR="00653614" w:rsidRPr="00653614">
        <w:rPr>
          <w:rFonts w:ascii="Arial" w:hAnsi="Arial" w:cs="Arial"/>
          <w:sz w:val="22"/>
          <w:szCs w:val="22"/>
        </w:rPr>
        <w:t>.</w:t>
      </w:r>
      <w:r w:rsidR="00653614" w:rsidRPr="00653614">
        <w:rPr>
          <w:rFonts w:ascii="Arial" w:hAnsi="Arial" w:cs="Arial"/>
        </w:rPr>
        <w:t xml:space="preserve"> </w:t>
      </w:r>
      <w:r w:rsidR="00287F6B" w:rsidRPr="00653614">
        <w:rPr>
          <w:rFonts w:ascii="Arial" w:eastAsia="Times New Roman" w:hAnsi="Arial" w:cs="Arial"/>
          <w:color w:val="auto"/>
          <w:kern w:val="36"/>
          <w:sz w:val="22"/>
          <w:szCs w:val="22"/>
          <w14:ligatures w14:val="none"/>
        </w:rPr>
        <w:t xml:space="preserve">What is </w:t>
      </w:r>
      <w:r w:rsidR="00653614" w:rsidRPr="00653614">
        <w:rPr>
          <w:rFonts w:ascii="Arial" w:eastAsia="Times New Roman" w:hAnsi="Arial" w:cs="Arial"/>
          <w:color w:val="auto"/>
          <w:kern w:val="36"/>
          <w:sz w:val="22"/>
          <w:szCs w:val="22"/>
          <w14:ligatures w14:val="none"/>
        </w:rPr>
        <w:t>person-centered</w:t>
      </w:r>
      <w:r w:rsidR="00287F6B" w:rsidRPr="00653614">
        <w:rPr>
          <w:rFonts w:ascii="Arial" w:eastAsia="Times New Roman" w:hAnsi="Arial" w:cs="Arial"/>
          <w:color w:val="auto"/>
          <w:kern w:val="36"/>
          <w:sz w:val="22"/>
          <w:szCs w:val="22"/>
          <w14:ligatures w14:val="none"/>
        </w:rPr>
        <w:t xml:space="preserve"> care and how does it work at Priory? Available at:</w:t>
      </w:r>
      <w:r w:rsidR="005B7E9C" w:rsidRPr="00653614">
        <w:rPr>
          <w:rFonts w:ascii="Arial" w:eastAsia="Times New Roman" w:hAnsi="Arial" w:cs="Arial"/>
          <w:color w:val="auto"/>
          <w:kern w:val="36"/>
          <w:sz w:val="22"/>
          <w:szCs w:val="22"/>
          <w14:ligatures w14:val="none"/>
        </w:rPr>
        <w:t xml:space="preserve"> </w:t>
      </w:r>
      <w:hyperlink r:id="rId8" w:history="1">
        <w:r w:rsidR="00316436" w:rsidRPr="00653614">
          <w:rPr>
            <w:rStyle w:val="Hyperlink"/>
            <w:rFonts w:ascii="Arial" w:eastAsia="Times New Roman" w:hAnsi="Arial" w:cs="Arial"/>
            <w:kern w:val="36"/>
            <w:sz w:val="22"/>
            <w:szCs w:val="22"/>
            <w14:ligatures w14:val="none"/>
          </w:rPr>
          <w:t>https://www.priorygroup.com/our-services/whole-person-care</w:t>
        </w:r>
      </w:hyperlink>
    </w:p>
    <w:p w14:paraId="09D534A6" w14:textId="77777777" w:rsidR="0044617E" w:rsidRPr="0044617E" w:rsidRDefault="0044617E" w:rsidP="0044617E"/>
    <w:p w14:paraId="4FB351FD" w14:textId="6B49AB7D" w:rsidR="00316436" w:rsidRDefault="0044617E" w:rsidP="00316436">
      <w:pPr>
        <w:rPr>
          <w:rStyle w:val="apple-converted-space"/>
          <w:rFonts w:ascii="Arial" w:eastAsia="Times New Roman" w:hAnsi="Arial" w:cs="Arial"/>
          <w:color w:val="000000"/>
          <w:sz w:val="22"/>
          <w:szCs w:val="22"/>
        </w:rPr>
      </w:pPr>
      <w:r w:rsidRPr="0044617E">
        <w:rPr>
          <w:rFonts w:ascii="Arial" w:eastAsia="Times New Roman" w:hAnsi="Arial" w:cs="Arial"/>
          <w:color w:val="000000"/>
          <w:sz w:val="22"/>
          <w:szCs w:val="22"/>
        </w:rPr>
        <w:t>Care Learning (2024)</w:t>
      </w:r>
      <w:r w:rsidRPr="0044617E">
        <w:rPr>
          <w:rStyle w:val="apple-converted-space"/>
          <w:rFonts w:ascii="Arial" w:eastAsia="Times New Roman" w:hAnsi="Arial" w:cs="Arial"/>
          <w:color w:val="000000"/>
          <w:sz w:val="22"/>
          <w:szCs w:val="22"/>
        </w:rPr>
        <w:t> </w:t>
      </w:r>
      <w:proofErr w:type="spellStart"/>
      <w:r w:rsidRPr="0044617E">
        <w:rPr>
          <w:rStyle w:val="Emphasis"/>
          <w:rFonts w:ascii="Arial" w:eastAsia="Times New Roman" w:hAnsi="Arial" w:cs="Arial"/>
          <w:i w:val="0"/>
          <w:iCs w:val="0"/>
          <w:color w:val="000000"/>
          <w:sz w:val="22"/>
          <w:szCs w:val="22"/>
        </w:rPr>
        <w:t>Person-centred</w:t>
      </w:r>
      <w:proofErr w:type="spellEnd"/>
      <w:r w:rsidRPr="0044617E">
        <w:rPr>
          <w:rStyle w:val="Emphasis"/>
          <w:rFonts w:ascii="Arial" w:eastAsia="Times New Roman" w:hAnsi="Arial" w:cs="Arial"/>
          <w:i w:val="0"/>
          <w:iCs w:val="0"/>
          <w:color w:val="000000"/>
          <w:sz w:val="22"/>
          <w:szCs w:val="22"/>
        </w:rPr>
        <w:t xml:space="preserve"> care training</w:t>
      </w:r>
      <w:r w:rsidRPr="0044617E">
        <w:rPr>
          <w:rStyle w:val="Emphasis"/>
          <w:rFonts w:ascii="Arial" w:eastAsia="Times New Roman" w:hAnsi="Arial" w:cs="Arial"/>
          <w:color w:val="000000"/>
          <w:sz w:val="22"/>
          <w:szCs w:val="22"/>
        </w:rPr>
        <w:t xml:space="preserve"> </w:t>
      </w:r>
      <w:r w:rsidRPr="0044617E">
        <w:rPr>
          <w:rStyle w:val="Emphasis"/>
          <w:rFonts w:ascii="Arial" w:eastAsia="Times New Roman" w:hAnsi="Arial" w:cs="Arial"/>
          <w:i w:val="0"/>
          <w:iCs w:val="0"/>
          <w:color w:val="000000"/>
          <w:sz w:val="22"/>
          <w:szCs w:val="22"/>
        </w:rPr>
        <w:t>guide</w:t>
      </w:r>
      <w:r w:rsidRPr="0044617E">
        <w:rPr>
          <w:rFonts w:ascii="Arial" w:eastAsia="Times New Roman" w:hAnsi="Arial" w:cs="Arial"/>
          <w:color w:val="000000"/>
          <w:sz w:val="22"/>
          <w:szCs w:val="22"/>
        </w:rPr>
        <w:t xml:space="preserve">. </w:t>
      </w:r>
      <w:r w:rsidR="00204CB3">
        <w:rPr>
          <w:rFonts w:ascii="Arial" w:eastAsia="Times New Roman" w:hAnsi="Arial" w:cs="Arial"/>
          <w:color w:val="000000"/>
          <w:sz w:val="22"/>
          <w:szCs w:val="22"/>
        </w:rPr>
        <w:t>Available I</w:t>
      </w:r>
      <w:r w:rsidRPr="0044617E">
        <w:rPr>
          <w:rFonts w:ascii="Arial" w:eastAsia="Times New Roman" w:hAnsi="Arial" w:cs="Arial"/>
          <w:color w:val="000000"/>
          <w:sz w:val="22"/>
          <w:szCs w:val="22"/>
        </w:rPr>
        <w:t xml:space="preserve"> at:</w:t>
      </w:r>
      <w:r w:rsidRPr="0044617E">
        <w:rPr>
          <w:rStyle w:val="apple-converted-space"/>
          <w:rFonts w:ascii="Arial" w:eastAsia="Times New Roman" w:hAnsi="Arial" w:cs="Arial"/>
          <w:color w:val="000000"/>
          <w:sz w:val="22"/>
          <w:szCs w:val="22"/>
        </w:rPr>
        <w:t> </w:t>
      </w:r>
      <w:hyperlink r:id="rId9" w:tgtFrame="_new" w:history="1">
        <w:r w:rsidRPr="0044617E">
          <w:rPr>
            <w:rStyle w:val="Hyperlink"/>
            <w:rFonts w:ascii="Arial" w:eastAsia="Times New Roman" w:hAnsi="Arial" w:cs="Arial"/>
            <w:sz w:val="22"/>
            <w:szCs w:val="22"/>
          </w:rPr>
          <w:t>https://carelearning.org.uk/guides/person-centred-care-training-guide/</w:t>
        </w:r>
      </w:hyperlink>
      <w:r w:rsidRPr="0044617E">
        <w:rPr>
          <w:rStyle w:val="apple-converted-space"/>
          <w:rFonts w:ascii="Arial" w:eastAsia="Times New Roman" w:hAnsi="Arial" w:cs="Arial"/>
          <w:color w:val="000000"/>
          <w:sz w:val="22"/>
          <w:szCs w:val="22"/>
        </w:rPr>
        <w:t> </w:t>
      </w:r>
    </w:p>
    <w:p w14:paraId="44249245" w14:textId="77777777" w:rsidR="00204CB3" w:rsidRPr="0044617E" w:rsidRDefault="00204CB3" w:rsidP="00316436">
      <w:pPr>
        <w:rPr>
          <w:rFonts w:ascii="Arial" w:hAnsi="Arial" w:cs="Arial"/>
          <w:sz w:val="22"/>
          <w:szCs w:val="22"/>
        </w:rPr>
      </w:pPr>
    </w:p>
    <w:p w14:paraId="625B3D4E" w14:textId="3BA063A6" w:rsidR="00653614" w:rsidRDefault="00653614" w:rsidP="00316436">
      <w:pPr>
        <w:rPr>
          <w:rFonts w:ascii="Arial" w:hAnsi="Arial" w:cs="Arial"/>
          <w:sz w:val="22"/>
          <w:szCs w:val="22"/>
        </w:rPr>
      </w:pPr>
      <w:r w:rsidRPr="0044617E">
        <w:rPr>
          <w:rFonts w:ascii="Arial" w:hAnsi="Arial" w:cs="Arial"/>
          <w:sz w:val="22"/>
          <w:szCs w:val="22"/>
        </w:rPr>
        <w:t xml:space="preserve">Local government association, (2026). Person -centered care. Available at: </w:t>
      </w:r>
      <w:hyperlink r:id="rId10" w:history="1">
        <w:r w:rsidRPr="00653614">
          <w:rPr>
            <w:rStyle w:val="Hyperlink"/>
            <w:rFonts w:ascii="Arial" w:hAnsi="Arial" w:cs="Arial"/>
            <w:sz w:val="22"/>
            <w:szCs w:val="22"/>
          </w:rPr>
          <w:t>https://www.local.gov.uk/person-centred-care</w:t>
        </w:r>
      </w:hyperlink>
    </w:p>
    <w:p w14:paraId="6E718028" w14:textId="77777777" w:rsidR="00204CB3" w:rsidRDefault="00204CB3" w:rsidP="00316436">
      <w:pPr>
        <w:rPr>
          <w:rFonts w:ascii="Arial" w:hAnsi="Arial" w:cs="Arial"/>
          <w:sz w:val="22"/>
          <w:szCs w:val="22"/>
        </w:rPr>
      </w:pPr>
    </w:p>
    <w:p w14:paraId="548E415C" w14:textId="2A53F021" w:rsidR="00653614" w:rsidRPr="00204CB3" w:rsidRDefault="00460291" w:rsidP="00316436">
      <w:pPr>
        <w:rPr>
          <w:rFonts w:ascii="Arial" w:hAnsi="Arial" w:cs="Arial"/>
          <w:sz w:val="22"/>
          <w:szCs w:val="22"/>
        </w:rPr>
      </w:pPr>
      <w:r w:rsidRPr="00204CB3">
        <w:rPr>
          <w:rFonts w:ascii="Arial" w:eastAsia="Times New Roman" w:hAnsi="Arial" w:cs="Arial"/>
          <w:color w:val="000000"/>
          <w:sz w:val="22"/>
          <w:szCs w:val="22"/>
        </w:rPr>
        <w:t>Anthony, W.A. (1993) ‘Recovery from mental illness: The guiding vision of the mental health service system in the 1990s’,</w:t>
      </w:r>
      <w:r w:rsidRPr="00204CB3">
        <w:rPr>
          <w:rStyle w:val="apple-converted-space"/>
          <w:rFonts w:ascii="Arial" w:eastAsia="Times New Roman" w:hAnsi="Arial" w:cs="Arial"/>
          <w:color w:val="000000"/>
          <w:sz w:val="22"/>
          <w:szCs w:val="22"/>
        </w:rPr>
        <w:t> </w:t>
      </w:r>
      <w:r w:rsidRPr="00204CB3">
        <w:rPr>
          <w:rStyle w:val="Emphasis"/>
          <w:rFonts w:ascii="Arial" w:eastAsia="Times New Roman" w:hAnsi="Arial" w:cs="Arial"/>
          <w:i w:val="0"/>
          <w:iCs w:val="0"/>
          <w:color w:val="000000"/>
          <w:sz w:val="22"/>
          <w:szCs w:val="22"/>
        </w:rPr>
        <w:t>Psychosocial Rehabilitation Journal</w:t>
      </w:r>
      <w:r w:rsidRPr="00204CB3">
        <w:rPr>
          <w:rFonts w:ascii="Arial" w:eastAsia="Times New Roman" w:hAnsi="Arial" w:cs="Arial"/>
          <w:i/>
          <w:iCs/>
          <w:color w:val="000000"/>
          <w:sz w:val="22"/>
          <w:szCs w:val="22"/>
        </w:rPr>
        <w:t xml:space="preserve">, </w:t>
      </w:r>
      <w:r w:rsidRPr="00204CB3">
        <w:rPr>
          <w:rFonts w:ascii="Arial" w:eastAsia="Times New Roman" w:hAnsi="Arial" w:cs="Arial"/>
          <w:color w:val="000000"/>
          <w:sz w:val="22"/>
          <w:szCs w:val="22"/>
        </w:rPr>
        <w:t>16(4), pp. 11–23.</w:t>
      </w:r>
    </w:p>
    <w:p w14:paraId="68B47F5F" w14:textId="77777777" w:rsidR="00653614" w:rsidRPr="00204CB3" w:rsidRDefault="00653614" w:rsidP="00316436">
      <w:pPr>
        <w:rPr>
          <w:rFonts w:ascii="Arial" w:hAnsi="Arial" w:cs="Arial"/>
          <w:sz w:val="22"/>
          <w:szCs w:val="22"/>
        </w:rPr>
      </w:pPr>
    </w:p>
    <w:p w14:paraId="17F66044" w14:textId="01F78A52" w:rsidR="00653614" w:rsidRDefault="00653614" w:rsidP="00316436">
      <w:pPr>
        <w:rPr>
          <w:rFonts w:ascii="Arial" w:hAnsi="Arial" w:cs="Arial"/>
          <w:sz w:val="22"/>
          <w:szCs w:val="22"/>
        </w:rPr>
      </w:pPr>
      <w:r>
        <w:rPr>
          <w:rFonts w:ascii="Arial" w:hAnsi="Arial" w:cs="Arial"/>
          <w:sz w:val="22"/>
          <w:szCs w:val="22"/>
        </w:rPr>
        <w:t>Mental health act 1983, c.20, UK parliament. Available at:</w:t>
      </w:r>
      <w:r w:rsidRPr="00653614">
        <w:rPr>
          <w:rFonts w:ascii="Arial" w:hAnsi="Arial" w:cs="Arial"/>
          <w:sz w:val="22"/>
          <w:szCs w:val="22"/>
        </w:rPr>
        <w:t xml:space="preserve"> </w:t>
      </w:r>
      <w:hyperlink r:id="rId11" w:history="1">
        <w:r w:rsidRPr="006C1C80">
          <w:rPr>
            <w:rStyle w:val="Hyperlink"/>
            <w:rFonts w:ascii="Arial" w:hAnsi="Arial" w:cs="Arial"/>
            <w:sz w:val="22"/>
            <w:szCs w:val="22"/>
          </w:rPr>
          <w:t>https://www.legislation.gov.uk/ukpga/1983/20</w:t>
        </w:r>
      </w:hyperlink>
    </w:p>
    <w:p w14:paraId="1060274A" w14:textId="77777777" w:rsidR="00204CB3" w:rsidRDefault="00204CB3" w:rsidP="00316436">
      <w:pPr>
        <w:rPr>
          <w:rFonts w:ascii="Arial" w:hAnsi="Arial" w:cs="Arial"/>
          <w:sz w:val="22"/>
          <w:szCs w:val="22"/>
        </w:rPr>
      </w:pPr>
    </w:p>
    <w:p w14:paraId="5C7B9E09" w14:textId="0444C9FB" w:rsidR="00653614" w:rsidRPr="00204CB3" w:rsidRDefault="00653614" w:rsidP="00316436">
      <w:pPr>
        <w:rPr>
          <w:rFonts w:ascii="Arial" w:hAnsi="Arial" w:cs="Arial"/>
          <w:sz w:val="22"/>
          <w:szCs w:val="22"/>
        </w:rPr>
      </w:pPr>
      <w:r w:rsidRPr="00204CB3">
        <w:rPr>
          <w:rStyle w:val="Strong"/>
          <w:rFonts w:ascii="Arial" w:eastAsia="Times New Roman" w:hAnsi="Arial" w:cs="Arial"/>
          <w:b w:val="0"/>
          <w:bCs w:val="0"/>
          <w:color w:val="000000"/>
          <w:sz w:val="22"/>
          <w:szCs w:val="22"/>
        </w:rPr>
        <w:t>Boardman &amp; Dave (2020)</w:t>
      </w:r>
      <w:r w:rsidRPr="00204CB3">
        <w:rPr>
          <w:rStyle w:val="apple-converted-space"/>
          <w:rFonts w:ascii="Arial" w:eastAsia="Times New Roman" w:hAnsi="Arial" w:cs="Arial"/>
          <w:color w:val="000000"/>
          <w:sz w:val="22"/>
          <w:szCs w:val="22"/>
        </w:rPr>
        <w:t> </w:t>
      </w:r>
      <w:r w:rsidRPr="00204CB3">
        <w:rPr>
          <w:rFonts w:ascii="Arial" w:eastAsia="Times New Roman" w:hAnsi="Arial" w:cs="Arial"/>
          <w:color w:val="000000"/>
          <w:sz w:val="22"/>
          <w:szCs w:val="22"/>
        </w:rPr>
        <w:t xml:space="preserve">– highlights </w:t>
      </w:r>
      <w:proofErr w:type="spellStart"/>
      <w:r w:rsidRPr="00204CB3">
        <w:rPr>
          <w:rFonts w:ascii="Arial" w:eastAsia="Times New Roman" w:hAnsi="Arial" w:cs="Arial"/>
          <w:color w:val="000000"/>
          <w:sz w:val="22"/>
          <w:szCs w:val="22"/>
        </w:rPr>
        <w:t>person-centred</w:t>
      </w:r>
      <w:proofErr w:type="spellEnd"/>
      <w:r w:rsidRPr="00204CB3">
        <w:rPr>
          <w:rFonts w:ascii="Arial" w:eastAsia="Times New Roman" w:hAnsi="Arial" w:cs="Arial"/>
          <w:color w:val="000000"/>
          <w:sz w:val="22"/>
          <w:szCs w:val="22"/>
        </w:rPr>
        <w:t xml:space="preserve"> approaches in psychiatry and links to values and recovery.</w:t>
      </w:r>
      <w:r w:rsidRPr="00204CB3">
        <w:rPr>
          <w:rFonts w:ascii="Arial" w:eastAsia="Times New Roman" w:hAnsi="Arial" w:cs="Arial"/>
          <w:color w:val="000000"/>
          <w:sz w:val="22"/>
          <w:szCs w:val="22"/>
        </w:rPr>
        <w:br/>
        <w:t>Boardman, J. &amp; Dave, S. (2020).</w:t>
      </w:r>
      <w:r w:rsidRPr="00204CB3">
        <w:rPr>
          <w:rStyle w:val="apple-converted-space"/>
          <w:rFonts w:ascii="Arial" w:eastAsia="Times New Roman" w:hAnsi="Arial" w:cs="Arial"/>
          <w:color w:val="000000"/>
          <w:sz w:val="22"/>
          <w:szCs w:val="22"/>
        </w:rPr>
        <w:t> </w:t>
      </w:r>
      <w:proofErr w:type="spellStart"/>
      <w:r w:rsidRPr="00204CB3">
        <w:rPr>
          <w:rStyle w:val="Emphasis"/>
          <w:rFonts w:ascii="Arial" w:eastAsia="Times New Roman" w:hAnsi="Arial" w:cs="Arial"/>
          <w:color w:val="000000"/>
          <w:sz w:val="22"/>
          <w:szCs w:val="22"/>
        </w:rPr>
        <w:t>Person-centred</w:t>
      </w:r>
      <w:proofErr w:type="spellEnd"/>
      <w:r w:rsidRPr="00204CB3">
        <w:rPr>
          <w:rStyle w:val="Emphasis"/>
          <w:rFonts w:ascii="Arial" w:eastAsia="Times New Roman" w:hAnsi="Arial" w:cs="Arial"/>
          <w:color w:val="000000"/>
          <w:sz w:val="22"/>
          <w:szCs w:val="22"/>
        </w:rPr>
        <w:t xml:space="preserve"> care and psychiatry: some key perspectives</w:t>
      </w:r>
      <w:r w:rsidRPr="00204CB3">
        <w:rPr>
          <w:rFonts w:ascii="Arial" w:eastAsia="Times New Roman" w:hAnsi="Arial" w:cs="Arial"/>
          <w:color w:val="000000"/>
          <w:sz w:val="22"/>
          <w:szCs w:val="22"/>
        </w:rPr>
        <w:t>. BJPsych Bulletin, 17(3), 65-68. DOI:10.1192/</w:t>
      </w:r>
      <w:proofErr w:type="spellStart"/>
      <w:r w:rsidRPr="00204CB3">
        <w:rPr>
          <w:rFonts w:ascii="Arial" w:eastAsia="Times New Roman" w:hAnsi="Arial" w:cs="Arial"/>
          <w:color w:val="000000"/>
          <w:sz w:val="22"/>
          <w:szCs w:val="22"/>
        </w:rPr>
        <w:t>bji.2020.21</w:t>
      </w:r>
      <w:proofErr w:type="spellEnd"/>
    </w:p>
    <w:p w14:paraId="06804103" w14:textId="77777777" w:rsidR="00653614" w:rsidRPr="00204CB3" w:rsidRDefault="00653614" w:rsidP="00316436">
      <w:pPr>
        <w:rPr>
          <w:rFonts w:ascii="Arial" w:hAnsi="Arial" w:cs="Arial"/>
          <w:sz w:val="22"/>
          <w:szCs w:val="22"/>
        </w:rPr>
      </w:pPr>
    </w:p>
    <w:p w14:paraId="49583857" w14:textId="61D58037" w:rsidR="00653614" w:rsidRDefault="00653614" w:rsidP="00316436">
      <w:pPr>
        <w:rPr>
          <w:rFonts w:ascii="Arial" w:hAnsi="Arial" w:cs="Arial"/>
        </w:rPr>
      </w:pPr>
      <w:r w:rsidRPr="00653614">
        <w:rPr>
          <w:rFonts w:ascii="Arial" w:hAnsi="Arial" w:cs="Arial"/>
        </w:rPr>
        <w:t xml:space="preserve">Sense (2024) person - centered planning. Available at: </w:t>
      </w:r>
      <w:hyperlink r:id="rId12" w:history="1">
        <w:r w:rsidRPr="00653614">
          <w:rPr>
            <w:rStyle w:val="Hyperlink"/>
            <w:rFonts w:ascii="Arial" w:hAnsi="Arial" w:cs="Arial"/>
          </w:rPr>
          <w:t>https://www.sense.org.uk/information-and-advice/life-stages/</w:t>
        </w:r>
      </w:hyperlink>
    </w:p>
    <w:p w14:paraId="522888DC" w14:textId="77777777" w:rsidR="00204CB3" w:rsidRDefault="00204CB3" w:rsidP="00316436">
      <w:pPr>
        <w:rPr>
          <w:rFonts w:ascii="Arial" w:hAnsi="Arial" w:cs="Arial"/>
        </w:rPr>
      </w:pPr>
    </w:p>
    <w:p w14:paraId="446C8389" w14:textId="76B96411" w:rsidR="001D44FC" w:rsidRPr="001D44FC" w:rsidRDefault="001D44FC" w:rsidP="00316436">
      <w:pPr>
        <w:rPr>
          <w:rFonts w:ascii="Arial" w:hAnsi="Arial" w:cs="Arial"/>
          <w:sz w:val="22"/>
          <w:szCs w:val="22"/>
        </w:rPr>
      </w:pPr>
      <w:r w:rsidRPr="001D44FC">
        <w:rPr>
          <w:rStyle w:val="Strong"/>
          <w:rFonts w:ascii="Arial" w:eastAsia="Times New Roman" w:hAnsi="Arial" w:cs="Arial"/>
          <w:b w:val="0"/>
          <w:bCs w:val="0"/>
          <w:color w:val="000000"/>
          <w:sz w:val="22"/>
          <w:szCs w:val="22"/>
        </w:rPr>
        <w:lastRenderedPageBreak/>
        <w:t>Mead &amp; Bower (2000)</w:t>
      </w:r>
      <w:r w:rsidRPr="001D44FC">
        <w:rPr>
          <w:rStyle w:val="apple-converted-space"/>
          <w:rFonts w:ascii="Arial" w:eastAsia="Times New Roman" w:hAnsi="Arial" w:cs="Arial"/>
          <w:color w:val="000000"/>
          <w:sz w:val="22"/>
          <w:szCs w:val="22"/>
        </w:rPr>
        <w:t> </w:t>
      </w:r>
      <w:r w:rsidRPr="001D44FC">
        <w:rPr>
          <w:rFonts w:ascii="Arial" w:eastAsia="Times New Roman" w:hAnsi="Arial" w:cs="Arial"/>
          <w:color w:val="000000"/>
          <w:sz w:val="22"/>
          <w:szCs w:val="22"/>
        </w:rPr>
        <w:t>– PCC dimensions &amp; evidence base.</w:t>
      </w:r>
      <w:r w:rsidRPr="001D44FC">
        <w:rPr>
          <w:rFonts w:ascii="Arial" w:eastAsia="Times New Roman" w:hAnsi="Arial" w:cs="Arial"/>
          <w:color w:val="000000"/>
          <w:sz w:val="22"/>
          <w:szCs w:val="22"/>
        </w:rPr>
        <w:br/>
        <w:t>Mead, N. &amp; Bower, P. (2000) ‘</w:t>
      </w:r>
      <w:proofErr w:type="spellStart"/>
      <w:r w:rsidRPr="001D44FC">
        <w:rPr>
          <w:rFonts w:ascii="Arial" w:eastAsia="Times New Roman" w:hAnsi="Arial" w:cs="Arial"/>
          <w:color w:val="000000"/>
          <w:sz w:val="22"/>
          <w:szCs w:val="22"/>
        </w:rPr>
        <w:t>Patient-centredness</w:t>
      </w:r>
      <w:proofErr w:type="spellEnd"/>
      <w:r w:rsidRPr="001D44FC">
        <w:rPr>
          <w:rFonts w:ascii="Arial" w:eastAsia="Times New Roman" w:hAnsi="Arial" w:cs="Arial"/>
          <w:color w:val="000000"/>
          <w:sz w:val="22"/>
          <w:szCs w:val="22"/>
        </w:rPr>
        <w:t>: a conceptual framework and review of the empirical literature’,</w:t>
      </w:r>
      <w:r w:rsidRPr="001D44FC">
        <w:rPr>
          <w:rStyle w:val="apple-converted-space"/>
          <w:rFonts w:ascii="Arial" w:eastAsia="Times New Roman" w:hAnsi="Arial" w:cs="Arial"/>
          <w:color w:val="000000"/>
          <w:sz w:val="22"/>
          <w:szCs w:val="22"/>
        </w:rPr>
        <w:t> </w:t>
      </w:r>
      <w:r w:rsidRPr="001D44FC">
        <w:rPr>
          <w:rStyle w:val="Emphasis"/>
          <w:rFonts w:ascii="Arial" w:eastAsia="Times New Roman" w:hAnsi="Arial" w:cs="Arial"/>
          <w:i w:val="0"/>
          <w:iCs w:val="0"/>
          <w:color w:val="000000"/>
          <w:sz w:val="22"/>
          <w:szCs w:val="22"/>
        </w:rPr>
        <w:t>Social Science &amp; Medicine</w:t>
      </w:r>
      <w:r w:rsidRPr="001D44FC">
        <w:rPr>
          <w:rFonts w:ascii="Arial" w:eastAsia="Times New Roman" w:hAnsi="Arial" w:cs="Arial"/>
          <w:i/>
          <w:iCs/>
          <w:color w:val="000000"/>
          <w:sz w:val="22"/>
          <w:szCs w:val="22"/>
        </w:rPr>
        <w:t>,</w:t>
      </w:r>
      <w:r w:rsidRPr="001D44FC">
        <w:rPr>
          <w:rFonts w:ascii="Arial" w:eastAsia="Times New Roman" w:hAnsi="Arial" w:cs="Arial"/>
          <w:color w:val="000000"/>
          <w:sz w:val="22"/>
          <w:szCs w:val="22"/>
        </w:rPr>
        <w:t xml:space="preserve"> 51(7), pp. 1087–1110.</w:t>
      </w:r>
    </w:p>
    <w:p w14:paraId="60259CE2" w14:textId="77777777" w:rsidR="00653614" w:rsidRPr="001D44FC" w:rsidRDefault="00653614" w:rsidP="00316436">
      <w:pPr>
        <w:rPr>
          <w:rFonts w:ascii="Arial" w:hAnsi="Arial" w:cs="Arial"/>
          <w:sz w:val="22"/>
          <w:szCs w:val="22"/>
        </w:rPr>
      </w:pPr>
    </w:p>
    <w:p w14:paraId="24F15E8B" w14:textId="08BE3AFC" w:rsidR="00653614" w:rsidRPr="00AD0F94" w:rsidRDefault="00AD0F94" w:rsidP="00316436">
      <w:pPr>
        <w:rPr>
          <w:rFonts w:ascii="Arial" w:hAnsi="Arial" w:cs="Arial"/>
          <w:sz w:val="22"/>
          <w:szCs w:val="22"/>
        </w:rPr>
      </w:pPr>
      <w:r w:rsidRPr="00AD0F94">
        <w:rPr>
          <w:rStyle w:val="Strong"/>
          <w:rFonts w:ascii="Arial" w:eastAsia="Times New Roman" w:hAnsi="Arial" w:cs="Arial"/>
          <w:b w:val="0"/>
          <w:bCs w:val="0"/>
          <w:color w:val="000000"/>
          <w:sz w:val="22"/>
          <w:szCs w:val="22"/>
        </w:rPr>
        <w:t>Engel (1977)</w:t>
      </w:r>
      <w:r w:rsidRPr="00AD0F94">
        <w:rPr>
          <w:rStyle w:val="apple-converted-space"/>
          <w:rFonts w:ascii="Arial" w:eastAsia="Times New Roman" w:hAnsi="Arial" w:cs="Arial"/>
          <w:color w:val="000000"/>
          <w:sz w:val="22"/>
          <w:szCs w:val="22"/>
        </w:rPr>
        <w:t> </w:t>
      </w:r>
      <w:r w:rsidRPr="00AD0F94">
        <w:rPr>
          <w:rFonts w:ascii="Arial" w:eastAsia="Times New Roman" w:hAnsi="Arial" w:cs="Arial"/>
          <w:color w:val="000000"/>
          <w:sz w:val="22"/>
          <w:szCs w:val="22"/>
        </w:rPr>
        <w:t xml:space="preserve">– original </w:t>
      </w:r>
      <w:proofErr w:type="spellStart"/>
      <w:r w:rsidRPr="00AD0F94">
        <w:rPr>
          <w:rFonts w:ascii="Arial" w:eastAsia="Times New Roman" w:hAnsi="Arial" w:cs="Arial"/>
          <w:color w:val="000000"/>
          <w:sz w:val="22"/>
          <w:szCs w:val="22"/>
        </w:rPr>
        <w:t>biopsychosocial</w:t>
      </w:r>
      <w:proofErr w:type="spellEnd"/>
      <w:r w:rsidRPr="00AD0F94">
        <w:rPr>
          <w:rFonts w:ascii="Arial" w:eastAsia="Times New Roman" w:hAnsi="Arial" w:cs="Arial"/>
          <w:color w:val="000000"/>
          <w:sz w:val="22"/>
          <w:szCs w:val="22"/>
        </w:rPr>
        <w:t xml:space="preserve"> model paper (classic source).</w:t>
      </w:r>
      <w:r w:rsidRPr="00AD0F94">
        <w:rPr>
          <w:rFonts w:ascii="Arial" w:eastAsia="Times New Roman" w:hAnsi="Arial" w:cs="Arial"/>
          <w:color w:val="000000"/>
          <w:sz w:val="22"/>
          <w:szCs w:val="22"/>
        </w:rPr>
        <w:br/>
        <w:t>Engel, G.L. (1977) ‘The need for a new medical model: a challenge for biomedicine’,</w:t>
      </w:r>
      <w:r w:rsidRPr="00AD0F94">
        <w:rPr>
          <w:rStyle w:val="apple-converted-space"/>
          <w:rFonts w:ascii="Arial" w:eastAsia="Times New Roman" w:hAnsi="Arial" w:cs="Arial"/>
          <w:color w:val="000000"/>
          <w:sz w:val="22"/>
          <w:szCs w:val="22"/>
        </w:rPr>
        <w:t> </w:t>
      </w:r>
      <w:r w:rsidRPr="00AD0F94">
        <w:rPr>
          <w:rStyle w:val="Emphasis"/>
          <w:rFonts w:ascii="Arial" w:eastAsia="Times New Roman" w:hAnsi="Arial" w:cs="Arial"/>
          <w:i w:val="0"/>
          <w:iCs w:val="0"/>
          <w:color w:val="000000"/>
          <w:sz w:val="22"/>
          <w:szCs w:val="22"/>
        </w:rPr>
        <w:t>Science</w:t>
      </w:r>
      <w:r w:rsidRPr="00AD0F94">
        <w:rPr>
          <w:rFonts w:ascii="Arial" w:eastAsia="Times New Roman" w:hAnsi="Arial" w:cs="Arial"/>
          <w:color w:val="000000"/>
          <w:sz w:val="22"/>
          <w:szCs w:val="22"/>
        </w:rPr>
        <w:t>, 196(4286), pp. 129–136.</w:t>
      </w:r>
    </w:p>
    <w:p w14:paraId="60D5B155" w14:textId="77777777" w:rsidR="00653614" w:rsidRPr="00AD0F94" w:rsidRDefault="00653614" w:rsidP="00316436">
      <w:pPr>
        <w:rPr>
          <w:rFonts w:ascii="Arial" w:hAnsi="Arial" w:cs="Arial"/>
          <w:sz w:val="22"/>
          <w:szCs w:val="22"/>
        </w:rPr>
      </w:pPr>
    </w:p>
    <w:p w14:paraId="59CACCE5" w14:textId="77777777" w:rsidR="00FE32D9" w:rsidRDefault="00FE32D9">
      <w:pPr>
        <w:pStyle w:val="NormalWeb"/>
        <w:rPr>
          <w:rFonts w:ascii="Arial" w:hAnsi="Arial" w:cs="Arial"/>
          <w:color w:val="000000"/>
          <w:sz w:val="22"/>
          <w:szCs w:val="22"/>
        </w:rPr>
      </w:pPr>
      <w:r w:rsidRPr="00FE32D9">
        <w:rPr>
          <w:rFonts w:ascii="Arial" w:hAnsi="Arial" w:cs="Arial"/>
          <w:color w:val="000000"/>
          <w:sz w:val="22"/>
          <w:szCs w:val="22"/>
        </w:rPr>
        <w:t>Department of Health (2011)</w:t>
      </w:r>
      <w:r w:rsidRPr="00FE32D9">
        <w:rPr>
          <w:rStyle w:val="apple-converted-space"/>
          <w:rFonts w:ascii="Arial" w:hAnsi="Arial" w:cs="Arial"/>
          <w:color w:val="000000"/>
          <w:sz w:val="22"/>
          <w:szCs w:val="22"/>
        </w:rPr>
        <w:t> </w:t>
      </w:r>
      <w:r w:rsidRPr="00EF3F7C">
        <w:rPr>
          <w:rStyle w:val="Emphasis"/>
          <w:rFonts w:ascii="Arial" w:hAnsi="Arial" w:cs="Arial"/>
          <w:i w:val="0"/>
          <w:iCs w:val="0"/>
          <w:color w:val="000000"/>
          <w:sz w:val="22"/>
          <w:szCs w:val="22"/>
        </w:rPr>
        <w:t>No Health Without Mental Health:</w:t>
      </w:r>
      <w:r w:rsidRPr="00FE32D9">
        <w:rPr>
          <w:rStyle w:val="Emphasis"/>
          <w:rFonts w:ascii="Arial" w:hAnsi="Arial" w:cs="Arial"/>
          <w:color w:val="000000"/>
          <w:sz w:val="22"/>
          <w:szCs w:val="22"/>
        </w:rPr>
        <w:t xml:space="preserve"> A Cross-Government Mental Health </w:t>
      </w:r>
      <w:r w:rsidRPr="00FE32D9">
        <w:rPr>
          <w:rStyle w:val="Emphasis"/>
          <w:rFonts w:ascii="Arial" w:hAnsi="Arial" w:cs="Arial"/>
          <w:i w:val="0"/>
          <w:iCs w:val="0"/>
          <w:color w:val="000000"/>
          <w:sz w:val="22"/>
          <w:szCs w:val="22"/>
        </w:rPr>
        <w:t>Outcomes Strategy for People of All Ages</w:t>
      </w:r>
      <w:r w:rsidRPr="00FE32D9">
        <w:rPr>
          <w:rFonts w:ascii="Arial" w:hAnsi="Arial" w:cs="Arial"/>
          <w:i/>
          <w:iCs/>
          <w:color w:val="000000"/>
          <w:sz w:val="22"/>
          <w:szCs w:val="22"/>
        </w:rPr>
        <w:t>.</w:t>
      </w:r>
      <w:r w:rsidRPr="00FE32D9">
        <w:rPr>
          <w:rFonts w:ascii="Arial" w:hAnsi="Arial" w:cs="Arial"/>
          <w:color w:val="000000"/>
          <w:sz w:val="22"/>
          <w:szCs w:val="22"/>
        </w:rPr>
        <w:t xml:space="preserve"> London: DH.</w:t>
      </w:r>
    </w:p>
    <w:p w14:paraId="2C6DFE7C" w14:textId="77777777" w:rsidR="00AF0EFC" w:rsidRPr="00FE32D9" w:rsidRDefault="00AF0EFC">
      <w:pPr>
        <w:pStyle w:val="NormalWeb"/>
        <w:rPr>
          <w:rFonts w:ascii="Arial" w:hAnsi="Arial" w:cs="Arial"/>
          <w:color w:val="000000"/>
          <w:sz w:val="22"/>
          <w:szCs w:val="22"/>
        </w:rPr>
      </w:pPr>
    </w:p>
    <w:p w14:paraId="642F0751" w14:textId="1E138165" w:rsidR="00653614" w:rsidRDefault="00AF0EFC" w:rsidP="00316436">
      <w:pPr>
        <w:rPr>
          <w:rFonts w:ascii="Arial" w:eastAsia="Times New Roman" w:hAnsi="Arial" w:cs="Arial"/>
          <w:color w:val="000000"/>
          <w:sz w:val="22"/>
          <w:szCs w:val="22"/>
        </w:rPr>
      </w:pPr>
      <w:r w:rsidRPr="00AF0EFC">
        <w:rPr>
          <w:rFonts w:ascii="Arial" w:eastAsia="Times New Roman" w:hAnsi="Arial" w:cs="Arial"/>
          <w:color w:val="000000"/>
          <w:sz w:val="22"/>
          <w:szCs w:val="22"/>
        </w:rPr>
        <w:t xml:space="preserve">Reeves, S., Lewin, S., </w:t>
      </w:r>
      <w:proofErr w:type="spellStart"/>
      <w:r w:rsidRPr="00AF0EFC">
        <w:rPr>
          <w:rFonts w:ascii="Arial" w:eastAsia="Times New Roman" w:hAnsi="Arial" w:cs="Arial"/>
          <w:color w:val="000000"/>
          <w:sz w:val="22"/>
          <w:szCs w:val="22"/>
        </w:rPr>
        <w:t>Espin</w:t>
      </w:r>
      <w:proofErr w:type="spellEnd"/>
      <w:r w:rsidRPr="00AF0EFC">
        <w:rPr>
          <w:rFonts w:ascii="Arial" w:eastAsia="Times New Roman" w:hAnsi="Arial" w:cs="Arial"/>
          <w:color w:val="000000"/>
          <w:sz w:val="22"/>
          <w:szCs w:val="22"/>
        </w:rPr>
        <w:t xml:space="preserve">, S. &amp; </w:t>
      </w:r>
      <w:proofErr w:type="spellStart"/>
      <w:r w:rsidRPr="00AF0EFC">
        <w:rPr>
          <w:rFonts w:ascii="Arial" w:eastAsia="Times New Roman" w:hAnsi="Arial" w:cs="Arial"/>
          <w:color w:val="000000"/>
          <w:sz w:val="22"/>
          <w:szCs w:val="22"/>
        </w:rPr>
        <w:t>Zwarenstein</w:t>
      </w:r>
      <w:proofErr w:type="spellEnd"/>
      <w:r w:rsidRPr="00AF0EFC">
        <w:rPr>
          <w:rFonts w:ascii="Arial" w:eastAsia="Times New Roman" w:hAnsi="Arial" w:cs="Arial"/>
          <w:color w:val="000000"/>
          <w:sz w:val="22"/>
          <w:szCs w:val="22"/>
        </w:rPr>
        <w:t>, M. (2010)</w:t>
      </w:r>
      <w:r w:rsidRPr="00AF0EFC">
        <w:rPr>
          <w:rStyle w:val="apple-converted-space"/>
          <w:rFonts w:ascii="Arial" w:eastAsia="Times New Roman" w:hAnsi="Arial" w:cs="Arial"/>
          <w:color w:val="000000"/>
          <w:sz w:val="22"/>
          <w:szCs w:val="22"/>
        </w:rPr>
        <w:t> </w:t>
      </w:r>
      <w:proofErr w:type="spellStart"/>
      <w:r w:rsidRPr="00AF0EFC">
        <w:rPr>
          <w:rStyle w:val="Emphasis"/>
          <w:rFonts w:ascii="Arial" w:eastAsia="Times New Roman" w:hAnsi="Arial" w:cs="Arial"/>
          <w:i w:val="0"/>
          <w:iCs w:val="0"/>
          <w:color w:val="000000"/>
          <w:sz w:val="22"/>
          <w:szCs w:val="22"/>
        </w:rPr>
        <w:t>Interprofessional</w:t>
      </w:r>
      <w:proofErr w:type="spellEnd"/>
      <w:r w:rsidRPr="00AF0EFC">
        <w:rPr>
          <w:rStyle w:val="Emphasis"/>
          <w:rFonts w:ascii="Arial" w:eastAsia="Times New Roman" w:hAnsi="Arial" w:cs="Arial"/>
          <w:i w:val="0"/>
          <w:iCs w:val="0"/>
          <w:color w:val="000000"/>
          <w:sz w:val="22"/>
          <w:szCs w:val="22"/>
        </w:rPr>
        <w:t xml:space="preserve"> Teamwork for Health and Social Care</w:t>
      </w:r>
      <w:r w:rsidRPr="00AF0EFC">
        <w:rPr>
          <w:rFonts w:ascii="Arial" w:eastAsia="Times New Roman" w:hAnsi="Arial" w:cs="Arial"/>
          <w:color w:val="000000"/>
          <w:sz w:val="22"/>
          <w:szCs w:val="22"/>
        </w:rPr>
        <w:t>. Oxford: Wiley-Blackwell.</w:t>
      </w:r>
    </w:p>
    <w:p w14:paraId="566D67C4" w14:textId="77777777" w:rsidR="00EF3F7C" w:rsidRDefault="00EF3F7C" w:rsidP="00316436">
      <w:pPr>
        <w:rPr>
          <w:rFonts w:ascii="Arial" w:eastAsia="Times New Roman" w:hAnsi="Arial" w:cs="Arial"/>
          <w:color w:val="000000"/>
          <w:sz w:val="22"/>
          <w:szCs w:val="22"/>
        </w:rPr>
      </w:pPr>
    </w:p>
    <w:p w14:paraId="283D504C" w14:textId="77777777" w:rsidR="00EF3F7C" w:rsidRPr="00EF3F7C" w:rsidRDefault="00EF3F7C">
      <w:pPr>
        <w:pStyle w:val="NormalWeb"/>
        <w:rPr>
          <w:rFonts w:ascii="Arial" w:hAnsi="Arial" w:cs="Arial"/>
          <w:color w:val="000000"/>
          <w:sz w:val="22"/>
          <w:szCs w:val="22"/>
        </w:rPr>
      </w:pPr>
      <w:r w:rsidRPr="00EF3F7C">
        <w:rPr>
          <w:rFonts w:ascii="Arial" w:hAnsi="Arial" w:cs="Arial"/>
          <w:color w:val="000000"/>
          <w:sz w:val="22"/>
          <w:szCs w:val="22"/>
        </w:rPr>
        <w:t>Beresford, P. (2013)</w:t>
      </w:r>
      <w:r w:rsidRPr="00EF3F7C">
        <w:rPr>
          <w:rStyle w:val="apple-converted-space"/>
          <w:rFonts w:ascii="Arial" w:hAnsi="Arial" w:cs="Arial"/>
          <w:color w:val="000000"/>
          <w:sz w:val="22"/>
          <w:szCs w:val="22"/>
        </w:rPr>
        <w:t> </w:t>
      </w:r>
      <w:r w:rsidRPr="00EF3F7C">
        <w:rPr>
          <w:rStyle w:val="Emphasis"/>
          <w:rFonts w:ascii="Arial" w:hAnsi="Arial" w:cs="Arial"/>
          <w:i w:val="0"/>
          <w:iCs w:val="0"/>
          <w:color w:val="000000"/>
          <w:sz w:val="22"/>
          <w:szCs w:val="22"/>
        </w:rPr>
        <w:t>From ‘Other’ to Involved: User Involvement in Research: An Emerging Paradigm</w:t>
      </w:r>
      <w:r w:rsidRPr="00EF3F7C">
        <w:rPr>
          <w:rFonts w:ascii="Arial" w:hAnsi="Arial" w:cs="Arial"/>
          <w:i/>
          <w:iCs/>
          <w:color w:val="000000"/>
          <w:sz w:val="22"/>
          <w:szCs w:val="22"/>
        </w:rPr>
        <w:t>.</w:t>
      </w:r>
      <w:r w:rsidRPr="00EF3F7C">
        <w:rPr>
          <w:rFonts w:ascii="Arial" w:hAnsi="Arial" w:cs="Arial"/>
          <w:color w:val="000000"/>
          <w:sz w:val="22"/>
          <w:szCs w:val="22"/>
        </w:rPr>
        <w:t xml:space="preserve"> Bristol: Policy Press.</w:t>
      </w:r>
    </w:p>
    <w:p w14:paraId="1D45C1AC" w14:textId="77777777" w:rsidR="00AF0EFC" w:rsidRPr="00AF0EFC" w:rsidRDefault="00AF0EFC" w:rsidP="00316436">
      <w:pPr>
        <w:rPr>
          <w:rFonts w:ascii="Arial" w:hAnsi="Arial" w:cs="Arial"/>
          <w:sz w:val="22"/>
          <w:szCs w:val="22"/>
        </w:rPr>
      </w:pPr>
    </w:p>
    <w:p w14:paraId="7C5DF149" w14:textId="491DCBA5" w:rsidR="00BF4145" w:rsidRPr="00AF0EFC" w:rsidRDefault="00BF4145" w:rsidP="00E5378A">
      <w:pPr>
        <w:spacing w:line="360" w:lineRule="auto"/>
        <w:rPr>
          <w:rFonts w:ascii="Arial" w:hAnsi="Arial" w:cs="Arial"/>
          <w:sz w:val="22"/>
          <w:szCs w:val="22"/>
        </w:rPr>
      </w:pPr>
    </w:p>
    <w:sectPr w:rsidR="00BF4145" w:rsidRPr="00AF0EF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67B58" w14:textId="77777777" w:rsidR="006A7784" w:rsidRDefault="006A7784" w:rsidP="00A4783D">
      <w:pPr>
        <w:spacing w:after="0" w:line="240" w:lineRule="auto"/>
      </w:pPr>
      <w:r>
        <w:separator/>
      </w:r>
    </w:p>
  </w:endnote>
  <w:endnote w:type="continuationSeparator" w:id="0">
    <w:p w14:paraId="1633F44E" w14:textId="77777777" w:rsidR="006A7784" w:rsidRDefault="006A7784" w:rsidP="00A47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422DC2" w14:textId="77777777" w:rsidR="006A7784" w:rsidRDefault="006A7784" w:rsidP="00A4783D">
      <w:pPr>
        <w:spacing w:after="0" w:line="240" w:lineRule="auto"/>
      </w:pPr>
      <w:r>
        <w:separator/>
      </w:r>
    </w:p>
  </w:footnote>
  <w:footnote w:type="continuationSeparator" w:id="0">
    <w:p w14:paraId="4761C7E8" w14:textId="77777777" w:rsidR="006A7784" w:rsidRDefault="006A7784" w:rsidP="00A478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5FC"/>
    <w:rsid w:val="00014344"/>
    <w:rsid w:val="00021371"/>
    <w:rsid w:val="0002792F"/>
    <w:rsid w:val="00071294"/>
    <w:rsid w:val="001076C5"/>
    <w:rsid w:val="00114C15"/>
    <w:rsid w:val="001342AE"/>
    <w:rsid w:val="00187E12"/>
    <w:rsid w:val="001A21FB"/>
    <w:rsid w:val="001D44FC"/>
    <w:rsid w:val="00200F44"/>
    <w:rsid w:val="00204CB3"/>
    <w:rsid w:val="00221E2B"/>
    <w:rsid w:val="002660F9"/>
    <w:rsid w:val="00267007"/>
    <w:rsid w:val="002774B0"/>
    <w:rsid w:val="00287F6B"/>
    <w:rsid w:val="002B7583"/>
    <w:rsid w:val="002E77D4"/>
    <w:rsid w:val="0030256F"/>
    <w:rsid w:val="00316436"/>
    <w:rsid w:val="003575FE"/>
    <w:rsid w:val="00360853"/>
    <w:rsid w:val="003A3986"/>
    <w:rsid w:val="003B1BD4"/>
    <w:rsid w:val="003F5D31"/>
    <w:rsid w:val="00400FD9"/>
    <w:rsid w:val="0044617E"/>
    <w:rsid w:val="00460291"/>
    <w:rsid w:val="00491FEF"/>
    <w:rsid w:val="004C62D9"/>
    <w:rsid w:val="004E491B"/>
    <w:rsid w:val="00504553"/>
    <w:rsid w:val="005360E4"/>
    <w:rsid w:val="00585A87"/>
    <w:rsid w:val="005A21D8"/>
    <w:rsid w:val="005B7E9C"/>
    <w:rsid w:val="005E2746"/>
    <w:rsid w:val="005E54AF"/>
    <w:rsid w:val="005E60EB"/>
    <w:rsid w:val="005F44DF"/>
    <w:rsid w:val="00606FDE"/>
    <w:rsid w:val="00653614"/>
    <w:rsid w:val="006A7784"/>
    <w:rsid w:val="006C2B2D"/>
    <w:rsid w:val="006F5CC7"/>
    <w:rsid w:val="007008DC"/>
    <w:rsid w:val="00716CC6"/>
    <w:rsid w:val="00726310"/>
    <w:rsid w:val="00761F5E"/>
    <w:rsid w:val="007A3EBA"/>
    <w:rsid w:val="007A598B"/>
    <w:rsid w:val="007C122C"/>
    <w:rsid w:val="0087427D"/>
    <w:rsid w:val="008818FD"/>
    <w:rsid w:val="008C76E7"/>
    <w:rsid w:val="008D3A6D"/>
    <w:rsid w:val="008D74EF"/>
    <w:rsid w:val="009677A1"/>
    <w:rsid w:val="009C5EEF"/>
    <w:rsid w:val="009E3396"/>
    <w:rsid w:val="00A1532A"/>
    <w:rsid w:val="00A16301"/>
    <w:rsid w:val="00A4783D"/>
    <w:rsid w:val="00A95935"/>
    <w:rsid w:val="00AD0F94"/>
    <w:rsid w:val="00AF0EFC"/>
    <w:rsid w:val="00AF5784"/>
    <w:rsid w:val="00B1319B"/>
    <w:rsid w:val="00B145FC"/>
    <w:rsid w:val="00B23B93"/>
    <w:rsid w:val="00B33BAC"/>
    <w:rsid w:val="00B6734B"/>
    <w:rsid w:val="00BD32DC"/>
    <w:rsid w:val="00BF19DD"/>
    <w:rsid w:val="00BF2926"/>
    <w:rsid w:val="00BF4145"/>
    <w:rsid w:val="00BF68D8"/>
    <w:rsid w:val="00C10510"/>
    <w:rsid w:val="00C12283"/>
    <w:rsid w:val="00C14D56"/>
    <w:rsid w:val="00C441F1"/>
    <w:rsid w:val="00C52A8F"/>
    <w:rsid w:val="00C8459F"/>
    <w:rsid w:val="00CB7B67"/>
    <w:rsid w:val="00CC5600"/>
    <w:rsid w:val="00D03834"/>
    <w:rsid w:val="00D0578E"/>
    <w:rsid w:val="00D2318B"/>
    <w:rsid w:val="00D43722"/>
    <w:rsid w:val="00D60CCF"/>
    <w:rsid w:val="00D62638"/>
    <w:rsid w:val="00DA2BE6"/>
    <w:rsid w:val="00DB24C0"/>
    <w:rsid w:val="00DC5181"/>
    <w:rsid w:val="00DE0297"/>
    <w:rsid w:val="00DF455F"/>
    <w:rsid w:val="00E042A5"/>
    <w:rsid w:val="00E218B6"/>
    <w:rsid w:val="00E34516"/>
    <w:rsid w:val="00E35129"/>
    <w:rsid w:val="00E519AD"/>
    <w:rsid w:val="00E5378A"/>
    <w:rsid w:val="00E946F2"/>
    <w:rsid w:val="00EF3F7C"/>
    <w:rsid w:val="00F02A4E"/>
    <w:rsid w:val="00F03C92"/>
    <w:rsid w:val="00F21B69"/>
    <w:rsid w:val="00F57FDC"/>
    <w:rsid w:val="00F8727D"/>
    <w:rsid w:val="00FA15FF"/>
    <w:rsid w:val="00FE32D9"/>
    <w:rsid w:val="00FE51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E6E423F"/>
  <w15:chartTrackingRefBased/>
  <w15:docId w15:val="{DC27709F-5E1B-F64D-98AD-982AA34D4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5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45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45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5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5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5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5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5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5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5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45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45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5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5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5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5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5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5FC"/>
    <w:rPr>
      <w:rFonts w:eastAsiaTheme="majorEastAsia" w:cstheme="majorBidi"/>
      <w:color w:val="272727" w:themeColor="text1" w:themeTint="D8"/>
    </w:rPr>
  </w:style>
  <w:style w:type="paragraph" w:styleId="Title">
    <w:name w:val="Title"/>
    <w:basedOn w:val="Normal"/>
    <w:next w:val="Normal"/>
    <w:link w:val="TitleChar"/>
    <w:uiPriority w:val="10"/>
    <w:qFormat/>
    <w:rsid w:val="00B145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5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5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5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5FC"/>
    <w:pPr>
      <w:spacing w:before="160"/>
      <w:jc w:val="center"/>
    </w:pPr>
    <w:rPr>
      <w:i/>
      <w:iCs/>
      <w:color w:val="404040" w:themeColor="text1" w:themeTint="BF"/>
    </w:rPr>
  </w:style>
  <w:style w:type="character" w:customStyle="1" w:styleId="QuoteChar">
    <w:name w:val="Quote Char"/>
    <w:basedOn w:val="DefaultParagraphFont"/>
    <w:link w:val="Quote"/>
    <w:uiPriority w:val="29"/>
    <w:rsid w:val="00B145FC"/>
    <w:rPr>
      <w:i/>
      <w:iCs/>
      <w:color w:val="404040" w:themeColor="text1" w:themeTint="BF"/>
    </w:rPr>
  </w:style>
  <w:style w:type="paragraph" w:styleId="ListParagraph">
    <w:name w:val="List Paragraph"/>
    <w:basedOn w:val="Normal"/>
    <w:uiPriority w:val="34"/>
    <w:qFormat/>
    <w:rsid w:val="00B145FC"/>
    <w:pPr>
      <w:ind w:left="720"/>
      <w:contextualSpacing/>
    </w:pPr>
  </w:style>
  <w:style w:type="character" w:styleId="IntenseEmphasis">
    <w:name w:val="Intense Emphasis"/>
    <w:basedOn w:val="DefaultParagraphFont"/>
    <w:uiPriority w:val="21"/>
    <w:qFormat/>
    <w:rsid w:val="00B145FC"/>
    <w:rPr>
      <w:i/>
      <w:iCs/>
      <w:color w:val="0F4761" w:themeColor="accent1" w:themeShade="BF"/>
    </w:rPr>
  </w:style>
  <w:style w:type="paragraph" w:styleId="IntenseQuote">
    <w:name w:val="Intense Quote"/>
    <w:basedOn w:val="Normal"/>
    <w:next w:val="Normal"/>
    <w:link w:val="IntenseQuoteChar"/>
    <w:uiPriority w:val="30"/>
    <w:qFormat/>
    <w:rsid w:val="00B145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5FC"/>
    <w:rPr>
      <w:i/>
      <w:iCs/>
      <w:color w:val="0F4761" w:themeColor="accent1" w:themeShade="BF"/>
    </w:rPr>
  </w:style>
  <w:style w:type="character" w:styleId="IntenseReference">
    <w:name w:val="Intense Reference"/>
    <w:basedOn w:val="DefaultParagraphFont"/>
    <w:uiPriority w:val="32"/>
    <w:qFormat/>
    <w:rsid w:val="00B145FC"/>
    <w:rPr>
      <w:b/>
      <w:bCs/>
      <w:smallCaps/>
      <w:color w:val="0F4761" w:themeColor="accent1" w:themeShade="BF"/>
      <w:spacing w:val="5"/>
    </w:rPr>
  </w:style>
  <w:style w:type="paragraph" w:customStyle="1" w:styleId="p1">
    <w:name w:val="p1"/>
    <w:basedOn w:val="Normal"/>
    <w:rsid w:val="00FE5167"/>
    <w:pPr>
      <w:spacing w:after="0" w:line="240" w:lineRule="auto"/>
    </w:pPr>
    <w:rPr>
      <w:rFonts w:ascii="Times New Roman" w:hAnsi="Times New Roman" w:cs="Times New Roman"/>
      <w:kern w:val="0"/>
      <w14:ligatures w14:val="none"/>
    </w:rPr>
  </w:style>
  <w:style w:type="paragraph" w:customStyle="1" w:styleId="p2">
    <w:name w:val="p2"/>
    <w:basedOn w:val="Normal"/>
    <w:rsid w:val="00FE5167"/>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FE5167"/>
    <w:rPr>
      <w:rFonts w:ascii="Helvetica" w:hAnsi="Helvetica" w:hint="default"/>
      <w:b w:val="0"/>
      <w:bCs w:val="0"/>
      <w:i w:val="0"/>
      <w:iCs w:val="0"/>
      <w:sz w:val="18"/>
      <w:szCs w:val="18"/>
    </w:rPr>
  </w:style>
  <w:style w:type="paragraph" w:styleId="Header">
    <w:name w:val="header"/>
    <w:basedOn w:val="Normal"/>
    <w:link w:val="HeaderChar"/>
    <w:uiPriority w:val="99"/>
    <w:unhideWhenUsed/>
    <w:rsid w:val="00A478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783D"/>
  </w:style>
  <w:style w:type="paragraph" w:styleId="Footer">
    <w:name w:val="footer"/>
    <w:basedOn w:val="Normal"/>
    <w:link w:val="FooterChar"/>
    <w:uiPriority w:val="99"/>
    <w:unhideWhenUsed/>
    <w:rsid w:val="00A478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783D"/>
  </w:style>
  <w:style w:type="character" w:styleId="Strong">
    <w:name w:val="Strong"/>
    <w:basedOn w:val="DefaultParagraphFont"/>
    <w:uiPriority w:val="22"/>
    <w:qFormat/>
    <w:rsid w:val="004C62D9"/>
    <w:rPr>
      <w:b/>
      <w:bCs/>
    </w:rPr>
  </w:style>
  <w:style w:type="character" w:customStyle="1" w:styleId="apple-converted-space">
    <w:name w:val="apple-converted-space"/>
    <w:basedOn w:val="DefaultParagraphFont"/>
    <w:rsid w:val="00071294"/>
  </w:style>
  <w:style w:type="character" w:styleId="Emphasis">
    <w:name w:val="Emphasis"/>
    <w:basedOn w:val="DefaultParagraphFont"/>
    <w:uiPriority w:val="20"/>
    <w:qFormat/>
    <w:rsid w:val="00071294"/>
    <w:rPr>
      <w:i/>
      <w:iCs/>
    </w:rPr>
  </w:style>
  <w:style w:type="character" w:styleId="Hyperlink">
    <w:name w:val="Hyperlink"/>
    <w:basedOn w:val="DefaultParagraphFont"/>
    <w:uiPriority w:val="99"/>
    <w:unhideWhenUsed/>
    <w:rsid w:val="00DE0297"/>
    <w:rPr>
      <w:color w:val="0000FF"/>
      <w:u w:val="single"/>
    </w:rPr>
  </w:style>
  <w:style w:type="character" w:styleId="FollowedHyperlink">
    <w:name w:val="FollowedHyperlink"/>
    <w:basedOn w:val="DefaultParagraphFont"/>
    <w:uiPriority w:val="99"/>
    <w:semiHidden/>
    <w:unhideWhenUsed/>
    <w:rsid w:val="00BF4145"/>
    <w:rPr>
      <w:color w:val="96607D" w:themeColor="followedHyperlink"/>
      <w:u w:val="single"/>
    </w:rPr>
  </w:style>
  <w:style w:type="character" w:styleId="UnresolvedMention">
    <w:name w:val="Unresolved Mention"/>
    <w:basedOn w:val="DefaultParagraphFont"/>
    <w:uiPriority w:val="99"/>
    <w:semiHidden/>
    <w:unhideWhenUsed/>
    <w:rsid w:val="0087427D"/>
    <w:rPr>
      <w:color w:val="605E5C"/>
      <w:shd w:val="clear" w:color="auto" w:fill="E1DFDD"/>
    </w:rPr>
  </w:style>
  <w:style w:type="paragraph" w:styleId="NormalWeb">
    <w:name w:val="Normal (Web)"/>
    <w:basedOn w:val="Normal"/>
    <w:uiPriority w:val="99"/>
    <w:semiHidden/>
    <w:unhideWhenUsed/>
    <w:rsid w:val="00FE32D9"/>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iorygroup.com/our-services/whole-person-car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ice.org.uk/guidance/cg136/chapter/Introduction" TargetMode="External"/><Relationship Id="rId12" Type="http://schemas.openxmlformats.org/officeDocument/2006/relationships/hyperlink" Target="https://www.sense.org.uk/information-and-advice/life-stag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ongtermplan.nhs.uk/" TargetMode="External"/><Relationship Id="rId11" Type="http://schemas.openxmlformats.org/officeDocument/2006/relationships/hyperlink" Target="https://www.legislation.gov.uk/ukpga/1983/20" TargetMode="External"/><Relationship Id="rId5" Type="http://schemas.openxmlformats.org/officeDocument/2006/relationships/endnotes" Target="endnotes.xml"/><Relationship Id="rId10" Type="http://schemas.openxmlformats.org/officeDocument/2006/relationships/hyperlink" Target="https://www.local.gov.uk/person-centred-care" TargetMode="External"/><Relationship Id="rId4" Type="http://schemas.openxmlformats.org/officeDocument/2006/relationships/footnotes" Target="footnotes.xml"/><Relationship Id="rId9" Type="http://schemas.openxmlformats.org/officeDocument/2006/relationships/hyperlink" Target="https://carelearning.org.uk/guides/person-centred-care-training-guide/?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1466</TotalTime>
  <Pages>9</Pages>
  <Words>2509</Words>
  <Characters>14305</Characters>
  <Application>Microsoft Office Word</Application>
  <DocSecurity>0</DocSecurity>
  <Lines>119</Lines>
  <Paragraphs>33</Paragraphs>
  <ScaleCrop>false</ScaleCrop>
  <Company/>
  <LinksUpToDate>false</LinksUpToDate>
  <CharactersWithSpaces>16781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Zafran (2421654)</dc:creator>
  <cp:keywords/>
  <dc:description/>
  <cp:lastModifiedBy>Laiba Zafran (2421654)</cp:lastModifiedBy>
  <cp:revision>82</cp:revision>
  <dcterms:created xsi:type="dcterms:W3CDTF">2026-03-01T01:59:00Z</dcterms:created>
  <dcterms:modified xsi:type="dcterms:W3CDTF">2026-03-02T02:42:00Z</dcterms:modified>
</cp:coreProperties>
</file>