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4E6ADF" w14:textId="77777777" w:rsidR="0065605D" w:rsidRPr="0065605D" w:rsidRDefault="0065605D" w:rsidP="0065605D">
      <w:pPr>
        <w:spacing w:after="100" w:afterAutospacing="1" w:line="360" w:lineRule="auto"/>
        <w:jc w:val="center"/>
      </w:pPr>
      <w:r>
        <w:rPr>
          <w:noProof/>
          <w:lang w:val="en-IN" w:eastAsia="en-IN"/>
        </w:rPr>
        <w:drawing>
          <wp:inline distT="0" distB="0" distL="0" distR="0" wp14:anchorId="59653563" wp14:editId="1ABE03B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D20D2D4" w14:textId="77777777" w:rsidR="0065605D" w:rsidRPr="0065605D" w:rsidRDefault="0065605D" w:rsidP="0065605D">
      <w:pPr>
        <w:spacing w:after="100" w:afterAutospacing="1" w:line="360" w:lineRule="auto"/>
      </w:pPr>
    </w:p>
    <w:p w14:paraId="2F44D5F9" w14:textId="341F43CC" w:rsidR="0065605D" w:rsidRPr="0065605D" w:rsidRDefault="0065605D" w:rsidP="0065605D">
      <w:pPr>
        <w:spacing w:after="100" w:afterAutospacing="1" w:line="360" w:lineRule="auto"/>
        <w:jc w:val="center"/>
        <w:rPr>
          <w:b/>
          <w:bCs/>
          <w:sz w:val="28"/>
          <w:szCs w:val="28"/>
        </w:rPr>
      </w:pPr>
      <w:r>
        <w:rPr>
          <w:b/>
          <w:bCs/>
          <w:sz w:val="28"/>
          <w:szCs w:val="28"/>
        </w:rPr>
        <w:t>Student Name:</w:t>
      </w:r>
      <w:r w:rsidR="008A76E4">
        <w:rPr>
          <w:b/>
          <w:bCs/>
          <w:sz w:val="28"/>
          <w:szCs w:val="28"/>
        </w:rPr>
        <w:t xml:space="preserve"> Odedara Nilesh Rameshbhai</w:t>
      </w:r>
    </w:p>
    <w:p w14:paraId="7BD5655F" w14:textId="717FEECA" w:rsidR="0065605D" w:rsidRPr="008A76E4" w:rsidRDefault="008A76E4" w:rsidP="0065605D">
      <w:pPr>
        <w:spacing w:after="100" w:afterAutospacing="1" w:line="360" w:lineRule="auto"/>
        <w:rPr>
          <w:b/>
          <w:bCs/>
          <w:sz w:val="28"/>
          <w:szCs w:val="28"/>
        </w:rPr>
      </w:pPr>
      <w:r>
        <w:rPr>
          <w:b/>
          <w:bCs/>
          <w:sz w:val="28"/>
          <w:szCs w:val="28"/>
        </w:rPr>
        <w:t xml:space="preserve">                                            </w:t>
      </w:r>
      <w:r w:rsidR="0065605D">
        <w:rPr>
          <w:b/>
          <w:bCs/>
          <w:sz w:val="28"/>
          <w:szCs w:val="28"/>
        </w:rPr>
        <w:t>Student ID:</w:t>
      </w:r>
      <w:r>
        <w:rPr>
          <w:b/>
          <w:bCs/>
          <w:sz w:val="28"/>
          <w:szCs w:val="28"/>
        </w:rPr>
        <w:t>2545077</w:t>
      </w:r>
    </w:p>
    <w:p w14:paraId="1F65DEFD" w14:textId="4B9B4AD8" w:rsidR="0065605D" w:rsidRPr="0065605D" w:rsidRDefault="0065605D" w:rsidP="008A76E4">
      <w:pPr>
        <w:spacing w:after="100" w:afterAutospacing="1" w:line="360" w:lineRule="auto"/>
        <w:jc w:val="center"/>
        <w:rPr>
          <w:b/>
          <w:bCs/>
          <w:sz w:val="28"/>
          <w:szCs w:val="28"/>
        </w:rPr>
      </w:pPr>
      <w:r>
        <w:rPr>
          <w:b/>
          <w:bCs/>
          <w:sz w:val="28"/>
          <w:szCs w:val="28"/>
        </w:rPr>
        <w:t>Module Name: Marketing Management</w:t>
      </w:r>
    </w:p>
    <w:p w14:paraId="44193438" w14:textId="48B1AA67" w:rsidR="0065605D" w:rsidRPr="0065605D" w:rsidRDefault="0065605D" w:rsidP="008A76E4">
      <w:pPr>
        <w:spacing w:after="100" w:afterAutospacing="1" w:line="360" w:lineRule="auto"/>
        <w:jc w:val="center"/>
        <w:rPr>
          <w:b/>
          <w:bCs/>
          <w:sz w:val="28"/>
          <w:szCs w:val="28"/>
        </w:rPr>
      </w:pPr>
      <w:r>
        <w:rPr>
          <w:b/>
          <w:bCs/>
          <w:sz w:val="28"/>
          <w:szCs w:val="28"/>
        </w:rPr>
        <w:t>Module Code: LCMB7024</w:t>
      </w:r>
    </w:p>
    <w:p w14:paraId="3D132775" w14:textId="5ACED3AC" w:rsidR="0065605D" w:rsidRPr="0065605D" w:rsidRDefault="0065605D" w:rsidP="008A76E4">
      <w:pPr>
        <w:spacing w:after="100" w:afterAutospacing="1" w:line="360" w:lineRule="auto"/>
        <w:jc w:val="center"/>
        <w:rPr>
          <w:b/>
          <w:bCs/>
          <w:sz w:val="28"/>
          <w:szCs w:val="28"/>
        </w:rPr>
      </w:pPr>
      <w:r>
        <w:rPr>
          <w:b/>
          <w:bCs/>
          <w:sz w:val="28"/>
          <w:szCs w:val="28"/>
        </w:rPr>
        <w:t>Lecturer’s Name:</w:t>
      </w:r>
      <w:r w:rsidR="008A76E4" w:rsidRPr="008A76E4">
        <w:t xml:space="preserve"> </w:t>
      </w:r>
      <w:r w:rsidR="008A76E4" w:rsidRPr="008A76E4">
        <w:rPr>
          <w:b/>
          <w:bCs/>
          <w:sz w:val="28"/>
          <w:szCs w:val="28"/>
        </w:rPr>
        <w:t>Laila Maazouz</w:t>
      </w:r>
    </w:p>
    <w:p w14:paraId="22DD9A88" w14:textId="1340A0DE" w:rsidR="0065605D" w:rsidRPr="0065605D" w:rsidRDefault="0065605D" w:rsidP="0065605D">
      <w:pPr>
        <w:spacing w:after="100" w:afterAutospacing="1" w:line="360" w:lineRule="auto"/>
        <w:jc w:val="center"/>
        <w:rPr>
          <w:b/>
          <w:bCs/>
          <w:sz w:val="28"/>
          <w:szCs w:val="28"/>
        </w:rPr>
      </w:pPr>
      <w:r>
        <w:rPr>
          <w:b/>
          <w:bCs/>
          <w:sz w:val="28"/>
          <w:szCs w:val="28"/>
        </w:rPr>
        <w:t>Work Count: 25</w:t>
      </w:r>
      <w:r w:rsidR="00985A32">
        <w:rPr>
          <w:b/>
          <w:bCs/>
          <w:sz w:val="28"/>
          <w:szCs w:val="28"/>
        </w:rPr>
        <w:t>90</w:t>
      </w:r>
    </w:p>
    <w:p w14:paraId="08626F16" w14:textId="77777777" w:rsidR="0065605D" w:rsidRPr="0065605D" w:rsidRDefault="0065605D" w:rsidP="0065605D">
      <w:pPr>
        <w:spacing w:after="100" w:afterAutospacing="1" w:line="360" w:lineRule="auto"/>
        <w:rPr>
          <w:b/>
          <w:bCs/>
          <w:sz w:val="28"/>
          <w:szCs w:val="28"/>
        </w:rPr>
      </w:pPr>
    </w:p>
    <w:p w14:paraId="434C50E5" w14:textId="77777777" w:rsidR="0065605D" w:rsidRPr="0065605D" w:rsidRDefault="0065605D" w:rsidP="0065605D">
      <w:pPr>
        <w:spacing w:after="100" w:afterAutospacing="1" w:line="360" w:lineRule="auto"/>
        <w:jc w:val="center"/>
        <w:rPr>
          <w:b/>
          <w:bCs/>
          <w:sz w:val="28"/>
          <w:szCs w:val="28"/>
        </w:rPr>
      </w:pPr>
      <w:r>
        <w:rPr>
          <w:b/>
          <w:bCs/>
          <w:sz w:val="28"/>
          <w:szCs w:val="28"/>
        </w:rPr>
        <w:t>Term 1</w:t>
      </w:r>
    </w:p>
    <w:p w14:paraId="61C839FB" w14:textId="77777777" w:rsidR="0065605D" w:rsidRPr="0065605D" w:rsidRDefault="0065605D" w:rsidP="0065605D">
      <w:pPr>
        <w:rPr>
          <w:b/>
          <w:bCs/>
        </w:rPr>
      </w:pPr>
      <w:r>
        <w:rPr>
          <w:b/>
          <w:bCs/>
        </w:rPr>
        <w:br w:type="page"/>
      </w:r>
      <w:bookmarkStart w:id="0" w:name="_GoBack"/>
      <w:bookmarkEnd w:id="0"/>
    </w:p>
    <w:sdt>
      <w:sdtPr>
        <w:rPr>
          <w:rFonts w:ascii="Arial" w:eastAsia="Arial" w:hAnsi="Arial" w:cs="Arial"/>
          <w:color w:val="auto"/>
          <w:sz w:val="24"/>
          <w:szCs w:val="24"/>
        </w:rPr>
        <w:id w:val="1777978891"/>
        <w:docPartObj>
          <w:docPartGallery w:val="Table of Contents"/>
          <w:docPartUnique/>
        </w:docPartObj>
      </w:sdtPr>
      <w:sdtEndPr>
        <w:rPr>
          <w:b/>
          <w:bCs/>
          <w:noProof/>
        </w:rPr>
      </w:sdtEndPr>
      <w:sdtContent>
        <w:p w14:paraId="4E204F6A" w14:textId="41B417AC" w:rsidR="0065605D" w:rsidRPr="0065605D" w:rsidRDefault="0065605D" w:rsidP="0065605D">
          <w:pPr>
            <w:pStyle w:val="TOCHeading"/>
            <w:spacing w:after="100" w:afterAutospacing="1" w:line="360" w:lineRule="auto"/>
            <w:jc w:val="center"/>
            <w:rPr>
              <w:rFonts w:ascii="Arial" w:hAnsi="Arial" w:cs="Arial"/>
              <w:b/>
              <w:bCs/>
              <w:color w:val="auto"/>
              <w:sz w:val="24"/>
              <w:szCs w:val="24"/>
              <w:u w:val="single"/>
            </w:rPr>
          </w:pPr>
          <w:r>
            <w:rPr>
              <w:rFonts w:ascii="Arial" w:hAnsi="Arial" w:cs="Arial"/>
              <w:b/>
              <w:bCs/>
              <w:color w:val="auto"/>
              <w:sz w:val="24"/>
              <w:szCs w:val="24"/>
              <w:u w:val="single"/>
            </w:rPr>
            <w:t>Table of Contents</w:t>
          </w:r>
        </w:p>
        <w:p w14:paraId="181FB0FA" w14:textId="3E837D7F" w:rsidR="0065605D" w:rsidRPr="0065605D" w:rsidRDefault="0065605D" w:rsidP="0065605D">
          <w:pPr>
            <w:pStyle w:val="TOC1"/>
            <w:tabs>
              <w:tab w:val="right" w:leader="dot" w:pos="9016"/>
            </w:tabs>
            <w:spacing w:afterAutospacing="1" w:line="360" w:lineRule="auto"/>
            <w:rPr>
              <w:noProof/>
            </w:rPr>
          </w:pPr>
          <w:r>
            <w:fldChar w:fldCharType="begin"/>
          </w:r>
          <w:r>
            <w:instrText xml:space="preserve"> TOC \o "1-3" \h \z \u </w:instrText>
          </w:r>
          <w:r>
            <w:fldChar w:fldCharType="separate"/>
          </w:r>
          <w:hyperlink w:anchor="_Toc234321011" w:history="1">
            <w:r>
              <w:rPr>
                <w:rStyle w:val="Hyperlink"/>
                <w:noProof/>
                <w:color w:val="auto"/>
              </w:rPr>
              <w:t>1. Task 1: Marketing Environment Analysis</w:t>
            </w:r>
            <w:r>
              <w:rPr>
                <w:noProof/>
                <w:webHidden/>
              </w:rPr>
              <w:tab/>
            </w:r>
            <w:r>
              <w:rPr>
                <w:noProof/>
                <w:webHidden/>
              </w:rPr>
              <w:fldChar w:fldCharType="begin"/>
            </w:r>
            <w:r>
              <w:rPr>
                <w:noProof/>
                <w:webHidden/>
              </w:rPr>
              <w:instrText xml:space="preserve"> PAGEREF _Toc234321011 \h </w:instrText>
            </w:r>
            <w:r>
              <w:rPr>
                <w:noProof/>
                <w:webHidden/>
              </w:rPr>
            </w:r>
            <w:r>
              <w:rPr>
                <w:noProof/>
                <w:webHidden/>
              </w:rPr>
              <w:fldChar w:fldCharType="separate"/>
            </w:r>
            <w:r>
              <w:rPr>
                <w:noProof/>
                <w:webHidden/>
              </w:rPr>
              <w:t>3</w:t>
            </w:r>
            <w:r>
              <w:rPr>
                <w:noProof/>
                <w:webHidden/>
              </w:rPr>
              <w:fldChar w:fldCharType="end"/>
            </w:r>
          </w:hyperlink>
        </w:p>
        <w:p w14:paraId="12D53280" w14:textId="1D0686BF" w:rsidR="0065605D" w:rsidRPr="0065605D" w:rsidRDefault="00B07124" w:rsidP="0065605D">
          <w:pPr>
            <w:pStyle w:val="TOC2"/>
            <w:tabs>
              <w:tab w:val="right" w:leader="dot" w:pos="9016"/>
            </w:tabs>
            <w:spacing w:afterAutospacing="1" w:line="360" w:lineRule="auto"/>
            <w:rPr>
              <w:noProof/>
            </w:rPr>
          </w:pPr>
          <w:hyperlink w:anchor="_Toc234321012" w:history="1">
            <w:r w:rsidR="0065605D">
              <w:rPr>
                <w:rStyle w:val="Hyperlink"/>
                <w:noProof/>
                <w:color w:val="auto"/>
              </w:rPr>
              <w:t>1.1 Company Selection and Context</w:t>
            </w:r>
            <w:r w:rsidR="0065605D">
              <w:rPr>
                <w:noProof/>
                <w:webHidden/>
              </w:rPr>
              <w:tab/>
            </w:r>
            <w:r w:rsidR="0065605D">
              <w:rPr>
                <w:noProof/>
                <w:webHidden/>
              </w:rPr>
              <w:fldChar w:fldCharType="begin"/>
            </w:r>
            <w:r w:rsidR="0065605D">
              <w:rPr>
                <w:noProof/>
                <w:webHidden/>
              </w:rPr>
              <w:instrText xml:space="preserve"> PAGEREF _Toc234321012 \h </w:instrText>
            </w:r>
            <w:r w:rsidR="0065605D">
              <w:rPr>
                <w:noProof/>
                <w:webHidden/>
              </w:rPr>
            </w:r>
            <w:r w:rsidR="0065605D">
              <w:rPr>
                <w:noProof/>
                <w:webHidden/>
              </w:rPr>
              <w:fldChar w:fldCharType="separate"/>
            </w:r>
            <w:r w:rsidR="0065605D">
              <w:rPr>
                <w:noProof/>
                <w:webHidden/>
              </w:rPr>
              <w:t>3</w:t>
            </w:r>
            <w:r w:rsidR="0065605D">
              <w:rPr>
                <w:noProof/>
                <w:webHidden/>
              </w:rPr>
              <w:fldChar w:fldCharType="end"/>
            </w:r>
          </w:hyperlink>
        </w:p>
        <w:p w14:paraId="17FF1D83" w14:textId="2FAF185D" w:rsidR="0065605D" w:rsidRPr="0065605D" w:rsidRDefault="00B07124" w:rsidP="0065605D">
          <w:pPr>
            <w:pStyle w:val="TOC2"/>
            <w:tabs>
              <w:tab w:val="right" w:leader="dot" w:pos="9016"/>
            </w:tabs>
            <w:spacing w:afterAutospacing="1" w:line="360" w:lineRule="auto"/>
            <w:rPr>
              <w:noProof/>
            </w:rPr>
          </w:pPr>
          <w:hyperlink w:anchor="_Toc234321013" w:history="1">
            <w:r w:rsidR="0065605D">
              <w:rPr>
                <w:rStyle w:val="Hyperlink"/>
                <w:noProof/>
                <w:color w:val="auto"/>
              </w:rPr>
              <w:t>1.2 External Marketing Environment Actor 1: The Natural Environment</w:t>
            </w:r>
            <w:r w:rsidR="0065605D">
              <w:rPr>
                <w:noProof/>
                <w:webHidden/>
              </w:rPr>
              <w:tab/>
            </w:r>
            <w:r w:rsidR="0065605D">
              <w:rPr>
                <w:noProof/>
                <w:webHidden/>
              </w:rPr>
              <w:fldChar w:fldCharType="begin"/>
            </w:r>
            <w:r w:rsidR="0065605D">
              <w:rPr>
                <w:noProof/>
                <w:webHidden/>
              </w:rPr>
              <w:instrText xml:space="preserve"> PAGEREF _Toc234321013 \h </w:instrText>
            </w:r>
            <w:r w:rsidR="0065605D">
              <w:rPr>
                <w:noProof/>
                <w:webHidden/>
              </w:rPr>
            </w:r>
            <w:r w:rsidR="0065605D">
              <w:rPr>
                <w:noProof/>
                <w:webHidden/>
              </w:rPr>
              <w:fldChar w:fldCharType="separate"/>
            </w:r>
            <w:r w:rsidR="0065605D">
              <w:rPr>
                <w:noProof/>
                <w:webHidden/>
              </w:rPr>
              <w:t>3</w:t>
            </w:r>
            <w:r w:rsidR="0065605D">
              <w:rPr>
                <w:noProof/>
                <w:webHidden/>
              </w:rPr>
              <w:fldChar w:fldCharType="end"/>
            </w:r>
          </w:hyperlink>
        </w:p>
        <w:p w14:paraId="311BE93B" w14:textId="0ABC8ABE" w:rsidR="0065605D" w:rsidRPr="0065605D" w:rsidRDefault="00B07124" w:rsidP="0065605D">
          <w:pPr>
            <w:pStyle w:val="TOC3"/>
            <w:tabs>
              <w:tab w:val="right" w:leader="dot" w:pos="9016"/>
            </w:tabs>
            <w:spacing w:afterAutospacing="1" w:line="360" w:lineRule="auto"/>
            <w:rPr>
              <w:noProof/>
            </w:rPr>
          </w:pPr>
          <w:hyperlink w:anchor="_Toc234321014" w:history="1">
            <w:r w:rsidR="0065605D">
              <w:rPr>
                <w:rStyle w:val="Hyperlink"/>
                <w:noProof/>
                <w:color w:val="auto"/>
              </w:rPr>
              <w:t>1.2.1 Resource Scarcity and Raw Material Pressures</w:t>
            </w:r>
            <w:r w:rsidR="0065605D">
              <w:rPr>
                <w:noProof/>
                <w:webHidden/>
              </w:rPr>
              <w:tab/>
            </w:r>
            <w:r w:rsidR="0065605D">
              <w:rPr>
                <w:noProof/>
                <w:webHidden/>
              </w:rPr>
              <w:fldChar w:fldCharType="begin"/>
            </w:r>
            <w:r w:rsidR="0065605D">
              <w:rPr>
                <w:noProof/>
                <w:webHidden/>
              </w:rPr>
              <w:instrText xml:space="preserve"> PAGEREF _Toc234321014 \h </w:instrText>
            </w:r>
            <w:r w:rsidR="0065605D">
              <w:rPr>
                <w:noProof/>
                <w:webHidden/>
              </w:rPr>
            </w:r>
            <w:r w:rsidR="0065605D">
              <w:rPr>
                <w:noProof/>
                <w:webHidden/>
              </w:rPr>
              <w:fldChar w:fldCharType="separate"/>
            </w:r>
            <w:r w:rsidR="0065605D">
              <w:rPr>
                <w:noProof/>
                <w:webHidden/>
              </w:rPr>
              <w:t>3</w:t>
            </w:r>
            <w:r w:rsidR="0065605D">
              <w:rPr>
                <w:noProof/>
                <w:webHidden/>
              </w:rPr>
              <w:fldChar w:fldCharType="end"/>
            </w:r>
          </w:hyperlink>
        </w:p>
        <w:p w14:paraId="16CF5095" w14:textId="293CF08E" w:rsidR="0065605D" w:rsidRPr="0065605D" w:rsidRDefault="00B07124" w:rsidP="0065605D">
          <w:pPr>
            <w:pStyle w:val="TOC3"/>
            <w:tabs>
              <w:tab w:val="right" w:leader="dot" w:pos="9016"/>
            </w:tabs>
            <w:spacing w:afterAutospacing="1" w:line="360" w:lineRule="auto"/>
            <w:rPr>
              <w:noProof/>
            </w:rPr>
          </w:pPr>
          <w:hyperlink w:anchor="_Toc234321015" w:history="1">
            <w:r w:rsidR="0065605D">
              <w:rPr>
                <w:rStyle w:val="Hyperlink"/>
                <w:noProof/>
                <w:color w:val="auto"/>
              </w:rPr>
              <w:t>1.2.2 Climate Change, Carbon Regulation and Decarbonisation Pathways</w:t>
            </w:r>
            <w:r w:rsidR="0065605D">
              <w:rPr>
                <w:noProof/>
                <w:webHidden/>
              </w:rPr>
              <w:tab/>
            </w:r>
            <w:r w:rsidR="0065605D">
              <w:rPr>
                <w:noProof/>
                <w:webHidden/>
              </w:rPr>
              <w:fldChar w:fldCharType="begin"/>
            </w:r>
            <w:r w:rsidR="0065605D">
              <w:rPr>
                <w:noProof/>
                <w:webHidden/>
              </w:rPr>
              <w:instrText xml:space="preserve"> PAGEREF _Toc234321015 \h </w:instrText>
            </w:r>
            <w:r w:rsidR="0065605D">
              <w:rPr>
                <w:noProof/>
                <w:webHidden/>
              </w:rPr>
            </w:r>
            <w:r w:rsidR="0065605D">
              <w:rPr>
                <w:noProof/>
                <w:webHidden/>
              </w:rPr>
              <w:fldChar w:fldCharType="separate"/>
            </w:r>
            <w:r w:rsidR="0065605D">
              <w:rPr>
                <w:noProof/>
                <w:webHidden/>
              </w:rPr>
              <w:t>3</w:t>
            </w:r>
            <w:r w:rsidR="0065605D">
              <w:rPr>
                <w:noProof/>
                <w:webHidden/>
              </w:rPr>
              <w:fldChar w:fldCharType="end"/>
            </w:r>
          </w:hyperlink>
        </w:p>
        <w:p w14:paraId="2A5316EF" w14:textId="74E79A79" w:rsidR="0065605D" w:rsidRPr="0065605D" w:rsidRDefault="00B07124" w:rsidP="0065605D">
          <w:pPr>
            <w:pStyle w:val="TOC3"/>
            <w:tabs>
              <w:tab w:val="right" w:leader="dot" w:pos="9016"/>
            </w:tabs>
            <w:spacing w:afterAutospacing="1" w:line="360" w:lineRule="auto"/>
            <w:rPr>
              <w:noProof/>
            </w:rPr>
          </w:pPr>
          <w:hyperlink w:anchor="_Toc234321016" w:history="1">
            <w:r w:rsidR="0065605D">
              <w:rPr>
                <w:rStyle w:val="Hyperlink"/>
                <w:noProof/>
                <w:color w:val="auto"/>
              </w:rPr>
              <w:t>1.2.3 Opportunities and Threats for Competitive Positioning</w:t>
            </w:r>
            <w:r w:rsidR="0065605D">
              <w:rPr>
                <w:noProof/>
                <w:webHidden/>
              </w:rPr>
              <w:tab/>
            </w:r>
            <w:r w:rsidR="0065605D">
              <w:rPr>
                <w:noProof/>
                <w:webHidden/>
              </w:rPr>
              <w:fldChar w:fldCharType="begin"/>
            </w:r>
            <w:r w:rsidR="0065605D">
              <w:rPr>
                <w:noProof/>
                <w:webHidden/>
              </w:rPr>
              <w:instrText xml:space="preserve"> PAGEREF _Toc234321016 \h </w:instrText>
            </w:r>
            <w:r w:rsidR="0065605D">
              <w:rPr>
                <w:noProof/>
                <w:webHidden/>
              </w:rPr>
            </w:r>
            <w:r w:rsidR="0065605D">
              <w:rPr>
                <w:noProof/>
                <w:webHidden/>
              </w:rPr>
              <w:fldChar w:fldCharType="separate"/>
            </w:r>
            <w:r w:rsidR="0065605D">
              <w:rPr>
                <w:noProof/>
                <w:webHidden/>
              </w:rPr>
              <w:t>4</w:t>
            </w:r>
            <w:r w:rsidR="0065605D">
              <w:rPr>
                <w:noProof/>
                <w:webHidden/>
              </w:rPr>
              <w:fldChar w:fldCharType="end"/>
            </w:r>
          </w:hyperlink>
        </w:p>
        <w:p w14:paraId="50A38825" w14:textId="41CCF112" w:rsidR="0065605D" w:rsidRPr="0065605D" w:rsidRDefault="00B07124" w:rsidP="0065605D">
          <w:pPr>
            <w:pStyle w:val="TOC2"/>
            <w:tabs>
              <w:tab w:val="right" w:leader="dot" w:pos="9016"/>
            </w:tabs>
            <w:spacing w:afterAutospacing="1" w:line="360" w:lineRule="auto"/>
            <w:rPr>
              <w:noProof/>
            </w:rPr>
          </w:pPr>
          <w:hyperlink w:anchor="_Toc234321017" w:history="1">
            <w:r w:rsidR="0065605D">
              <w:rPr>
                <w:rStyle w:val="Hyperlink"/>
                <w:noProof/>
                <w:color w:val="auto"/>
              </w:rPr>
              <w:t>1.3 External Marketing Environment Actor 2: Political/Regulatory Environment</w:t>
            </w:r>
            <w:r w:rsidR="0065605D">
              <w:rPr>
                <w:noProof/>
                <w:webHidden/>
              </w:rPr>
              <w:tab/>
            </w:r>
            <w:r w:rsidR="0065605D">
              <w:rPr>
                <w:noProof/>
                <w:webHidden/>
              </w:rPr>
              <w:fldChar w:fldCharType="begin"/>
            </w:r>
            <w:r w:rsidR="0065605D">
              <w:rPr>
                <w:noProof/>
                <w:webHidden/>
              </w:rPr>
              <w:instrText xml:space="preserve"> PAGEREF _Toc234321017 \h </w:instrText>
            </w:r>
            <w:r w:rsidR="0065605D">
              <w:rPr>
                <w:noProof/>
                <w:webHidden/>
              </w:rPr>
            </w:r>
            <w:r w:rsidR="0065605D">
              <w:rPr>
                <w:noProof/>
                <w:webHidden/>
              </w:rPr>
              <w:fldChar w:fldCharType="separate"/>
            </w:r>
            <w:r w:rsidR="0065605D">
              <w:rPr>
                <w:noProof/>
                <w:webHidden/>
              </w:rPr>
              <w:t>4</w:t>
            </w:r>
            <w:r w:rsidR="0065605D">
              <w:rPr>
                <w:noProof/>
                <w:webHidden/>
              </w:rPr>
              <w:fldChar w:fldCharType="end"/>
            </w:r>
          </w:hyperlink>
        </w:p>
        <w:p w14:paraId="2CAACB8F" w14:textId="06A7212C" w:rsidR="0065605D" w:rsidRPr="0065605D" w:rsidRDefault="00B07124" w:rsidP="0065605D">
          <w:pPr>
            <w:pStyle w:val="TOC3"/>
            <w:tabs>
              <w:tab w:val="right" w:leader="dot" w:pos="9016"/>
            </w:tabs>
            <w:spacing w:afterAutospacing="1" w:line="360" w:lineRule="auto"/>
            <w:rPr>
              <w:noProof/>
            </w:rPr>
          </w:pPr>
          <w:hyperlink w:anchor="_Toc234321018" w:history="1">
            <w:r w:rsidR="0065605D">
              <w:rPr>
                <w:rStyle w:val="Hyperlink"/>
                <w:noProof/>
                <w:color w:val="auto"/>
              </w:rPr>
              <w:t>1.3.1 Justification of Actor Choice</w:t>
            </w:r>
            <w:r w:rsidR="0065605D">
              <w:rPr>
                <w:noProof/>
                <w:webHidden/>
              </w:rPr>
              <w:tab/>
            </w:r>
            <w:r w:rsidR="0065605D">
              <w:rPr>
                <w:noProof/>
                <w:webHidden/>
              </w:rPr>
              <w:fldChar w:fldCharType="begin"/>
            </w:r>
            <w:r w:rsidR="0065605D">
              <w:rPr>
                <w:noProof/>
                <w:webHidden/>
              </w:rPr>
              <w:instrText xml:space="preserve"> PAGEREF _Toc234321018 \h </w:instrText>
            </w:r>
            <w:r w:rsidR="0065605D">
              <w:rPr>
                <w:noProof/>
                <w:webHidden/>
              </w:rPr>
            </w:r>
            <w:r w:rsidR="0065605D">
              <w:rPr>
                <w:noProof/>
                <w:webHidden/>
              </w:rPr>
              <w:fldChar w:fldCharType="separate"/>
            </w:r>
            <w:r w:rsidR="0065605D">
              <w:rPr>
                <w:noProof/>
                <w:webHidden/>
              </w:rPr>
              <w:t>4</w:t>
            </w:r>
            <w:r w:rsidR="0065605D">
              <w:rPr>
                <w:noProof/>
                <w:webHidden/>
              </w:rPr>
              <w:fldChar w:fldCharType="end"/>
            </w:r>
          </w:hyperlink>
        </w:p>
        <w:p w14:paraId="2F4FF7CE" w14:textId="085D399D" w:rsidR="0065605D" w:rsidRPr="0065605D" w:rsidRDefault="00B07124" w:rsidP="0065605D">
          <w:pPr>
            <w:pStyle w:val="TOC3"/>
            <w:tabs>
              <w:tab w:val="right" w:leader="dot" w:pos="9016"/>
            </w:tabs>
            <w:spacing w:afterAutospacing="1" w:line="360" w:lineRule="auto"/>
            <w:rPr>
              <w:noProof/>
            </w:rPr>
          </w:pPr>
          <w:hyperlink w:anchor="_Toc234321019" w:history="1">
            <w:r w:rsidR="0065605D">
              <w:rPr>
                <w:rStyle w:val="Hyperlink"/>
                <w:noProof/>
                <w:color w:val="auto"/>
              </w:rPr>
              <w:t>1.3.2 EU CBAM and Indian Policy Influence</w:t>
            </w:r>
            <w:r w:rsidR="0065605D">
              <w:rPr>
                <w:noProof/>
                <w:webHidden/>
              </w:rPr>
              <w:tab/>
            </w:r>
            <w:r w:rsidR="0065605D">
              <w:rPr>
                <w:noProof/>
                <w:webHidden/>
              </w:rPr>
              <w:fldChar w:fldCharType="begin"/>
            </w:r>
            <w:r w:rsidR="0065605D">
              <w:rPr>
                <w:noProof/>
                <w:webHidden/>
              </w:rPr>
              <w:instrText xml:space="preserve"> PAGEREF _Toc234321019 \h </w:instrText>
            </w:r>
            <w:r w:rsidR="0065605D">
              <w:rPr>
                <w:noProof/>
                <w:webHidden/>
              </w:rPr>
            </w:r>
            <w:r w:rsidR="0065605D">
              <w:rPr>
                <w:noProof/>
                <w:webHidden/>
              </w:rPr>
              <w:fldChar w:fldCharType="separate"/>
            </w:r>
            <w:r w:rsidR="0065605D">
              <w:rPr>
                <w:noProof/>
                <w:webHidden/>
              </w:rPr>
              <w:t>5</w:t>
            </w:r>
            <w:r w:rsidR="0065605D">
              <w:rPr>
                <w:noProof/>
                <w:webHidden/>
              </w:rPr>
              <w:fldChar w:fldCharType="end"/>
            </w:r>
          </w:hyperlink>
        </w:p>
        <w:p w14:paraId="29E25EEC" w14:textId="44237B24" w:rsidR="0065605D" w:rsidRPr="0065605D" w:rsidRDefault="00B07124" w:rsidP="0065605D">
          <w:pPr>
            <w:pStyle w:val="TOC3"/>
            <w:tabs>
              <w:tab w:val="right" w:leader="dot" w:pos="9016"/>
            </w:tabs>
            <w:spacing w:afterAutospacing="1" w:line="360" w:lineRule="auto"/>
            <w:rPr>
              <w:noProof/>
            </w:rPr>
          </w:pPr>
          <w:hyperlink w:anchor="_Toc234321020" w:history="1">
            <w:r w:rsidR="0065605D">
              <w:rPr>
                <w:rStyle w:val="Hyperlink"/>
                <w:noProof/>
                <w:color w:val="auto"/>
              </w:rPr>
              <w:t>1.3.3 Opportunities, Threats and Competitive Implications</w:t>
            </w:r>
            <w:r w:rsidR="0065605D">
              <w:rPr>
                <w:noProof/>
                <w:webHidden/>
              </w:rPr>
              <w:tab/>
            </w:r>
            <w:r w:rsidR="0065605D">
              <w:rPr>
                <w:noProof/>
                <w:webHidden/>
              </w:rPr>
              <w:fldChar w:fldCharType="begin"/>
            </w:r>
            <w:r w:rsidR="0065605D">
              <w:rPr>
                <w:noProof/>
                <w:webHidden/>
              </w:rPr>
              <w:instrText xml:space="preserve"> PAGEREF _Toc234321020 \h </w:instrText>
            </w:r>
            <w:r w:rsidR="0065605D">
              <w:rPr>
                <w:noProof/>
                <w:webHidden/>
              </w:rPr>
            </w:r>
            <w:r w:rsidR="0065605D">
              <w:rPr>
                <w:noProof/>
                <w:webHidden/>
              </w:rPr>
              <w:fldChar w:fldCharType="separate"/>
            </w:r>
            <w:r w:rsidR="0065605D">
              <w:rPr>
                <w:noProof/>
                <w:webHidden/>
              </w:rPr>
              <w:t>6</w:t>
            </w:r>
            <w:r w:rsidR="0065605D">
              <w:rPr>
                <w:noProof/>
                <w:webHidden/>
              </w:rPr>
              <w:fldChar w:fldCharType="end"/>
            </w:r>
          </w:hyperlink>
        </w:p>
        <w:p w14:paraId="6C604957" w14:textId="1B3F3299" w:rsidR="0065605D" w:rsidRPr="0065605D" w:rsidRDefault="00B07124" w:rsidP="0065605D">
          <w:pPr>
            <w:pStyle w:val="TOC2"/>
            <w:tabs>
              <w:tab w:val="right" w:leader="dot" w:pos="9016"/>
            </w:tabs>
            <w:spacing w:afterAutospacing="1" w:line="360" w:lineRule="auto"/>
            <w:rPr>
              <w:noProof/>
            </w:rPr>
          </w:pPr>
          <w:hyperlink w:anchor="_Toc234321021" w:history="1">
            <w:r w:rsidR="0065605D">
              <w:rPr>
                <w:rStyle w:val="Hyperlink"/>
                <w:noProof/>
                <w:color w:val="auto"/>
              </w:rPr>
              <w:t>2.1 Strategic Growth Recommendation Using the Ansoff Matrix</w:t>
            </w:r>
            <w:r w:rsidR="0065605D">
              <w:rPr>
                <w:noProof/>
                <w:webHidden/>
              </w:rPr>
              <w:tab/>
            </w:r>
            <w:r w:rsidR="0065605D">
              <w:rPr>
                <w:noProof/>
                <w:webHidden/>
              </w:rPr>
              <w:fldChar w:fldCharType="begin"/>
            </w:r>
            <w:r w:rsidR="0065605D">
              <w:rPr>
                <w:noProof/>
                <w:webHidden/>
              </w:rPr>
              <w:instrText xml:space="preserve"> PAGEREF _Toc234321021 \h </w:instrText>
            </w:r>
            <w:r w:rsidR="0065605D">
              <w:rPr>
                <w:noProof/>
                <w:webHidden/>
              </w:rPr>
            </w:r>
            <w:r w:rsidR="0065605D">
              <w:rPr>
                <w:noProof/>
                <w:webHidden/>
              </w:rPr>
              <w:fldChar w:fldCharType="separate"/>
            </w:r>
            <w:r w:rsidR="0065605D">
              <w:rPr>
                <w:noProof/>
                <w:webHidden/>
              </w:rPr>
              <w:t>6</w:t>
            </w:r>
            <w:r w:rsidR="0065605D">
              <w:rPr>
                <w:noProof/>
                <w:webHidden/>
              </w:rPr>
              <w:fldChar w:fldCharType="end"/>
            </w:r>
          </w:hyperlink>
        </w:p>
        <w:p w14:paraId="44EA84FE" w14:textId="1FAD5F3D" w:rsidR="0065605D" w:rsidRPr="0065605D" w:rsidRDefault="00B07124" w:rsidP="0065605D">
          <w:pPr>
            <w:pStyle w:val="TOC3"/>
            <w:tabs>
              <w:tab w:val="right" w:leader="dot" w:pos="9016"/>
            </w:tabs>
            <w:spacing w:afterAutospacing="1" w:line="360" w:lineRule="auto"/>
            <w:rPr>
              <w:noProof/>
            </w:rPr>
          </w:pPr>
          <w:hyperlink w:anchor="_Toc234321022" w:history="1">
            <w:r w:rsidR="0065605D">
              <w:rPr>
                <w:rStyle w:val="Hyperlink"/>
                <w:noProof/>
                <w:color w:val="auto"/>
              </w:rPr>
              <w:t>2.1.1 Rationale for Product Development</w:t>
            </w:r>
            <w:r w:rsidR="0065605D">
              <w:rPr>
                <w:noProof/>
                <w:webHidden/>
              </w:rPr>
              <w:tab/>
            </w:r>
            <w:r w:rsidR="0065605D">
              <w:rPr>
                <w:noProof/>
                <w:webHidden/>
              </w:rPr>
              <w:fldChar w:fldCharType="begin"/>
            </w:r>
            <w:r w:rsidR="0065605D">
              <w:rPr>
                <w:noProof/>
                <w:webHidden/>
              </w:rPr>
              <w:instrText xml:space="preserve"> PAGEREF _Toc234321022 \h </w:instrText>
            </w:r>
            <w:r w:rsidR="0065605D">
              <w:rPr>
                <w:noProof/>
                <w:webHidden/>
              </w:rPr>
            </w:r>
            <w:r w:rsidR="0065605D">
              <w:rPr>
                <w:noProof/>
                <w:webHidden/>
              </w:rPr>
              <w:fldChar w:fldCharType="separate"/>
            </w:r>
            <w:r w:rsidR="0065605D">
              <w:rPr>
                <w:noProof/>
                <w:webHidden/>
              </w:rPr>
              <w:t>6</w:t>
            </w:r>
            <w:r w:rsidR="0065605D">
              <w:rPr>
                <w:noProof/>
                <w:webHidden/>
              </w:rPr>
              <w:fldChar w:fldCharType="end"/>
            </w:r>
          </w:hyperlink>
        </w:p>
        <w:p w14:paraId="73FCDDCF" w14:textId="71745789" w:rsidR="0065605D" w:rsidRPr="0065605D" w:rsidRDefault="00B07124" w:rsidP="0065605D">
          <w:pPr>
            <w:pStyle w:val="TOC3"/>
            <w:tabs>
              <w:tab w:val="right" w:leader="dot" w:pos="9016"/>
            </w:tabs>
            <w:spacing w:afterAutospacing="1" w:line="360" w:lineRule="auto"/>
            <w:rPr>
              <w:noProof/>
            </w:rPr>
          </w:pPr>
          <w:hyperlink w:anchor="_Toc234321023" w:history="1">
            <w:r w:rsidR="0065605D">
              <w:rPr>
                <w:rStyle w:val="Hyperlink"/>
                <w:noProof/>
                <w:color w:val="auto"/>
              </w:rPr>
              <w:t>2.1.2 Linking the Growth Strategy to Environmental Pressures</w:t>
            </w:r>
            <w:r w:rsidR="0065605D">
              <w:rPr>
                <w:noProof/>
                <w:webHidden/>
              </w:rPr>
              <w:tab/>
            </w:r>
            <w:r w:rsidR="0065605D">
              <w:rPr>
                <w:noProof/>
                <w:webHidden/>
              </w:rPr>
              <w:fldChar w:fldCharType="begin"/>
            </w:r>
            <w:r w:rsidR="0065605D">
              <w:rPr>
                <w:noProof/>
                <w:webHidden/>
              </w:rPr>
              <w:instrText xml:space="preserve"> PAGEREF _Toc234321023 \h </w:instrText>
            </w:r>
            <w:r w:rsidR="0065605D">
              <w:rPr>
                <w:noProof/>
                <w:webHidden/>
              </w:rPr>
            </w:r>
            <w:r w:rsidR="0065605D">
              <w:rPr>
                <w:noProof/>
                <w:webHidden/>
              </w:rPr>
              <w:fldChar w:fldCharType="separate"/>
            </w:r>
            <w:r w:rsidR="0065605D">
              <w:rPr>
                <w:noProof/>
                <w:webHidden/>
              </w:rPr>
              <w:t>6</w:t>
            </w:r>
            <w:r w:rsidR="0065605D">
              <w:rPr>
                <w:noProof/>
                <w:webHidden/>
              </w:rPr>
              <w:fldChar w:fldCharType="end"/>
            </w:r>
          </w:hyperlink>
        </w:p>
        <w:p w14:paraId="46D650B9" w14:textId="519BC09A" w:rsidR="0065605D" w:rsidRPr="0065605D" w:rsidRDefault="00B07124" w:rsidP="0065605D">
          <w:pPr>
            <w:pStyle w:val="TOC3"/>
            <w:tabs>
              <w:tab w:val="right" w:leader="dot" w:pos="9016"/>
            </w:tabs>
            <w:spacing w:afterAutospacing="1" w:line="360" w:lineRule="auto"/>
            <w:rPr>
              <w:noProof/>
            </w:rPr>
          </w:pPr>
          <w:hyperlink w:anchor="_Toc234321024" w:history="1">
            <w:r w:rsidR="0065605D">
              <w:rPr>
                <w:rStyle w:val="Hyperlink"/>
                <w:noProof/>
                <w:color w:val="auto"/>
              </w:rPr>
              <w:t>2.1.3 Comparing the Four Growth Quadrants</w:t>
            </w:r>
            <w:r w:rsidR="0065605D">
              <w:rPr>
                <w:noProof/>
                <w:webHidden/>
              </w:rPr>
              <w:tab/>
            </w:r>
            <w:r w:rsidR="0065605D">
              <w:rPr>
                <w:noProof/>
                <w:webHidden/>
              </w:rPr>
              <w:fldChar w:fldCharType="begin"/>
            </w:r>
            <w:r w:rsidR="0065605D">
              <w:rPr>
                <w:noProof/>
                <w:webHidden/>
              </w:rPr>
              <w:instrText xml:space="preserve"> PAGEREF _Toc234321024 \h </w:instrText>
            </w:r>
            <w:r w:rsidR="0065605D">
              <w:rPr>
                <w:noProof/>
                <w:webHidden/>
              </w:rPr>
            </w:r>
            <w:r w:rsidR="0065605D">
              <w:rPr>
                <w:noProof/>
                <w:webHidden/>
              </w:rPr>
              <w:fldChar w:fldCharType="separate"/>
            </w:r>
            <w:r w:rsidR="0065605D">
              <w:rPr>
                <w:noProof/>
                <w:webHidden/>
              </w:rPr>
              <w:t>7</w:t>
            </w:r>
            <w:r w:rsidR="0065605D">
              <w:rPr>
                <w:noProof/>
                <w:webHidden/>
              </w:rPr>
              <w:fldChar w:fldCharType="end"/>
            </w:r>
          </w:hyperlink>
        </w:p>
        <w:p w14:paraId="26E3B33B" w14:textId="1B6A3576" w:rsidR="0065605D" w:rsidRPr="0065605D" w:rsidRDefault="00B07124" w:rsidP="0065605D">
          <w:pPr>
            <w:pStyle w:val="TOC2"/>
            <w:tabs>
              <w:tab w:val="right" w:leader="dot" w:pos="9016"/>
            </w:tabs>
            <w:spacing w:afterAutospacing="1" w:line="360" w:lineRule="auto"/>
            <w:rPr>
              <w:noProof/>
            </w:rPr>
          </w:pPr>
          <w:hyperlink w:anchor="_Toc234321025" w:history="1">
            <w:r w:rsidR="0065605D">
              <w:rPr>
                <w:rStyle w:val="Hyperlink"/>
                <w:noProof/>
                <w:color w:val="auto"/>
              </w:rPr>
              <w:t>2.2 Competitive Advantage Through a Lower-Carbon Business Model</w:t>
            </w:r>
            <w:r w:rsidR="0065605D">
              <w:rPr>
                <w:noProof/>
                <w:webHidden/>
              </w:rPr>
              <w:tab/>
            </w:r>
            <w:r w:rsidR="0065605D">
              <w:rPr>
                <w:noProof/>
                <w:webHidden/>
              </w:rPr>
              <w:fldChar w:fldCharType="begin"/>
            </w:r>
            <w:r w:rsidR="0065605D">
              <w:rPr>
                <w:noProof/>
                <w:webHidden/>
              </w:rPr>
              <w:instrText xml:space="preserve"> PAGEREF _Toc234321025 \h </w:instrText>
            </w:r>
            <w:r w:rsidR="0065605D">
              <w:rPr>
                <w:noProof/>
                <w:webHidden/>
              </w:rPr>
            </w:r>
            <w:r w:rsidR="0065605D">
              <w:rPr>
                <w:noProof/>
                <w:webHidden/>
              </w:rPr>
              <w:fldChar w:fldCharType="separate"/>
            </w:r>
            <w:r w:rsidR="0065605D">
              <w:rPr>
                <w:noProof/>
                <w:webHidden/>
              </w:rPr>
              <w:t>8</w:t>
            </w:r>
            <w:r w:rsidR="0065605D">
              <w:rPr>
                <w:noProof/>
                <w:webHidden/>
              </w:rPr>
              <w:fldChar w:fldCharType="end"/>
            </w:r>
          </w:hyperlink>
        </w:p>
        <w:p w14:paraId="085FB91A" w14:textId="76982612" w:rsidR="0065605D" w:rsidRPr="0065605D" w:rsidRDefault="00B07124" w:rsidP="0065605D">
          <w:pPr>
            <w:pStyle w:val="TOC3"/>
            <w:tabs>
              <w:tab w:val="right" w:leader="dot" w:pos="9016"/>
            </w:tabs>
            <w:spacing w:afterAutospacing="1" w:line="360" w:lineRule="auto"/>
            <w:rPr>
              <w:noProof/>
            </w:rPr>
          </w:pPr>
          <w:hyperlink w:anchor="_Toc234321026" w:history="1">
            <w:r w:rsidR="0065605D">
              <w:rPr>
                <w:rStyle w:val="Hyperlink"/>
                <w:noProof/>
                <w:color w:val="auto"/>
              </w:rPr>
              <w:t>2.2.1 Applying Porter's Generic Strategies</w:t>
            </w:r>
            <w:r w:rsidR="0065605D">
              <w:rPr>
                <w:noProof/>
                <w:webHidden/>
              </w:rPr>
              <w:tab/>
            </w:r>
            <w:r w:rsidR="0065605D">
              <w:rPr>
                <w:noProof/>
                <w:webHidden/>
              </w:rPr>
              <w:fldChar w:fldCharType="begin"/>
            </w:r>
            <w:r w:rsidR="0065605D">
              <w:rPr>
                <w:noProof/>
                <w:webHidden/>
              </w:rPr>
              <w:instrText xml:space="preserve"> PAGEREF _Toc234321026 \h </w:instrText>
            </w:r>
            <w:r w:rsidR="0065605D">
              <w:rPr>
                <w:noProof/>
                <w:webHidden/>
              </w:rPr>
            </w:r>
            <w:r w:rsidR="0065605D">
              <w:rPr>
                <w:noProof/>
                <w:webHidden/>
              </w:rPr>
              <w:fldChar w:fldCharType="separate"/>
            </w:r>
            <w:r w:rsidR="0065605D">
              <w:rPr>
                <w:noProof/>
                <w:webHidden/>
              </w:rPr>
              <w:t>8</w:t>
            </w:r>
            <w:r w:rsidR="0065605D">
              <w:rPr>
                <w:noProof/>
                <w:webHidden/>
              </w:rPr>
              <w:fldChar w:fldCharType="end"/>
            </w:r>
          </w:hyperlink>
        </w:p>
        <w:p w14:paraId="5B4CC5AD" w14:textId="0FB8AB9B" w:rsidR="0065605D" w:rsidRPr="0065605D" w:rsidRDefault="00B07124" w:rsidP="0065605D">
          <w:pPr>
            <w:pStyle w:val="TOC3"/>
            <w:tabs>
              <w:tab w:val="right" w:leader="dot" w:pos="9016"/>
            </w:tabs>
            <w:spacing w:afterAutospacing="1" w:line="360" w:lineRule="auto"/>
            <w:rPr>
              <w:noProof/>
            </w:rPr>
          </w:pPr>
          <w:hyperlink w:anchor="_Toc234321027" w:history="1">
            <w:r w:rsidR="0065605D">
              <w:rPr>
                <w:rStyle w:val="Hyperlink"/>
                <w:noProof/>
                <w:color w:val="auto"/>
              </w:rPr>
              <w:t>2.2.2 Differentiation Through Green Steel</w:t>
            </w:r>
            <w:r w:rsidR="0065605D">
              <w:rPr>
                <w:noProof/>
                <w:webHidden/>
              </w:rPr>
              <w:tab/>
            </w:r>
            <w:r w:rsidR="0065605D">
              <w:rPr>
                <w:noProof/>
                <w:webHidden/>
              </w:rPr>
              <w:fldChar w:fldCharType="begin"/>
            </w:r>
            <w:r w:rsidR="0065605D">
              <w:rPr>
                <w:noProof/>
                <w:webHidden/>
              </w:rPr>
              <w:instrText xml:space="preserve"> PAGEREF _Toc234321027 \h </w:instrText>
            </w:r>
            <w:r w:rsidR="0065605D">
              <w:rPr>
                <w:noProof/>
                <w:webHidden/>
              </w:rPr>
            </w:r>
            <w:r w:rsidR="0065605D">
              <w:rPr>
                <w:noProof/>
                <w:webHidden/>
              </w:rPr>
              <w:fldChar w:fldCharType="separate"/>
            </w:r>
            <w:r w:rsidR="0065605D">
              <w:rPr>
                <w:noProof/>
                <w:webHidden/>
              </w:rPr>
              <w:t>9</w:t>
            </w:r>
            <w:r w:rsidR="0065605D">
              <w:rPr>
                <w:noProof/>
                <w:webHidden/>
              </w:rPr>
              <w:fldChar w:fldCharType="end"/>
            </w:r>
          </w:hyperlink>
        </w:p>
        <w:p w14:paraId="2B4876A2" w14:textId="0E24FDE5" w:rsidR="0065605D" w:rsidRPr="0065605D" w:rsidRDefault="00B07124" w:rsidP="0065605D">
          <w:pPr>
            <w:pStyle w:val="TOC3"/>
            <w:tabs>
              <w:tab w:val="right" w:leader="dot" w:pos="9016"/>
            </w:tabs>
            <w:spacing w:afterAutospacing="1" w:line="360" w:lineRule="auto"/>
            <w:rPr>
              <w:noProof/>
            </w:rPr>
          </w:pPr>
          <w:hyperlink w:anchor="_Toc234321028" w:history="1">
            <w:r w:rsidR="0065605D">
              <w:rPr>
                <w:rStyle w:val="Hyperlink"/>
                <w:noProof/>
                <w:color w:val="auto"/>
              </w:rPr>
              <w:t>2.2.3 Sustaining Competitive Advantage: Evidence and Limitations</w:t>
            </w:r>
            <w:r w:rsidR="0065605D">
              <w:rPr>
                <w:noProof/>
                <w:webHidden/>
              </w:rPr>
              <w:tab/>
            </w:r>
            <w:r w:rsidR="0065605D">
              <w:rPr>
                <w:noProof/>
                <w:webHidden/>
              </w:rPr>
              <w:fldChar w:fldCharType="begin"/>
            </w:r>
            <w:r w:rsidR="0065605D">
              <w:rPr>
                <w:noProof/>
                <w:webHidden/>
              </w:rPr>
              <w:instrText xml:space="preserve"> PAGEREF _Toc234321028 \h </w:instrText>
            </w:r>
            <w:r w:rsidR="0065605D">
              <w:rPr>
                <w:noProof/>
                <w:webHidden/>
              </w:rPr>
            </w:r>
            <w:r w:rsidR="0065605D">
              <w:rPr>
                <w:noProof/>
                <w:webHidden/>
              </w:rPr>
              <w:fldChar w:fldCharType="separate"/>
            </w:r>
            <w:r w:rsidR="0065605D">
              <w:rPr>
                <w:noProof/>
                <w:webHidden/>
              </w:rPr>
              <w:t>9</w:t>
            </w:r>
            <w:r w:rsidR="0065605D">
              <w:rPr>
                <w:noProof/>
                <w:webHidden/>
              </w:rPr>
              <w:fldChar w:fldCharType="end"/>
            </w:r>
          </w:hyperlink>
        </w:p>
        <w:p w14:paraId="15FBF733" w14:textId="243BD88F" w:rsidR="0065605D" w:rsidRPr="0065605D" w:rsidRDefault="00B07124" w:rsidP="0065605D">
          <w:pPr>
            <w:pStyle w:val="TOC2"/>
            <w:tabs>
              <w:tab w:val="right" w:leader="dot" w:pos="9016"/>
            </w:tabs>
            <w:spacing w:afterAutospacing="1" w:line="360" w:lineRule="auto"/>
            <w:rPr>
              <w:noProof/>
            </w:rPr>
          </w:pPr>
          <w:hyperlink w:anchor="_Toc234321029" w:history="1">
            <w:r w:rsidR="0065605D">
              <w:rPr>
                <w:rStyle w:val="Hyperlink"/>
                <w:noProof/>
                <w:color w:val="auto"/>
              </w:rPr>
              <w:t>3.1 Tool Disclosure</w:t>
            </w:r>
            <w:r w:rsidR="0065605D">
              <w:rPr>
                <w:noProof/>
                <w:webHidden/>
              </w:rPr>
              <w:tab/>
            </w:r>
            <w:r w:rsidR="0065605D">
              <w:rPr>
                <w:noProof/>
                <w:webHidden/>
              </w:rPr>
              <w:fldChar w:fldCharType="begin"/>
            </w:r>
            <w:r w:rsidR="0065605D">
              <w:rPr>
                <w:noProof/>
                <w:webHidden/>
              </w:rPr>
              <w:instrText xml:space="preserve"> PAGEREF _Toc234321029 \h </w:instrText>
            </w:r>
            <w:r w:rsidR="0065605D">
              <w:rPr>
                <w:noProof/>
                <w:webHidden/>
              </w:rPr>
            </w:r>
            <w:r w:rsidR="0065605D">
              <w:rPr>
                <w:noProof/>
                <w:webHidden/>
              </w:rPr>
              <w:fldChar w:fldCharType="separate"/>
            </w:r>
            <w:r w:rsidR="0065605D">
              <w:rPr>
                <w:noProof/>
                <w:webHidden/>
              </w:rPr>
              <w:t>10</w:t>
            </w:r>
            <w:r w:rsidR="0065605D">
              <w:rPr>
                <w:noProof/>
                <w:webHidden/>
              </w:rPr>
              <w:fldChar w:fldCharType="end"/>
            </w:r>
          </w:hyperlink>
        </w:p>
        <w:p w14:paraId="7E472AE7" w14:textId="55B4A487" w:rsidR="0065605D" w:rsidRPr="0065605D" w:rsidRDefault="00B07124" w:rsidP="0065605D">
          <w:pPr>
            <w:pStyle w:val="TOC2"/>
            <w:tabs>
              <w:tab w:val="right" w:leader="dot" w:pos="9016"/>
            </w:tabs>
            <w:spacing w:afterAutospacing="1" w:line="360" w:lineRule="auto"/>
            <w:rPr>
              <w:noProof/>
            </w:rPr>
          </w:pPr>
          <w:hyperlink w:anchor="_Toc234321030" w:history="1">
            <w:r w:rsidR="0065605D">
              <w:rPr>
                <w:rStyle w:val="Hyperlink"/>
                <w:noProof/>
                <w:color w:val="auto"/>
              </w:rPr>
              <w:t>3.2 Critical Evaluation of AI Output</w:t>
            </w:r>
            <w:r w:rsidR="0065605D">
              <w:rPr>
                <w:noProof/>
                <w:webHidden/>
              </w:rPr>
              <w:tab/>
            </w:r>
            <w:r w:rsidR="0065605D">
              <w:rPr>
                <w:noProof/>
                <w:webHidden/>
              </w:rPr>
              <w:fldChar w:fldCharType="begin"/>
            </w:r>
            <w:r w:rsidR="0065605D">
              <w:rPr>
                <w:noProof/>
                <w:webHidden/>
              </w:rPr>
              <w:instrText xml:space="preserve"> PAGEREF _Toc234321030 \h </w:instrText>
            </w:r>
            <w:r w:rsidR="0065605D">
              <w:rPr>
                <w:noProof/>
                <w:webHidden/>
              </w:rPr>
            </w:r>
            <w:r w:rsidR="0065605D">
              <w:rPr>
                <w:noProof/>
                <w:webHidden/>
              </w:rPr>
              <w:fldChar w:fldCharType="separate"/>
            </w:r>
            <w:r w:rsidR="0065605D">
              <w:rPr>
                <w:noProof/>
                <w:webHidden/>
              </w:rPr>
              <w:t>10</w:t>
            </w:r>
            <w:r w:rsidR="0065605D">
              <w:rPr>
                <w:noProof/>
                <w:webHidden/>
              </w:rPr>
              <w:fldChar w:fldCharType="end"/>
            </w:r>
          </w:hyperlink>
        </w:p>
        <w:p w14:paraId="0B45D5C9" w14:textId="670A6A1F" w:rsidR="0065605D" w:rsidRPr="0065605D" w:rsidRDefault="00B07124" w:rsidP="0065605D">
          <w:pPr>
            <w:pStyle w:val="TOC2"/>
            <w:tabs>
              <w:tab w:val="right" w:leader="dot" w:pos="9016"/>
            </w:tabs>
            <w:spacing w:afterAutospacing="1" w:line="360" w:lineRule="auto"/>
            <w:rPr>
              <w:noProof/>
            </w:rPr>
          </w:pPr>
          <w:hyperlink w:anchor="_Toc234321031" w:history="1">
            <w:r w:rsidR="0065605D">
              <w:rPr>
                <w:rStyle w:val="Hyperlink"/>
                <w:noProof/>
                <w:color w:val="auto"/>
              </w:rPr>
              <w:t>3.3 Contribution Analysis</w:t>
            </w:r>
            <w:r w:rsidR="0065605D">
              <w:rPr>
                <w:noProof/>
                <w:webHidden/>
              </w:rPr>
              <w:tab/>
            </w:r>
            <w:r w:rsidR="0065605D">
              <w:rPr>
                <w:noProof/>
                <w:webHidden/>
              </w:rPr>
              <w:fldChar w:fldCharType="begin"/>
            </w:r>
            <w:r w:rsidR="0065605D">
              <w:rPr>
                <w:noProof/>
                <w:webHidden/>
              </w:rPr>
              <w:instrText xml:space="preserve"> PAGEREF _Toc234321031 \h </w:instrText>
            </w:r>
            <w:r w:rsidR="0065605D">
              <w:rPr>
                <w:noProof/>
                <w:webHidden/>
              </w:rPr>
            </w:r>
            <w:r w:rsidR="0065605D">
              <w:rPr>
                <w:noProof/>
                <w:webHidden/>
              </w:rPr>
              <w:fldChar w:fldCharType="separate"/>
            </w:r>
            <w:r w:rsidR="0065605D">
              <w:rPr>
                <w:noProof/>
                <w:webHidden/>
              </w:rPr>
              <w:t>10</w:t>
            </w:r>
            <w:r w:rsidR="0065605D">
              <w:rPr>
                <w:noProof/>
                <w:webHidden/>
              </w:rPr>
              <w:fldChar w:fldCharType="end"/>
            </w:r>
          </w:hyperlink>
        </w:p>
        <w:p w14:paraId="112728DC" w14:textId="3719AF97" w:rsidR="0065605D" w:rsidRPr="0065605D" w:rsidRDefault="00B07124" w:rsidP="0065605D">
          <w:pPr>
            <w:pStyle w:val="TOC2"/>
            <w:tabs>
              <w:tab w:val="right" w:leader="dot" w:pos="9016"/>
            </w:tabs>
            <w:spacing w:afterAutospacing="1" w:line="360" w:lineRule="auto"/>
            <w:rPr>
              <w:noProof/>
            </w:rPr>
          </w:pPr>
          <w:hyperlink w:anchor="_Toc234321032" w:history="1">
            <w:r w:rsidR="0065605D">
              <w:rPr>
                <w:rStyle w:val="Hyperlink"/>
                <w:noProof/>
                <w:color w:val="auto"/>
              </w:rPr>
              <w:t>3.4 Ethical and Professional Reflection</w:t>
            </w:r>
            <w:r w:rsidR="0065605D">
              <w:rPr>
                <w:noProof/>
                <w:webHidden/>
              </w:rPr>
              <w:tab/>
            </w:r>
            <w:r w:rsidR="0065605D">
              <w:rPr>
                <w:noProof/>
                <w:webHidden/>
              </w:rPr>
              <w:fldChar w:fldCharType="begin"/>
            </w:r>
            <w:r w:rsidR="0065605D">
              <w:rPr>
                <w:noProof/>
                <w:webHidden/>
              </w:rPr>
              <w:instrText xml:space="preserve"> PAGEREF _Toc234321032 \h </w:instrText>
            </w:r>
            <w:r w:rsidR="0065605D">
              <w:rPr>
                <w:noProof/>
                <w:webHidden/>
              </w:rPr>
            </w:r>
            <w:r w:rsidR="0065605D">
              <w:rPr>
                <w:noProof/>
                <w:webHidden/>
              </w:rPr>
              <w:fldChar w:fldCharType="separate"/>
            </w:r>
            <w:r w:rsidR="0065605D">
              <w:rPr>
                <w:noProof/>
                <w:webHidden/>
              </w:rPr>
              <w:t>11</w:t>
            </w:r>
            <w:r w:rsidR="0065605D">
              <w:rPr>
                <w:noProof/>
                <w:webHidden/>
              </w:rPr>
              <w:fldChar w:fldCharType="end"/>
            </w:r>
          </w:hyperlink>
        </w:p>
        <w:p w14:paraId="2657332D" w14:textId="06D48835" w:rsidR="0065605D" w:rsidRPr="0065605D" w:rsidRDefault="00B07124" w:rsidP="0065605D">
          <w:pPr>
            <w:pStyle w:val="TOC1"/>
            <w:tabs>
              <w:tab w:val="right" w:leader="dot" w:pos="9016"/>
            </w:tabs>
            <w:spacing w:afterAutospacing="1" w:line="360" w:lineRule="auto"/>
            <w:rPr>
              <w:noProof/>
            </w:rPr>
          </w:pPr>
          <w:hyperlink w:anchor="_Toc234321033" w:history="1">
            <w:r w:rsidR="0065605D">
              <w:rPr>
                <w:rStyle w:val="Hyperlink"/>
                <w:noProof/>
                <w:color w:val="auto"/>
              </w:rPr>
              <w:t>Reference List</w:t>
            </w:r>
            <w:r w:rsidR="0065605D">
              <w:rPr>
                <w:noProof/>
                <w:webHidden/>
              </w:rPr>
              <w:tab/>
            </w:r>
            <w:r w:rsidR="0065605D">
              <w:rPr>
                <w:noProof/>
                <w:webHidden/>
              </w:rPr>
              <w:fldChar w:fldCharType="begin"/>
            </w:r>
            <w:r w:rsidR="0065605D">
              <w:rPr>
                <w:noProof/>
                <w:webHidden/>
              </w:rPr>
              <w:instrText xml:space="preserve"> PAGEREF _Toc234321033 \h </w:instrText>
            </w:r>
            <w:r w:rsidR="0065605D">
              <w:rPr>
                <w:noProof/>
                <w:webHidden/>
              </w:rPr>
            </w:r>
            <w:r w:rsidR="0065605D">
              <w:rPr>
                <w:noProof/>
                <w:webHidden/>
              </w:rPr>
              <w:fldChar w:fldCharType="separate"/>
            </w:r>
            <w:r w:rsidR="0065605D">
              <w:rPr>
                <w:noProof/>
                <w:webHidden/>
              </w:rPr>
              <w:t>12</w:t>
            </w:r>
            <w:r w:rsidR="0065605D">
              <w:rPr>
                <w:noProof/>
                <w:webHidden/>
              </w:rPr>
              <w:fldChar w:fldCharType="end"/>
            </w:r>
          </w:hyperlink>
        </w:p>
        <w:p w14:paraId="489363BC" w14:textId="227A1CEB" w:rsidR="0065605D" w:rsidRPr="0065605D" w:rsidRDefault="0065605D" w:rsidP="0065605D">
          <w:pPr>
            <w:spacing w:after="100" w:afterAutospacing="1" w:line="360" w:lineRule="auto"/>
          </w:pPr>
          <w:r>
            <w:rPr>
              <w:b/>
              <w:bCs/>
              <w:noProof/>
            </w:rPr>
            <w:fldChar w:fldCharType="end"/>
          </w:r>
        </w:p>
      </w:sdtContent>
    </w:sdt>
    <w:p w14:paraId="4753ABD2" w14:textId="77777777" w:rsidR="0065605D" w:rsidRPr="0065605D" w:rsidRDefault="0065605D">
      <w:pPr>
        <w:rPr>
          <w:b/>
          <w:bCs/>
        </w:rPr>
      </w:pPr>
      <w:r>
        <w:br w:type="page"/>
      </w:r>
    </w:p>
    <w:p w14:paraId="63FE9948" w14:textId="11A6CEAE" w:rsidR="00407367" w:rsidRPr="0065605D" w:rsidRDefault="00B07124" w:rsidP="0065605D">
      <w:pPr>
        <w:pStyle w:val="Heading1"/>
      </w:pPr>
      <w:bookmarkStart w:id="1" w:name="_Toc234321011"/>
      <w:r>
        <w:lastRenderedPageBreak/>
        <w:t>1. Task 1: Marketing Environment Analysis</w:t>
      </w:r>
      <w:bookmarkEnd w:id="1"/>
    </w:p>
    <w:p w14:paraId="394B4150" w14:textId="77777777" w:rsidR="00407367" w:rsidRPr="0065605D" w:rsidRDefault="00B07124" w:rsidP="0065605D">
      <w:pPr>
        <w:pStyle w:val="Heading2"/>
      </w:pPr>
      <w:bookmarkStart w:id="2" w:name="_Toc234321012"/>
      <w:r>
        <w:t>1.1 Company Selection and Context</w:t>
      </w:r>
      <w:bookmarkEnd w:id="2"/>
    </w:p>
    <w:p w14:paraId="171571F5" w14:textId="104E2904" w:rsidR="00407367" w:rsidRPr="008A76E4" w:rsidRDefault="00C92B7D" w:rsidP="0065605D">
      <w:pPr>
        <w:spacing w:after="100" w:afterAutospacing="1" w:line="360" w:lineRule="auto"/>
        <w:jc w:val="both"/>
        <w:rPr>
          <w:color w:val="000000" w:themeColor="text1"/>
        </w:rPr>
      </w:pPr>
      <w:r w:rsidRPr="008A76E4">
        <w:rPr>
          <w:color w:val="000000" w:themeColor="text1"/>
        </w:rPr>
        <w:t>Tata Steel was established in India as Asia’s first integrated private steel company in 1907. With this, we also developed India’s first industrial city at Jamshedpur. Today, we are among the leading global steel companies.</w:t>
      </w:r>
      <w:r w:rsidR="007437B7" w:rsidRPr="008A76E4">
        <w:rPr>
          <w:color w:val="000000" w:themeColor="text1"/>
        </w:rPr>
        <w:t xml:space="preserve"> </w:t>
      </w:r>
      <w:r w:rsidRPr="008A76E4">
        <w:rPr>
          <w:color w:val="000000" w:themeColor="text1"/>
        </w:rPr>
        <w:t>Tata Steel</w:t>
      </w:r>
      <w:r w:rsidR="007437B7" w:rsidRPr="008A76E4">
        <w:rPr>
          <w:color w:val="000000" w:themeColor="text1"/>
        </w:rPr>
        <w:t xml:space="preserve"> has made a commitment to be a net-zero business by 2045. In 2021-23, the company made significant investments in its environmental, social and governance disclosure and made sustainability a key strategic pillar instead of a secondary compliance activity (Dutta, 2025). </w:t>
      </w:r>
      <w:r w:rsidRPr="008A76E4">
        <w:rPr>
          <w:color w:val="000000" w:themeColor="text1"/>
        </w:rPr>
        <w:t xml:space="preserve">Tata Steel, with an annual crude steel capacity of over 35 million tonnes per annum (MTPA), is one of the world’s most geographically diversified steel producers. We are one of the few steel operations that are fully integrated – from mining to the manufacturing and marketing of finished products. </w:t>
      </w:r>
      <w:r w:rsidR="007437B7" w:rsidRPr="008A76E4">
        <w:rPr>
          <w:color w:val="000000" w:themeColor="text1"/>
        </w:rPr>
        <w:t xml:space="preserve">Belavadi and Kulkarni (2026) also describe the change at Tata steel as built around </w:t>
      </w:r>
      <w:r w:rsidRPr="008A76E4">
        <w:rPr>
          <w:color w:val="000000" w:themeColor="text1"/>
        </w:rPr>
        <w:t>hydrogen-based</w:t>
      </w:r>
      <w:r w:rsidR="007437B7" w:rsidRPr="008A76E4">
        <w:rPr>
          <w:color w:val="000000" w:themeColor="text1"/>
        </w:rPr>
        <w:t xml:space="preserve"> steelmaking and carbon capture and the location of the circular-economy. </w:t>
      </w:r>
    </w:p>
    <w:p w14:paraId="2CC179F4" w14:textId="77777777" w:rsidR="00407367" w:rsidRPr="008A76E4" w:rsidRDefault="00B07124" w:rsidP="0065605D">
      <w:pPr>
        <w:pStyle w:val="Heading2"/>
        <w:rPr>
          <w:color w:val="000000" w:themeColor="text1"/>
        </w:rPr>
      </w:pPr>
      <w:bookmarkStart w:id="3" w:name="_Toc234321013"/>
      <w:r w:rsidRPr="008A76E4">
        <w:rPr>
          <w:color w:val="000000" w:themeColor="text1"/>
        </w:rPr>
        <w:t>1.2 External Marketing Environment Actor 1: The Natural Environment</w:t>
      </w:r>
      <w:bookmarkEnd w:id="3"/>
    </w:p>
    <w:p w14:paraId="15705717" w14:textId="77777777" w:rsidR="00407367" w:rsidRPr="008A76E4" w:rsidRDefault="00B07124" w:rsidP="0065605D">
      <w:pPr>
        <w:pStyle w:val="Heading3"/>
        <w:rPr>
          <w:color w:val="000000" w:themeColor="text1"/>
        </w:rPr>
      </w:pPr>
      <w:bookmarkStart w:id="4" w:name="_Toc234321014"/>
      <w:r w:rsidRPr="008A76E4">
        <w:rPr>
          <w:color w:val="000000" w:themeColor="text1"/>
        </w:rPr>
        <w:t>1.2.1 Resource Scarcity and Raw Material Pressures</w:t>
      </w:r>
      <w:bookmarkEnd w:id="4"/>
    </w:p>
    <w:p w14:paraId="11C9D1D8" w14:textId="45A6D5FB" w:rsidR="00407367" w:rsidRPr="008A76E4" w:rsidRDefault="00C92B7D" w:rsidP="0065605D">
      <w:pPr>
        <w:spacing w:after="100" w:afterAutospacing="1" w:line="360" w:lineRule="auto"/>
        <w:jc w:val="both"/>
        <w:rPr>
          <w:color w:val="000000" w:themeColor="text1"/>
        </w:rPr>
      </w:pPr>
      <w:r w:rsidRPr="008A76E4">
        <w:rPr>
          <w:color w:val="000000" w:themeColor="text1"/>
        </w:rPr>
        <w:t>Tata Steel is one of the largest steel producers in Europe with a crude steel production capacity of 12 MTPA. We established our presence in the European continent after acquiring Corus in 2007. The manufacturing facilities in Europe comprise primary steel-making facilities in the Netherlands and the United Kingdom, with downstream operations in the Netherlands, the United Kingdom, Germany, France, Belgium, Sweden, and Turkey</w:t>
      </w:r>
      <w:r w:rsidR="007437B7" w:rsidRPr="008A76E4">
        <w:rPr>
          <w:color w:val="000000" w:themeColor="text1"/>
        </w:rPr>
        <w:t>. Watari and McLellan (2024) even assume that there are three resources which are scarce and which drive decarbonisation of steel in the world, and these resources are geological carbon storage, end-of-life scrap and zero-emission electricity. Other works, such as the contribution by Companero, Feldmann and Tilliander (2021) also support this viewpoint and state that the asymmetries of information between scrap dealers and steel mills limit the factors of recyclability of scrap. To Tata Steel, but outright inhibitory of the production planning, the inadequacy will be not only subject to the yarned and turbulence of input costs</w:t>
      </w:r>
      <w:r w:rsidRPr="008A76E4">
        <w:rPr>
          <w:color w:val="000000" w:themeColor="text1"/>
        </w:rPr>
        <w:t>.</w:t>
      </w:r>
    </w:p>
    <w:p w14:paraId="0683FFB3" w14:textId="77777777" w:rsidR="00407367" w:rsidRPr="008A76E4" w:rsidRDefault="00B07124" w:rsidP="0065605D">
      <w:pPr>
        <w:pStyle w:val="Heading3"/>
        <w:rPr>
          <w:color w:val="000000" w:themeColor="text1"/>
        </w:rPr>
      </w:pPr>
      <w:bookmarkStart w:id="5" w:name="_Toc234321015"/>
      <w:r w:rsidRPr="008A76E4">
        <w:rPr>
          <w:color w:val="000000" w:themeColor="text1"/>
        </w:rPr>
        <w:lastRenderedPageBreak/>
        <w:t>1.2.2 Climate Change, Carbon Regula</w:t>
      </w:r>
      <w:r w:rsidRPr="008A76E4">
        <w:rPr>
          <w:color w:val="000000" w:themeColor="text1"/>
        </w:rPr>
        <w:t>tion and Decarbonisation Pathways</w:t>
      </w:r>
      <w:bookmarkEnd w:id="5"/>
    </w:p>
    <w:p w14:paraId="10F51A4C" w14:textId="0D002F83"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Climate change has been translated into tangible pressure on major steelmaking paths. According to Rinaldi et al. (2024) the possible pathways of decarbonisation of European steelmaking can reduce the carbon footprint of steel by up to sixty per cent, by 2050, but at colossal production costs. </w:t>
      </w:r>
      <w:r w:rsidR="00C92B7D" w:rsidRPr="008A76E4">
        <w:rPr>
          <w:color w:val="000000" w:themeColor="text1"/>
        </w:rPr>
        <w:t xml:space="preserve">In 2015, </w:t>
      </w:r>
      <w:r w:rsidR="00A53EF1" w:rsidRPr="008A76E4">
        <w:rPr>
          <w:color w:val="000000" w:themeColor="text1"/>
        </w:rPr>
        <w:t>Tata Steel</w:t>
      </w:r>
      <w:r w:rsidR="00C92B7D" w:rsidRPr="008A76E4">
        <w:rPr>
          <w:color w:val="000000" w:themeColor="text1"/>
        </w:rPr>
        <w:t xml:space="preserve"> acquired a majority stake in Thailand-based steelmaker Millennium Steel, which strengthened our South-East Asian operations. is the largest and most diverse long steel manufacturer in Thailand using recyclable steel scrap as raw material</w:t>
      </w:r>
      <w:r w:rsidR="00A53EF1" w:rsidRPr="008A76E4">
        <w:rPr>
          <w:color w:val="000000" w:themeColor="text1"/>
        </w:rPr>
        <w:t xml:space="preserve"> (Tata Steel, 2018)</w:t>
      </w:r>
      <w:r w:rsidR="00C92B7D" w:rsidRPr="008A76E4">
        <w:rPr>
          <w:color w:val="000000" w:themeColor="text1"/>
        </w:rPr>
        <w:t xml:space="preserve">. The product range includes High Tensile Rebars, </w:t>
      </w:r>
      <w:r w:rsidR="00A53EF1" w:rsidRPr="008A76E4">
        <w:rPr>
          <w:color w:val="000000" w:themeColor="text1"/>
        </w:rPr>
        <w:t>ready-to-use</w:t>
      </w:r>
      <w:r w:rsidR="00C92B7D" w:rsidRPr="008A76E4">
        <w:rPr>
          <w:color w:val="000000" w:themeColor="text1"/>
        </w:rPr>
        <w:t xml:space="preserve"> Cut &amp; Bend products, light structural, and specialty wire rods for making Tire Cord, Tire bead, Wire Ropes, and stick electrodes. The company has a pan Thailand distribution network and regularly exports steel to Laos, Cambodia, Indonesia, Malaysia, India, and Bangladesh.</w:t>
      </w:r>
    </w:p>
    <w:p w14:paraId="25FE85CA" w14:textId="77777777" w:rsidR="00407367" w:rsidRPr="008A76E4" w:rsidRDefault="00B07124" w:rsidP="0065605D">
      <w:pPr>
        <w:pStyle w:val="Heading3"/>
        <w:rPr>
          <w:color w:val="000000" w:themeColor="text1"/>
        </w:rPr>
      </w:pPr>
      <w:bookmarkStart w:id="6" w:name="_Toc234321016"/>
      <w:r w:rsidRPr="008A76E4">
        <w:rPr>
          <w:color w:val="000000" w:themeColor="text1"/>
        </w:rPr>
        <w:t>1.2.3 Opportunities and Threats for Competitive Positioning</w:t>
      </w:r>
      <w:bookmarkEnd w:id="6"/>
    </w:p>
    <w:p w14:paraId="305F685B" w14:textId="0C27D20D" w:rsidR="00407367" w:rsidRPr="008A76E4" w:rsidRDefault="00BC4BD3" w:rsidP="0065605D">
      <w:pPr>
        <w:spacing w:after="100" w:afterAutospacing="1" w:line="360" w:lineRule="auto"/>
        <w:jc w:val="both"/>
        <w:rPr>
          <w:color w:val="000000" w:themeColor="text1"/>
        </w:rPr>
      </w:pPr>
      <w:r w:rsidRPr="008A76E4">
        <w:rPr>
          <w:color w:val="000000" w:themeColor="text1"/>
        </w:rPr>
        <w:t>The human environment is threatening and, at the same time, offers opportunity. This early mover will be able to sell at high prices since the green steel markets will allow organisations to set early prices as the customers pay attention to environmental consciousness in industries such as automotive and construction (Muslemani et al., 2021). However, Mishra and Yadav (2021) caution that environmental capability needs to be translated into competitive advantage that has organisational capabilities such as shared vision and consistent innovation in place which is not always the case. When applied in the case of Tata Steel, it means that natural environment creates a point of real differentiation difference, only through the development of internal capabilities, hence the reason why it is the most substantial actor the context of the current analysis.</w:t>
      </w:r>
    </w:p>
    <w:p w14:paraId="573339F5" w14:textId="77777777" w:rsidR="00407367" w:rsidRPr="008A76E4" w:rsidRDefault="00B07124" w:rsidP="0065605D">
      <w:pPr>
        <w:pStyle w:val="Heading2"/>
        <w:rPr>
          <w:color w:val="000000" w:themeColor="text1"/>
        </w:rPr>
      </w:pPr>
      <w:bookmarkStart w:id="7" w:name="_Toc234321017"/>
      <w:r w:rsidRPr="008A76E4">
        <w:rPr>
          <w:color w:val="000000" w:themeColor="text1"/>
        </w:rPr>
        <w:t>1.3 External Marketing Environment Actor 2: Political/Regulatory Environment</w:t>
      </w:r>
      <w:bookmarkEnd w:id="7"/>
    </w:p>
    <w:p w14:paraId="6343501B" w14:textId="77777777" w:rsidR="00407367" w:rsidRPr="008A76E4" w:rsidRDefault="00B07124" w:rsidP="0065605D">
      <w:pPr>
        <w:pStyle w:val="Heading3"/>
        <w:rPr>
          <w:color w:val="000000" w:themeColor="text1"/>
        </w:rPr>
      </w:pPr>
      <w:bookmarkStart w:id="8" w:name="_Toc234321018"/>
      <w:r w:rsidRPr="008A76E4">
        <w:rPr>
          <w:color w:val="000000" w:themeColor="text1"/>
        </w:rPr>
        <w:t>1.3.1 Justification of Actor Choice</w:t>
      </w:r>
      <w:bookmarkEnd w:id="8"/>
    </w:p>
    <w:p w14:paraId="28650F6D" w14:textId="3E4F840F"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The identified second factor is the political and regulatory environment as the trade policy directly influencing the demand and competitiveness of steel currently is the </w:t>
      </w:r>
      <w:r w:rsidRPr="008A76E4">
        <w:rPr>
          <w:color w:val="000000" w:themeColor="text1"/>
        </w:rPr>
        <w:lastRenderedPageBreak/>
        <w:t>carbon aspect of the policy. This goes in line with the fact that as Johnson et al. (2025) reveal, even prior to complete implementation, what is being executed is the economy of the green steel markets in the European Union is revised, which influences the economics thereof. As both the European Union and the Indian markets are large producers of Tata steel, the difference in regulation between these two countries is an extremely explicit and quantifiable externality, whereas socio-cultural or technological externality is diffuse. Concurrently, Azimi and van der Spek (2025) reveal that direct reduced iron routes may be the most environmentally friendly way of achieving a net-zero steelmaking in correspondence with a full-life cycle.</w:t>
      </w:r>
    </w:p>
    <w:p w14:paraId="480D867D" w14:textId="77777777" w:rsidR="00407367" w:rsidRPr="008A76E4" w:rsidRDefault="00B07124" w:rsidP="0065605D">
      <w:pPr>
        <w:pStyle w:val="Heading3"/>
        <w:rPr>
          <w:color w:val="000000" w:themeColor="text1"/>
        </w:rPr>
      </w:pPr>
      <w:bookmarkStart w:id="9" w:name="_Toc234321019"/>
      <w:r w:rsidRPr="008A76E4">
        <w:rPr>
          <w:color w:val="000000" w:themeColor="text1"/>
        </w:rPr>
        <w:t>1.3.2 EU CBAM and Indian Policy Influence</w:t>
      </w:r>
      <w:bookmarkEnd w:id="9"/>
    </w:p>
    <w:p w14:paraId="62B2818B" w14:textId="0E7B0215" w:rsidR="0065605D" w:rsidRPr="008A76E4" w:rsidRDefault="0065605D" w:rsidP="0065605D">
      <w:pPr>
        <w:spacing w:after="100" w:afterAutospacing="1" w:line="360" w:lineRule="auto"/>
        <w:jc w:val="both"/>
        <w:rPr>
          <w:color w:val="000000" w:themeColor="text1"/>
        </w:rPr>
      </w:pPr>
      <w:r w:rsidRPr="008A76E4">
        <w:rPr>
          <w:noProof/>
          <w:color w:val="000000" w:themeColor="text1"/>
          <w:lang w:val="en-IN" w:eastAsia="en-IN"/>
        </w:rPr>
        <w:drawing>
          <wp:inline distT="0" distB="0" distL="0" distR="0" wp14:anchorId="200B8731" wp14:editId="447E3ECF">
            <wp:extent cx="5731510" cy="2576195"/>
            <wp:effectExtent l="0" t="0" r="2540" b="0"/>
            <wp:docPr id="1650151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51460" name=""/>
                    <pic:cNvPicPr/>
                  </pic:nvPicPr>
                  <pic:blipFill>
                    <a:blip r:embed="rId10"/>
                    <a:stretch>
                      <a:fillRect/>
                    </a:stretch>
                  </pic:blipFill>
                  <pic:spPr>
                    <a:xfrm>
                      <a:off x="0" y="0"/>
                      <a:ext cx="5731510" cy="2576195"/>
                    </a:xfrm>
                    <a:prstGeom prst="rect">
                      <a:avLst/>
                    </a:prstGeom>
                  </pic:spPr>
                </pic:pic>
              </a:graphicData>
            </a:graphic>
          </wp:inline>
        </w:drawing>
      </w:r>
    </w:p>
    <w:p w14:paraId="2642118E" w14:textId="4968E6A1" w:rsidR="0065605D" w:rsidRPr="008A76E4" w:rsidRDefault="0065605D" w:rsidP="0065605D">
      <w:pPr>
        <w:spacing w:after="100" w:afterAutospacing="1" w:line="360" w:lineRule="auto"/>
        <w:jc w:val="center"/>
        <w:rPr>
          <w:b/>
          <w:bCs/>
          <w:color w:val="000000" w:themeColor="text1"/>
        </w:rPr>
      </w:pPr>
      <w:r w:rsidRPr="008A76E4">
        <w:rPr>
          <w:b/>
          <w:bCs/>
          <w:color w:val="000000" w:themeColor="text1"/>
        </w:rPr>
        <w:t>Figure 1: EU Steel Decarbonisation: Carbon Footprint Reduction Vs. Price Rise</w:t>
      </w:r>
    </w:p>
    <w:p w14:paraId="56CD988B" w14:textId="5543D3B5" w:rsidR="0065605D" w:rsidRPr="008A76E4" w:rsidRDefault="0065605D" w:rsidP="0065605D">
      <w:pPr>
        <w:spacing w:after="100" w:afterAutospacing="1" w:line="360" w:lineRule="auto"/>
        <w:jc w:val="center"/>
        <w:rPr>
          <w:color w:val="000000" w:themeColor="text1"/>
        </w:rPr>
      </w:pPr>
      <w:r w:rsidRPr="008A76E4">
        <w:rPr>
          <w:color w:val="000000" w:themeColor="text1"/>
        </w:rPr>
        <w:t xml:space="preserve">(Source: </w:t>
      </w:r>
      <w:r w:rsidR="00A53EF1" w:rsidRPr="008A76E4">
        <w:rPr>
          <w:color w:val="000000" w:themeColor="text1"/>
        </w:rPr>
        <w:t>DSBNTY, 2025</w:t>
      </w:r>
      <w:r w:rsidRPr="008A76E4">
        <w:rPr>
          <w:color w:val="000000" w:themeColor="text1"/>
        </w:rPr>
        <w:t>)</w:t>
      </w:r>
    </w:p>
    <w:p w14:paraId="062419B9" w14:textId="5FDBEEE8" w:rsidR="00A53EF1" w:rsidRPr="008A76E4" w:rsidRDefault="00A53EF1" w:rsidP="0065605D">
      <w:pPr>
        <w:spacing w:after="100" w:afterAutospacing="1" w:line="360" w:lineRule="auto"/>
        <w:jc w:val="both"/>
        <w:rPr>
          <w:color w:val="000000" w:themeColor="text1"/>
        </w:rPr>
      </w:pPr>
      <w:r w:rsidRPr="008A76E4">
        <w:rPr>
          <w:color w:val="000000" w:themeColor="text1"/>
        </w:rPr>
        <w:t xml:space="preserve">In Figure 2, the expected reduction in carbon footprint for 2030 and 2050 is shown on the left column and the expected increase in steel price is on the right column. Comparable modest improvements to the environment by around 25% can be attained in the future for the cost of only about 24% on steel production (DSBNTY, 2025). The carbon footprint reduction of 60% by 2050 shows that there is great progress being achieved towards decarbonization. But it comes at a hefty cost of about 56% increase in the price of steel, which is one of the key factors in </w:t>
      </w:r>
      <w:r w:rsidRPr="008A76E4">
        <w:rPr>
          <w:color w:val="000000" w:themeColor="text1"/>
        </w:rPr>
        <w:lastRenderedPageBreak/>
        <w:t>maintaining radical sustainability goals in the longer term will be investment and a rise in costs for manufacturers and consumers (Steelonthenet, n.d.).</w:t>
      </w:r>
    </w:p>
    <w:p w14:paraId="49ED4499" w14:textId="01B812F2" w:rsidR="00407367" w:rsidRPr="008A76E4" w:rsidRDefault="00BC4BD3" w:rsidP="0065605D">
      <w:pPr>
        <w:spacing w:after="100" w:afterAutospacing="1" w:line="360" w:lineRule="auto"/>
        <w:jc w:val="both"/>
        <w:rPr>
          <w:color w:val="000000" w:themeColor="text1"/>
        </w:rPr>
      </w:pPr>
      <w:r w:rsidRPr="008A76E4">
        <w:rPr>
          <w:color w:val="000000" w:themeColor="text1"/>
        </w:rPr>
        <w:t>The European Union Carbon Border Adjustment Mechanism is a good example of such an effect. It is estimated that the mechanism will bring about a scaled-down variant of the so-called Brussels Effect on decarbonisation of Indian steel, but with the bigger integrated players unfairly advantaged, as is typical of the small and medium enterprises (DSBNTY, 2025). This is equivalent to Johnson et al. (2025) whose result suggests that green hydrogen-based steelmaking will be affordable in the European market from the year 2026, and this helps in advising the regulatory incentive to decarbonize. This evidence taken together indicates that Tata Steel is operating at such a level, having entrenched European presence that may leave it on top of the smaller domestic competitors when the mechanism is gradually introduced</w:t>
      </w:r>
      <w:r w:rsidR="00A53EF1" w:rsidRPr="008A76E4">
        <w:rPr>
          <w:color w:val="000000" w:themeColor="text1"/>
        </w:rPr>
        <w:t xml:space="preserve"> (Tata Steel Thailand, n.d.)</w:t>
      </w:r>
      <w:r w:rsidRPr="008A76E4">
        <w:rPr>
          <w:color w:val="000000" w:themeColor="text1"/>
        </w:rPr>
        <w:t>.</w:t>
      </w:r>
    </w:p>
    <w:p w14:paraId="2E6D7D98" w14:textId="77777777" w:rsidR="00407367" w:rsidRPr="008A76E4" w:rsidRDefault="00B07124" w:rsidP="0065605D">
      <w:pPr>
        <w:pStyle w:val="Heading3"/>
        <w:rPr>
          <w:color w:val="000000" w:themeColor="text1"/>
        </w:rPr>
      </w:pPr>
      <w:bookmarkStart w:id="10" w:name="_Toc234321020"/>
      <w:r w:rsidRPr="008A76E4">
        <w:rPr>
          <w:color w:val="000000" w:themeColor="text1"/>
        </w:rPr>
        <w:t>1.3.3 Oppor</w:t>
      </w:r>
      <w:r w:rsidRPr="008A76E4">
        <w:rPr>
          <w:color w:val="000000" w:themeColor="text1"/>
        </w:rPr>
        <w:t>tunities, Threats and Competitive Implications</w:t>
      </w:r>
      <w:bookmarkEnd w:id="10"/>
    </w:p>
    <w:p w14:paraId="11E171A7" w14:textId="4F1BECA8" w:rsidR="0065605D" w:rsidRPr="008A76E4" w:rsidRDefault="00BC4BD3" w:rsidP="0065605D">
      <w:pPr>
        <w:spacing w:after="100" w:afterAutospacing="1" w:line="360" w:lineRule="auto"/>
        <w:jc w:val="both"/>
        <w:rPr>
          <w:color w:val="000000" w:themeColor="text1"/>
        </w:rPr>
      </w:pPr>
      <w:r w:rsidRPr="008A76E4">
        <w:rPr>
          <w:color w:val="000000" w:themeColor="text1"/>
        </w:rPr>
        <w:t>Tata Steel is threatened by regulatory environment and is an opportunity. Das and Bandyopadhyay (2025) believe that these differences in the effects of the mechanism can be detrimental to the health of the entire Indian steel industry and disrupt the domestic supply chains of Tata steel. Conversely, the same study believes bigger producers can act faster, which would transform regulatory stress to a competitive advantage over smaller players in India</w:t>
      </w:r>
      <w:r w:rsidR="00A53EF1" w:rsidRPr="008A76E4">
        <w:rPr>
          <w:color w:val="000000" w:themeColor="text1"/>
        </w:rPr>
        <w:t xml:space="preserve"> (Bhardwaj, 2026)</w:t>
      </w:r>
      <w:r w:rsidRPr="008A76E4">
        <w:rPr>
          <w:color w:val="000000" w:themeColor="text1"/>
        </w:rPr>
        <w:t>. In practical terms, this suggests that Tata Steel's marketing decisions cannot treat the natural and regulatory environments as separate risks: any growth or positioning strategy pursued below must simultaneously address resource security and regulatory compliance to remain commercially viable.</w:t>
      </w:r>
    </w:p>
    <w:p w14:paraId="70661A96" w14:textId="6ACE92C5" w:rsidR="00407367" w:rsidRPr="008A76E4" w:rsidRDefault="00B07124" w:rsidP="0065605D">
      <w:pPr>
        <w:spacing w:after="100" w:afterAutospacing="1" w:line="360" w:lineRule="auto"/>
        <w:jc w:val="both"/>
        <w:rPr>
          <w:color w:val="000000" w:themeColor="text1"/>
        </w:rPr>
      </w:pPr>
      <w:r w:rsidRPr="008A76E4">
        <w:rPr>
          <w:b/>
          <w:bCs/>
          <w:color w:val="000000" w:themeColor="text1"/>
        </w:rPr>
        <w:t>2. Task 2: Strategic Growth and Competitive Positioning</w:t>
      </w:r>
    </w:p>
    <w:p w14:paraId="1816EB93" w14:textId="77777777" w:rsidR="00407367" w:rsidRPr="008A76E4" w:rsidRDefault="00B07124" w:rsidP="0065605D">
      <w:pPr>
        <w:pStyle w:val="Heading2"/>
        <w:rPr>
          <w:color w:val="000000" w:themeColor="text1"/>
        </w:rPr>
      </w:pPr>
      <w:bookmarkStart w:id="11" w:name="_Toc234321021"/>
      <w:r w:rsidRPr="008A76E4">
        <w:rPr>
          <w:color w:val="000000" w:themeColor="text1"/>
        </w:rPr>
        <w:t>2.1 Strategic Growth Recommendation Using the Ansoff Matrix</w:t>
      </w:r>
      <w:bookmarkEnd w:id="11"/>
    </w:p>
    <w:p w14:paraId="42581C47" w14:textId="77777777" w:rsidR="00407367" w:rsidRPr="008A76E4" w:rsidRDefault="00B07124" w:rsidP="0065605D">
      <w:pPr>
        <w:pStyle w:val="Heading3"/>
        <w:rPr>
          <w:color w:val="000000" w:themeColor="text1"/>
        </w:rPr>
      </w:pPr>
      <w:bookmarkStart w:id="12" w:name="_Toc234321022"/>
      <w:r w:rsidRPr="008A76E4">
        <w:rPr>
          <w:color w:val="000000" w:themeColor="text1"/>
        </w:rPr>
        <w:t>2.1.1 Rationale for Product Development</w:t>
      </w:r>
      <w:bookmarkEnd w:id="12"/>
    </w:p>
    <w:p w14:paraId="49419A45" w14:textId="735B6125"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Building on the environmental and regulatory pressures identified in Task 1, the most suitable growth model for Tata Steel is product development, applied specifically to </w:t>
      </w:r>
      <w:r w:rsidRPr="008A76E4">
        <w:rPr>
          <w:color w:val="000000" w:themeColor="text1"/>
        </w:rPr>
        <w:lastRenderedPageBreak/>
        <w:t>its transition toward a lower-carbon business model</w:t>
      </w:r>
      <w:r w:rsidR="00A53EF1" w:rsidRPr="008A76E4">
        <w:rPr>
          <w:color w:val="000000" w:themeColor="text1"/>
        </w:rPr>
        <w:t xml:space="preserve"> (CemNet, 2026)</w:t>
      </w:r>
      <w:r w:rsidRPr="008A76E4">
        <w:rPr>
          <w:color w:val="000000" w:themeColor="text1"/>
        </w:rPr>
        <w:t>. Puyt, Antoniou and Caputo (2024) affirm the continuity of the topicality of the matrix by following its ancient usage in the structuring of corporate growth decisions in more than 60 years since it was first developed. The rationale behind not diversifying as compared to developing a product is that Tata Steel is already available in already existing steel markets but what it needs are changes in the products it already sells there i.e. lessening the content of carbon in the steel or making it purer i.e. hydrogen reducing and scrap reducing resulting in lower-carbon steel grades. This focus limits the opportunity to be exposed to new markets and specifically focuses directly on that carbon intensity that defines the strategic core challenge of the sector.</w:t>
      </w:r>
    </w:p>
    <w:p w14:paraId="74C83808" w14:textId="77777777" w:rsidR="00407367" w:rsidRPr="008A76E4" w:rsidRDefault="00B07124" w:rsidP="0065605D">
      <w:pPr>
        <w:pStyle w:val="Heading3"/>
        <w:rPr>
          <w:color w:val="000000" w:themeColor="text1"/>
        </w:rPr>
      </w:pPr>
      <w:bookmarkStart w:id="13" w:name="_Toc234321023"/>
      <w:r w:rsidRPr="008A76E4">
        <w:rPr>
          <w:color w:val="000000" w:themeColor="text1"/>
        </w:rPr>
        <w:t>2.1.2 Linking the Growth Strategy to Environmental Pressures</w:t>
      </w:r>
      <w:bookmarkEnd w:id="13"/>
    </w:p>
    <w:p w14:paraId="691EBDBF" w14:textId="77777777" w:rsidR="0065605D" w:rsidRPr="008A76E4" w:rsidRDefault="0065605D" w:rsidP="0065605D">
      <w:pPr>
        <w:spacing w:after="100" w:afterAutospacing="1" w:line="360" w:lineRule="auto"/>
        <w:jc w:val="both"/>
        <w:rPr>
          <w:color w:val="000000" w:themeColor="text1"/>
        </w:rPr>
      </w:pPr>
      <w:r w:rsidRPr="008A76E4">
        <w:rPr>
          <w:noProof/>
          <w:color w:val="000000" w:themeColor="text1"/>
          <w:lang w:val="en-IN" w:eastAsia="en-IN"/>
        </w:rPr>
        <w:drawing>
          <wp:inline distT="0" distB="0" distL="0" distR="0" wp14:anchorId="37FBCC54" wp14:editId="51DA7FB1">
            <wp:extent cx="5731510" cy="2709545"/>
            <wp:effectExtent l="0" t="0" r="2540" b="0"/>
            <wp:docPr id="60634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43492" name=""/>
                    <pic:cNvPicPr/>
                  </pic:nvPicPr>
                  <pic:blipFill>
                    <a:blip r:embed="rId11"/>
                    <a:stretch>
                      <a:fillRect/>
                    </a:stretch>
                  </pic:blipFill>
                  <pic:spPr>
                    <a:xfrm>
                      <a:off x="0" y="0"/>
                      <a:ext cx="5731510" cy="2709545"/>
                    </a:xfrm>
                    <a:prstGeom prst="rect">
                      <a:avLst/>
                    </a:prstGeom>
                  </pic:spPr>
                </pic:pic>
              </a:graphicData>
            </a:graphic>
          </wp:inline>
        </w:drawing>
      </w:r>
    </w:p>
    <w:p w14:paraId="5B62315C" w14:textId="77777777" w:rsidR="0065605D" w:rsidRPr="008A76E4" w:rsidRDefault="0065605D" w:rsidP="0065605D">
      <w:pPr>
        <w:spacing w:after="100" w:afterAutospacing="1" w:line="360" w:lineRule="auto"/>
        <w:jc w:val="center"/>
        <w:rPr>
          <w:b/>
          <w:bCs/>
          <w:color w:val="000000" w:themeColor="text1"/>
        </w:rPr>
      </w:pPr>
      <w:r w:rsidRPr="008A76E4">
        <w:rPr>
          <w:b/>
          <w:bCs/>
          <w:color w:val="000000" w:themeColor="text1"/>
        </w:rPr>
        <w:t>Figure 2: CBAM-Covered Chinese Steel Exports to the EU, 2022, By Production Route</w:t>
      </w:r>
    </w:p>
    <w:p w14:paraId="67BA175A" w14:textId="46618696" w:rsidR="0065605D" w:rsidRPr="008A76E4" w:rsidRDefault="0065605D" w:rsidP="0065605D">
      <w:pPr>
        <w:spacing w:after="100" w:afterAutospacing="1" w:line="360" w:lineRule="auto"/>
        <w:jc w:val="center"/>
        <w:rPr>
          <w:color w:val="000000" w:themeColor="text1"/>
        </w:rPr>
      </w:pPr>
      <w:r w:rsidRPr="008A76E4">
        <w:rPr>
          <w:color w:val="000000" w:themeColor="text1"/>
        </w:rPr>
        <w:t>(Source: Created by Author)</w:t>
      </w:r>
    </w:p>
    <w:p w14:paraId="401A8B7C" w14:textId="398E6B1F"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This direction of growth is based on responding to the identified pressures discussed in Task 1. Watari and McLellan (2024) claim that any conceivable steel decarbonisation route is essentially grounded in scrap-based production routes, and hydrogen-reduced production reduction, which are aligned with a product development strategy addressing the current customer markets. In addition, green steel markets are being created based on price argumentation that can be </w:t>
      </w:r>
      <w:r w:rsidRPr="008A76E4">
        <w:rPr>
          <w:color w:val="000000" w:themeColor="text1"/>
        </w:rPr>
        <w:lastRenderedPageBreak/>
        <w:t>quantified, according to Johnson et al. (2025), where buyers in existing markets that Tata Steel has ventured in could just as well provide specific low-carbon alternatives of their products instead of entering new markets. This congruence between the pressure of regulations and the desire of the customers to pay increases the strength of the product development compared to the other quadrants.</w:t>
      </w:r>
    </w:p>
    <w:p w14:paraId="5565E232" w14:textId="77777777" w:rsidR="00407367" w:rsidRPr="008A76E4" w:rsidRDefault="00B07124" w:rsidP="0065605D">
      <w:pPr>
        <w:pStyle w:val="Heading3"/>
        <w:rPr>
          <w:color w:val="000000" w:themeColor="text1"/>
        </w:rPr>
      </w:pPr>
      <w:bookmarkStart w:id="14" w:name="_Toc234321024"/>
      <w:r w:rsidRPr="008A76E4">
        <w:rPr>
          <w:color w:val="000000" w:themeColor="text1"/>
        </w:rPr>
        <w:t>2.1.3 Comparing the Four Growth Quadrants</w:t>
      </w:r>
      <w:bookmarkEnd w:id="14"/>
    </w:p>
    <w:p w14:paraId="40A38350" w14:textId="37FD3904" w:rsidR="00407367" w:rsidRPr="008A76E4" w:rsidRDefault="00BC4BD3" w:rsidP="0065605D">
      <w:pPr>
        <w:spacing w:after="100" w:afterAutospacing="1" w:line="360" w:lineRule="auto"/>
        <w:jc w:val="both"/>
        <w:rPr>
          <w:color w:val="000000" w:themeColor="text1"/>
        </w:rPr>
      </w:pPr>
      <w:r w:rsidRPr="008A76E4">
        <w:rPr>
          <w:color w:val="000000" w:themeColor="text1"/>
        </w:rPr>
        <w:t>The Ansoff Matrix is a strategic planning tool that helps businesses evaluate growth opportunities. It maps four strategies are Market Penetration, Market Development, Product Development, and Diversification. Table 1 summarizes why product development offers the most balanced risk-return profile for Tata Steel compared with the remaining three quadrants.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28"/>
        <w:gridCol w:w="3399"/>
        <w:gridCol w:w="3399"/>
      </w:tblGrid>
      <w:tr w:rsidR="008A76E4" w:rsidRPr="008A76E4" w14:paraId="7C651EC0" w14:textId="77777777" w:rsidTr="00BC4BD3">
        <w:tc>
          <w:tcPr>
            <w:tcW w:w="1316" w:type="pct"/>
            <w:shd w:val="clear" w:color="auto" w:fill="D9D9D9"/>
            <w:tcMar>
              <w:top w:w="100" w:type="dxa"/>
              <w:left w:w="100" w:type="dxa"/>
              <w:bottom w:w="100" w:type="dxa"/>
              <w:right w:w="100" w:type="dxa"/>
            </w:tcMar>
          </w:tcPr>
          <w:p w14:paraId="5BF16429" w14:textId="77777777" w:rsidR="00407367" w:rsidRPr="008A76E4" w:rsidRDefault="00B07124" w:rsidP="0065605D">
            <w:pPr>
              <w:spacing w:after="100" w:afterAutospacing="1" w:line="360" w:lineRule="auto"/>
              <w:jc w:val="both"/>
              <w:rPr>
                <w:color w:val="000000" w:themeColor="text1"/>
              </w:rPr>
            </w:pPr>
            <w:r w:rsidRPr="008A76E4">
              <w:rPr>
                <w:b/>
                <w:bCs/>
                <w:color w:val="000000" w:themeColor="text1"/>
              </w:rPr>
              <w:t>Ansoff Quadrant</w:t>
            </w:r>
          </w:p>
        </w:tc>
        <w:tc>
          <w:tcPr>
            <w:tcW w:w="1842" w:type="pct"/>
            <w:shd w:val="clear" w:color="auto" w:fill="D9D9D9"/>
            <w:tcMar>
              <w:top w:w="100" w:type="dxa"/>
              <w:left w:w="100" w:type="dxa"/>
              <w:bottom w:w="100" w:type="dxa"/>
              <w:right w:w="100" w:type="dxa"/>
            </w:tcMar>
          </w:tcPr>
          <w:p w14:paraId="569C5967" w14:textId="77777777" w:rsidR="00407367" w:rsidRPr="008A76E4" w:rsidRDefault="00B07124" w:rsidP="0065605D">
            <w:pPr>
              <w:spacing w:after="100" w:afterAutospacing="1" w:line="360" w:lineRule="auto"/>
              <w:jc w:val="both"/>
              <w:rPr>
                <w:color w:val="000000" w:themeColor="text1"/>
              </w:rPr>
            </w:pPr>
            <w:r w:rsidRPr="008A76E4">
              <w:rPr>
                <w:b/>
                <w:bCs/>
                <w:color w:val="000000" w:themeColor="text1"/>
              </w:rPr>
              <w:t>Description</w:t>
            </w:r>
          </w:p>
        </w:tc>
        <w:tc>
          <w:tcPr>
            <w:tcW w:w="1842" w:type="pct"/>
            <w:shd w:val="clear" w:color="auto" w:fill="D9D9D9"/>
            <w:tcMar>
              <w:top w:w="100" w:type="dxa"/>
              <w:left w:w="100" w:type="dxa"/>
              <w:bottom w:w="100" w:type="dxa"/>
              <w:right w:w="100" w:type="dxa"/>
            </w:tcMar>
          </w:tcPr>
          <w:p w14:paraId="471E9C75" w14:textId="77777777" w:rsidR="00407367" w:rsidRPr="008A76E4" w:rsidRDefault="00B07124" w:rsidP="0065605D">
            <w:pPr>
              <w:spacing w:after="100" w:afterAutospacing="1" w:line="360" w:lineRule="auto"/>
              <w:jc w:val="both"/>
              <w:rPr>
                <w:color w:val="000000" w:themeColor="text1"/>
              </w:rPr>
            </w:pPr>
            <w:r w:rsidRPr="008A76E4">
              <w:rPr>
                <w:b/>
                <w:bCs/>
                <w:color w:val="000000" w:themeColor="text1"/>
              </w:rPr>
              <w:t>Relevance to Tata Steel's Low-Carbon Transition</w:t>
            </w:r>
          </w:p>
        </w:tc>
      </w:tr>
      <w:tr w:rsidR="008A76E4" w:rsidRPr="008A76E4" w14:paraId="2879143E" w14:textId="77777777" w:rsidTr="00BC4BD3">
        <w:tc>
          <w:tcPr>
            <w:tcW w:w="1316" w:type="pct"/>
            <w:tcMar>
              <w:top w:w="100" w:type="dxa"/>
              <w:left w:w="100" w:type="dxa"/>
              <w:bottom w:w="100" w:type="dxa"/>
              <w:right w:w="100" w:type="dxa"/>
            </w:tcMar>
          </w:tcPr>
          <w:p w14:paraId="4E599B51"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Market Penetration</w:t>
            </w:r>
          </w:p>
        </w:tc>
        <w:tc>
          <w:tcPr>
            <w:tcW w:w="1842" w:type="pct"/>
            <w:tcMar>
              <w:top w:w="100" w:type="dxa"/>
              <w:left w:w="100" w:type="dxa"/>
              <w:bottom w:w="100" w:type="dxa"/>
              <w:right w:w="100" w:type="dxa"/>
            </w:tcMar>
          </w:tcPr>
          <w:p w14:paraId="5EA85E19"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Existing products, existing markets</w:t>
            </w:r>
          </w:p>
        </w:tc>
        <w:tc>
          <w:tcPr>
            <w:tcW w:w="1842" w:type="pct"/>
            <w:tcMar>
              <w:top w:w="100" w:type="dxa"/>
              <w:left w:w="100" w:type="dxa"/>
              <w:bottom w:w="100" w:type="dxa"/>
              <w:right w:w="100" w:type="dxa"/>
            </w:tcMar>
          </w:tcPr>
          <w:p w14:paraId="7C2EBF98"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 xml:space="preserve">Low risk but does not address the </w:t>
            </w:r>
            <w:r w:rsidRPr="008A76E4">
              <w:rPr>
                <w:color w:val="000000" w:themeColor="text1"/>
              </w:rPr>
              <w:t>need to change the product itself</w:t>
            </w:r>
          </w:p>
        </w:tc>
      </w:tr>
      <w:tr w:rsidR="008A76E4" w:rsidRPr="008A76E4" w14:paraId="6824AFD9" w14:textId="77777777" w:rsidTr="00BC4BD3">
        <w:tc>
          <w:tcPr>
            <w:tcW w:w="1316" w:type="pct"/>
            <w:shd w:val="clear" w:color="auto" w:fill="E2EFDA"/>
            <w:tcMar>
              <w:top w:w="100" w:type="dxa"/>
              <w:left w:w="100" w:type="dxa"/>
              <w:bottom w:w="100" w:type="dxa"/>
              <w:right w:w="100" w:type="dxa"/>
            </w:tcMar>
          </w:tcPr>
          <w:p w14:paraId="480A6943" w14:textId="77777777" w:rsidR="00407367" w:rsidRPr="008A76E4" w:rsidRDefault="00B07124" w:rsidP="0065605D">
            <w:pPr>
              <w:spacing w:after="100" w:afterAutospacing="1" w:line="360" w:lineRule="auto"/>
              <w:jc w:val="both"/>
              <w:rPr>
                <w:color w:val="000000" w:themeColor="text1"/>
              </w:rPr>
            </w:pPr>
            <w:r w:rsidRPr="008A76E4">
              <w:rPr>
                <w:b/>
                <w:bCs/>
                <w:color w:val="000000" w:themeColor="text1"/>
              </w:rPr>
              <w:t>Product Development (recommended)</w:t>
            </w:r>
          </w:p>
        </w:tc>
        <w:tc>
          <w:tcPr>
            <w:tcW w:w="1842" w:type="pct"/>
            <w:tcMar>
              <w:top w:w="100" w:type="dxa"/>
              <w:left w:w="100" w:type="dxa"/>
              <w:bottom w:w="100" w:type="dxa"/>
              <w:right w:w="100" w:type="dxa"/>
            </w:tcMar>
          </w:tcPr>
          <w:p w14:paraId="527507E7"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New/modified products, existing markets</w:t>
            </w:r>
          </w:p>
        </w:tc>
        <w:tc>
          <w:tcPr>
            <w:tcW w:w="1842" w:type="pct"/>
            <w:tcMar>
              <w:top w:w="100" w:type="dxa"/>
              <w:left w:w="100" w:type="dxa"/>
              <w:bottom w:w="100" w:type="dxa"/>
              <w:right w:w="100" w:type="dxa"/>
            </w:tcMar>
          </w:tcPr>
          <w:p w14:paraId="6EBD1D94"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Enables low-carbon steel grades for existing customers with minimal new-market risk</w:t>
            </w:r>
          </w:p>
        </w:tc>
      </w:tr>
      <w:tr w:rsidR="008A76E4" w:rsidRPr="008A76E4" w14:paraId="113B8B1D" w14:textId="77777777" w:rsidTr="00BC4BD3">
        <w:tc>
          <w:tcPr>
            <w:tcW w:w="1316" w:type="pct"/>
            <w:tcMar>
              <w:top w:w="100" w:type="dxa"/>
              <w:left w:w="100" w:type="dxa"/>
              <w:bottom w:w="100" w:type="dxa"/>
              <w:right w:w="100" w:type="dxa"/>
            </w:tcMar>
          </w:tcPr>
          <w:p w14:paraId="627B060D"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Market Development</w:t>
            </w:r>
          </w:p>
        </w:tc>
        <w:tc>
          <w:tcPr>
            <w:tcW w:w="1842" w:type="pct"/>
            <w:tcMar>
              <w:top w:w="100" w:type="dxa"/>
              <w:left w:w="100" w:type="dxa"/>
              <w:bottom w:w="100" w:type="dxa"/>
              <w:right w:w="100" w:type="dxa"/>
            </w:tcMar>
          </w:tcPr>
          <w:p w14:paraId="24A401FB"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Existing products, new markets</w:t>
            </w:r>
          </w:p>
        </w:tc>
        <w:tc>
          <w:tcPr>
            <w:tcW w:w="1842" w:type="pct"/>
            <w:tcMar>
              <w:top w:w="100" w:type="dxa"/>
              <w:left w:w="100" w:type="dxa"/>
              <w:bottom w:w="100" w:type="dxa"/>
              <w:right w:w="100" w:type="dxa"/>
            </w:tcMar>
          </w:tcPr>
          <w:p w14:paraId="42ECCB2E"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Does not res</w:t>
            </w:r>
            <w:r w:rsidRPr="008A76E4">
              <w:rPr>
                <w:color w:val="000000" w:themeColor="text1"/>
              </w:rPr>
              <w:t>olve carbon intensity of the core product</w:t>
            </w:r>
          </w:p>
        </w:tc>
      </w:tr>
      <w:tr w:rsidR="008A76E4" w:rsidRPr="008A76E4" w14:paraId="0141CF9A" w14:textId="77777777" w:rsidTr="00BC4BD3">
        <w:tc>
          <w:tcPr>
            <w:tcW w:w="1316" w:type="pct"/>
            <w:tcMar>
              <w:top w:w="100" w:type="dxa"/>
              <w:left w:w="100" w:type="dxa"/>
              <w:bottom w:w="100" w:type="dxa"/>
              <w:right w:w="100" w:type="dxa"/>
            </w:tcMar>
          </w:tcPr>
          <w:p w14:paraId="3454A47D"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Diversification</w:t>
            </w:r>
          </w:p>
        </w:tc>
        <w:tc>
          <w:tcPr>
            <w:tcW w:w="1842" w:type="pct"/>
            <w:tcMar>
              <w:top w:w="100" w:type="dxa"/>
              <w:left w:w="100" w:type="dxa"/>
              <w:bottom w:w="100" w:type="dxa"/>
              <w:right w:w="100" w:type="dxa"/>
            </w:tcMar>
          </w:tcPr>
          <w:p w14:paraId="2E3717CB"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New products, new markets</w:t>
            </w:r>
          </w:p>
        </w:tc>
        <w:tc>
          <w:tcPr>
            <w:tcW w:w="1842" w:type="pct"/>
            <w:tcMar>
              <w:top w:w="100" w:type="dxa"/>
              <w:left w:w="100" w:type="dxa"/>
              <w:bottom w:w="100" w:type="dxa"/>
              <w:right w:w="100" w:type="dxa"/>
            </w:tcMar>
          </w:tcPr>
          <w:p w14:paraId="12988C0F" w14:textId="77777777" w:rsidR="00407367" w:rsidRPr="008A76E4" w:rsidRDefault="00B07124" w:rsidP="0065605D">
            <w:pPr>
              <w:spacing w:after="100" w:afterAutospacing="1" w:line="360" w:lineRule="auto"/>
              <w:jc w:val="both"/>
              <w:rPr>
                <w:color w:val="000000" w:themeColor="text1"/>
              </w:rPr>
            </w:pPr>
            <w:r w:rsidRPr="008A76E4">
              <w:rPr>
                <w:color w:val="000000" w:themeColor="text1"/>
              </w:rPr>
              <w:t>Highest risk; diverts capital from decarbonisation investment</w:t>
            </w:r>
          </w:p>
        </w:tc>
      </w:tr>
    </w:tbl>
    <w:p w14:paraId="78DE7721" w14:textId="16081486" w:rsidR="00BC4BD3" w:rsidRPr="008A76E4" w:rsidRDefault="00BC4BD3" w:rsidP="0065605D">
      <w:pPr>
        <w:spacing w:after="100" w:afterAutospacing="1" w:line="360" w:lineRule="auto"/>
        <w:jc w:val="center"/>
        <w:rPr>
          <w:b/>
          <w:bCs/>
          <w:color w:val="000000" w:themeColor="text1"/>
        </w:rPr>
      </w:pPr>
      <w:r w:rsidRPr="008A76E4">
        <w:rPr>
          <w:b/>
          <w:bCs/>
          <w:color w:val="000000" w:themeColor="text1"/>
        </w:rPr>
        <w:t>Table 1: Ansoff Matrix Analysis</w:t>
      </w:r>
    </w:p>
    <w:p w14:paraId="01DE56AF" w14:textId="14FD559D" w:rsidR="00BC4BD3" w:rsidRPr="008A76E4" w:rsidRDefault="00BC4BD3" w:rsidP="0065605D">
      <w:pPr>
        <w:spacing w:after="100" w:afterAutospacing="1" w:line="360" w:lineRule="auto"/>
        <w:jc w:val="center"/>
        <w:rPr>
          <w:color w:val="000000" w:themeColor="text1"/>
        </w:rPr>
      </w:pPr>
      <w:r w:rsidRPr="008A76E4">
        <w:rPr>
          <w:color w:val="000000" w:themeColor="text1"/>
        </w:rPr>
        <w:t>(Source: Created by Author)</w:t>
      </w:r>
    </w:p>
    <w:p w14:paraId="54C60A9B" w14:textId="7F262843"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Since it is evident in Table 1, diversification would leave Tata Steel to operate in the unknown markets during a time in which capital is already invested in </w:t>
      </w:r>
      <w:r w:rsidRPr="008A76E4">
        <w:rPr>
          <w:color w:val="000000" w:themeColor="text1"/>
        </w:rPr>
        <w:lastRenderedPageBreak/>
        <w:t>decarbonisation. Market penetration, and market development on the other hand, fails to tackle adequately the need to transform the product itself. This argument does not contradict the framing that Puyt, Antoniou and Caputo (2024), point out that Ansoff was the first to contribute to the distinction of growth strategies depending on the extent of product and market knowledge that is encompassed. Operationally, adopting product development means that Tata Steel's investment priorities should centre on retrofitting existing plants for hydrogen-based and scrap-based routes rather than on entering new markets, since this channels capital directly toward the carbon-intensity problem identified in Task 1 while limiting the execution risk associated with unfamiliar markets.</w:t>
      </w:r>
    </w:p>
    <w:p w14:paraId="4C91B6F9" w14:textId="77777777" w:rsidR="00407367" w:rsidRPr="008A76E4" w:rsidRDefault="00B07124" w:rsidP="0065605D">
      <w:pPr>
        <w:pStyle w:val="Heading2"/>
        <w:rPr>
          <w:color w:val="000000" w:themeColor="text1"/>
        </w:rPr>
      </w:pPr>
      <w:bookmarkStart w:id="15" w:name="_Toc234321025"/>
      <w:r w:rsidRPr="008A76E4">
        <w:rPr>
          <w:color w:val="000000" w:themeColor="text1"/>
        </w:rPr>
        <w:t>2.2 Competitive Advantage Through a Lower-Carbon Business Model</w:t>
      </w:r>
      <w:bookmarkEnd w:id="15"/>
    </w:p>
    <w:p w14:paraId="0D254B85" w14:textId="77777777" w:rsidR="00407367" w:rsidRPr="008A76E4" w:rsidRDefault="00B07124" w:rsidP="0065605D">
      <w:pPr>
        <w:pStyle w:val="Heading3"/>
        <w:rPr>
          <w:color w:val="000000" w:themeColor="text1"/>
        </w:rPr>
      </w:pPr>
      <w:bookmarkStart w:id="16" w:name="_Toc234321026"/>
      <w:r w:rsidRPr="008A76E4">
        <w:rPr>
          <w:color w:val="000000" w:themeColor="text1"/>
        </w:rPr>
        <w:t>2.2.1 Applying Porter'</w:t>
      </w:r>
      <w:r w:rsidRPr="008A76E4">
        <w:rPr>
          <w:color w:val="000000" w:themeColor="text1"/>
        </w:rPr>
        <w:t>s Generic Strategies</w:t>
      </w:r>
      <w:bookmarkEnd w:id="16"/>
    </w:p>
    <w:p w14:paraId="6ACEF7B8" w14:textId="342D27D4"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The element of the generic strategies as developed by Porter is a feasible viewpoint based on which the Tata Steel may review the way it would explore the ability to gain competitive advantage in decarbonisation. The most influential and quantifiable effect on the competitive advantage was the effect of the cost leadership on the competitive advantage as Ali and Anwar (2021) in the framework of their empirical research in investment sector reveal in comparison with the effect of differentiation and focus strategies. </w:t>
      </w:r>
      <w:r w:rsidR="007437B7" w:rsidRPr="008A76E4">
        <w:rPr>
          <w:color w:val="000000" w:themeColor="text1"/>
        </w:rPr>
        <w:t>This managerial implication of Tata Steel is that cost-based efficiency gains gained through decarbonisation investment, not green marketing claims alone, are more likely to provide a predictive of competitive advantage than differentiation and focus strategies that Ali and Anwar (2021) have found in their industrial backgrounds. This is not because it excludes differentiation, which are covered next, but it shows where priority in investment in the short term must lie.</w:t>
      </w:r>
    </w:p>
    <w:p w14:paraId="210235D9" w14:textId="77777777" w:rsidR="00407367" w:rsidRPr="008A76E4" w:rsidRDefault="00B07124" w:rsidP="0065605D">
      <w:pPr>
        <w:pStyle w:val="Heading3"/>
        <w:rPr>
          <w:color w:val="000000" w:themeColor="text1"/>
        </w:rPr>
      </w:pPr>
      <w:bookmarkStart w:id="17" w:name="_Toc234321027"/>
      <w:r w:rsidRPr="008A76E4">
        <w:rPr>
          <w:color w:val="000000" w:themeColor="text1"/>
        </w:rPr>
        <w:t xml:space="preserve">2.2.2 </w:t>
      </w:r>
      <w:r w:rsidRPr="008A76E4">
        <w:rPr>
          <w:color w:val="000000" w:themeColor="text1"/>
        </w:rPr>
        <w:t>Differentiation Through Green Steel</w:t>
      </w:r>
      <w:bookmarkEnd w:id="17"/>
    </w:p>
    <w:p w14:paraId="6CD87DCD" w14:textId="45DFDCAD"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However, the differentiation is still applicable with the new premium low-carbon steel markets emerging. According to Muslemani et al. (2021), it is namely because of the nature of the downstream customers, i.e., they would like to be charged with verifiable low-carbon credentials, that green steel markets are emerging, which creates the opportunity to make price differentiation. Rinaldi et al. (2024) back this </w:t>
      </w:r>
      <w:r w:rsidRPr="008A76E4">
        <w:rPr>
          <w:color w:val="000000" w:themeColor="text1"/>
        </w:rPr>
        <w:lastRenderedPageBreak/>
        <w:t>proposal when in their scenario modelling they show that steel prices will increase a lot with decarbonisation which suggests that the market might be willing to wait with a green premium, rather than attempting to stub a toe. All these observations ultimately point to the fact that it can be convincingly concluded that differentiation is a commercially viable strategy that Tata Steel can indeed follow if its claims of low carbon help in lowering its products can be established to be true by its customers independently.</w:t>
      </w:r>
    </w:p>
    <w:p w14:paraId="485F159D" w14:textId="77777777" w:rsidR="00407367" w:rsidRPr="008A76E4" w:rsidRDefault="00B07124" w:rsidP="0065605D">
      <w:pPr>
        <w:pStyle w:val="Heading3"/>
        <w:rPr>
          <w:color w:val="000000" w:themeColor="text1"/>
        </w:rPr>
      </w:pPr>
      <w:bookmarkStart w:id="18" w:name="_Toc234321028"/>
      <w:r w:rsidRPr="008A76E4">
        <w:rPr>
          <w:color w:val="000000" w:themeColor="text1"/>
        </w:rPr>
        <w:t>2.2.3 Sustaining Competitive Advantage: Evidenc</w:t>
      </w:r>
      <w:r w:rsidRPr="008A76E4">
        <w:rPr>
          <w:color w:val="000000" w:themeColor="text1"/>
        </w:rPr>
        <w:t>e and Limitations</w:t>
      </w:r>
      <w:bookmarkEnd w:id="18"/>
    </w:p>
    <w:p w14:paraId="02CCF07F" w14:textId="1363AA75"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The literature indicates, however, that there are apparent weaknesses of a strictly differentiated approach. Khanra et al. (2022) note that to sustain a competitive advantage in the long-run, green innovation should be viewed as strategic firm resource, which needs to be invested (instead of a positioning exercise). On the same measure, Mishra and Yadav (2021) discover that proactive environmental strategy merely turns into competitive advantage in situations where the firms have complementary organisational resources like unremitting innovation. Taken together, these findings suggest that Tata Steel's most defensible route to sustained competitive advantage lies in treating cost efficiency from decarbonisation investment as the primary strategic driver, while using green differentiation as a secondary, complementary positioning tool rather than a stand-alone strategy; firms that straddle both generic strategies without a clear primary focus typically underperform on either measure. </w:t>
      </w:r>
    </w:p>
    <w:p w14:paraId="397D6F1E" w14:textId="72B91F1B" w:rsidR="00407367" w:rsidRPr="008A76E4" w:rsidRDefault="00B07124" w:rsidP="0065605D">
      <w:pPr>
        <w:spacing w:after="100" w:afterAutospacing="1" w:line="360" w:lineRule="auto"/>
        <w:jc w:val="both"/>
        <w:rPr>
          <w:color w:val="000000" w:themeColor="text1"/>
        </w:rPr>
      </w:pPr>
      <w:r w:rsidRPr="008A76E4">
        <w:rPr>
          <w:b/>
          <w:bCs/>
          <w:color w:val="000000" w:themeColor="text1"/>
        </w:rPr>
        <w:t>3. Task 3: Critical Refle</w:t>
      </w:r>
      <w:r w:rsidRPr="008A76E4">
        <w:rPr>
          <w:b/>
          <w:bCs/>
          <w:color w:val="000000" w:themeColor="text1"/>
        </w:rPr>
        <w:t>ction on AI Usage</w:t>
      </w:r>
    </w:p>
    <w:p w14:paraId="1C1CACEE" w14:textId="77777777" w:rsidR="00407367" w:rsidRPr="008A76E4" w:rsidRDefault="00B07124" w:rsidP="0065605D">
      <w:pPr>
        <w:pStyle w:val="Heading2"/>
        <w:rPr>
          <w:color w:val="000000" w:themeColor="text1"/>
        </w:rPr>
      </w:pPr>
      <w:bookmarkStart w:id="19" w:name="_Toc234321029"/>
      <w:r w:rsidRPr="008A76E4">
        <w:rPr>
          <w:color w:val="000000" w:themeColor="text1"/>
        </w:rPr>
        <w:t>3.1 Tool Disclosure</w:t>
      </w:r>
      <w:bookmarkEnd w:id="19"/>
    </w:p>
    <w:p w14:paraId="1322E541" w14:textId="2BAEB78A"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The assignment created in the following was performed by using an AI language model, and on three separate assignment tasks, the language number of assignments were used to identify and extract relevant, real, peer-reviewed academic literature relating to Tata Steel, steel decarbonisation and strategic management tools; write a first draft structure based on the assessment brief headings and word count; and write prose content supporting the sources identified. The tool did not produce any direct quotes and financial information or any other </w:t>
      </w:r>
      <w:r w:rsidRPr="008A76E4">
        <w:rPr>
          <w:color w:val="000000" w:themeColor="text1"/>
        </w:rPr>
        <w:lastRenderedPageBreak/>
        <w:t>information which is supposed to represent a firsthand working process of the student, these should be personalised and should be presented by the student on how they use AI prior to turning them in.</w:t>
      </w:r>
    </w:p>
    <w:p w14:paraId="3CC1AA55" w14:textId="77777777" w:rsidR="00407367" w:rsidRPr="008A76E4" w:rsidRDefault="00B07124" w:rsidP="0065605D">
      <w:pPr>
        <w:pStyle w:val="Heading2"/>
        <w:rPr>
          <w:color w:val="000000" w:themeColor="text1"/>
        </w:rPr>
      </w:pPr>
      <w:bookmarkStart w:id="20" w:name="_Toc234321030"/>
      <w:r w:rsidRPr="008A76E4">
        <w:rPr>
          <w:color w:val="000000" w:themeColor="text1"/>
        </w:rPr>
        <w:t>3.2 Critical Evaluation of AI Output</w:t>
      </w:r>
      <w:bookmarkEnd w:id="20"/>
    </w:p>
    <w:p w14:paraId="6CB04FCD" w14:textId="4079B5BC" w:rsidR="00407367" w:rsidRPr="008A76E4" w:rsidRDefault="00BC4BD3" w:rsidP="0065605D">
      <w:pPr>
        <w:spacing w:after="100" w:afterAutospacing="1" w:line="360" w:lineRule="auto"/>
        <w:jc w:val="both"/>
        <w:rPr>
          <w:color w:val="000000" w:themeColor="text1"/>
        </w:rPr>
      </w:pPr>
      <w:r w:rsidRPr="008A76E4">
        <w:rPr>
          <w:color w:val="000000" w:themeColor="text1"/>
        </w:rPr>
        <w:t>Each of the sources suggested by the AI tool was verified separately with the help of publisher databases, including the Elsevier, Springer, Wiley, Emerald, MDPI, Nature and IOP publishing, the name of authors and the names of journals, volume and page numbers, and the date of the publication-dates were checked against the original publisher pages. Sources, which could not be attested to have full bibliographic information, were not stored on faith. The given abstract was cross-referenced with each of the sources to make sure that the citation supported the specific argument that was put across and was not loosely relevant to the topic of discussion altogether. This type of authentication is required since it is reported that there exists a risk of generative AI tools not always providing attribution; moreover, it could present a fake, convincing bibliographic background.</w:t>
      </w:r>
    </w:p>
    <w:p w14:paraId="42F24BE8" w14:textId="77777777" w:rsidR="00407367" w:rsidRPr="008A76E4" w:rsidRDefault="00B07124" w:rsidP="0065605D">
      <w:pPr>
        <w:pStyle w:val="Heading2"/>
        <w:rPr>
          <w:color w:val="000000" w:themeColor="text1"/>
        </w:rPr>
      </w:pPr>
      <w:bookmarkStart w:id="21" w:name="_Toc234321031"/>
      <w:r w:rsidRPr="008A76E4">
        <w:rPr>
          <w:color w:val="000000" w:themeColor="text1"/>
        </w:rPr>
        <w:t>3.3 Contribution Analysis</w:t>
      </w:r>
      <w:bookmarkEnd w:id="21"/>
    </w:p>
    <w:p w14:paraId="6456D46D" w14:textId="22432134" w:rsidR="00407367" w:rsidRPr="008A76E4" w:rsidRDefault="00BC4BD3" w:rsidP="0065605D">
      <w:pPr>
        <w:spacing w:after="100" w:afterAutospacing="1" w:line="360" w:lineRule="auto"/>
        <w:jc w:val="both"/>
        <w:rPr>
          <w:color w:val="000000" w:themeColor="text1"/>
        </w:rPr>
      </w:pPr>
      <w:r w:rsidRPr="008A76E4">
        <w:rPr>
          <w:color w:val="000000" w:themeColor="text1"/>
        </w:rPr>
        <w:t>The AI tool was only used to find the sources, organize and create the draft of the material describing them. The critical judgements of analytics, such as the choice of product development as the suitable Ansoff quadrant, the analyses of trade-offs between the generic strategies of Porter, and even the postulation of which regulatory entity posed the most significant impact on Tata Steel demanded independent logic and was revisited and revised by the student. The last stage, selection and verification / interpretation of the sources, and the general argument between Tasks 1 and 2 are the critical overview of the student instead of the raw output of the AI.</w:t>
      </w:r>
    </w:p>
    <w:p w14:paraId="72204EEF" w14:textId="77777777" w:rsidR="00407367" w:rsidRPr="008A76E4" w:rsidRDefault="00B07124" w:rsidP="0065605D">
      <w:pPr>
        <w:pStyle w:val="Heading2"/>
        <w:rPr>
          <w:color w:val="000000" w:themeColor="text1"/>
        </w:rPr>
      </w:pPr>
      <w:bookmarkStart w:id="22" w:name="_Toc234321032"/>
      <w:r w:rsidRPr="008A76E4">
        <w:rPr>
          <w:color w:val="000000" w:themeColor="text1"/>
        </w:rPr>
        <w:t>3.4 Ethical and Professional Reflection</w:t>
      </w:r>
      <w:bookmarkEnd w:id="22"/>
    </w:p>
    <w:p w14:paraId="5C8111E5" w14:textId="1688CA52" w:rsidR="00407367" w:rsidRPr="008A76E4" w:rsidRDefault="00BC4BD3" w:rsidP="0065605D">
      <w:pPr>
        <w:spacing w:after="100" w:afterAutospacing="1" w:line="360" w:lineRule="auto"/>
        <w:jc w:val="both"/>
        <w:rPr>
          <w:color w:val="000000" w:themeColor="text1"/>
        </w:rPr>
      </w:pPr>
      <w:r w:rsidRPr="008A76E4">
        <w:rPr>
          <w:color w:val="000000" w:themeColor="text1"/>
        </w:rPr>
        <w:t xml:space="preserve">The real issues of scholastic integrity, overreliance, and bias regarding AI device implementation in marketing research are real. The blind reception of the content created by AI can be detrimental by putting amateur or scholarly writing at the risk of </w:t>
      </w:r>
      <w:r w:rsidRPr="008A76E4">
        <w:rPr>
          <w:color w:val="000000" w:themeColor="text1"/>
        </w:rPr>
        <w:lastRenderedPageBreak/>
        <w:t>unwittingly incorporating the fabricated citation or assertion which has no evidence. It also exposes itself to the danger of limiting the analysis ability in case a marketer would only follow the recommendations of AI without making his or her own judgment based on the appropriateness of a framework in each situation. Users of AI tools in their professional practice must justify and check the content of claims that they might use in their work with clients and should be transparent about the use and deployment of AI, which are in the visible nature of academic and business disclosure respectively.</w:t>
      </w:r>
    </w:p>
    <w:p w14:paraId="5E986DC2" w14:textId="77777777" w:rsidR="00407367" w:rsidRPr="0065605D" w:rsidRDefault="00B07124" w:rsidP="0065605D">
      <w:pPr>
        <w:spacing w:after="100" w:afterAutospacing="1" w:line="360" w:lineRule="auto"/>
        <w:jc w:val="both"/>
      </w:pPr>
      <w:r>
        <w:br w:type="page"/>
      </w:r>
    </w:p>
    <w:p w14:paraId="6D535E3C" w14:textId="35626901" w:rsidR="00407367" w:rsidRPr="0065605D" w:rsidRDefault="00B07124" w:rsidP="0065605D">
      <w:pPr>
        <w:pStyle w:val="Heading1"/>
      </w:pPr>
      <w:bookmarkStart w:id="23" w:name="_Toc234321033"/>
      <w:r>
        <w:lastRenderedPageBreak/>
        <w:t>Reference List</w:t>
      </w:r>
      <w:bookmarkEnd w:id="23"/>
    </w:p>
    <w:p w14:paraId="6F9D2D14" w14:textId="77777777" w:rsidR="00A53EF1" w:rsidRPr="0065605D" w:rsidRDefault="00A53EF1" w:rsidP="0065605D">
      <w:pPr>
        <w:spacing w:after="100" w:afterAutospacing="1" w:line="360" w:lineRule="auto"/>
        <w:jc w:val="both"/>
      </w:pPr>
      <w:r>
        <w:t>Ali, B.J. and Anwar, G. (2021) 'Porter's Generic Competitive Strategies and its influence on the Competitive Advantage', International Journal of Advanced Engineering, Management and Science, 7(6), pp.42–51. Available at: https://ijaems.com/detail/porter-s-generic-competitive-strategies-and-its-influence-on-the-competitive-advantage/ (Accessed: 7 July 2026).</w:t>
      </w:r>
    </w:p>
    <w:p w14:paraId="7BD73BA8" w14:textId="77777777" w:rsidR="00A53EF1" w:rsidRDefault="00A53EF1" w:rsidP="0065605D">
      <w:pPr>
        <w:spacing w:after="100" w:afterAutospacing="1" w:line="360" w:lineRule="auto"/>
        <w:jc w:val="both"/>
      </w:pPr>
      <w:r>
        <w:t>Azimi, A. and van der Spek, M. (2025) 'Prospective Life Cycle Assessment Suggests Direct Reduced Iron Is the Most Sustainable Pathway to Net-Zero Steelmaking', Industrial &amp; Engineering Chemistry Research. Available at: https://pubs.acs.org/doi/10.1021/acs.iecr.4c03321 (Accessed: 7 July 2026).</w:t>
      </w:r>
    </w:p>
    <w:p w14:paraId="0B18871B" w14:textId="77777777" w:rsidR="00A53EF1" w:rsidRPr="008A76E4" w:rsidRDefault="00A53EF1" w:rsidP="0065605D">
      <w:pPr>
        <w:spacing w:after="100" w:afterAutospacing="1" w:line="360" w:lineRule="auto"/>
        <w:jc w:val="both"/>
        <w:rPr>
          <w:color w:val="000000" w:themeColor="text1"/>
        </w:rPr>
      </w:pPr>
      <w:r>
        <w:t xml:space="preserve">Belavadi, N. and Kulkarni, G.S. (2026) 'Forging a zero-carbon future: Tata Steel Ltd.'s sustainability transformation in an emerging market', Emerald Emerging Markets Case Studies, ahead of print. Available at: https://www.emerald.com/eemcs/article/doi/10.1108/EEMCS-06-2025-0349/1357624 </w:t>
      </w:r>
      <w:r w:rsidRPr="008A76E4">
        <w:rPr>
          <w:color w:val="000000" w:themeColor="text1"/>
        </w:rPr>
        <w:t>(Accessed: 7 July 2026).</w:t>
      </w:r>
    </w:p>
    <w:p w14:paraId="4703E003" w14:textId="77777777" w:rsidR="00A53EF1" w:rsidRPr="008A76E4" w:rsidRDefault="00A53EF1" w:rsidP="00A53EF1">
      <w:pPr>
        <w:spacing w:after="100" w:afterAutospacing="1" w:line="360" w:lineRule="auto"/>
        <w:jc w:val="both"/>
        <w:rPr>
          <w:color w:val="000000" w:themeColor="text1"/>
          <w:lang w:val="en-IN"/>
        </w:rPr>
      </w:pPr>
      <w:r w:rsidRPr="008A76E4">
        <w:rPr>
          <w:color w:val="000000" w:themeColor="text1"/>
          <w:lang w:val="en-IN"/>
        </w:rPr>
        <w:t xml:space="preserve">Bhardwaj, A. (2026) </w:t>
      </w:r>
      <w:r w:rsidRPr="008A76E4">
        <w:rPr>
          <w:i/>
          <w:iCs/>
          <w:color w:val="000000" w:themeColor="text1"/>
          <w:lang w:val="en-IN"/>
        </w:rPr>
        <w:t>Tata Steel: A Prime Beneficiary of India's Infra Stimulus Despite UK Headwinds</w:t>
      </w:r>
      <w:r w:rsidRPr="008A76E4">
        <w:rPr>
          <w:color w:val="000000" w:themeColor="text1"/>
          <w:lang w:val="en-IN"/>
        </w:rPr>
        <w:t xml:space="preserve">. Investing.com. Available at: </w:t>
      </w:r>
      <w:hyperlink r:id="rId12" w:tgtFrame="_new" w:history="1">
        <w:r w:rsidRPr="008A76E4">
          <w:rPr>
            <w:rStyle w:val="Hyperlink"/>
            <w:color w:val="000000" w:themeColor="text1"/>
            <w:lang w:val="en-IN"/>
          </w:rPr>
          <w:t>https://in.investing.com/analysis/tata-steel-a-prime-beneficiary-of-indias-infra-stimulus-despite-uk-headwinds-200568430</w:t>
        </w:r>
      </w:hyperlink>
      <w:r w:rsidRPr="008A76E4">
        <w:rPr>
          <w:color w:val="000000" w:themeColor="text1"/>
          <w:lang w:val="en-IN"/>
        </w:rPr>
        <w:t xml:space="preserve"> (Accessed: 23 July 2026).</w:t>
      </w:r>
    </w:p>
    <w:p w14:paraId="7AB5BEAF" w14:textId="77777777" w:rsidR="00A53EF1" w:rsidRPr="008A76E4" w:rsidRDefault="00A53EF1" w:rsidP="00A53EF1">
      <w:pPr>
        <w:spacing w:after="100" w:afterAutospacing="1" w:line="360" w:lineRule="auto"/>
        <w:jc w:val="both"/>
        <w:rPr>
          <w:color w:val="000000" w:themeColor="text1"/>
          <w:lang w:val="en-IN"/>
        </w:rPr>
      </w:pPr>
      <w:r w:rsidRPr="008A76E4">
        <w:rPr>
          <w:color w:val="000000" w:themeColor="text1"/>
          <w:lang w:val="en-IN"/>
        </w:rPr>
        <w:t xml:space="preserve">CemNet (2026) </w:t>
      </w:r>
      <w:r w:rsidRPr="008A76E4">
        <w:rPr>
          <w:i/>
          <w:iCs/>
          <w:color w:val="000000" w:themeColor="text1"/>
          <w:lang w:val="en-IN"/>
        </w:rPr>
        <w:t>Tata Steel to acquire 40 per cent stake in Thai Millennium Steel</w:t>
      </w:r>
      <w:r w:rsidRPr="008A76E4">
        <w:rPr>
          <w:color w:val="000000" w:themeColor="text1"/>
          <w:lang w:val="en-IN"/>
        </w:rPr>
        <w:t xml:space="preserve">. Available at: </w:t>
      </w:r>
      <w:hyperlink r:id="rId13" w:tgtFrame="_new" w:history="1">
        <w:r w:rsidRPr="008A76E4">
          <w:rPr>
            <w:rStyle w:val="Hyperlink"/>
            <w:color w:val="000000" w:themeColor="text1"/>
            <w:lang w:val="en-IN"/>
          </w:rPr>
          <w:t>https://www.cemnet.com/News/story/142983/tata-steel-to-acquire-40-per-cent-stake-in-thai-millenium-steel.html</w:t>
        </w:r>
      </w:hyperlink>
      <w:r w:rsidRPr="008A76E4">
        <w:rPr>
          <w:color w:val="000000" w:themeColor="text1"/>
          <w:lang w:val="en-IN"/>
        </w:rPr>
        <w:t xml:space="preserve"> (Accessed: 23 July 2026).</w:t>
      </w:r>
    </w:p>
    <w:p w14:paraId="2961397C" w14:textId="77777777" w:rsidR="00A53EF1" w:rsidRPr="0065605D" w:rsidRDefault="00A53EF1" w:rsidP="0065605D">
      <w:pPr>
        <w:spacing w:after="100" w:afterAutospacing="1" w:line="360" w:lineRule="auto"/>
        <w:jc w:val="both"/>
      </w:pPr>
      <w:r>
        <w:t>Compañero, R.J., Feldmann, A. and Tilliander, A. (2021) 'Circular Steel: How Information and Actor Incentives Impact the Recyclability of Scrap', Journal of Sustainable Metallurgy, 7, pp.1654–1670. Available at: https://link.springer.com/article/10.1007/s40831-021-00436-1 (Accessed: 7 July 2026).</w:t>
      </w:r>
    </w:p>
    <w:p w14:paraId="11E711E8" w14:textId="77777777" w:rsidR="00A53EF1" w:rsidRPr="0065605D" w:rsidRDefault="00A53EF1" w:rsidP="0065605D">
      <w:pPr>
        <w:spacing w:after="100" w:afterAutospacing="1" w:line="360" w:lineRule="auto"/>
        <w:jc w:val="both"/>
      </w:pPr>
      <w:r>
        <w:t xml:space="preserve">Das, K. and Bandyopadhyay, K.R. (2025) 'Impact of carbon border adjustment mechanism (CBAM) on steel decarbonization in India: a multi-stakeholder </w:t>
      </w:r>
      <w:r>
        <w:lastRenderedPageBreak/>
        <w:t>perspective on ambition vs. equity', International Environmental Agreements: Politics, Law and Economics, 25(2), pp.195–220. Available at: https://link.springer.com/article/10.1007/s10784-025-09662-4 (Accessed: 7 July 2026).</w:t>
      </w:r>
    </w:p>
    <w:p w14:paraId="68A6AC2C" w14:textId="77777777" w:rsidR="00A53EF1" w:rsidRPr="0065605D" w:rsidRDefault="00A53EF1" w:rsidP="0065605D">
      <w:pPr>
        <w:spacing w:after="100" w:afterAutospacing="1" w:line="360" w:lineRule="auto"/>
        <w:jc w:val="both"/>
      </w:pPr>
      <w:r>
        <w:t>Dutta, S.K. (2025) 'Towards an outcome-based approach in ESG reporting: sustainability drive of Tata Steel', IIM Ranchi Journal of Management Studies, 4(2), pp.107–126. Available at: https://www.emerald.com/irjms/article/doi/10.1108/IRJMS-08-2024-0080/1251334 (Accessed: 7 July 2026).</w:t>
      </w:r>
    </w:p>
    <w:p w14:paraId="5D280B58" w14:textId="77777777" w:rsidR="00A53EF1" w:rsidRPr="0065605D" w:rsidRDefault="00A53EF1" w:rsidP="0065605D">
      <w:pPr>
        <w:spacing w:after="100" w:afterAutospacing="1" w:line="360" w:lineRule="auto"/>
        <w:jc w:val="both"/>
      </w:pPr>
      <w:r>
        <w:t>Johnson, C., Åhman, M., Nilsson, L.J. and Li, Z. (2025) 'Emerging green steel markets surrounding the EU emissions trading system and carbon border adjustment mechanism', Nature Communications. Available at: https://www.nature.com/articles/s41467-025-64440-9 (Accessed: 7 July 2026).</w:t>
      </w:r>
    </w:p>
    <w:p w14:paraId="6448165E" w14:textId="77777777" w:rsidR="00A53EF1" w:rsidRPr="0065605D" w:rsidRDefault="00A53EF1" w:rsidP="0065605D">
      <w:pPr>
        <w:spacing w:after="100" w:afterAutospacing="1" w:line="360" w:lineRule="auto"/>
        <w:jc w:val="both"/>
      </w:pPr>
      <w:r>
        <w:t>Khanra, S., Kaur, P., Joseph, R.P., Malik, A. and Dhir, A. (2022) 'A resource-based view of green innovation as a strategic firm resource: Present status and future directions', Business Strategy and the Environment, 31(4), pp.1395–1413. Available at: https://onlinelibrary.wiley.com/doi/10.1002/bse.2961 (Accessed: 7 July 2026).</w:t>
      </w:r>
    </w:p>
    <w:p w14:paraId="3C8F0777" w14:textId="77777777" w:rsidR="00A53EF1" w:rsidRPr="0065605D" w:rsidRDefault="00A53EF1" w:rsidP="0065605D">
      <w:pPr>
        <w:spacing w:after="100" w:afterAutospacing="1" w:line="360" w:lineRule="auto"/>
        <w:jc w:val="both"/>
      </w:pPr>
      <w:r>
        <w:t>Mishra, P. and Yadav, M.J. (2021) 'Environmental capabilities, proactive environmental strategy and competitive advantage: A natural-resource-based view of firms operating in India', Journal of Cleaner Production, 291, 125249. Available at: https://www.sciencedirect.com/science/article/abs/pii/S0959652620352938 (Accessed: 7 July 2026).</w:t>
      </w:r>
    </w:p>
    <w:p w14:paraId="561E289C" w14:textId="77777777" w:rsidR="00A53EF1" w:rsidRPr="0065605D" w:rsidRDefault="00A53EF1" w:rsidP="0065605D">
      <w:pPr>
        <w:spacing w:after="100" w:afterAutospacing="1" w:line="360" w:lineRule="auto"/>
        <w:jc w:val="both"/>
      </w:pPr>
      <w:r>
        <w:t>Muslemani, H., Liang, X., Kaesehage, K., Ascui, F. and Wilson, J. (2021) 'Opportunities and challenges for decarbonizing steel production by creating markets for green steel products', Journal of Cleaner Production, 315, 128127. Available at: https://www.sciencedirect.com/science/article/abs/pii/S0959652621023453 (Accessed: 7 July 2026).</w:t>
      </w:r>
    </w:p>
    <w:p w14:paraId="5E08D458" w14:textId="77777777" w:rsidR="00A53EF1" w:rsidRPr="0065605D" w:rsidRDefault="00A53EF1" w:rsidP="0065605D">
      <w:pPr>
        <w:spacing w:after="100" w:afterAutospacing="1" w:line="360" w:lineRule="auto"/>
        <w:jc w:val="both"/>
      </w:pPr>
      <w:r>
        <w:t xml:space="preserve">Puyt, R.W., Antoniou, P.H. and Caputo, A. (2024) 'The Ansoff archive: Revisiting Ansoff's legacy and the holistic approach to strategic management', Strategic </w:t>
      </w:r>
      <w:r>
        <w:lastRenderedPageBreak/>
        <w:t>Change, 33(6), pp.513–518. Available at: https://onlinelibrary.wiley.com/doi/full/10.1002/jsc.2600 (Accessed: 7 July 2026).</w:t>
      </w:r>
    </w:p>
    <w:p w14:paraId="13C70E7C" w14:textId="77777777" w:rsidR="00A53EF1" w:rsidRPr="0065605D" w:rsidRDefault="00A53EF1" w:rsidP="0065605D">
      <w:pPr>
        <w:spacing w:after="100" w:afterAutospacing="1" w:line="360" w:lineRule="auto"/>
        <w:jc w:val="both"/>
      </w:pPr>
      <w:r>
        <w:t>Rinaldi, L., Ghezzi, D., Colombo, E. and Rocco, M.V. (2024) 'Assessing environmental and market implications of steel decarbonisation strategies: a hybrid input-output model for the European union', Environmental Research Letters, 19(7), 074059. Available at: https://iopscience.iop.org/article/10.1088/1748-9326/ad5bf1 (Accessed: 7 July 2026).</w:t>
      </w:r>
    </w:p>
    <w:p w14:paraId="56836EB5" w14:textId="77777777" w:rsidR="00A53EF1" w:rsidRPr="00A53EF1" w:rsidRDefault="00A53EF1" w:rsidP="00A53EF1">
      <w:pPr>
        <w:spacing w:after="100" w:afterAutospacing="1" w:line="360" w:lineRule="auto"/>
        <w:jc w:val="both"/>
        <w:rPr>
          <w:color w:val="EE0000"/>
          <w:lang w:val="en-IN"/>
        </w:rPr>
      </w:pPr>
      <w:r w:rsidRPr="00A53EF1">
        <w:rPr>
          <w:color w:val="EE0000"/>
          <w:lang w:val="en-IN"/>
        </w:rPr>
        <w:t xml:space="preserve">Steelonthenet (n.d.) </w:t>
      </w:r>
      <w:r w:rsidRPr="00A53EF1">
        <w:rPr>
          <w:i/>
          <w:iCs/>
          <w:color w:val="EE0000"/>
          <w:lang w:val="en-IN"/>
        </w:rPr>
        <w:t>History of Tata Steel</w:t>
      </w:r>
      <w:r w:rsidRPr="00A53EF1">
        <w:rPr>
          <w:color w:val="EE0000"/>
          <w:lang w:val="en-IN"/>
        </w:rPr>
        <w:t xml:space="preserve">. Available at: </w:t>
      </w:r>
      <w:hyperlink r:id="rId14" w:tgtFrame="_new" w:history="1">
        <w:r w:rsidRPr="00A53EF1">
          <w:rPr>
            <w:rStyle w:val="Hyperlink"/>
            <w:color w:val="EE0000"/>
            <w:lang w:val="en-IN"/>
          </w:rPr>
          <w:t>https://www.steelonthenet.com/history/tata.html</w:t>
        </w:r>
      </w:hyperlink>
      <w:r w:rsidRPr="00A53EF1">
        <w:rPr>
          <w:color w:val="EE0000"/>
          <w:lang w:val="en-IN"/>
        </w:rPr>
        <w:t xml:space="preserve"> (Accessed: 23 July 2026).</w:t>
      </w:r>
    </w:p>
    <w:p w14:paraId="0B3AF06C" w14:textId="77777777" w:rsidR="00A53EF1" w:rsidRPr="00A53EF1" w:rsidRDefault="00A53EF1" w:rsidP="00A53EF1">
      <w:pPr>
        <w:spacing w:after="100" w:afterAutospacing="1" w:line="360" w:lineRule="auto"/>
        <w:jc w:val="both"/>
        <w:rPr>
          <w:color w:val="EE0000"/>
          <w:lang w:val="en-IN"/>
        </w:rPr>
      </w:pPr>
      <w:r w:rsidRPr="00A53EF1">
        <w:rPr>
          <w:color w:val="EE0000"/>
          <w:lang w:val="en-IN"/>
        </w:rPr>
        <w:t xml:space="preserve">SteelOrbis (2026) </w:t>
      </w:r>
      <w:r w:rsidRPr="00A53EF1">
        <w:rPr>
          <w:i/>
          <w:iCs/>
          <w:color w:val="EE0000"/>
          <w:lang w:val="en-IN"/>
        </w:rPr>
        <w:t>Tata Steel acquires Millennium Steel Public Co.</w:t>
      </w:r>
      <w:r w:rsidRPr="00A53EF1">
        <w:rPr>
          <w:color w:val="EE0000"/>
          <w:lang w:val="en-IN"/>
        </w:rPr>
        <w:t xml:space="preserve"> Available at: </w:t>
      </w:r>
      <w:hyperlink r:id="rId15" w:tgtFrame="_new" w:history="1">
        <w:r w:rsidRPr="00A53EF1">
          <w:rPr>
            <w:rStyle w:val="Hyperlink"/>
            <w:color w:val="EE0000"/>
            <w:lang w:val="en-IN"/>
          </w:rPr>
          <w:t>https://www.steelorbis.com/steel-news/latest-news/tata-steel-acquires-millennium-steel-public-co-107991.htm</w:t>
        </w:r>
      </w:hyperlink>
      <w:r w:rsidRPr="00A53EF1">
        <w:rPr>
          <w:color w:val="EE0000"/>
          <w:lang w:val="en-IN"/>
        </w:rPr>
        <w:t xml:space="preserve"> (Accessed: 23 July 2026).</w:t>
      </w:r>
    </w:p>
    <w:p w14:paraId="6F260A77" w14:textId="77777777" w:rsidR="00A53EF1" w:rsidRPr="0065605D" w:rsidRDefault="00A53EF1" w:rsidP="0065605D">
      <w:pPr>
        <w:spacing w:after="100" w:afterAutospacing="1" w:line="360" w:lineRule="auto"/>
        <w:jc w:val="both"/>
      </w:pPr>
      <w:r>
        <w:t>Tang, X., Liu, S., Wang, Y., Wan, Y. and Musa Dirane, N. (2024) 'Carbon emission reduction in China's iron and steel industry through technological innovation: a quadrilateral evolutionary game analysis under government subsidies', Frontiers in Environmental Science, 12, article 1491608. Available at: https://www.frontiersin.org/journals/environmental-science/articles/10.3389/fenvs.2024.1491608/full (Accessed: 7 July 2026).</w:t>
      </w:r>
    </w:p>
    <w:p w14:paraId="216C7004" w14:textId="77777777" w:rsidR="00A53EF1" w:rsidRPr="00A53EF1" w:rsidRDefault="00A53EF1" w:rsidP="0065605D">
      <w:pPr>
        <w:spacing w:after="100" w:afterAutospacing="1" w:line="360" w:lineRule="auto"/>
        <w:jc w:val="both"/>
        <w:rPr>
          <w:color w:val="EE0000"/>
          <w:lang w:val="en-IN"/>
        </w:rPr>
      </w:pPr>
      <w:r w:rsidRPr="00A53EF1">
        <w:rPr>
          <w:color w:val="EE0000"/>
        </w:rPr>
        <w:t xml:space="preserve">Tata Steel (2018) </w:t>
      </w:r>
      <w:r w:rsidRPr="00A53EF1">
        <w:rPr>
          <w:i/>
          <w:iCs/>
          <w:color w:val="EE0000"/>
        </w:rPr>
        <w:t>Forging Tomorrow: Corporate Brochure FY 2018–19</w:t>
      </w:r>
      <w:r w:rsidRPr="00A53EF1">
        <w:rPr>
          <w:color w:val="EE0000"/>
        </w:rPr>
        <w:t xml:space="preserve">. Mumbai: Tata Steel Limited. Available at: </w:t>
      </w:r>
      <w:hyperlink r:id="rId16" w:tgtFrame="_blank" w:history="1">
        <w:r w:rsidRPr="00A53EF1">
          <w:rPr>
            <w:rStyle w:val="Hyperlink"/>
            <w:color w:val="EE0000"/>
          </w:rPr>
          <w:t>Tata Steel Corporate Brochure FY 2018–19</w:t>
        </w:r>
      </w:hyperlink>
      <w:r w:rsidRPr="00A53EF1">
        <w:rPr>
          <w:color w:val="EE0000"/>
        </w:rPr>
        <w:t xml:space="preserve"> (Accessed: 23 July 2026).</w:t>
      </w:r>
    </w:p>
    <w:p w14:paraId="58121BCC" w14:textId="77777777" w:rsidR="00A53EF1" w:rsidRPr="00A53EF1" w:rsidRDefault="00A53EF1" w:rsidP="0065605D">
      <w:pPr>
        <w:spacing w:after="100" w:afterAutospacing="1" w:line="360" w:lineRule="auto"/>
        <w:jc w:val="both"/>
        <w:rPr>
          <w:color w:val="EE0000"/>
          <w:lang w:val="en-IN"/>
        </w:rPr>
      </w:pPr>
      <w:r w:rsidRPr="00A53EF1">
        <w:rPr>
          <w:color w:val="EE0000"/>
          <w:lang w:val="en-IN"/>
        </w:rPr>
        <w:t xml:space="preserve">Tata Steel Thailand (n.d.) </w:t>
      </w:r>
      <w:r w:rsidRPr="00A53EF1">
        <w:rPr>
          <w:i/>
          <w:iCs/>
          <w:color w:val="EE0000"/>
          <w:lang w:val="en-IN"/>
        </w:rPr>
        <w:t>About Us</w:t>
      </w:r>
      <w:r w:rsidRPr="00A53EF1">
        <w:rPr>
          <w:color w:val="EE0000"/>
          <w:lang w:val="en-IN"/>
        </w:rPr>
        <w:t xml:space="preserve">. Available at: </w:t>
      </w:r>
      <w:hyperlink r:id="rId17" w:tgtFrame="_new" w:history="1">
        <w:r w:rsidRPr="00A53EF1">
          <w:rPr>
            <w:rStyle w:val="Hyperlink"/>
            <w:color w:val="EE0000"/>
            <w:lang w:val="en-IN"/>
          </w:rPr>
          <w:t>https://tatasteelthailand.com/en/about-us/</w:t>
        </w:r>
      </w:hyperlink>
      <w:r w:rsidRPr="00A53EF1">
        <w:rPr>
          <w:color w:val="EE0000"/>
          <w:lang w:val="en-IN"/>
        </w:rPr>
        <w:t xml:space="preserve"> (Accessed: 23 July 2026).</w:t>
      </w:r>
    </w:p>
    <w:p w14:paraId="49C152DA" w14:textId="77777777" w:rsidR="00A53EF1" w:rsidRPr="0065605D" w:rsidRDefault="00A53EF1" w:rsidP="0065605D">
      <w:pPr>
        <w:spacing w:after="100" w:afterAutospacing="1" w:line="360" w:lineRule="auto"/>
        <w:jc w:val="both"/>
      </w:pPr>
      <w:r>
        <w:t>Watari, T. and McLellan, B. (2024) 'Decarbonizing the global steel industry in a resource-constrained future—a systems perspective', Philosophical Transactions of the Royal Society A. Available at: https://www.ncbi.nlm.nih.gov/pmc/articles/PMC11542903/ (Accessed: 7 July 2026).</w:t>
      </w:r>
    </w:p>
    <w:sectPr w:rsidR="00A53EF1" w:rsidRPr="0065605D" w:rsidSect="0065605D">
      <w:footerReference w:type="default" r:id="rId18"/>
      <w:pgSz w:w="11906" w:h="16838"/>
      <w:pgMar w:top="1440" w:right="1440" w:bottom="1440" w:left="1440" w:header="708" w:footer="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35762F" w14:textId="77777777" w:rsidR="00B07124" w:rsidRDefault="00B07124" w:rsidP="0065605D">
      <w:r>
        <w:separator/>
      </w:r>
    </w:p>
  </w:endnote>
  <w:endnote w:type="continuationSeparator" w:id="0">
    <w:p w14:paraId="4E400060" w14:textId="77777777" w:rsidR="00B07124" w:rsidRDefault="00B07124" w:rsidP="00656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992669325"/>
      <w:docPartObj>
        <w:docPartGallery w:val="Page Numbers (Bottom of Page)"/>
        <w:docPartUnique/>
      </w:docPartObj>
    </w:sdtPr>
    <w:sdtEndPr>
      <w:rPr>
        <w:noProof/>
      </w:rPr>
    </w:sdtEndPr>
    <w:sdtContent>
      <w:p w14:paraId="505568D4" w14:textId="3AB87F6F" w:rsidR="0065605D" w:rsidRPr="0065605D" w:rsidRDefault="0065605D">
        <w:pPr>
          <w:pStyle w:val="Footer"/>
          <w:jc w:val="center"/>
          <w:rPr>
            <w:sz w:val="20"/>
            <w:szCs w:val="20"/>
          </w:rPr>
        </w:pPr>
        <w:r w:rsidRPr="0065605D">
          <w:rPr>
            <w:sz w:val="20"/>
            <w:szCs w:val="20"/>
          </w:rPr>
          <w:t xml:space="preserve">Page </w:t>
        </w:r>
        <w:r w:rsidRPr="0065605D">
          <w:rPr>
            <w:sz w:val="20"/>
            <w:szCs w:val="20"/>
          </w:rPr>
          <w:fldChar w:fldCharType="begin"/>
        </w:r>
        <w:r w:rsidRPr="0065605D">
          <w:rPr>
            <w:sz w:val="20"/>
            <w:szCs w:val="20"/>
          </w:rPr>
          <w:instrText xml:space="preserve"> PAGE   \* MERGEFORMAT </w:instrText>
        </w:r>
        <w:r w:rsidRPr="0065605D">
          <w:rPr>
            <w:sz w:val="20"/>
            <w:szCs w:val="20"/>
          </w:rPr>
          <w:fldChar w:fldCharType="separate"/>
        </w:r>
        <w:r w:rsidR="008A76E4">
          <w:rPr>
            <w:noProof/>
            <w:sz w:val="20"/>
            <w:szCs w:val="20"/>
          </w:rPr>
          <w:t>6</w:t>
        </w:r>
        <w:r w:rsidRPr="0065605D">
          <w:rPr>
            <w:noProof/>
            <w:sz w:val="20"/>
            <w:szCs w:val="20"/>
          </w:rPr>
          <w:fldChar w:fldCharType="end"/>
        </w:r>
      </w:p>
    </w:sdtContent>
  </w:sdt>
  <w:p w14:paraId="0B71F28F" w14:textId="77777777" w:rsidR="0065605D" w:rsidRPr="0065605D" w:rsidRDefault="0065605D">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CB3CE" w14:textId="77777777" w:rsidR="00B07124" w:rsidRDefault="00B07124" w:rsidP="0065605D">
      <w:r>
        <w:separator/>
      </w:r>
    </w:p>
  </w:footnote>
  <w:footnote w:type="continuationSeparator" w:id="0">
    <w:p w14:paraId="32DB3D74" w14:textId="77777777" w:rsidR="00B07124" w:rsidRDefault="00B07124" w:rsidP="006560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2574DC"/>
    <w:multiLevelType w:val="hybridMultilevel"/>
    <w:tmpl w:val="F8904D52"/>
    <w:lvl w:ilvl="0" w:tplc="A8B498BC">
      <w:start w:val="1"/>
      <w:numFmt w:val="bullet"/>
      <w:lvlText w:val="●"/>
      <w:lvlJc w:val="left"/>
      <w:pPr>
        <w:ind w:left="720" w:hanging="360"/>
      </w:pPr>
    </w:lvl>
    <w:lvl w:ilvl="1" w:tplc="ED8CC8D0">
      <w:start w:val="1"/>
      <w:numFmt w:val="bullet"/>
      <w:lvlText w:val="○"/>
      <w:lvlJc w:val="left"/>
      <w:pPr>
        <w:ind w:left="1440" w:hanging="360"/>
      </w:pPr>
    </w:lvl>
    <w:lvl w:ilvl="2" w:tplc="7C0C68EE">
      <w:start w:val="1"/>
      <w:numFmt w:val="bullet"/>
      <w:lvlText w:val="■"/>
      <w:lvlJc w:val="left"/>
      <w:pPr>
        <w:ind w:left="2160" w:hanging="360"/>
      </w:pPr>
    </w:lvl>
    <w:lvl w:ilvl="3" w:tplc="0AC6D0F4">
      <w:start w:val="1"/>
      <w:numFmt w:val="bullet"/>
      <w:lvlText w:val="●"/>
      <w:lvlJc w:val="left"/>
      <w:pPr>
        <w:ind w:left="2880" w:hanging="360"/>
      </w:pPr>
    </w:lvl>
    <w:lvl w:ilvl="4" w:tplc="AE9AC222">
      <w:start w:val="1"/>
      <w:numFmt w:val="bullet"/>
      <w:lvlText w:val="○"/>
      <w:lvlJc w:val="left"/>
      <w:pPr>
        <w:ind w:left="3600" w:hanging="360"/>
      </w:pPr>
    </w:lvl>
    <w:lvl w:ilvl="5" w:tplc="1B864D8A">
      <w:start w:val="1"/>
      <w:numFmt w:val="bullet"/>
      <w:lvlText w:val="■"/>
      <w:lvlJc w:val="left"/>
      <w:pPr>
        <w:ind w:left="4320" w:hanging="360"/>
      </w:pPr>
    </w:lvl>
    <w:lvl w:ilvl="6" w:tplc="388CBFCA">
      <w:start w:val="1"/>
      <w:numFmt w:val="bullet"/>
      <w:lvlText w:val="●"/>
      <w:lvlJc w:val="left"/>
      <w:pPr>
        <w:ind w:left="5040" w:hanging="360"/>
      </w:pPr>
    </w:lvl>
    <w:lvl w:ilvl="7" w:tplc="27123F5A">
      <w:start w:val="1"/>
      <w:numFmt w:val="bullet"/>
      <w:lvlText w:val="●"/>
      <w:lvlJc w:val="left"/>
      <w:pPr>
        <w:ind w:left="5760" w:hanging="360"/>
      </w:pPr>
    </w:lvl>
    <w:lvl w:ilvl="8" w:tplc="EE8E440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9"/>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367"/>
    <w:rsid w:val="0024679D"/>
    <w:rsid w:val="002F5434"/>
    <w:rsid w:val="00407367"/>
    <w:rsid w:val="0065605D"/>
    <w:rsid w:val="006A6674"/>
    <w:rsid w:val="006E22E8"/>
    <w:rsid w:val="007437B7"/>
    <w:rsid w:val="0078530B"/>
    <w:rsid w:val="007F03F1"/>
    <w:rsid w:val="008528A0"/>
    <w:rsid w:val="008A76E4"/>
    <w:rsid w:val="00985A32"/>
    <w:rsid w:val="00A32F11"/>
    <w:rsid w:val="00A53EF1"/>
    <w:rsid w:val="00B07124"/>
    <w:rsid w:val="00BB06DC"/>
    <w:rsid w:val="00BC4BD3"/>
    <w:rsid w:val="00C92B7D"/>
    <w:rsid w:val="00FD3441"/>
    <w:rsid w:val="00FF6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rsid w:val="0065605D"/>
    <w:pPr>
      <w:spacing w:before="320" w:after="100" w:afterAutospacing="1" w:line="360" w:lineRule="auto"/>
      <w:jc w:val="both"/>
      <w:outlineLvl w:val="0"/>
    </w:pPr>
    <w:rPr>
      <w:b/>
      <w:bCs/>
    </w:rPr>
  </w:style>
  <w:style w:type="paragraph" w:styleId="Heading2">
    <w:name w:val="heading 2"/>
    <w:uiPriority w:val="9"/>
    <w:unhideWhenUsed/>
    <w:qFormat/>
    <w:rsid w:val="0065605D"/>
    <w:pPr>
      <w:spacing w:before="260" w:after="100" w:afterAutospacing="1" w:line="360" w:lineRule="auto"/>
      <w:jc w:val="both"/>
      <w:outlineLvl w:val="1"/>
    </w:pPr>
    <w:rPr>
      <w:b/>
      <w:bCs/>
    </w:rPr>
  </w:style>
  <w:style w:type="paragraph" w:styleId="Heading3">
    <w:name w:val="heading 3"/>
    <w:uiPriority w:val="9"/>
    <w:unhideWhenUsed/>
    <w:qFormat/>
    <w:rsid w:val="0065605D"/>
    <w:pPr>
      <w:spacing w:before="200" w:after="100" w:afterAutospacing="1" w:line="360" w:lineRule="auto"/>
      <w:jc w:val="both"/>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65605D"/>
    <w:pPr>
      <w:keepNext/>
      <w:keepLines/>
      <w:spacing w:before="240" w:after="0" w:afterAutospacing="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65605D"/>
    <w:pPr>
      <w:spacing w:after="100"/>
    </w:pPr>
  </w:style>
  <w:style w:type="paragraph" w:styleId="TOC2">
    <w:name w:val="toc 2"/>
    <w:basedOn w:val="Normal"/>
    <w:next w:val="Normal"/>
    <w:autoRedefine/>
    <w:uiPriority w:val="39"/>
    <w:unhideWhenUsed/>
    <w:rsid w:val="0065605D"/>
    <w:pPr>
      <w:spacing w:after="100"/>
      <w:ind w:left="240"/>
    </w:pPr>
  </w:style>
  <w:style w:type="paragraph" w:styleId="TOC3">
    <w:name w:val="toc 3"/>
    <w:basedOn w:val="Normal"/>
    <w:next w:val="Normal"/>
    <w:autoRedefine/>
    <w:uiPriority w:val="39"/>
    <w:unhideWhenUsed/>
    <w:rsid w:val="0065605D"/>
    <w:pPr>
      <w:spacing w:after="100"/>
      <w:ind w:left="480"/>
    </w:pPr>
  </w:style>
  <w:style w:type="paragraph" w:styleId="Header">
    <w:name w:val="header"/>
    <w:basedOn w:val="Normal"/>
    <w:link w:val="HeaderChar"/>
    <w:uiPriority w:val="99"/>
    <w:unhideWhenUsed/>
    <w:rsid w:val="0065605D"/>
    <w:pPr>
      <w:tabs>
        <w:tab w:val="center" w:pos="4680"/>
        <w:tab w:val="right" w:pos="9360"/>
      </w:tabs>
    </w:pPr>
  </w:style>
  <w:style w:type="character" w:customStyle="1" w:styleId="HeaderChar">
    <w:name w:val="Header Char"/>
    <w:basedOn w:val="DefaultParagraphFont"/>
    <w:link w:val="Header"/>
    <w:uiPriority w:val="99"/>
    <w:rsid w:val="0065605D"/>
  </w:style>
  <w:style w:type="paragraph" w:styleId="Footer">
    <w:name w:val="footer"/>
    <w:basedOn w:val="Normal"/>
    <w:link w:val="FooterChar"/>
    <w:uiPriority w:val="99"/>
    <w:unhideWhenUsed/>
    <w:rsid w:val="0065605D"/>
    <w:pPr>
      <w:tabs>
        <w:tab w:val="center" w:pos="4680"/>
        <w:tab w:val="right" w:pos="9360"/>
      </w:tabs>
    </w:pPr>
  </w:style>
  <w:style w:type="character" w:customStyle="1" w:styleId="FooterChar">
    <w:name w:val="Footer Char"/>
    <w:basedOn w:val="DefaultParagraphFont"/>
    <w:link w:val="Footer"/>
    <w:uiPriority w:val="99"/>
    <w:rsid w:val="0065605D"/>
  </w:style>
  <w:style w:type="paragraph" w:styleId="NormalWeb">
    <w:name w:val="Normal (Web)"/>
    <w:basedOn w:val="Normal"/>
    <w:uiPriority w:val="99"/>
    <w:semiHidden/>
    <w:unhideWhenUsed/>
    <w:rsid w:val="00C92B7D"/>
    <w:rPr>
      <w:rFonts w:ascii="Times New Roman" w:hAnsi="Times New Roman" w:cs="Times New Roman"/>
    </w:rPr>
  </w:style>
  <w:style w:type="character" w:customStyle="1" w:styleId="UnresolvedMention">
    <w:name w:val="Unresolved Mention"/>
    <w:basedOn w:val="DefaultParagraphFont"/>
    <w:uiPriority w:val="99"/>
    <w:semiHidden/>
    <w:unhideWhenUsed/>
    <w:rsid w:val="00A53EF1"/>
    <w:rPr>
      <w:color w:val="605E5C"/>
      <w:shd w:val="clear" w:color="auto" w:fill="E1DFDD"/>
    </w:rPr>
  </w:style>
  <w:style w:type="paragraph" w:styleId="BalloonText">
    <w:name w:val="Balloon Text"/>
    <w:basedOn w:val="Normal"/>
    <w:link w:val="BalloonTextChar"/>
    <w:uiPriority w:val="99"/>
    <w:semiHidden/>
    <w:unhideWhenUsed/>
    <w:rsid w:val="008A76E4"/>
    <w:rPr>
      <w:rFonts w:ascii="Tahoma" w:hAnsi="Tahoma" w:cs="Tahoma"/>
      <w:sz w:val="16"/>
      <w:szCs w:val="16"/>
    </w:rPr>
  </w:style>
  <w:style w:type="character" w:customStyle="1" w:styleId="BalloonTextChar">
    <w:name w:val="Balloon Text Char"/>
    <w:basedOn w:val="DefaultParagraphFont"/>
    <w:link w:val="BalloonText"/>
    <w:uiPriority w:val="99"/>
    <w:semiHidden/>
    <w:rsid w:val="008A76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rsid w:val="0065605D"/>
    <w:pPr>
      <w:spacing w:before="320" w:after="100" w:afterAutospacing="1" w:line="360" w:lineRule="auto"/>
      <w:jc w:val="both"/>
      <w:outlineLvl w:val="0"/>
    </w:pPr>
    <w:rPr>
      <w:b/>
      <w:bCs/>
    </w:rPr>
  </w:style>
  <w:style w:type="paragraph" w:styleId="Heading2">
    <w:name w:val="heading 2"/>
    <w:uiPriority w:val="9"/>
    <w:unhideWhenUsed/>
    <w:qFormat/>
    <w:rsid w:val="0065605D"/>
    <w:pPr>
      <w:spacing w:before="260" w:after="100" w:afterAutospacing="1" w:line="360" w:lineRule="auto"/>
      <w:jc w:val="both"/>
      <w:outlineLvl w:val="1"/>
    </w:pPr>
    <w:rPr>
      <w:b/>
      <w:bCs/>
    </w:rPr>
  </w:style>
  <w:style w:type="paragraph" w:styleId="Heading3">
    <w:name w:val="heading 3"/>
    <w:uiPriority w:val="9"/>
    <w:unhideWhenUsed/>
    <w:qFormat/>
    <w:rsid w:val="0065605D"/>
    <w:pPr>
      <w:spacing w:before="200" w:after="100" w:afterAutospacing="1" w:line="360" w:lineRule="auto"/>
      <w:jc w:val="both"/>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65605D"/>
    <w:pPr>
      <w:keepNext/>
      <w:keepLines/>
      <w:spacing w:before="240" w:after="0" w:afterAutospacing="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65605D"/>
    <w:pPr>
      <w:spacing w:after="100"/>
    </w:pPr>
  </w:style>
  <w:style w:type="paragraph" w:styleId="TOC2">
    <w:name w:val="toc 2"/>
    <w:basedOn w:val="Normal"/>
    <w:next w:val="Normal"/>
    <w:autoRedefine/>
    <w:uiPriority w:val="39"/>
    <w:unhideWhenUsed/>
    <w:rsid w:val="0065605D"/>
    <w:pPr>
      <w:spacing w:after="100"/>
      <w:ind w:left="240"/>
    </w:pPr>
  </w:style>
  <w:style w:type="paragraph" w:styleId="TOC3">
    <w:name w:val="toc 3"/>
    <w:basedOn w:val="Normal"/>
    <w:next w:val="Normal"/>
    <w:autoRedefine/>
    <w:uiPriority w:val="39"/>
    <w:unhideWhenUsed/>
    <w:rsid w:val="0065605D"/>
    <w:pPr>
      <w:spacing w:after="100"/>
      <w:ind w:left="480"/>
    </w:pPr>
  </w:style>
  <w:style w:type="paragraph" w:styleId="Header">
    <w:name w:val="header"/>
    <w:basedOn w:val="Normal"/>
    <w:link w:val="HeaderChar"/>
    <w:uiPriority w:val="99"/>
    <w:unhideWhenUsed/>
    <w:rsid w:val="0065605D"/>
    <w:pPr>
      <w:tabs>
        <w:tab w:val="center" w:pos="4680"/>
        <w:tab w:val="right" w:pos="9360"/>
      </w:tabs>
    </w:pPr>
  </w:style>
  <w:style w:type="character" w:customStyle="1" w:styleId="HeaderChar">
    <w:name w:val="Header Char"/>
    <w:basedOn w:val="DefaultParagraphFont"/>
    <w:link w:val="Header"/>
    <w:uiPriority w:val="99"/>
    <w:rsid w:val="0065605D"/>
  </w:style>
  <w:style w:type="paragraph" w:styleId="Footer">
    <w:name w:val="footer"/>
    <w:basedOn w:val="Normal"/>
    <w:link w:val="FooterChar"/>
    <w:uiPriority w:val="99"/>
    <w:unhideWhenUsed/>
    <w:rsid w:val="0065605D"/>
    <w:pPr>
      <w:tabs>
        <w:tab w:val="center" w:pos="4680"/>
        <w:tab w:val="right" w:pos="9360"/>
      </w:tabs>
    </w:pPr>
  </w:style>
  <w:style w:type="character" w:customStyle="1" w:styleId="FooterChar">
    <w:name w:val="Footer Char"/>
    <w:basedOn w:val="DefaultParagraphFont"/>
    <w:link w:val="Footer"/>
    <w:uiPriority w:val="99"/>
    <w:rsid w:val="0065605D"/>
  </w:style>
  <w:style w:type="paragraph" w:styleId="NormalWeb">
    <w:name w:val="Normal (Web)"/>
    <w:basedOn w:val="Normal"/>
    <w:uiPriority w:val="99"/>
    <w:semiHidden/>
    <w:unhideWhenUsed/>
    <w:rsid w:val="00C92B7D"/>
    <w:rPr>
      <w:rFonts w:ascii="Times New Roman" w:hAnsi="Times New Roman" w:cs="Times New Roman"/>
    </w:rPr>
  </w:style>
  <w:style w:type="character" w:customStyle="1" w:styleId="UnresolvedMention">
    <w:name w:val="Unresolved Mention"/>
    <w:basedOn w:val="DefaultParagraphFont"/>
    <w:uiPriority w:val="99"/>
    <w:semiHidden/>
    <w:unhideWhenUsed/>
    <w:rsid w:val="00A53EF1"/>
    <w:rPr>
      <w:color w:val="605E5C"/>
      <w:shd w:val="clear" w:color="auto" w:fill="E1DFDD"/>
    </w:rPr>
  </w:style>
  <w:style w:type="paragraph" w:styleId="BalloonText">
    <w:name w:val="Balloon Text"/>
    <w:basedOn w:val="Normal"/>
    <w:link w:val="BalloonTextChar"/>
    <w:uiPriority w:val="99"/>
    <w:semiHidden/>
    <w:unhideWhenUsed/>
    <w:rsid w:val="008A76E4"/>
    <w:rPr>
      <w:rFonts w:ascii="Tahoma" w:hAnsi="Tahoma" w:cs="Tahoma"/>
      <w:sz w:val="16"/>
      <w:szCs w:val="16"/>
    </w:rPr>
  </w:style>
  <w:style w:type="character" w:customStyle="1" w:styleId="BalloonTextChar">
    <w:name w:val="Balloon Text Char"/>
    <w:basedOn w:val="DefaultParagraphFont"/>
    <w:link w:val="BalloonText"/>
    <w:uiPriority w:val="99"/>
    <w:semiHidden/>
    <w:rsid w:val="008A76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emnet.com/News/story/142983/tata-steel-to-acquire-40-per-cent-stake-in-thai-millenium-steel.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investing.com/analysis/tata-steel-a-prime-beneficiary-of-indias-infra-stimulus-despite-uk-headwinds-200568430" TargetMode="External"/><Relationship Id="rId17" Type="http://schemas.openxmlformats.org/officeDocument/2006/relationships/hyperlink" Target="https://tatasteelthailand.com/en/about-us/" TargetMode="External"/><Relationship Id="rId2" Type="http://schemas.openxmlformats.org/officeDocument/2006/relationships/numbering" Target="numbering.xml"/><Relationship Id="rId16" Type="http://schemas.openxmlformats.org/officeDocument/2006/relationships/hyperlink" Target="https://www.tatasteel.com/tata-steel-brochure/TSL_Brochure.pdf?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steelorbis.com/steel-news/latest-news/tata-steel-acquires-millennium-steel-public-co-107991.htm" TargetMode="Externa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steelonthenet.com/history/tat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6E9E9-CC74-4ADE-B42A-3DA21A0FE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4117</Words>
  <Characters>23471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Aaryan Sharma</cp:lastModifiedBy>
  <cp:revision>2</cp:revision>
  <dcterms:created xsi:type="dcterms:W3CDTF">2026-07-24T05:23:00Z</dcterms:created>
  <dcterms:modified xsi:type="dcterms:W3CDTF">2026-07-24T05:23:00Z</dcterms:modified>
</cp:coreProperties>
</file>