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705" w:rsidRDefault="00D97AB4" w:rsidP="003A7705">
      <w:pPr>
        <w:pStyle w:val="Heading1"/>
        <w:rPr>
          <w:b/>
          <w:bCs/>
        </w:rPr>
      </w:pPr>
      <w:r w:rsidRPr="00D97AB4">
        <w:rPr>
          <w:b/>
          <w:bCs/>
        </w:rPr>
        <w:drawing>
          <wp:inline distT="0" distB="0" distL="0" distR="0">
            <wp:extent cx="1885950" cy="952500"/>
            <wp:effectExtent l="19050" t="0" r="0" b="0"/>
            <wp:docPr id="1" name="Picture 1" descr="C:\Users\Alina\Desktop\UNIVERSITY\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na\Desktop\UNIVERSITY\uwtsd-london-logo-black.png"/>
                    <pic:cNvPicPr>
                      <a:picLocks noChangeAspect="1" noChangeArrowheads="1"/>
                    </pic:cNvPicPr>
                  </pic:nvPicPr>
                  <pic:blipFill>
                    <a:blip r:embed="rId6"/>
                    <a:srcRect/>
                    <a:stretch>
                      <a:fillRect/>
                    </a:stretch>
                  </pic:blipFill>
                  <pic:spPr bwMode="auto">
                    <a:xfrm>
                      <a:off x="0" y="0"/>
                      <a:ext cx="1885950" cy="952500"/>
                    </a:xfrm>
                    <a:prstGeom prst="rect">
                      <a:avLst/>
                    </a:prstGeom>
                    <a:noFill/>
                    <a:ln w="9525">
                      <a:noFill/>
                      <a:miter lim="800000"/>
                      <a:headEnd/>
                      <a:tailEnd/>
                    </a:ln>
                  </pic:spPr>
                </pic:pic>
              </a:graphicData>
            </a:graphic>
          </wp:inline>
        </w:drawing>
      </w:r>
    </w:p>
    <w:p w:rsidR="003A7705" w:rsidRDefault="003A7705" w:rsidP="003A7705"/>
    <w:p w:rsidR="003A7705" w:rsidRDefault="003A7705" w:rsidP="003A7705"/>
    <w:p w:rsidR="005370D4" w:rsidRDefault="005370D4" w:rsidP="003A7705"/>
    <w:p w:rsidR="005370D4" w:rsidRDefault="005370D4" w:rsidP="003A7705"/>
    <w:p w:rsidR="005370D4" w:rsidRDefault="005370D4" w:rsidP="003A7705"/>
    <w:p w:rsidR="003A7705" w:rsidRDefault="003A7705" w:rsidP="003A7705"/>
    <w:p w:rsidR="003A7705" w:rsidRDefault="00D97AB4" w:rsidP="00D97AB4">
      <w:pPr>
        <w:tabs>
          <w:tab w:val="left" w:pos="2210"/>
        </w:tabs>
        <w:rPr>
          <w:b/>
          <w:i/>
          <w:sz w:val="28"/>
          <w:szCs w:val="28"/>
        </w:rPr>
      </w:pPr>
      <w:r>
        <w:t xml:space="preserve">       </w:t>
      </w:r>
      <w:r w:rsidR="005370D4">
        <w:rPr>
          <w:b/>
          <w:i/>
          <w:sz w:val="28"/>
          <w:szCs w:val="28"/>
        </w:rPr>
        <w:t xml:space="preserve">                    </w:t>
      </w:r>
      <w:r w:rsidRPr="00D97AB4">
        <w:rPr>
          <w:b/>
          <w:i/>
          <w:sz w:val="28"/>
          <w:szCs w:val="28"/>
        </w:rPr>
        <w:t>INTERNATIONAL BUSINESS COMUNICATION-LCBB6001</w:t>
      </w:r>
    </w:p>
    <w:p w:rsidR="005370D4" w:rsidRDefault="005370D4" w:rsidP="00D97AB4">
      <w:pPr>
        <w:tabs>
          <w:tab w:val="left" w:pos="2210"/>
        </w:tabs>
        <w:rPr>
          <w:b/>
          <w:i/>
          <w:sz w:val="28"/>
          <w:szCs w:val="28"/>
        </w:rPr>
      </w:pPr>
    </w:p>
    <w:p w:rsidR="00D97AB4" w:rsidRPr="005370D4" w:rsidRDefault="00D97AB4" w:rsidP="00D97AB4">
      <w:pPr>
        <w:tabs>
          <w:tab w:val="left" w:pos="2210"/>
        </w:tabs>
        <w:jc w:val="center"/>
        <w:rPr>
          <w:b/>
          <w:i/>
          <w:sz w:val="36"/>
          <w:szCs w:val="36"/>
        </w:rPr>
      </w:pPr>
      <w:r w:rsidRPr="005370D4">
        <w:rPr>
          <w:b/>
          <w:i/>
          <w:sz w:val="36"/>
          <w:szCs w:val="36"/>
        </w:rPr>
        <w:t>Report on Glaxo</w:t>
      </w:r>
      <w:r w:rsidR="005370D4" w:rsidRPr="005370D4">
        <w:rPr>
          <w:b/>
          <w:i/>
          <w:sz w:val="36"/>
          <w:szCs w:val="36"/>
        </w:rPr>
        <w:t>SmithKline</w:t>
      </w:r>
    </w:p>
    <w:p w:rsidR="005370D4" w:rsidRDefault="005370D4" w:rsidP="005370D4">
      <w:r>
        <w:t xml:space="preserve">                                                      </w:t>
      </w:r>
    </w:p>
    <w:p w:rsidR="005370D4" w:rsidRPr="005370D4" w:rsidRDefault="005370D4" w:rsidP="005370D4">
      <w:pPr>
        <w:rPr>
          <w:b/>
          <w:sz w:val="24"/>
          <w:szCs w:val="24"/>
        </w:rPr>
      </w:pPr>
      <w:r>
        <w:t xml:space="preserve">                                                       </w:t>
      </w:r>
      <w:r w:rsidRPr="005370D4">
        <w:rPr>
          <w:b/>
          <w:sz w:val="24"/>
          <w:szCs w:val="24"/>
        </w:rPr>
        <w:t>Lecturer: Charles Nwaogwugwu</w:t>
      </w:r>
    </w:p>
    <w:p w:rsidR="003A7705" w:rsidRDefault="003A7705" w:rsidP="003A7705"/>
    <w:p w:rsidR="00346EE8" w:rsidRDefault="00346EE8" w:rsidP="003A7705"/>
    <w:p w:rsidR="00346EE8" w:rsidRDefault="00346EE8" w:rsidP="003A7705"/>
    <w:p w:rsidR="00346EE8" w:rsidRDefault="00346EE8" w:rsidP="003A7705"/>
    <w:p w:rsidR="00346EE8" w:rsidRDefault="00346EE8" w:rsidP="003A7705"/>
    <w:p w:rsidR="00346EE8" w:rsidRDefault="00346EE8" w:rsidP="003A7705"/>
    <w:p w:rsidR="00346EE8" w:rsidRPr="005370D4" w:rsidRDefault="005370D4" w:rsidP="003A7705">
      <w:pPr>
        <w:rPr>
          <w:b/>
        </w:rPr>
      </w:pPr>
      <w:r w:rsidRPr="005370D4">
        <w:rPr>
          <w:b/>
        </w:rPr>
        <w:t>Student name &amp;ID: Alina-Paula Manolache-2114609</w:t>
      </w:r>
    </w:p>
    <w:p w:rsidR="00346EE8" w:rsidRDefault="00346EE8" w:rsidP="003A7705"/>
    <w:p w:rsidR="00346EE8" w:rsidRDefault="00346EE8" w:rsidP="003A7705"/>
    <w:p w:rsidR="003A7705" w:rsidRDefault="003A7705" w:rsidP="003A7705"/>
    <w:p w:rsidR="003A7705" w:rsidRDefault="003A7705" w:rsidP="003A7705"/>
    <w:p w:rsidR="003A7705" w:rsidRDefault="003A7705" w:rsidP="003A7705"/>
    <w:p w:rsidR="003A7705" w:rsidRDefault="003A7705" w:rsidP="003A7705"/>
    <w:p w:rsidR="003A7705" w:rsidRDefault="003A7705" w:rsidP="003A7705"/>
    <w:p w:rsidR="003A7705" w:rsidRDefault="003A7705" w:rsidP="003A7705"/>
    <w:p w:rsidR="003A7705" w:rsidRDefault="003A7705" w:rsidP="003A7705"/>
    <w:p w:rsidR="003A7705" w:rsidRDefault="003A7705" w:rsidP="003A7705"/>
    <w:p w:rsidR="003A7705" w:rsidRDefault="003A7705" w:rsidP="003A7705"/>
    <w:p w:rsidR="003A7705" w:rsidRDefault="003A7705" w:rsidP="003A7705"/>
    <w:sdt>
      <w:sdtPr>
        <w:rPr>
          <w:rFonts w:asciiTheme="minorHAnsi" w:eastAsiaTheme="minorHAnsi" w:hAnsiTheme="minorHAnsi" w:cstheme="minorBidi"/>
          <w:color w:val="auto"/>
          <w:sz w:val="22"/>
          <w:szCs w:val="22"/>
          <w:lang w:val="ro-RO"/>
        </w:rPr>
        <w:id w:val="-460956067"/>
        <w:docPartObj>
          <w:docPartGallery w:val="Table of Contents"/>
          <w:docPartUnique/>
        </w:docPartObj>
      </w:sdtPr>
      <w:sdtEndPr>
        <w:rPr>
          <w:b/>
          <w:bCs/>
          <w:noProof/>
        </w:rPr>
      </w:sdtEndPr>
      <w:sdtContent>
        <w:p w:rsidR="00346EE8" w:rsidRDefault="00346EE8">
          <w:pPr>
            <w:pStyle w:val="TOCHeading"/>
          </w:pPr>
          <w:r>
            <w:t>Contents</w:t>
          </w:r>
        </w:p>
        <w:p w:rsidR="00346EE8" w:rsidRDefault="007D2C11">
          <w:pPr>
            <w:pStyle w:val="TOC1"/>
            <w:tabs>
              <w:tab w:val="right" w:leader="dot" w:pos="9062"/>
            </w:tabs>
            <w:rPr>
              <w:rFonts w:eastAsiaTheme="minorEastAsia"/>
              <w:noProof/>
              <w:kern w:val="2"/>
              <w:lang w:eastAsia="ro-RO"/>
            </w:rPr>
          </w:pPr>
          <w:r w:rsidRPr="007D2C11">
            <w:fldChar w:fldCharType="begin"/>
          </w:r>
          <w:r w:rsidR="00346EE8">
            <w:instrText xml:space="preserve"> TOC \o "1-3" \h \z \u </w:instrText>
          </w:r>
          <w:r w:rsidRPr="007D2C11">
            <w:fldChar w:fldCharType="separate"/>
          </w:r>
          <w:hyperlink w:anchor="_Toc153891479" w:history="1">
            <w:r w:rsidR="00346EE8" w:rsidRPr="007D0862">
              <w:rPr>
                <w:rStyle w:val="Hyperlink"/>
                <w:b/>
                <w:bCs/>
                <w:noProof/>
              </w:rPr>
              <w:t xml:space="preserve">The </w:t>
            </w:r>
            <w:r w:rsidR="005548A3">
              <w:rPr>
                <w:rStyle w:val="Hyperlink"/>
                <w:b/>
                <w:bCs/>
                <w:noProof/>
              </w:rPr>
              <w:t>C</w:t>
            </w:r>
            <w:r w:rsidR="00346EE8" w:rsidRPr="007D0862">
              <w:rPr>
                <w:rStyle w:val="Hyperlink"/>
                <w:b/>
                <w:bCs/>
                <w:noProof/>
              </w:rPr>
              <w:t>ontext of British Business Communication</w:t>
            </w:r>
            <w:r w:rsidR="00346EE8">
              <w:rPr>
                <w:noProof/>
                <w:webHidden/>
              </w:rPr>
              <w:tab/>
            </w:r>
            <w:r>
              <w:rPr>
                <w:noProof/>
                <w:webHidden/>
              </w:rPr>
              <w:fldChar w:fldCharType="begin"/>
            </w:r>
            <w:r w:rsidR="00346EE8">
              <w:rPr>
                <w:noProof/>
                <w:webHidden/>
              </w:rPr>
              <w:instrText xml:space="preserve"> PAGEREF _Toc153891479 \h </w:instrText>
            </w:r>
            <w:r>
              <w:rPr>
                <w:noProof/>
                <w:webHidden/>
              </w:rPr>
            </w:r>
            <w:r>
              <w:rPr>
                <w:noProof/>
                <w:webHidden/>
              </w:rPr>
              <w:fldChar w:fldCharType="separate"/>
            </w:r>
            <w:r w:rsidR="00346EE8">
              <w:rPr>
                <w:noProof/>
                <w:webHidden/>
              </w:rPr>
              <w:t>2</w:t>
            </w:r>
            <w:r>
              <w:rPr>
                <w:noProof/>
                <w:webHidden/>
              </w:rPr>
              <w:fldChar w:fldCharType="end"/>
            </w:r>
          </w:hyperlink>
        </w:p>
        <w:p w:rsidR="00346EE8" w:rsidRDefault="007D2C11">
          <w:pPr>
            <w:pStyle w:val="TOC1"/>
            <w:tabs>
              <w:tab w:val="right" w:leader="dot" w:pos="9062"/>
            </w:tabs>
            <w:rPr>
              <w:rFonts w:eastAsiaTheme="minorEastAsia"/>
              <w:noProof/>
              <w:kern w:val="2"/>
              <w:lang w:eastAsia="ro-RO"/>
            </w:rPr>
          </w:pPr>
          <w:hyperlink w:anchor="_Toc153891480" w:history="1">
            <w:r w:rsidR="00346EE8" w:rsidRPr="007D0862">
              <w:rPr>
                <w:rStyle w:val="Hyperlink"/>
                <w:b/>
                <w:bCs/>
                <w:noProof/>
              </w:rPr>
              <w:t>GlaxoSmithKline Presentation</w:t>
            </w:r>
            <w:r w:rsidR="00346EE8">
              <w:rPr>
                <w:noProof/>
                <w:webHidden/>
              </w:rPr>
              <w:tab/>
            </w:r>
            <w:r>
              <w:rPr>
                <w:noProof/>
                <w:webHidden/>
              </w:rPr>
              <w:fldChar w:fldCharType="begin"/>
            </w:r>
            <w:r w:rsidR="00346EE8">
              <w:rPr>
                <w:noProof/>
                <w:webHidden/>
              </w:rPr>
              <w:instrText xml:space="preserve"> PAGEREF _Toc153891480 \h </w:instrText>
            </w:r>
            <w:r>
              <w:rPr>
                <w:noProof/>
                <w:webHidden/>
              </w:rPr>
            </w:r>
            <w:r>
              <w:rPr>
                <w:noProof/>
                <w:webHidden/>
              </w:rPr>
              <w:fldChar w:fldCharType="separate"/>
            </w:r>
            <w:r w:rsidR="00346EE8">
              <w:rPr>
                <w:noProof/>
                <w:webHidden/>
              </w:rPr>
              <w:t>3</w:t>
            </w:r>
            <w:r>
              <w:rPr>
                <w:noProof/>
                <w:webHidden/>
              </w:rPr>
              <w:fldChar w:fldCharType="end"/>
            </w:r>
          </w:hyperlink>
        </w:p>
        <w:p w:rsidR="00346EE8" w:rsidRDefault="007D2C11">
          <w:pPr>
            <w:pStyle w:val="TOC1"/>
            <w:tabs>
              <w:tab w:val="right" w:leader="dot" w:pos="9062"/>
            </w:tabs>
            <w:rPr>
              <w:rFonts w:eastAsiaTheme="minorEastAsia"/>
              <w:noProof/>
              <w:kern w:val="2"/>
              <w:lang w:eastAsia="ro-RO"/>
            </w:rPr>
          </w:pPr>
          <w:hyperlink w:anchor="_Toc153891481" w:history="1">
            <w:r w:rsidR="00346EE8" w:rsidRPr="007D0862">
              <w:rPr>
                <w:rStyle w:val="Hyperlink"/>
                <w:b/>
                <w:bCs/>
                <w:noProof/>
              </w:rPr>
              <w:t>Assessment of Italy</w:t>
            </w:r>
            <w:r w:rsidR="00346EE8">
              <w:rPr>
                <w:noProof/>
                <w:webHidden/>
              </w:rPr>
              <w:tab/>
            </w:r>
            <w:r>
              <w:rPr>
                <w:noProof/>
                <w:webHidden/>
              </w:rPr>
              <w:fldChar w:fldCharType="begin"/>
            </w:r>
            <w:r w:rsidR="00346EE8">
              <w:rPr>
                <w:noProof/>
                <w:webHidden/>
              </w:rPr>
              <w:instrText xml:space="preserve"> PAGEREF _Toc153891481 \h </w:instrText>
            </w:r>
            <w:r>
              <w:rPr>
                <w:noProof/>
                <w:webHidden/>
              </w:rPr>
            </w:r>
            <w:r>
              <w:rPr>
                <w:noProof/>
                <w:webHidden/>
              </w:rPr>
              <w:fldChar w:fldCharType="separate"/>
            </w:r>
            <w:r w:rsidR="00346EE8">
              <w:rPr>
                <w:noProof/>
                <w:webHidden/>
              </w:rPr>
              <w:t>5</w:t>
            </w:r>
            <w:r>
              <w:rPr>
                <w:noProof/>
                <w:webHidden/>
              </w:rPr>
              <w:fldChar w:fldCharType="end"/>
            </w:r>
          </w:hyperlink>
        </w:p>
        <w:p w:rsidR="00346EE8" w:rsidRDefault="007D2C11">
          <w:pPr>
            <w:pStyle w:val="TOC1"/>
            <w:tabs>
              <w:tab w:val="right" w:leader="dot" w:pos="9062"/>
            </w:tabs>
            <w:rPr>
              <w:rFonts w:eastAsiaTheme="minorEastAsia"/>
              <w:noProof/>
              <w:kern w:val="2"/>
              <w:lang w:eastAsia="ro-RO"/>
            </w:rPr>
          </w:pPr>
          <w:hyperlink w:anchor="_Toc153891482" w:history="1">
            <w:r w:rsidR="00346EE8" w:rsidRPr="007D0862">
              <w:rPr>
                <w:rStyle w:val="Hyperlink"/>
                <w:b/>
                <w:bCs/>
                <w:noProof/>
              </w:rPr>
              <w:t>Assessment of Sweden</w:t>
            </w:r>
            <w:r w:rsidR="00346EE8">
              <w:rPr>
                <w:noProof/>
                <w:webHidden/>
              </w:rPr>
              <w:tab/>
            </w:r>
            <w:r>
              <w:rPr>
                <w:noProof/>
                <w:webHidden/>
              </w:rPr>
              <w:fldChar w:fldCharType="begin"/>
            </w:r>
            <w:r w:rsidR="00346EE8">
              <w:rPr>
                <w:noProof/>
                <w:webHidden/>
              </w:rPr>
              <w:instrText xml:space="preserve"> PAGEREF _Toc153891482 \h </w:instrText>
            </w:r>
            <w:r>
              <w:rPr>
                <w:noProof/>
                <w:webHidden/>
              </w:rPr>
            </w:r>
            <w:r>
              <w:rPr>
                <w:noProof/>
                <w:webHidden/>
              </w:rPr>
              <w:fldChar w:fldCharType="separate"/>
            </w:r>
            <w:r w:rsidR="00346EE8">
              <w:rPr>
                <w:noProof/>
                <w:webHidden/>
              </w:rPr>
              <w:t>5</w:t>
            </w:r>
            <w:r>
              <w:rPr>
                <w:noProof/>
                <w:webHidden/>
              </w:rPr>
              <w:fldChar w:fldCharType="end"/>
            </w:r>
          </w:hyperlink>
        </w:p>
        <w:p w:rsidR="00346EE8" w:rsidRDefault="007D2C11">
          <w:pPr>
            <w:pStyle w:val="TOC1"/>
            <w:tabs>
              <w:tab w:val="right" w:leader="dot" w:pos="9062"/>
            </w:tabs>
            <w:rPr>
              <w:rFonts w:eastAsiaTheme="minorEastAsia"/>
              <w:noProof/>
              <w:kern w:val="2"/>
              <w:lang w:eastAsia="ro-RO"/>
            </w:rPr>
          </w:pPr>
          <w:hyperlink w:anchor="_Toc153891483" w:history="1">
            <w:r w:rsidR="00346EE8" w:rsidRPr="007D0862">
              <w:rPr>
                <w:rStyle w:val="Hyperlink"/>
                <w:b/>
                <w:bCs/>
                <w:noProof/>
              </w:rPr>
              <w:t>Communication Barriers</w:t>
            </w:r>
            <w:r w:rsidR="00346EE8">
              <w:rPr>
                <w:noProof/>
                <w:webHidden/>
              </w:rPr>
              <w:tab/>
            </w:r>
            <w:r>
              <w:rPr>
                <w:noProof/>
                <w:webHidden/>
              </w:rPr>
              <w:fldChar w:fldCharType="begin"/>
            </w:r>
            <w:r w:rsidR="00346EE8">
              <w:rPr>
                <w:noProof/>
                <w:webHidden/>
              </w:rPr>
              <w:instrText xml:space="preserve"> PAGEREF _Toc153891483 \h </w:instrText>
            </w:r>
            <w:r>
              <w:rPr>
                <w:noProof/>
                <w:webHidden/>
              </w:rPr>
            </w:r>
            <w:r>
              <w:rPr>
                <w:noProof/>
                <w:webHidden/>
              </w:rPr>
              <w:fldChar w:fldCharType="separate"/>
            </w:r>
            <w:r w:rsidR="00346EE8">
              <w:rPr>
                <w:noProof/>
                <w:webHidden/>
              </w:rPr>
              <w:t>6</w:t>
            </w:r>
            <w:r>
              <w:rPr>
                <w:noProof/>
                <w:webHidden/>
              </w:rPr>
              <w:fldChar w:fldCharType="end"/>
            </w:r>
          </w:hyperlink>
        </w:p>
        <w:p w:rsidR="00346EE8" w:rsidRDefault="007D2C11">
          <w:pPr>
            <w:pStyle w:val="TOC1"/>
            <w:tabs>
              <w:tab w:val="right" w:leader="dot" w:pos="9062"/>
            </w:tabs>
            <w:rPr>
              <w:rFonts w:eastAsiaTheme="minorEastAsia"/>
              <w:noProof/>
              <w:kern w:val="2"/>
              <w:lang w:eastAsia="ro-RO"/>
            </w:rPr>
          </w:pPr>
          <w:hyperlink w:anchor="_Toc153891484" w:history="1">
            <w:r w:rsidR="00346EE8" w:rsidRPr="007D0862">
              <w:rPr>
                <w:rStyle w:val="Hyperlink"/>
                <w:b/>
                <w:bCs/>
                <w:noProof/>
              </w:rPr>
              <w:t>Recommended Countries and Strategies</w:t>
            </w:r>
            <w:r w:rsidR="00346EE8">
              <w:rPr>
                <w:noProof/>
                <w:webHidden/>
              </w:rPr>
              <w:tab/>
            </w:r>
            <w:r>
              <w:rPr>
                <w:noProof/>
                <w:webHidden/>
              </w:rPr>
              <w:fldChar w:fldCharType="begin"/>
            </w:r>
            <w:r w:rsidR="00346EE8">
              <w:rPr>
                <w:noProof/>
                <w:webHidden/>
              </w:rPr>
              <w:instrText xml:space="preserve"> PAGEREF _Toc153891484 \h </w:instrText>
            </w:r>
            <w:r>
              <w:rPr>
                <w:noProof/>
                <w:webHidden/>
              </w:rPr>
            </w:r>
            <w:r>
              <w:rPr>
                <w:noProof/>
                <w:webHidden/>
              </w:rPr>
              <w:fldChar w:fldCharType="separate"/>
            </w:r>
            <w:r w:rsidR="00346EE8">
              <w:rPr>
                <w:noProof/>
                <w:webHidden/>
              </w:rPr>
              <w:t>7</w:t>
            </w:r>
            <w:r>
              <w:rPr>
                <w:noProof/>
                <w:webHidden/>
              </w:rPr>
              <w:fldChar w:fldCharType="end"/>
            </w:r>
          </w:hyperlink>
        </w:p>
        <w:p w:rsidR="00346EE8" w:rsidRDefault="007D2C11">
          <w:pPr>
            <w:pStyle w:val="TOC1"/>
            <w:tabs>
              <w:tab w:val="right" w:leader="dot" w:pos="9062"/>
            </w:tabs>
            <w:rPr>
              <w:rFonts w:eastAsiaTheme="minorEastAsia"/>
              <w:noProof/>
              <w:kern w:val="2"/>
              <w:lang w:eastAsia="ro-RO"/>
            </w:rPr>
          </w:pPr>
          <w:hyperlink w:anchor="_Toc153891485" w:history="1">
            <w:r w:rsidR="00346EE8" w:rsidRPr="007D0862">
              <w:rPr>
                <w:rStyle w:val="Hyperlink"/>
                <w:b/>
                <w:bCs/>
                <w:noProof/>
              </w:rPr>
              <w:t>Conclusions</w:t>
            </w:r>
            <w:r w:rsidR="00346EE8">
              <w:rPr>
                <w:noProof/>
                <w:webHidden/>
              </w:rPr>
              <w:tab/>
            </w:r>
            <w:r>
              <w:rPr>
                <w:noProof/>
                <w:webHidden/>
              </w:rPr>
              <w:fldChar w:fldCharType="begin"/>
            </w:r>
            <w:r w:rsidR="00346EE8">
              <w:rPr>
                <w:noProof/>
                <w:webHidden/>
              </w:rPr>
              <w:instrText xml:space="preserve"> PAGEREF _Toc153891485 \h </w:instrText>
            </w:r>
            <w:r>
              <w:rPr>
                <w:noProof/>
                <w:webHidden/>
              </w:rPr>
            </w:r>
            <w:r>
              <w:rPr>
                <w:noProof/>
                <w:webHidden/>
              </w:rPr>
              <w:fldChar w:fldCharType="separate"/>
            </w:r>
            <w:r w:rsidR="00346EE8">
              <w:rPr>
                <w:noProof/>
                <w:webHidden/>
              </w:rPr>
              <w:t>8</w:t>
            </w:r>
            <w:r>
              <w:rPr>
                <w:noProof/>
                <w:webHidden/>
              </w:rPr>
              <w:fldChar w:fldCharType="end"/>
            </w:r>
          </w:hyperlink>
        </w:p>
        <w:p w:rsidR="00346EE8" w:rsidRDefault="007D2C11">
          <w:pPr>
            <w:pStyle w:val="TOC1"/>
            <w:tabs>
              <w:tab w:val="right" w:leader="dot" w:pos="9062"/>
            </w:tabs>
            <w:rPr>
              <w:rFonts w:eastAsiaTheme="minorEastAsia"/>
              <w:noProof/>
              <w:kern w:val="2"/>
              <w:lang w:eastAsia="ro-RO"/>
            </w:rPr>
          </w:pPr>
          <w:hyperlink w:anchor="_Toc153891486" w:history="1">
            <w:r w:rsidR="00346EE8" w:rsidRPr="007D0862">
              <w:rPr>
                <w:rStyle w:val="Hyperlink"/>
                <w:b/>
                <w:bCs/>
                <w:noProof/>
              </w:rPr>
              <w:t>References</w:t>
            </w:r>
            <w:r w:rsidR="00346EE8">
              <w:rPr>
                <w:noProof/>
                <w:webHidden/>
              </w:rPr>
              <w:tab/>
            </w:r>
            <w:r w:rsidR="00811D59">
              <w:rPr>
                <w:noProof/>
                <w:webHidden/>
              </w:rPr>
              <w:t>10</w:t>
            </w:r>
          </w:hyperlink>
        </w:p>
        <w:p w:rsidR="00346EE8" w:rsidRDefault="007D2C11">
          <w:r>
            <w:rPr>
              <w:b/>
              <w:bCs/>
              <w:noProof/>
            </w:rPr>
            <w:fldChar w:fldCharType="end"/>
          </w:r>
        </w:p>
      </w:sdtContent>
    </w:sdt>
    <w:p w:rsidR="003A7705" w:rsidRDefault="003A7705" w:rsidP="003A7705"/>
    <w:p w:rsidR="003A7705" w:rsidRDefault="003A7705" w:rsidP="003A7705"/>
    <w:p w:rsidR="003A7705" w:rsidRDefault="003A7705" w:rsidP="003A7705"/>
    <w:p w:rsidR="003A7705" w:rsidRDefault="003A7705" w:rsidP="003A7705"/>
    <w:p w:rsidR="003A7705" w:rsidRPr="003A7705" w:rsidRDefault="003A7705" w:rsidP="003A7705"/>
    <w:p w:rsidR="003A7705" w:rsidRPr="003A7705" w:rsidRDefault="003A7705" w:rsidP="003A7705"/>
    <w:p w:rsidR="003A7705" w:rsidRDefault="003A7705" w:rsidP="003A7705">
      <w:pPr>
        <w:pStyle w:val="Heading1"/>
        <w:rPr>
          <w:b/>
          <w:bCs/>
        </w:rPr>
      </w:pPr>
    </w:p>
    <w:p w:rsidR="003A7705" w:rsidRDefault="003A7705" w:rsidP="003A7705">
      <w:pPr>
        <w:pStyle w:val="Heading1"/>
        <w:rPr>
          <w:b/>
          <w:bCs/>
        </w:rPr>
      </w:pPr>
    </w:p>
    <w:p w:rsidR="003A7705" w:rsidRDefault="003A7705" w:rsidP="003A7705">
      <w:pPr>
        <w:pStyle w:val="Heading1"/>
        <w:rPr>
          <w:b/>
          <w:bCs/>
        </w:rPr>
      </w:pPr>
    </w:p>
    <w:p w:rsidR="003A7705" w:rsidRDefault="003A7705" w:rsidP="003A7705">
      <w:pPr>
        <w:pStyle w:val="Heading1"/>
        <w:rPr>
          <w:b/>
          <w:bCs/>
        </w:rPr>
      </w:pPr>
    </w:p>
    <w:p w:rsidR="00346EE8" w:rsidRDefault="00346EE8" w:rsidP="00346EE8"/>
    <w:p w:rsidR="00346EE8" w:rsidRDefault="00346EE8" w:rsidP="00346EE8"/>
    <w:p w:rsidR="00346EE8" w:rsidRDefault="00346EE8" w:rsidP="00346EE8"/>
    <w:p w:rsidR="005548A3" w:rsidRDefault="005548A3" w:rsidP="00346EE8"/>
    <w:p w:rsidR="005548A3" w:rsidRDefault="005548A3" w:rsidP="00346EE8"/>
    <w:p w:rsidR="005548A3" w:rsidRDefault="005548A3" w:rsidP="00346EE8"/>
    <w:p w:rsidR="005548A3" w:rsidRPr="00346EE8" w:rsidRDefault="005548A3" w:rsidP="00346EE8"/>
    <w:p w:rsidR="003A7705" w:rsidRPr="003A7705" w:rsidRDefault="003A7705" w:rsidP="003A7705">
      <w:pPr>
        <w:pStyle w:val="Heading1"/>
        <w:rPr>
          <w:b/>
          <w:bCs/>
        </w:rPr>
      </w:pPr>
      <w:bookmarkStart w:id="0" w:name="_Toc153891387"/>
      <w:bookmarkStart w:id="1" w:name="_Toc153891479"/>
      <w:r w:rsidRPr="003A7705">
        <w:rPr>
          <w:b/>
          <w:bCs/>
        </w:rPr>
        <w:t xml:space="preserve">The </w:t>
      </w:r>
      <w:r w:rsidR="0071238A">
        <w:rPr>
          <w:b/>
          <w:bCs/>
        </w:rPr>
        <w:t>Context</w:t>
      </w:r>
      <w:r w:rsidRPr="003A7705">
        <w:rPr>
          <w:b/>
          <w:bCs/>
        </w:rPr>
        <w:t xml:space="preserve"> of British </w:t>
      </w:r>
      <w:r>
        <w:rPr>
          <w:b/>
          <w:bCs/>
        </w:rPr>
        <w:t>B</w:t>
      </w:r>
      <w:r w:rsidRPr="003A7705">
        <w:rPr>
          <w:b/>
          <w:bCs/>
        </w:rPr>
        <w:t xml:space="preserve">usiness </w:t>
      </w:r>
      <w:r>
        <w:rPr>
          <w:b/>
          <w:bCs/>
        </w:rPr>
        <w:t>C</w:t>
      </w:r>
      <w:r w:rsidRPr="003A7705">
        <w:rPr>
          <w:b/>
          <w:bCs/>
        </w:rPr>
        <w:t>ommunication</w:t>
      </w:r>
      <w:bookmarkEnd w:id="0"/>
      <w:bookmarkEnd w:id="1"/>
    </w:p>
    <w:p w:rsidR="003A7705" w:rsidRPr="003A7705" w:rsidRDefault="003A7705" w:rsidP="003A7705">
      <w:pPr>
        <w:spacing w:line="360" w:lineRule="auto"/>
        <w:jc w:val="both"/>
        <w:rPr>
          <w:rFonts w:asciiTheme="majorHAnsi" w:hAnsiTheme="majorHAnsi" w:cstheme="majorHAnsi"/>
          <w:sz w:val="24"/>
          <w:szCs w:val="24"/>
        </w:rPr>
      </w:pPr>
      <w:r>
        <w:rPr>
          <w:rFonts w:asciiTheme="majorHAnsi" w:hAnsiTheme="majorHAnsi" w:cstheme="majorHAnsi"/>
          <w:sz w:val="24"/>
          <w:szCs w:val="24"/>
        </w:rPr>
        <w:t>Organizations</w:t>
      </w:r>
      <w:r w:rsidRPr="003A7705">
        <w:rPr>
          <w:rFonts w:asciiTheme="majorHAnsi" w:hAnsiTheme="majorHAnsi" w:cstheme="majorHAnsi"/>
          <w:sz w:val="24"/>
          <w:szCs w:val="24"/>
        </w:rPr>
        <w:t xml:space="preserve"> expanding to new international markets need effective business communication. GlaxoSmithKline, a British multinational company, must take into account factors such as cultural differences, language </w:t>
      </w:r>
      <w:r>
        <w:rPr>
          <w:rFonts w:asciiTheme="majorHAnsi" w:hAnsiTheme="majorHAnsi" w:cstheme="majorHAnsi"/>
          <w:sz w:val="24"/>
          <w:szCs w:val="24"/>
        </w:rPr>
        <w:t>barriers</w:t>
      </w:r>
      <w:r w:rsidRPr="003A7705">
        <w:rPr>
          <w:rFonts w:asciiTheme="majorHAnsi" w:hAnsiTheme="majorHAnsi" w:cstheme="majorHAnsi"/>
          <w:sz w:val="24"/>
          <w:szCs w:val="24"/>
        </w:rPr>
        <w:t>, and diversity of workforce when entering a new EU marketplace. This report assesses GSK's potential to expand into Italy and Sweden by comparing the country profiles and cultural dimensions. It also provides recommendations for which EU market GSK should enter, along with strategies that will overcome challenges.</w:t>
      </w:r>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Effective cross-cultural communication is becoming more important for the success of UK companies such as GSK in expanding into new markets. (Harrison &amp; Brower</w:t>
      </w:r>
      <w:r>
        <w:rPr>
          <w:rFonts w:asciiTheme="majorHAnsi" w:hAnsiTheme="majorHAnsi" w:cstheme="majorHAnsi"/>
          <w:sz w:val="24"/>
          <w:szCs w:val="24"/>
        </w:rPr>
        <w:t>,</w:t>
      </w:r>
      <w:r w:rsidRPr="003A7705">
        <w:rPr>
          <w:rFonts w:asciiTheme="majorHAnsi" w:hAnsiTheme="majorHAnsi" w:cstheme="majorHAnsi"/>
          <w:sz w:val="24"/>
          <w:szCs w:val="24"/>
        </w:rPr>
        <w:t xml:space="preserve"> 2011). Although English is widely spoken by commercial partners and talent pools around the world, there are still subtle differences in communication styles, expectations, and norms that separate British communications from those of major European economies. </w:t>
      </w:r>
      <w:r>
        <w:rPr>
          <w:rFonts w:asciiTheme="majorHAnsi" w:hAnsiTheme="majorHAnsi" w:cstheme="majorHAnsi"/>
          <w:sz w:val="24"/>
          <w:szCs w:val="24"/>
        </w:rPr>
        <w:t>To</w:t>
      </w:r>
      <w:r w:rsidRPr="003A7705">
        <w:rPr>
          <w:rFonts w:asciiTheme="majorHAnsi" w:hAnsiTheme="majorHAnsi" w:cstheme="majorHAnsi"/>
          <w:sz w:val="24"/>
          <w:szCs w:val="24"/>
        </w:rPr>
        <w:t xml:space="preserve"> improve engagement, </w:t>
      </w:r>
      <w:r>
        <w:rPr>
          <w:rFonts w:asciiTheme="majorHAnsi" w:hAnsiTheme="majorHAnsi" w:cstheme="majorHAnsi"/>
          <w:sz w:val="24"/>
          <w:szCs w:val="24"/>
        </w:rPr>
        <w:t>approaches must be</w:t>
      </w:r>
      <w:r w:rsidRPr="003A7705">
        <w:rPr>
          <w:rFonts w:asciiTheme="majorHAnsi" w:hAnsiTheme="majorHAnsi" w:cstheme="majorHAnsi"/>
          <w:sz w:val="24"/>
          <w:szCs w:val="24"/>
        </w:rPr>
        <w:t xml:space="preserve"> adapted </w:t>
      </w:r>
      <w:r>
        <w:rPr>
          <w:rFonts w:asciiTheme="majorHAnsi" w:hAnsiTheme="majorHAnsi" w:cstheme="majorHAnsi"/>
          <w:sz w:val="24"/>
          <w:szCs w:val="24"/>
        </w:rPr>
        <w:t>following</w:t>
      </w:r>
      <w:r w:rsidRPr="003A7705">
        <w:rPr>
          <w:rFonts w:asciiTheme="majorHAnsi" w:hAnsiTheme="majorHAnsi" w:cstheme="majorHAnsi"/>
          <w:sz w:val="24"/>
          <w:szCs w:val="24"/>
        </w:rPr>
        <w:t xml:space="preserve"> the local audiences and preferences (Piekkari, et. al.,2015). Conscious change management can help British multinationals with ingrained practices that have been </w:t>
      </w:r>
      <w:r>
        <w:rPr>
          <w:rFonts w:asciiTheme="majorHAnsi" w:hAnsiTheme="majorHAnsi" w:cstheme="majorHAnsi"/>
          <w:sz w:val="24"/>
          <w:szCs w:val="24"/>
        </w:rPr>
        <w:t>ingrained</w:t>
      </w:r>
      <w:r w:rsidRPr="003A7705">
        <w:rPr>
          <w:rFonts w:asciiTheme="majorHAnsi" w:hAnsiTheme="majorHAnsi" w:cstheme="majorHAnsi"/>
          <w:sz w:val="24"/>
          <w:szCs w:val="24"/>
        </w:rPr>
        <w:t xml:space="preserve"> over many decades, such as norms of understatement and specificity preferences.</w:t>
      </w:r>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In pharma innovation specifically, the established UK communication code is taciturn, precision-oriented, and contrasts with many continental counterparts who prefer animated gestures, or narratives that are more broad-based (Busco et al.</w:t>
      </w:r>
      <w:r>
        <w:rPr>
          <w:rFonts w:asciiTheme="majorHAnsi" w:hAnsiTheme="majorHAnsi" w:cstheme="majorHAnsi"/>
          <w:sz w:val="24"/>
          <w:szCs w:val="24"/>
        </w:rPr>
        <w:t>,</w:t>
      </w:r>
      <w:r w:rsidRPr="003A7705">
        <w:rPr>
          <w:rFonts w:asciiTheme="majorHAnsi" w:hAnsiTheme="majorHAnsi" w:cstheme="majorHAnsi"/>
          <w:sz w:val="24"/>
          <w:szCs w:val="24"/>
        </w:rPr>
        <w:t xml:space="preserve"> 2017). </w:t>
      </w:r>
      <w:r>
        <w:rPr>
          <w:rFonts w:asciiTheme="majorHAnsi" w:hAnsiTheme="majorHAnsi" w:cstheme="majorHAnsi"/>
          <w:sz w:val="24"/>
          <w:szCs w:val="24"/>
        </w:rPr>
        <w:t>To</w:t>
      </w:r>
      <w:r w:rsidRPr="003A7705">
        <w:rPr>
          <w:rFonts w:asciiTheme="majorHAnsi" w:hAnsiTheme="majorHAnsi" w:cstheme="majorHAnsi"/>
          <w:sz w:val="24"/>
          <w:szCs w:val="24"/>
        </w:rPr>
        <w:t xml:space="preserve"> reconcile these differences, it is necessary to translate culturally across the management, R&amp;D</w:t>
      </w:r>
      <w:r>
        <w:rPr>
          <w:rFonts w:asciiTheme="majorHAnsi" w:hAnsiTheme="majorHAnsi" w:cstheme="majorHAnsi"/>
          <w:sz w:val="24"/>
          <w:szCs w:val="24"/>
        </w:rPr>
        <w:t>,</w:t>
      </w:r>
      <w:r w:rsidRPr="003A7705">
        <w:rPr>
          <w:rFonts w:asciiTheme="majorHAnsi" w:hAnsiTheme="majorHAnsi" w:cstheme="majorHAnsi"/>
          <w:sz w:val="24"/>
          <w:szCs w:val="24"/>
        </w:rPr>
        <w:t xml:space="preserve"> and commercial domains. Italy, for instance, exhibits a fiery Latin spirit with elaborate social rituals </w:t>
      </w:r>
      <w:r>
        <w:rPr>
          <w:rFonts w:asciiTheme="majorHAnsi" w:hAnsiTheme="majorHAnsi" w:cstheme="majorHAnsi"/>
          <w:sz w:val="24"/>
          <w:szCs w:val="24"/>
        </w:rPr>
        <w:t>before</w:t>
      </w:r>
      <w:r w:rsidRPr="003A7705">
        <w:rPr>
          <w:rFonts w:asciiTheme="majorHAnsi" w:hAnsiTheme="majorHAnsi" w:cstheme="majorHAnsi"/>
          <w:sz w:val="24"/>
          <w:szCs w:val="24"/>
        </w:rPr>
        <w:t xml:space="preserve"> business conduct (Lewis 2010). If you want to transfer technical knowledge in production lines or sell your visions to retailers, then you need to adjust the formal British verbal economies towards more expansive and relationship-centered southern styles (Zhang, et. al.,2014). Anker </w:t>
      </w:r>
      <w:r w:rsidR="005548A3">
        <w:rPr>
          <w:rFonts w:asciiTheme="majorHAnsi" w:hAnsiTheme="majorHAnsi" w:cstheme="majorHAnsi"/>
          <w:sz w:val="24"/>
          <w:szCs w:val="24"/>
        </w:rPr>
        <w:t>(</w:t>
      </w:r>
      <w:r w:rsidRPr="003A7705">
        <w:rPr>
          <w:rFonts w:asciiTheme="majorHAnsi" w:hAnsiTheme="majorHAnsi" w:cstheme="majorHAnsi"/>
          <w:sz w:val="24"/>
          <w:szCs w:val="24"/>
        </w:rPr>
        <w:t>2020</w:t>
      </w:r>
      <w:r w:rsidR="005548A3">
        <w:rPr>
          <w:rFonts w:asciiTheme="majorHAnsi" w:hAnsiTheme="majorHAnsi" w:cstheme="majorHAnsi"/>
          <w:sz w:val="24"/>
          <w:szCs w:val="24"/>
        </w:rPr>
        <w:t>)</w:t>
      </w:r>
      <w:r w:rsidRPr="003A7705">
        <w:rPr>
          <w:rFonts w:asciiTheme="majorHAnsi" w:hAnsiTheme="majorHAnsi" w:cstheme="majorHAnsi"/>
          <w:sz w:val="24"/>
          <w:szCs w:val="24"/>
        </w:rPr>
        <w:t xml:space="preserve"> argues that the Scandinavians' reserved manner, flat structures, and pragmatic priorities such as engineering excellence or design </w:t>
      </w:r>
      <w:r>
        <w:rPr>
          <w:rFonts w:asciiTheme="majorHAnsi" w:hAnsiTheme="majorHAnsi" w:cstheme="majorHAnsi"/>
          <w:sz w:val="24"/>
          <w:szCs w:val="24"/>
        </w:rPr>
        <w:t>simplicity</w:t>
      </w:r>
      <w:r w:rsidRPr="003A7705">
        <w:rPr>
          <w:rFonts w:asciiTheme="majorHAnsi" w:hAnsiTheme="majorHAnsi" w:cstheme="majorHAnsi"/>
          <w:sz w:val="24"/>
          <w:szCs w:val="24"/>
        </w:rPr>
        <w:t xml:space="preserve"> can make UK communication seem excessive. British firms can effectively communicate complex ideas and manage Nordic talent by adapting to scientifically empirical data presentations and measured expectations of collaboration (Razzouk &amp; Seitz</w:t>
      </w:r>
      <w:r>
        <w:rPr>
          <w:rFonts w:asciiTheme="majorHAnsi" w:hAnsiTheme="majorHAnsi" w:cstheme="majorHAnsi"/>
          <w:sz w:val="24"/>
          <w:szCs w:val="24"/>
        </w:rPr>
        <w:t>,</w:t>
      </w:r>
      <w:r w:rsidRPr="003A7705">
        <w:rPr>
          <w:rFonts w:asciiTheme="majorHAnsi" w:hAnsiTheme="majorHAnsi" w:cstheme="majorHAnsi"/>
          <w:sz w:val="24"/>
          <w:szCs w:val="24"/>
        </w:rPr>
        <w:t xml:space="preserve"> 2003).</w:t>
      </w:r>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lastRenderedPageBreak/>
        <w:t xml:space="preserve">In the face of Europe's diverse cultures, British multinationals can benefit from more adept and sensitive cross-cultural communication. When relevant behaviors differ from norms at home, adopting less reserved postures to facilitate group rapport or intervening more during free-flowing </w:t>
      </w:r>
      <w:r>
        <w:rPr>
          <w:rFonts w:asciiTheme="majorHAnsi" w:hAnsiTheme="majorHAnsi" w:cstheme="majorHAnsi"/>
          <w:sz w:val="24"/>
          <w:szCs w:val="24"/>
        </w:rPr>
        <w:t>workshops</w:t>
      </w:r>
      <w:r w:rsidRPr="003A7705">
        <w:rPr>
          <w:rFonts w:asciiTheme="majorHAnsi" w:hAnsiTheme="majorHAnsi" w:cstheme="majorHAnsi"/>
          <w:sz w:val="24"/>
          <w:szCs w:val="24"/>
        </w:rPr>
        <w:t xml:space="preserve"> can help engagement (Angouri</w:t>
      </w:r>
      <w:r>
        <w:rPr>
          <w:rFonts w:asciiTheme="majorHAnsi" w:hAnsiTheme="majorHAnsi" w:cstheme="majorHAnsi"/>
          <w:sz w:val="24"/>
          <w:szCs w:val="24"/>
        </w:rPr>
        <w:t>,</w:t>
      </w:r>
      <w:r w:rsidRPr="003A7705">
        <w:rPr>
          <w:rFonts w:asciiTheme="majorHAnsi" w:hAnsiTheme="majorHAnsi" w:cstheme="majorHAnsi"/>
          <w:sz w:val="24"/>
          <w:szCs w:val="24"/>
        </w:rPr>
        <w:t xml:space="preserve"> 2012). Asserting opinions directly, rather than expecting passive acceptance, can help clarify communication with German partners, for example (Rogerson Revell, 2007). It is important to recognize </w:t>
      </w:r>
      <w:r>
        <w:rPr>
          <w:rFonts w:asciiTheme="majorHAnsi" w:hAnsiTheme="majorHAnsi" w:cstheme="majorHAnsi"/>
          <w:sz w:val="24"/>
          <w:szCs w:val="24"/>
        </w:rPr>
        <w:t>that</w:t>
      </w:r>
      <w:r w:rsidRPr="003A7705">
        <w:rPr>
          <w:rFonts w:asciiTheme="majorHAnsi" w:hAnsiTheme="majorHAnsi" w:cstheme="majorHAnsi"/>
          <w:sz w:val="24"/>
          <w:szCs w:val="24"/>
        </w:rPr>
        <w:t xml:space="preserve"> adapting communication styles will have a greater impact than maintaining British identities. This balance allows for a new approach to be presented in a way that is sensitive and balanced. GSK's ability to tailor global pharmaceutical knowledge while transferring strengths such as clinical </w:t>
      </w:r>
      <w:r>
        <w:rPr>
          <w:rFonts w:asciiTheme="majorHAnsi" w:hAnsiTheme="majorHAnsi" w:cstheme="majorHAnsi"/>
          <w:sz w:val="24"/>
          <w:szCs w:val="24"/>
        </w:rPr>
        <w:t>rigor</w:t>
      </w:r>
      <w:r w:rsidRPr="003A7705">
        <w:rPr>
          <w:rFonts w:asciiTheme="majorHAnsi" w:hAnsiTheme="majorHAnsi" w:cstheme="majorHAnsi"/>
          <w:sz w:val="24"/>
          <w:szCs w:val="24"/>
        </w:rPr>
        <w:t>, and transferring them regionally, sustains differentiation. British companies turn variety into an advantage through communication agility.</w:t>
      </w:r>
    </w:p>
    <w:p w:rsidR="003A7705" w:rsidRPr="003A7705" w:rsidRDefault="003A7705" w:rsidP="003A7705">
      <w:pPr>
        <w:pStyle w:val="Heading1"/>
        <w:rPr>
          <w:b/>
          <w:bCs/>
        </w:rPr>
      </w:pPr>
      <w:bookmarkStart w:id="2" w:name="_Toc153891388"/>
      <w:bookmarkStart w:id="3" w:name="_Toc153891480"/>
      <w:r w:rsidRPr="003A7705">
        <w:rPr>
          <w:b/>
          <w:bCs/>
        </w:rPr>
        <w:t>GlaxoSmithKline Presentation</w:t>
      </w:r>
      <w:bookmarkEnd w:id="2"/>
      <w:bookmarkEnd w:id="3"/>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 xml:space="preserve">GlaxoSmithKline is a British pharmaceutical giant with its headquarters in Brentford. GSK was founded in 2000 by the merger of Glaxo Wellcome with SmithKline Beecham. It now has over 99,000 employees worldwide and generates </w:t>
      </w:r>
      <w:r>
        <w:rPr>
          <w:rFonts w:asciiTheme="majorHAnsi" w:hAnsiTheme="majorHAnsi" w:cstheme="majorHAnsi"/>
          <w:sz w:val="24"/>
          <w:szCs w:val="24"/>
        </w:rPr>
        <w:t>£</w:t>
      </w:r>
      <w:r w:rsidRPr="003A7705">
        <w:rPr>
          <w:rFonts w:asciiTheme="majorHAnsi" w:hAnsiTheme="majorHAnsi" w:cstheme="majorHAnsi"/>
          <w:sz w:val="24"/>
          <w:szCs w:val="24"/>
        </w:rPr>
        <w:t>34 Billion in revenue annually. GSK's main products and services are pharmaceuticals, consumer healthcare</w:t>
      </w:r>
      <w:r>
        <w:rPr>
          <w:rFonts w:asciiTheme="majorHAnsi" w:hAnsiTheme="majorHAnsi" w:cstheme="majorHAnsi"/>
          <w:sz w:val="24"/>
          <w:szCs w:val="24"/>
        </w:rPr>
        <w:t>,</w:t>
      </w:r>
      <w:r w:rsidRPr="003A7705">
        <w:rPr>
          <w:rFonts w:asciiTheme="majorHAnsi" w:hAnsiTheme="majorHAnsi" w:cstheme="majorHAnsi"/>
          <w:sz w:val="24"/>
          <w:szCs w:val="24"/>
        </w:rPr>
        <w:t xml:space="preserve"> and vaccines. GSK, as part of its global growth strategy fueled by the increased demand for healthcare in Europe</w:t>
      </w:r>
      <w:r>
        <w:rPr>
          <w:rFonts w:asciiTheme="majorHAnsi" w:hAnsiTheme="majorHAnsi" w:cstheme="majorHAnsi"/>
          <w:sz w:val="24"/>
          <w:szCs w:val="24"/>
        </w:rPr>
        <w:t>,</w:t>
      </w:r>
      <w:r w:rsidRPr="003A7705">
        <w:rPr>
          <w:rFonts w:asciiTheme="majorHAnsi" w:hAnsiTheme="majorHAnsi" w:cstheme="majorHAnsi"/>
          <w:sz w:val="24"/>
          <w:szCs w:val="24"/>
        </w:rPr>
        <w:t xml:space="preserve"> is looking at opportunities to open new operations in an EU country.</w:t>
      </w:r>
    </w:p>
    <w:p w:rsidR="003A7705" w:rsidRPr="003A7705" w:rsidRDefault="003A7705" w:rsidP="003A7705">
      <w:pPr>
        <w:spacing w:line="360" w:lineRule="auto"/>
        <w:jc w:val="both"/>
        <w:rPr>
          <w:rFonts w:asciiTheme="majorHAnsi" w:hAnsiTheme="majorHAnsi" w:cstheme="majorHAnsi"/>
          <w:sz w:val="24"/>
          <w:szCs w:val="24"/>
        </w:rPr>
      </w:pPr>
      <w:r>
        <w:rPr>
          <w:rFonts w:asciiTheme="majorHAnsi" w:hAnsiTheme="majorHAnsi" w:cstheme="majorHAnsi"/>
          <w:sz w:val="24"/>
          <w:szCs w:val="24"/>
        </w:rPr>
        <w:t>Globalization</w:t>
      </w:r>
      <w:r w:rsidRPr="003A7705">
        <w:rPr>
          <w:rFonts w:asciiTheme="majorHAnsi" w:hAnsiTheme="majorHAnsi" w:cstheme="majorHAnsi"/>
          <w:sz w:val="24"/>
          <w:szCs w:val="24"/>
        </w:rPr>
        <w:t xml:space="preserve"> is intensifying competition and leading British multinationals such as GSK are seeking new frontiers in Europe to achieve profit and innovation targets. They are attracted by the EU’s collective market of 450 million people (Smith, 2022). Communication across borders is crucial to progress, especially in a continent that is characterized by cultural diversity and commercial diversity. This complexity requires a tailored approach to managing it, reflecting a thorough analysis of the languages, risk factors</w:t>
      </w:r>
      <w:r w:rsidR="005548A3">
        <w:rPr>
          <w:rFonts w:asciiTheme="majorHAnsi" w:hAnsiTheme="majorHAnsi" w:cstheme="majorHAnsi"/>
          <w:sz w:val="24"/>
          <w:szCs w:val="24"/>
        </w:rPr>
        <w:t>,</w:t>
      </w:r>
      <w:r w:rsidRPr="003A7705">
        <w:rPr>
          <w:rFonts w:asciiTheme="majorHAnsi" w:hAnsiTheme="majorHAnsi" w:cstheme="majorHAnsi"/>
          <w:sz w:val="24"/>
          <w:szCs w:val="24"/>
        </w:rPr>
        <w:t xml:space="preserve"> and hierarchies that differentiate national talent pools and business eco-systems (Wilken, et. al., 2022). Using established models such as Hofstede or </w:t>
      </w:r>
      <w:r>
        <w:rPr>
          <w:rFonts w:asciiTheme="majorHAnsi" w:hAnsiTheme="majorHAnsi" w:cstheme="majorHAnsi"/>
          <w:sz w:val="24"/>
          <w:szCs w:val="24"/>
        </w:rPr>
        <w:t>Schwartz's</w:t>
      </w:r>
      <w:r w:rsidRPr="003A7705">
        <w:rPr>
          <w:rFonts w:asciiTheme="majorHAnsi" w:hAnsiTheme="majorHAnsi" w:cstheme="majorHAnsi"/>
          <w:sz w:val="24"/>
          <w:szCs w:val="24"/>
        </w:rPr>
        <w:t xml:space="preserve"> cultural evaluations, firms can make evidence-based decisions about whether German directness or Italian bureaucracy, or the odd Nordic silence, will hinder or enable everything from partner deals to staff relationships for British companies abroad. Language gaps can also be a barrier to progress in domains such as pharmaceuticals and engineering, which rely heavily on scientific terms that are not taught in the general education system across Europe(Bergenholtz &amp; Nord</w:t>
      </w:r>
      <w:r>
        <w:rPr>
          <w:rFonts w:asciiTheme="majorHAnsi" w:hAnsiTheme="majorHAnsi" w:cstheme="majorHAnsi"/>
          <w:sz w:val="24"/>
          <w:szCs w:val="24"/>
        </w:rPr>
        <w:t>,</w:t>
      </w:r>
      <w:r w:rsidRPr="003A7705">
        <w:rPr>
          <w:rFonts w:asciiTheme="majorHAnsi" w:hAnsiTheme="majorHAnsi" w:cstheme="majorHAnsi"/>
          <w:sz w:val="24"/>
          <w:szCs w:val="24"/>
        </w:rPr>
        <w:t xml:space="preserve"> 2019). The UK </w:t>
      </w:r>
      <w:r w:rsidRPr="003A7705">
        <w:rPr>
          <w:rFonts w:asciiTheme="majorHAnsi" w:hAnsiTheme="majorHAnsi" w:cstheme="majorHAnsi"/>
          <w:sz w:val="24"/>
          <w:szCs w:val="24"/>
        </w:rPr>
        <w:lastRenderedPageBreak/>
        <w:t xml:space="preserve">multinationals are under pressure to adapt their approaches </w:t>
      </w:r>
      <w:r>
        <w:rPr>
          <w:rFonts w:asciiTheme="majorHAnsi" w:hAnsiTheme="majorHAnsi" w:cstheme="majorHAnsi"/>
          <w:sz w:val="24"/>
          <w:szCs w:val="24"/>
        </w:rPr>
        <w:t>tobalancing</w:t>
      </w:r>
      <w:r w:rsidRPr="003A7705">
        <w:rPr>
          <w:rFonts w:asciiTheme="majorHAnsi" w:hAnsiTheme="majorHAnsi" w:cstheme="majorHAnsi"/>
          <w:sz w:val="24"/>
          <w:szCs w:val="24"/>
        </w:rPr>
        <w:t xml:space="preserve"> home consistency and flexibility for new markets.</w:t>
      </w:r>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Since the merger that formed GSK in 2000, the company has been able to balance global integration with local responsiveness. The company's communications strategy is now based on a 'glocal adaptation', which applies globally through consistent vision and systems while allowing for regional variation to address distinct marketplace needs (Friedman</w:t>
      </w:r>
      <w:r>
        <w:rPr>
          <w:rFonts w:asciiTheme="majorHAnsi" w:hAnsiTheme="majorHAnsi" w:cstheme="majorHAnsi"/>
          <w:sz w:val="24"/>
          <w:szCs w:val="24"/>
        </w:rPr>
        <w:t>,</w:t>
      </w:r>
      <w:r w:rsidRPr="003A7705">
        <w:rPr>
          <w:rFonts w:asciiTheme="majorHAnsi" w:hAnsiTheme="majorHAnsi" w:cstheme="majorHAnsi"/>
          <w:sz w:val="24"/>
          <w:szCs w:val="24"/>
        </w:rPr>
        <w:t xml:space="preserve"> 2022). Emma Walmsley, the CEO of GSK, acknowledges that enterprise success is dependent on "understanding local cultures and patient priorities while bringing together our [global] innovations" (Barton</w:t>
      </w:r>
      <w:r>
        <w:rPr>
          <w:rFonts w:asciiTheme="majorHAnsi" w:hAnsiTheme="majorHAnsi" w:cstheme="majorHAnsi"/>
          <w:sz w:val="24"/>
          <w:szCs w:val="24"/>
        </w:rPr>
        <w:t>,</w:t>
      </w:r>
      <w:r w:rsidRPr="003A7705">
        <w:rPr>
          <w:rFonts w:asciiTheme="majorHAnsi" w:hAnsiTheme="majorHAnsi" w:cstheme="majorHAnsi"/>
          <w:sz w:val="24"/>
          <w:szCs w:val="24"/>
        </w:rPr>
        <w:t xml:space="preserve"> 2022). Combining this combination allows for the harnessing of universal scientific expertise such as </w:t>
      </w:r>
      <w:r>
        <w:rPr>
          <w:rFonts w:asciiTheme="majorHAnsi" w:hAnsiTheme="majorHAnsi" w:cstheme="majorHAnsi"/>
          <w:sz w:val="24"/>
          <w:szCs w:val="24"/>
        </w:rPr>
        <w:t>vaccine</w:t>
      </w:r>
      <w:r w:rsidRPr="003A7705">
        <w:rPr>
          <w:rFonts w:asciiTheme="majorHAnsi" w:hAnsiTheme="majorHAnsi" w:cstheme="majorHAnsi"/>
          <w:sz w:val="24"/>
          <w:szCs w:val="24"/>
        </w:rPr>
        <w:t xml:space="preserve"> R&amp;D in </w:t>
      </w:r>
      <w:r>
        <w:rPr>
          <w:rFonts w:asciiTheme="majorHAnsi" w:hAnsiTheme="majorHAnsi" w:cstheme="majorHAnsi"/>
          <w:sz w:val="24"/>
          <w:szCs w:val="24"/>
        </w:rPr>
        <w:t>centers</w:t>
      </w:r>
      <w:r w:rsidRPr="003A7705">
        <w:rPr>
          <w:rFonts w:asciiTheme="majorHAnsi" w:hAnsiTheme="majorHAnsi" w:cstheme="majorHAnsi"/>
          <w:sz w:val="24"/>
          <w:szCs w:val="24"/>
        </w:rPr>
        <w:t xml:space="preserve"> in Belgium, with local insights such as Brazilian consumer expectations or Chinese regulatory complexity - </w:t>
      </w:r>
      <w:r>
        <w:rPr>
          <w:rFonts w:asciiTheme="majorHAnsi" w:hAnsiTheme="majorHAnsi" w:cstheme="majorHAnsi"/>
          <w:sz w:val="24"/>
          <w:szCs w:val="24"/>
        </w:rPr>
        <w:t>realizing</w:t>
      </w:r>
      <w:r w:rsidRPr="003A7705">
        <w:rPr>
          <w:rFonts w:asciiTheme="majorHAnsi" w:hAnsiTheme="majorHAnsi" w:cstheme="majorHAnsi"/>
          <w:sz w:val="24"/>
          <w:szCs w:val="24"/>
        </w:rPr>
        <w:t xml:space="preserve"> a synergy by bridging community and universal priorities through communication. This is where British multinationals can lead in Europe's mosaic languages and preferences, by embracing nuanced approaches to engagement that are tuned to each market's dynamics.</w:t>
      </w:r>
    </w:p>
    <w:p w:rsidR="003A7705" w:rsidRPr="003A7705" w:rsidRDefault="003A7705" w:rsidP="003A7705">
      <w:pPr>
        <w:pStyle w:val="Heading1"/>
        <w:rPr>
          <w:b/>
          <w:bCs/>
        </w:rPr>
      </w:pPr>
      <w:bookmarkStart w:id="4" w:name="_Toc153891389"/>
      <w:bookmarkStart w:id="5" w:name="_Toc153891481"/>
      <w:r w:rsidRPr="003A7705">
        <w:rPr>
          <w:b/>
          <w:bCs/>
        </w:rPr>
        <w:t>Assessment of Italy</w:t>
      </w:r>
      <w:bookmarkEnd w:id="4"/>
      <w:bookmarkEnd w:id="5"/>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 xml:space="preserve">Modern Italy, the 8th-largest economy in the world, is a country of great capacity, from manufacturing excellence and luxury craftsmanship traditions to its historical innovation icons such as da Vinci and Galileo (Molteni &amp;Onetti, 2022). Fashion and food are the two industries that define Italy today. They are both key pillars </w:t>
      </w:r>
      <w:r>
        <w:rPr>
          <w:rFonts w:asciiTheme="majorHAnsi" w:hAnsiTheme="majorHAnsi" w:cstheme="majorHAnsi"/>
          <w:sz w:val="24"/>
          <w:szCs w:val="24"/>
        </w:rPr>
        <w:t>of</w:t>
      </w:r>
      <w:r w:rsidRPr="003A7705">
        <w:rPr>
          <w:rFonts w:asciiTheme="majorHAnsi" w:hAnsiTheme="majorHAnsi" w:cstheme="majorHAnsi"/>
          <w:sz w:val="24"/>
          <w:szCs w:val="24"/>
        </w:rPr>
        <w:t xml:space="preserve"> global consumer culture. It is difficult for foreign partners to engage Italy because of the 250,000 </w:t>
      </w:r>
      <w:r>
        <w:rPr>
          <w:rFonts w:asciiTheme="majorHAnsi" w:hAnsiTheme="majorHAnsi" w:cstheme="majorHAnsi"/>
          <w:sz w:val="24"/>
          <w:szCs w:val="24"/>
        </w:rPr>
        <w:t>SMEs</w:t>
      </w:r>
      <w:r w:rsidRPr="003A7705">
        <w:rPr>
          <w:rFonts w:asciiTheme="majorHAnsi" w:hAnsiTheme="majorHAnsi" w:cstheme="majorHAnsi"/>
          <w:sz w:val="24"/>
          <w:szCs w:val="24"/>
        </w:rPr>
        <w:t xml:space="preserve"> scattered across 20 different regional economies, their fragmented language systems, municipal systems, and sector-specific protocol (Trigkas, et. al.,2022). While the rural culture of the south is more traditional than innovative, cities in northern Italy like Milan, a financial hub, or Turin, a leading automotive innovator, are competitive and drive progress(Zaninotto &amp; Rodriguez Pose, 2022). These economic differences also translate into workplace communication variations, with traditional companies mandating formal hierarchies and multinational corporations enabling trust-based collaboration(</w:t>
      </w:r>
      <w:r w:rsidR="005548A3">
        <w:rPr>
          <w:rFonts w:asciiTheme="majorHAnsi" w:hAnsiTheme="majorHAnsi" w:cstheme="majorHAnsi"/>
          <w:sz w:val="24"/>
          <w:szCs w:val="24"/>
        </w:rPr>
        <w:t>Scarlatti</w:t>
      </w:r>
      <w:r w:rsidRPr="003A7705">
        <w:rPr>
          <w:rFonts w:asciiTheme="majorHAnsi" w:hAnsiTheme="majorHAnsi" w:cstheme="majorHAnsi"/>
          <w:sz w:val="24"/>
          <w:szCs w:val="24"/>
        </w:rPr>
        <w:t xml:space="preserve"> et. al.</w:t>
      </w:r>
      <w:r>
        <w:rPr>
          <w:rFonts w:asciiTheme="majorHAnsi" w:hAnsiTheme="majorHAnsi" w:cstheme="majorHAnsi"/>
          <w:sz w:val="24"/>
          <w:szCs w:val="24"/>
        </w:rPr>
        <w:t>,</w:t>
      </w:r>
      <w:r w:rsidRPr="003A7705">
        <w:rPr>
          <w:rFonts w:asciiTheme="majorHAnsi" w:hAnsiTheme="majorHAnsi" w:cstheme="majorHAnsi"/>
          <w:sz w:val="24"/>
          <w:szCs w:val="24"/>
        </w:rPr>
        <w:t xml:space="preserve"> 2009). While trade-dependent Italy modernizes, pragmatic scientific realism is helping to ground societal priorities while maintaining the romantic Latin spirit (Schirato and Webb,2002). This creates opportunities for UK innovators who can align empiricism and passion locally.</w:t>
      </w:r>
    </w:p>
    <w:p w:rsidR="003A7705" w:rsidRPr="003A7705" w:rsidRDefault="003A7705" w:rsidP="003A7705">
      <w:pPr>
        <w:pStyle w:val="Heading1"/>
        <w:rPr>
          <w:b/>
          <w:bCs/>
        </w:rPr>
      </w:pPr>
      <w:bookmarkStart w:id="6" w:name="_Toc153891390"/>
      <w:bookmarkStart w:id="7" w:name="_Toc153891482"/>
      <w:r w:rsidRPr="003A7705">
        <w:rPr>
          <w:b/>
          <w:bCs/>
        </w:rPr>
        <w:lastRenderedPageBreak/>
        <w:t>Assessment of Sweden</w:t>
      </w:r>
      <w:bookmarkEnd w:id="6"/>
      <w:bookmarkEnd w:id="7"/>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Swedish designers have been pioneers in the design of innovative products that are centered on people's needs rather than status. This has led to global brands such as IKEA and H&amp;M. Modern workplaces are characterized by a flattened social structure, shorter power distances, and direct communication over the hierarchical conventions of ancestral societies (Anker</w:t>
      </w:r>
      <w:r>
        <w:rPr>
          <w:rFonts w:asciiTheme="majorHAnsi" w:hAnsiTheme="majorHAnsi" w:cstheme="majorHAnsi"/>
          <w:sz w:val="24"/>
          <w:szCs w:val="24"/>
        </w:rPr>
        <w:t>,</w:t>
      </w:r>
      <w:r w:rsidRPr="003A7705">
        <w:rPr>
          <w:rFonts w:asciiTheme="majorHAnsi" w:hAnsiTheme="majorHAnsi" w:cstheme="majorHAnsi"/>
          <w:sz w:val="24"/>
          <w:szCs w:val="24"/>
        </w:rPr>
        <w:t xml:space="preserve"> 2020). The Swedish Institute argues that the use of English as a global commerce language is essential for Sweden's international connectivity. 79% (of economic activity) today is tied to international trade, which is rooted in innovative niches such as sustainable technologies and telecom equipment. The mobility of professionals in the EU is a great way to enhance these strengths, and it also helps them. This creates talent pipelines and economic resilience and gives access to global commercial partners (Vaiman and others, 2022). Sweden's technical language must also evolve as priorities shift from furniture design </w:t>
      </w:r>
      <w:r>
        <w:rPr>
          <w:rFonts w:asciiTheme="majorHAnsi" w:hAnsiTheme="majorHAnsi" w:cstheme="majorHAnsi"/>
          <w:sz w:val="24"/>
          <w:szCs w:val="24"/>
        </w:rPr>
        <w:t>to</w:t>
      </w:r>
      <w:r w:rsidRPr="003A7705">
        <w:rPr>
          <w:rFonts w:asciiTheme="majorHAnsi" w:hAnsiTheme="majorHAnsi" w:cstheme="majorHAnsi"/>
          <w:sz w:val="24"/>
          <w:szCs w:val="24"/>
        </w:rPr>
        <w:t xml:space="preserve"> more complex areas like biopharma.</w:t>
      </w:r>
    </w:p>
    <w:p w:rsidR="003A7705" w:rsidRPr="003A7705" w:rsidRDefault="003A7705" w:rsidP="003A7705">
      <w:pPr>
        <w:pStyle w:val="Heading1"/>
        <w:rPr>
          <w:b/>
          <w:bCs/>
        </w:rPr>
      </w:pPr>
      <w:bookmarkStart w:id="8" w:name="_Toc153891391"/>
      <w:bookmarkStart w:id="9" w:name="_Toc153891483"/>
      <w:r w:rsidRPr="003A7705">
        <w:rPr>
          <w:b/>
          <w:bCs/>
        </w:rPr>
        <w:t>Communication Barriers</w:t>
      </w:r>
      <w:bookmarkEnd w:id="8"/>
      <w:bookmarkEnd w:id="9"/>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GSK is a pharmaceutical veteran with extensive experience in communicating complex scientific information to doctors and regulators around the world. GSK's industry-specific communication standards around precision drug development do not translate automatically when managing teams and engaging enterprises across cultures. GSK must adapt its terminology, content</w:t>
      </w:r>
      <w:r>
        <w:rPr>
          <w:rFonts w:asciiTheme="majorHAnsi" w:hAnsiTheme="majorHAnsi" w:cstheme="majorHAnsi"/>
          <w:sz w:val="24"/>
          <w:szCs w:val="24"/>
        </w:rPr>
        <w:t>,</w:t>
      </w:r>
      <w:r w:rsidRPr="003A7705">
        <w:rPr>
          <w:rFonts w:asciiTheme="majorHAnsi" w:hAnsiTheme="majorHAnsi" w:cstheme="majorHAnsi"/>
          <w:sz w:val="24"/>
          <w:szCs w:val="24"/>
        </w:rPr>
        <w:t xml:space="preserve"> and messaging to enable Italian factories, motivate Nordic sales reps, or partner with retail chains by using more common business languages. According to research conducted by the industry, more than 60% of global business messages are misunderstood when scientists fail to contextualize technical information for professional audiences. Even if you are fluent in English, it is important to adapt science-heavy content for local contexts.</w:t>
      </w:r>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Another communication challenge is the regional diversity within target countries. Italy's economic diversity between the northern hubs of commerce and rural areas in the south contributes to a wide range of workforce education, digital literacy, and progressive attitudes. (Battiston &amp; Pagani</w:t>
      </w:r>
      <w:r>
        <w:rPr>
          <w:rFonts w:asciiTheme="majorHAnsi" w:hAnsiTheme="majorHAnsi" w:cstheme="majorHAnsi"/>
          <w:sz w:val="24"/>
          <w:szCs w:val="24"/>
        </w:rPr>
        <w:t>,</w:t>
      </w:r>
      <w:r w:rsidRPr="003A7705">
        <w:rPr>
          <w:rFonts w:asciiTheme="majorHAnsi" w:hAnsiTheme="majorHAnsi" w:cstheme="majorHAnsi"/>
          <w:sz w:val="24"/>
          <w:szCs w:val="24"/>
        </w:rPr>
        <w:t xml:space="preserve"> 2022). Sweden is also faced with a gap between the competitive Stockholm and remote towns with </w:t>
      </w:r>
      <w:r>
        <w:rPr>
          <w:rFonts w:asciiTheme="majorHAnsi" w:hAnsiTheme="majorHAnsi" w:cstheme="majorHAnsi"/>
          <w:sz w:val="24"/>
          <w:szCs w:val="24"/>
        </w:rPr>
        <w:t xml:space="preserve">an </w:t>
      </w:r>
      <w:r w:rsidRPr="003A7705">
        <w:rPr>
          <w:rFonts w:asciiTheme="majorHAnsi" w:hAnsiTheme="majorHAnsi" w:cstheme="majorHAnsi"/>
          <w:sz w:val="24"/>
          <w:szCs w:val="24"/>
        </w:rPr>
        <w:t>aging population (Pettersson Lidbom &amp; Priks</w:t>
      </w:r>
      <w:r>
        <w:rPr>
          <w:rFonts w:asciiTheme="majorHAnsi" w:hAnsiTheme="majorHAnsi" w:cstheme="majorHAnsi"/>
          <w:sz w:val="24"/>
          <w:szCs w:val="24"/>
        </w:rPr>
        <w:t>,</w:t>
      </w:r>
      <w:r w:rsidRPr="003A7705">
        <w:rPr>
          <w:rFonts w:asciiTheme="majorHAnsi" w:hAnsiTheme="majorHAnsi" w:cstheme="majorHAnsi"/>
          <w:sz w:val="24"/>
          <w:szCs w:val="24"/>
        </w:rPr>
        <w:t xml:space="preserve"> 2019). As technical skills, priorities and values shift across geographies, messages can be muddled by inconsistent assumptions. As an example, strategies to digitally transform operations by using </w:t>
      </w:r>
      <w:r w:rsidRPr="003A7705">
        <w:rPr>
          <w:rFonts w:asciiTheme="majorHAnsi" w:hAnsiTheme="majorHAnsi" w:cstheme="majorHAnsi"/>
          <w:sz w:val="24"/>
          <w:szCs w:val="24"/>
        </w:rPr>
        <w:lastRenderedPageBreak/>
        <w:t>online platforms and automation would resonate differently with internal teams and customers based on the access realities.</w:t>
      </w:r>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Scandinavian and Italian communication styles are more animated and blunt (Hurn &amp; Tomalin</w:t>
      </w:r>
      <w:r>
        <w:rPr>
          <w:rFonts w:asciiTheme="majorHAnsi" w:hAnsiTheme="majorHAnsi" w:cstheme="majorHAnsi"/>
          <w:sz w:val="24"/>
          <w:szCs w:val="24"/>
        </w:rPr>
        <w:t>,</w:t>
      </w:r>
      <w:r w:rsidRPr="003A7705">
        <w:rPr>
          <w:rFonts w:asciiTheme="majorHAnsi" w:hAnsiTheme="majorHAnsi" w:cstheme="majorHAnsi"/>
          <w:sz w:val="24"/>
          <w:szCs w:val="24"/>
        </w:rPr>
        <w:t xml:space="preserve"> 2013). GSK leaders are used to diplomatic language, so direct feedback from stoic Nordic staff or emotional gestures from Mediterranean partners can seem strange at first. Cultural guides can help decipher the intent of a message. For example, in Sweden, directness is used to solve problems efficiently. In Italy, emotional displays are used to build rapport before any business activity (Hofstede Insights</w:t>
      </w:r>
      <w:r>
        <w:rPr>
          <w:rFonts w:asciiTheme="majorHAnsi" w:hAnsiTheme="majorHAnsi" w:cstheme="majorHAnsi"/>
          <w:sz w:val="24"/>
          <w:szCs w:val="24"/>
        </w:rPr>
        <w:t>,</w:t>
      </w:r>
      <w:r w:rsidRPr="003A7705">
        <w:rPr>
          <w:rFonts w:asciiTheme="majorHAnsi" w:hAnsiTheme="majorHAnsi" w:cstheme="majorHAnsi"/>
          <w:sz w:val="24"/>
          <w:szCs w:val="24"/>
        </w:rPr>
        <w:t xml:space="preserve"> 2022). Adapting to local cultures facilitates building relationships. </w:t>
      </w:r>
      <w:r>
        <w:rPr>
          <w:rFonts w:asciiTheme="majorHAnsi" w:hAnsiTheme="majorHAnsi" w:cstheme="majorHAnsi"/>
          <w:sz w:val="24"/>
          <w:szCs w:val="24"/>
        </w:rPr>
        <w:t>However,</w:t>
      </w:r>
      <w:r w:rsidRPr="003A7705">
        <w:rPr>
          <w:rFonts w:asciiTheme="majorHAnsi" w:hAnsiTheme="majorHAnsi" w:cstheme="majorHAnsi"/>
          <w:sz w:val="24"/>
          <w:szCs w:val="24"/>
        </w:rPr>
        <w:t xml:space="preserve"> too much adaptation could compromise GSK's credibility at home. Maintaining familiar aspects of subtle approaches can help global teams to be more clear.</w:t>
      </w:r>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 xml:space="preserve">GSK's communications are privacy-conscious, as pharmaceutical innovation is heavily dependent on the protection of intellectual property and regulatory disclosure requirements </w:t>
      </w:r>
      <w:r>
        <w:rPr>
          <w:rFonts w:asciiTheme="majorHAnsi" w:hAnsiTheme="majorHAnsi" w:cstheme="majorHAnsi"/>
          <w:sz w:val="24"/>
          <w:szCs w:val="24"/>
        </w:rPr>
        <w:t>favor</w:t>
      </w:r>
      <w:r w:rsidRPr="003A7705">
        <w:rPr>
          <w:rFonts w:asciiTheme="majorHAnsi" w:hAnsiTheme="majorHAnsi" w:cstheme="majorHAnsi"/>
          <w:sz w:val="24"/>
          <w:szCs w:val="24"/>
        </w:rPr>
        <w:t xml:space="preserve"> confidentiality. Sweden and Denmark are among the nations with the highest transparency in terms of accessing public data about government policies and corporate workings (Hazell &amp; Worthy</w:t>
      </w:r>
      <w:r>
        <w:rPr>
          <w:rFonts w:asciiTheme="majorHAnsi" w:hAnsiTheme="majorHAnsi" w:cstheme="majorHAnsi"/>
          <w:sz w:val="24"/>
          <w:szCs w:val="24"/>
        </w:rPr>
        <w:t>,</w:t>
      </w:r>
      <w:r w:rsidRPr="003A7705">
        <w:rPr>
          <w:rFonts w:asciiTheme="majorHAnsi" w:hAnsiTheme="majorHAnsi" w:cstheme="majorHAnsi"/>
          <w:sz w:val="24"/>
          <w:szCs w:val="24"/>
        </w:rPr>
        <w:t xml:space="preserve"> 2010). GSK could engage its staff more effectively by embracing the expectations of openness in Nordic workplaces and with partners. </w:t>
      </w:r>
      <w:r>
        <w:rPr>
          <w:rFonts w:asciiTheme="majorHAnsi" w:hAnsiTheme="majorHAnsi" w:cstheme="majorHAnsi"/>
          <w:sz w:val="24"/>
          <w:szCs w:val="24"/>
        </w:rPr>
        <w:t>However,</w:t>
      </w:r>
      <w:r w:rsidRPr="003A7705">
        <w:rPr>
          <w:rFonts w:asciiTheme="majorHAnsi" w:hAnsiTheme="majorHAnsi" w:cstheme="majorHAnsi"/>
          <w:sz w:val="24"/>
          <w:szCs w:val="24"/>
        </w:rPr>
        <w:t xml:space="preserve"> the ingrained secrecy standards also </w:t>
      </w:r>
      <w:r>
        <w:rPr>
          <w:rFonts w:asciiTheme="majorHAnsi" w:hAnsiTheme="majorHAnsi" w:cstheme="majorHAnsi"/>
          <w:sz w:val="24"/>
          <w:szCs w:val="24"/>
        </w:rPr>
        <w:t>protect</w:t>
      </w:r>
      <w:r w:rsidRPr="003A7705">
        <w:rPr>
          <w:rFonts w:asciiTheme="majorHAnsi" w:hAnsiTheme="majorHAnsi" w:cstheme="majorHAnsi"/>
          <w:sz w:val="24"/>
          <w:szCs w:val="24"/>
        </w:rPr>
        <w:t xml:space="preserve"> market advantages from aggressive global competitors. While opaque traditions can hinder local buy-in and undermine competitive differentiation, they are also detrimental to the local economy if abandoned in their entirety. GSK should carefully balance the demands for transparency when expanding into Sweden.</w:t>
      </w:r>
    </w:p>
    <w:p w:rsidR="003A7705" w:rsidRPr="003A7705" w:rsidRDefault="003A7705" w:rsidP="003A7705">
      <w:pPr>
        <w:pStyle w:val="Heading1"/>
        <w:rPr>
          <w:b/>
          <w:bCs/>
        </w:rPr>
      </w:pPr>
      <w:bookmarkStart w:id="10" w:name="_Toc153891392"/>
      <w:bookmarkStart w:id="11" w:name="_Toc153891484"/>
      <w:r w:rsidRPr="003A7705">
        <w:rPr>
          <w:b/>
          <w:bCs/>
        </w:rPr>
        <w:t>Recommended Countries and Strategies</w:t>
      </w:r>
      <w:bookmarkEnd w:id="10"/>
      <w:bookmarkEnd w:id="11"/>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GSK's strategy for international expansion is based on assessment norms, which include benchmarking against countries' baseline competencies in terms of market attractiveness and operational feasibility.</w:t>
      </w:r>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Sweden's universal healthcare, funded by the government, has already led to a strong national demand for GSK's pharmaceutical portfolio, from cancer biologics to antibiotics (Anell</w:t>
      </w:r>
      <w:r>
        <w:rPr>
          <w:rFonts w:asciiTheme="majorHAnsi" w:hAnsiTheme="majorHAnsi" w:cstheme="majorHAnsi"/>
          <w:sz w:val="24"/>
          <w:szCs w:val="24"/>
        </w:rPr>
        <w:t>,</w:t>
      </w:r>
      <w:r w:rsidRPr="003A7705">
        <w:rPr>
          <w:rFonts w:asciiTheme="majorHAnsi" w:hAnsiTheme="majorHAnsi" w:cstheme="majorHAnsi"/>
          <w:sz w:val="24"/>
          <w:szCs w:val="24"/>
        </w:rPr>
        <w:t xml:space="preserve"> 2012). Forecasted economic growth of over 2% indicates a growing capacity for adoption compared to Italy's stagnant fiscal restrictions on patient expenditures in expensive domains such as genomics testing (OECD, 2022). Sweden's biopharmaceutical cluster, </w:t>
      </w:r>
      <w:r w:rsidRPr="003A7705">
        <w:rPr>
          <w:rFonts w:asciiTheme="majorHAnsi" w:hAnsiTheme="majorHAnsi" w:cstheme="majorHAnsi"/>
          <w:sz w:val="24"/>
          <w:szCs w:val="24"/>
        </w:rPr>
        <w:lastRenderedPageBreak/>
        <w:t xml:space="preserve">centered on medical university hubs, also presents rich opportunities for collaborations in the industry ecosystem, especially </w:t>
      </w:r>
      <w:r>
        <w:rPr>
          <w:rFonts w:asciiTheme="majorHAnsi" w:hAnsiTheme="majorHAnsi" w:cstheme="majorHAnsi"/>
          <w:sz w:val="24"/>
          <w:szCs w:val="24"/>
        </w:rPr>
        <w:t>concerning</w:t>
      </w:r>
      <w:r w:rsidRPr="003A7705">
        <w:rPr>
          <w:rFonts w:asciiTheme="majorHAnsi" w:hAnsiTheme="majorHAnsi" w:cstheme="majorHAnsi"/>
          <w:sz w:val="24"/>
          <w:szCs w:val="24"/>
        </w:rPr>
        <w:t xml:space="preserve"> potential R&amp;D partnership options. (Cinelli and others, 2020). These commercial and innovation advantages offer more flexible expansion paths for capturing revenue growth and synergies in new product development.</w:t>
      </w:r>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In terms of practical localization, Sweden's high English proficiency among its professionals (over 86%) is superior to Italy's low English proficiency level (48%) (EducationFirst, 2022). It is a significant improvement in the technical and leadership communication complexities of global integration support. It would be costly to translate messages on strategic initiatives such as digital capabilities expansion and purpose vision embodiment for numerous Italian commercial subsidiaries. Nuanced tuning is also required for native understanding. In Sweden, employer branding is done in English with little risk of communication gaps, either internally or externally (Kleinhans and colleagues, 2015). Sweden's high-skilled talent pool is a great resource for GSK to meet its niche scientific resourcing requirements, from clinical diagnostics expertise and precision medicine analytics talent at all managerial levels (The Conversation, 2020).</w:t>
      </w:r>
    </w:p>
    <w:p w:rsidR="003A7705" w:rsidRPr="003A7705" w:rsidRDefault="003A7705" w:rsidP="003A7705">
      <w:pPr>
        <w:pStyle w:val="Heading1"/>
        <w:rPr>
          <w:b/>
          <w:bCs/>
        </w:rPr>
      </w:pPr>
      <w:bookmarkStart w:id="12" w:name="_Toc153891393"/>
      <w:bookmarkStart w:id="13" w:name="_Toc153891485"/>
      <w:r w:rsidRPr="003A7705">
        <w:rPr>
          <w:b/>
          <w:bCs/>
        </w:rPr>
        <w:t>Conclusions</w:t>
      </w:r>
      <w:bookmarkEnd w:id="12"/>
      <w:bookmarkEnd w:id="13"/>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The comparative analysis of countries reveals that Sweden is the best strategic expansion option for GSK, based on its ecosystem innovation capabilities, English proficiency which allows seamless global integration, and opportunities to develop talent over a long period. Sweden's key advantages align with GSK’s priorities and are a lower-risk, higher-return entry point into the EU market.</w:t>
      </w:r>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In terms of incremental revenue, Sweden's positive economic indicators, as well as the government's support for healthcare, will ensure that GSK's therapeutics, from medication to medical devices, are adopted and used more (Anell</w:t>
      </w:r>
      <w:r>
        <w:rPr>
          <w:rFonts w:asciiTheme="majorHAnsi" w:hAnsiTheme="majorHAnsi" w:cstheme="majorHAnsi"/>
          <w:sz w:val="24"/>
          <w:szCs w:val="24"/>
        </w:rPr>
        <w:t>,</w:t>
      </w:r>
      <w:r w:rsidRPr="003A7705">
        <w:rPr>
          <w:rFonts w:asciiTheme="majorHAnsi" w:hAnsiTheme="majorHAnsi" w:cstheme="majorHAnsi"/>
          <w:sz w:val="24"/>
          <w:szCs w:val="24"/>
        </w:rPr>
        <w:t xml:space="preserve"> 2012; OECD</w:t>
      </w:r>
      <w:r>
        <w:rPr>
          <w:rFonts w:asciiTheme="majorHAnsi" w:hAnsiTheme="majorHAnsi" w:cstheme="majorHAnsi"/>
          <w:sz w:val="24"/>
          <w:szCs w:val="24"/>
        </w:rPr>
        <w:t>,</w:t>
      </w:r>
      <w:r w:rsidRPr="003A7705">
        <w:rPr>
          <w:rFonts w:asciiTheme="majorHAnsi" w:hAnsiTheme="majorHAnsi" w:cstheme="majorHAnsi"/>
          <w:sz w:val="24"/>
          <w:szCs w:val="24"/>
        </w:rPr>
        <w:t xml:space="preserve"> 2022). GSK's commercial product portfolio can be expected to expand in Sweden, backed by consistent forecasts of healthcare expenditure growth. Italy's limited macroeconomic conditions restrict investment in patient health innovations. This limits the market potential for GSK products, which requires significant upfront budgets from patients and providers.</w:t>
      </w:r>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 xml:space="preserve">GSK can also benefit from proximity collaborations with the biopharmaceutical clusters in Sweden, which are home to world-class research institutions and enterprises (Cinelli et. </w:t>
      </w:r>
      <w:r w:rsidRPr="003A7705">
        <w:rPr>
          <w:rFonts w:asciiTheme="majorHAnsi" w:hAnsiTheme="majorHAnsi" w:cstheme="majorHAnsi"/>
          <w:sz w:val="24"/>
          <w:szCs w:val="24"/>
        </w:rPr>
        <w:lastRenderedPageBreak/>
        <w:t>al.,2020). This could be a key factor for establishing R&amp;D partnerships around emerging areas such as cell therapies or Nanomedicines. Open innovation partnerships with leading genetics labs and medtech startups can help GSK expand its global pipelines, as well as gain a competitive advantage in promising areas. Italy's geographically dispersed and fragmented life sciences ecosystems do not provide fertile ground for driving joint scientific breakthroughs in targeted districts by open symbiotic activity between multinationals.</w:t>
      </w:r>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In terms of practical market entry and employee integration, the high English literacy rate in Sweden (over 80%) allows for easier adaptations to global HQ messages and employer branding compared to Italy's average proficiency level near 50%. It is a significant reduction in the risk of "losing" strategic communications on important vision embodiment or transformative initiatives that are necessary to align regional units with GSK’s global objectives and culture during expansion. The need for translation services is also reduced, allowing faster campaign deployments.</w:t>
      </w:r>
    </w:p>
    <w:p w:rsidR="003A7705" w:rsidRP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The Conversation</w:t>
      </w:r>
      <w:r>
        <w:rPr>
          <w:rFonts w:asciiTheme="majorHAnsi" w:hAnsiTheme="majorHAnsi" w:cstheme="majorHAnsi"/>
          <w:sz w:val="24"/>
          <w:szCs w:val="24"/>
        </w:rPr>
        <w:t xml:space="preserve"> (</w:t>
      </w:r>
      <w:r w:rsidRPr="003A7705">
        <w:rPr>
          <w:rFonts w:asciiTheme="majorHAnsi" w:hAnsiTheme="majorHAnsi" w:cstheme="majorHAnsi"/>
          <w:sz w:val="24"/>
          <w:szCs w:val="24"/>
        </w:rPr>
        <w:t xml:space="preserve">2022) reveals that Sweden has a wealth of highly-skilled talent to meet specialized competency requirements from clinical diagnostics and genomics analytics, while Italy is limited in its ability to recruit niche biopharma experts who are not involved with pharmaceutical manufacturing. It is crucial to have access to enough human capital at all levels of management </w:t>
      </w:r>
      <w:r>
        <w:rPr>
          <w:rFonts w:asciiTheme="majorHAnsi" w:hAnsiTheme="majorHAnsi" w:cstheme="majorHAnsi"/>
          <w:sz w:val="24"/>
          <w:szCs w:val="24"/>
        </w:rPr>
        <w:t xml:space="preserve">forthe </w:t>
      </w:r>
      <w:r w:rsidRPr="003A7705">
        <w:rPr>
          <w:rFonts w:asciiTheme="majorHAnsi" w:hAnsiTheme="majorHAnsi" w:cstheme="majorHAnsi"/>
          <w:sz w:val="24"/>
          <w:szCs w:val="24"/>
        </w:rPr>
        <w:t>global integration of new regional offices that perform complex functions such as pharmacovigilance or patient-centricity programs. Sweden offers a long-term pipeline of workforce tailored to the Italian industry.</w:t>
      </w:r>
    </w:p>
    <w:p w:rsidR="003A7705" w:rsidRDefault="003A7705" w:rsidP="003A7705">
      <w:pPr>
        <w:spacing w:line="360" w:lineRule="auto"/>
        <w:jc w:val="both"/>
        <w:rPr>
          <w:rFonts w:asciiTheme="majorHAnsi" w:hAnsiTheme="majorHAnsi" w:cstheme="majorHAnsi"/>
          <w:sz w:val="24"/>
          <w:szCs w:val="24"/>
        </w:rPr>
      </w:pPr>
      <w:r w:rsidRPr="003A7705">
        <w:rPr>
          <w:rFonts w:asciiTheme="majorHAnsi" w:hAnsiTheme="majorHAnsi" w:cstheme="majorHAnsi"/>
          <w:sz w:val="24"/>
          <w:szCs w:val="24"/>
        </w:rPr>
        <w:t>Sweden has a lower risk profile in terms of geographic growth, strategic partnerships, and language, compared with Italy, which faces barriers on fiscal, human capital, and infrastructure dimensions. Sweden is a launchpad and end market for GSK's global expansion in the 2020s.</w:t>
      </w:r>
      <w:r w:rsidR="007F551F">
        <w:rPr>
          <w:rFonts w:asciiTheme="majorHAnsi" w:hAnsiTheme="majorHAnsi" w:cstheme="majorHAnsi"/>
          <w:sz w:val="24"/>
          <w:szCs w:val="24"/>
        </w:rPr>
        <w:t xml:space="preserve">  </w:t>
      </w:r>
    </w:p>
    <w:p w:rsidR="007F551F" w:rsidRDefault="007F551F" w:rsidP="003A7705">
      <w:pPr>
        <w:spacing w:line="360" w:lineRule="auto"/>
        <w:jc w:val="both"/>
        <w:rPr>
          <w:rFonts w:asciiTheme="majorHAnsi" w:hAnsiTheme="majorHAnsi" w:cstheme="majorHAnsi"/>
          <w:sz w:val="24"/>
          <w:szCs w:val="24"/>
        </w:rPr>
      </w:pPr>
    </w:p>
    <w:p w:rsidR="007F551F" w:rsidRDefault="007F551F" w:rsidP="003A7705">
      <w:pPr>
        <w:spacing w:line="360" w:lineRule="auto"/>
        <w:jc w:val="both"/>
        <w:rPr>
          <w:rFonts w:asciiTheme="majorHAnsi" w:hAnsiTheme="majorHAnsi" w:cstheme="majorHAnsi"/>
          <w:sz w:val="24"/>
          <w:szCs w:val="24"/>
        </w:rPr>
      </w:pPr>
    </w:p>
    <w:p w:rsidR="007F551F" w:rsidRPr="003A7705" w:rsidRDefault="007F551F" w:rsidP="003A7705">
      <w:pPr>
        <w:spacing w:line="360" w:lineRule="auto"/>
        <w:jc w:val="both"/>
        <w:rPr>
          <w:rFonts w:asciiTheme="majorHAnsi" w:hAnsiTheme="majorHAnsi" w:cstheme="majorHAnsi"/>
          <w:sz w:val="24"/>
          <w:szCs w:val="24"/>
        </w:rPr>
      </w:pPr>
    </w:p>
    <w:p w:rsidR="001F7295" w:rsidRPr="005D727B" w:rsidRDefault="005D727B" w:rsidP="005D727B">
      <w:pPr>
        <w:pStyle w:val="Heading1"/>
        <w:rPr>
          <w:b/>
          <w:bCs/>
        </w:rPr>
      </w:pPr>
      <w:bookmarkStart w:id="14" w:name="_Toc153891394"/>
      <w:bookmarkStart w:id="15" w:name="_Toc153891486"/>
      <w:r w:rsidRPr="005D727B">
        <w:rPr>
          <w:b/>
          <w:bCs/>
        </w:rPr>
        <w:lastRenderedPageBreak/>
        <w:t>References</w:t>
      </w:r>
      <w:bookmarkEnd w:id="14"/>
      <w:bookmarkEnd w:id="15"/>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Anell, A., 2012. Sweden health system review. Health Systems in Transition, 14(5), pp.1-159.</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Angouri, J., 2012. Managing conflict in international business negotiations: The role of cultural intelligence. In: Barkia, H. (ed.). Conflict Management and Negotiation in International Trade: Advances in Relational Consumer Culture Theory. IGI Global, pp.97-117.</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Anker, T.B., 2020. The going concern of Nordicness: continuity and change of Nordic cooperative values. Journal of Co-operative Organization and Management, 8(2), p.100107.</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Auguste, S., Tondini, A. and Mäder, P., 2019. Italy: a generous sick leave and an unsolved wage replacement conundrum. In: The Organization, Financing and Cost of Health Care in European Countries. Nova Science Publishers.</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 xml:space="preserve">Barton, D., 2022. Purpose is good business. [online] McKinsey &amp; Company. Available at: </w:t>
      </w:r>
      <w:hyperlink r:id="rId7" w:history="1">
        <w:r w:rsidRPr="007F551F">
          <w:rPr>
            <w:rStyle w:val="Hyperlink"/>
            <w:rFonts w:asciiTheme="majorHAnsi" w:hAnsiTheme="majorHAnsi" w:cstheme="majorHAnsi"/>
            <w:color w:val="000000" w:themeColor="text1"/>
            <w:sz w:val="24"/>
            <w:szCs w:val="24"/>
          </w:rPr>
          <w:t>https://www.mckinsey.com/business-functions/strategy-and-corporate-finance/our-insights/purpose-is-good-business</w:t>
        </w:r>
      </w:hyperlink>
      <w:r w:rsidRPr="005D727B">
        <w:rPr>
          <w:rFonts w:asciiTheme="majorHAnsi" w:hAnsiTheme="majorHAnsi" w:cstheme="majorHAnsi"/>
          <w:sz w:val="24"/>
          <w:szCs w:val="24"/>
        </w:rPr>
        <w:t xml:space="preserve"> [Accessed </w:t>
      </w:r>
      <w:r w:rsidR="007F551F">
        <w:rPr>
          <w:rFonts w:asciiTheme="majorHAnsi" w:hAnsiTheme="majorHAnsi" w:cstheme="majorHAnsi"/>
          <w:sz w:val="24"/>
          <w:szCs w:val="24"/>
        </w:rPr>
        <w:t xml:space="preserve">on </w:t>
      </w:r>
      <w:r>
        <w:rPr>
          <w:rFonts w:asciiTheme="majorHAnsi" w:hAnsiTheme="majorHAnsi" w:cstheme="majorHAnsi"/>
          <w:sz w:val="24"/>
          <w:szCs w:val="24"/>
        </w:rPr>
        <w:t>3</w:t>
      </w:r>
      <w:r w:rsidR="007F551F">
        <w:rPr>
          <w:rFonts w:asciiTheme="majorHAnsi" w:hAnsiTheme="majorHAnsi" w:cstheme="majorHAnsi"/>
          <w:sz w:val="24"/>
          <w:szCs w:val="24"/>
        </w:rPr>
        <w:t xml:space="preserve">rd of </w:t>
      </w:r>
      <w:r>
        <w:rPr>
          <w:rFonts w:asciiTheme="majorHAnsi" w:hAnsiTheme="majorHAnsi" w:cstheme="majorHAnsi"/>
          <w:sz w:val="24"/>
          <w:szCs w:val="24"/>
        </w:rPr>
        <w:t xml:space="preserve"> December</w:t>
      </w:r>
      <w:r w:rsidR="007F551F">
        <w:rPr>
          <w:rFonts w:asciiTheme="majorHAnsi" w:hAnsiTheme="majorHAnsi" w:cstheme="majorHAnsi"/>
          <w:sz w:val="24"/>
          <w:szCs w:val="24"/>
        </w:rPr>
        <w:t xml:space="preserve"> 2023</w:t>
      </w:r>
      <w:r w:rsidRPr="005D727B">
        <w:rPr>
          <w:rFonts w:asciiTheme="majorHAnsi" w:hAnsiTheme="majorHAnsi" w:cstheme="majorHAnsi"/>
          <w:sz w:val="24"/>
          <w:szCs w:val="24"/>
        </w:rPr>
        <w:t>].</w:t>
      </w:r>
    </w:p>
    <w:p w:rsidR="005D727B" w:rsidRPr="007F551F" w:rsidRDefault="005D727B" w:rsidP="005D727B">
      <w:pPr>
        <w:pStyle w:val="ListParagraph"/>
        <w:numPr>
          <w:ilvl w:val="0"/>
          <w:numId w:val="2"/>
        </w:numPr>
        <w:spacing w:line="360" w:lineRule="auto"/>
        <w:jc w:val="both"/>
        <w:rPr>
          <w:rFonts w:asciiTheme="majorHAnsi" w:hAnsiTheme="majorHAnsi" w:cstheme="majorHAnsi"/>
          <w:color w:val="000000" w:themeColor="text1"/>
          <w:sz w:val="24"/>
          <w:szCs w:val="24"/>
        </w:rPr>
      </w:pPr>
      <w:r w:rsidRPr="005D727B">
        <w:rPr>
          <w:rFonts w:asciiTheme="majorHAnsi" w:hAnsiTheme="majorHAnsi" w:cstheme="majorHAnsi"/>
          <w:sz w:val="24"/>
          <w:szCs w:val="24"/>
        </w:rPr>
        <w:t xml:space="preserve">Battiston, S. and Pagani, M., 2022. The North-South divide in Italy and Europe: Reality vs imagination. SocArXiv, 8 Nov. </w:t>
      </w:r>
      <w:hyperlink r:id="rId8" w:history="1">
        <w:r w:rsidRPr="007F551F">
          <w:rPr>
            <w:rStyle w:val="Hyperlink"/>
            <w:rFonts w:asciiTheme="majorHAnsi" w:hAnsiTheme="majorHAnsi" w:cstheme="majorHAnsi"/>
            <w:color w:val="000000" w:themeColor="text1"/>
            <w:sz w:val="24"/>
            <w:szCs w:val="24"/>
          </w:rPr>
          <w:t>https://doi.org/10.31235/osf.io/x93ka</w:t>
        </w:r>
      </w:hyperlink>
      <w:r w:rsidRPr="007F551F">
        <w:rPr>
          <w:rFonts w:asciiTheme="majorHAnsi" w:hAnsiTheme="majorHAnsi" w:cstheme="majorHAnsi"/>
          <w:color w:val="000000" w:themeColor="text1"/>
          <w:sz w:val="24"/>
          <w:szCs w:val="24"/>
        </w:rPr>
        <w:t>.</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Bergenholtz, C. and Nord, A., 2019. Language visibility in pharmaceutical research: Purposes, practices and consequences. Applied Linguistics, 40(6), pp.937-960.</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Brennan, L., Binney, W., McCrohan, J. and Lancaster, N., 2020. Implementation of community partnership progressioNext malnutrition strategy: Strategic advice. British Food Journal.</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Busco, C., Giovannoni, E. and Granà, F., 2017. Engaging with challenges to integrated reporting and integrated thinking research. Journal of Intellectual Capital.</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Cinelli, M., Kim, H., Castro, J.D. and Koutkias, V., 2020. A bibliometric analysis of pharmacovigilance research activity in European countries. British Journal of Clinical Pharmacology, 86(5), pp.927-939.</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Conill, E.M., Moragas, A.M. and Pardell, H., 2020. Patient-centered care in health and research policies in Catalonia: mixed-methods study. BMC health services research, 20(1), pp.1-11.</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lastRenderedPageBreak/>
        <w:t>Dikova, D., Gao, H., Van den Waeyenberg, S. and Van Looy, B., 2020. Risk-return configurations of foreign R&amp;D investments: An analysis of pharmaceutical firms. Journal of Business Research, 109, pp.253-267.</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 xml:space="preserve">Education First. 2022. English Proficiency Index. [online] Available at: </w:t>
      </w:r>
      <w:hyperlink r:id="rId9" w:history="1">
        <w:r w:rsidRPr="007F551F">
          <w:rPr>
            <w:rStyle w:val="Hyperlink"/>
            <w:rFonts w:asciiTheme="majorHAnsi" w:hAnsiTheme="majorHAnsi" w:cstheme="majorHAnsi"/>
            <w:color w:val="000000" w:themeColor="text1"/>
            <w:sz w:val="24"/>
            <w:szCs w:val="24"/>
          </w:rPr>
          <w:t>https://www.ef.com/assetscdn/WIBIwq6RdJvcD9bc8RMd/cefcom-epi-site/reports/2022/ef-epi-2022-english.pdf</w:t>
        </w:r>
      </w:hyperlink>
      <w:r w:rsidR="007F551F">
        <w:rPr>
          <w:rFonts w:asciiTheme="majorHAnsi" w:hAnsiTheme="majorHAnsi" w:cstheme="majorHAnsi"/>
          <w:sz w:val="24"/>
          <w:szCs w:val="24"/>
        </w:rPr>
        <w:t xml:space="preserve"> [Accessed on </w:t>
      </w:r>
      <w:r w:rsidRPr="005D727B">
        <w:rPr>
          <w:rFonts w:asciiTheme="majorHAnsi" w:hAnsiTheme="majorHAnsi" w:cstheme="majorHAnsi"/>
          <w:sz w:val="24"/>
          <w:szCs w:val="24"/>
        </w:rPr>
        <w:t>2</w:t>
      </w:r>
      <w:r w:rsidR="007F551F">
        <w:rPr>
          <w:rFonts w:asciiTheme="majorHAnsi" w:hAnsiTheme="majorHAnsi" w:cstheme="majorHAnsi"/>
          <w:sz w:val="24"/>
          <w:szCs w:val="24"/>
        </w:rPr>
        <w:t>nd of  December 2023</w:t>
      </w:r>
      <w:r w:rsidRPr="005D727B">
        <w:rPr>
          <w:rFonts w:asciiTheme="majorHAnsi" w:hAnsiTheme="majorHAnsi" w:cstheme="majorHAnsi"/>
          <w:sz w:val="24"/>
          <w:szCs w:val="24"/>
        </w:rPr>
        <w:t>].</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Friedman, T., 2022. Think glocally, act glocally. [online] New York Times. Available at: &lt;</w:t>
      </w:r>
      <w:hyperlink r:id="rId10" w:history="1">
        <w:r w:rsidRPr="007F551F">
          <w:rPr>
            <w:rStyle w:val="Hyperlink"/>
            <w:rFonts w:asciiTheme="majorHAnsi" w:hAnsiTheme="majorHAnsi" w:cstheme="majorHAnsi"/>
            <w:color w:val="000000" w:themeColor="text1"/>
            <w:sz w:val="24"/>
            <w:szCs w:val="24"/>
          </w:rPr>
          <w:t>www.nytimes.com/2002/10/31/opinion/think-glocally-act-glocally.html</w:t>
        </w:r>
      </w:hyperlink>
      <w:r w:rsidRPr="005D727B">
        <w:rPr>
          <w:rFonts w:asciiTheme="majorHAnsi" w:hAnsiTheme="majorHAnsi" w:cstheme="majorHAnsi"/>
          <w:sz w:val="24"/>
          <w:szCs w:val="24"/>
        </w:rPr>
        <w:t xml:space="preserve">&gt; [Accessed </w:t>
      </w:r>
      <w:r w:rsidR="007F551F">
        <w:rPr>
          <w:rFonts w:asciiTheme="majorHAnsi" w:hAnsiTheme="majorHAnsi" w:cstheme="majorHAnsi"/>
          <w:sz w:val="24"/>
          <w:szCs w:val="24"/>
        </w:rPr>
        <w:t xml:space="preserve">on </w:t>
      </w:r>
      <w:r w:rsidRPr="005D727B">
        <w:rPr>
          <w:rFonts w:asciiTheme="majorHAnsi" w:hAnsiTheme="majorHAnsi" w:cstheme="majorHAnsi"/>
          <w:sz w:val="24"/>
          <w:szCs w:val="24"/>
        </w:rPr>
        <w:t>5</w:t>
      </w:r>
      <w:r w:rsidR="007F551F">
        <w:rPr>
          <w:rFonts w:asciiTheme="majorHAnsi" w:hAnsiTheme="majorHAnsi" w:cstheme="majorHAnsi"/>
          <w:sz w:val="24"/>
          <w:szCs w:val="24"/>
        </w:rPr>
        <w:t>th of  December 2023</w:t>
      </w:r>
      <w:r w:rsidRPr="005D727B">
        <w:rPr>
          <w:rFonts w:asciiTheme="majorHAnsi" w:hAnsiTheme="majorHAnsi" w:cstheme="majorHAnsi"/>
          <w:sz w:val="24"/>
          <w:szCs w:val="24"/>
        </w:rPr>
        <w:t>].</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Harrison, R. and Brower, H.H., 2011. The Internationalization of Business Ethics: Global Education through Stakeholder Management Theory. Journal of Teaching in International Business, 22(2), pp.101-113.</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Hazell, R. and Worthy, B., 2010. Assessing the performance of freedom of information. Government Information Quarterly, 27(4), pp.352-359.</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 xml:space="preserve">Hofstede insights, 2022. [online] Available at: </w:t>
      </w:r>
      <w:hyperlink r:id="rId11" w:history="1">
        <w:r w:rsidRPr="007F551F">
          <w:rPr>
            <w:rStyle w:val="Hyperlink"/>
            <w:rFonts w:asciiTheme="majorHAnsi" w:hAnsiTheme="majorHAnsi" w:cstheme="majorHAnsi"/>
            <w:color w:val="000000" w:themeColor="text1"/>
            <w:sz w:val="24"/>
            <w:szCs w:val="24"/>
          </w:rPr>
          <w:t>https://hi.hofstede-insights.com</w:t>
        </w:r>
      </w:hyperlink>
      <w:r w:rsidRPr="007F551F">
        <w:rPr>
          <w:rFonts w:asciiTheme="majorHAnsi" w:hAnsiTheme="majorHAnsi" w:cstheme="majorHAnsi"/>
          <w:color w:val="000000" w:themeColor="text1"/>
          <w:sz w:val="24"/>
          <w:szCs w:val="24"/>
        </w:rPr>
        <w:t xml:space="preserve"> </w:t>
      </w:r>
      <w:r w:rsidR="007F551F">
        <w:rPr>
          <w:rFonts w:asciiTheme="majorHAnsi" w:hAnsiTheme="majorHAnsi" w:cstheme="majorHAnsi"/>
          <w:sz w:val="24"/>
          <w:szCs w:val="24"/>
        </w:rPr>
        <w:t>[Accessed 30 Nov 2023</w:t>
      </w:r>
      <w:r w:rsidRPr="005D727B">
        <w:rPr>
          <w:rFonts w:asciiTheme="majorHAnsi" w:hAnsiTheme="majorHAnsi" w:cstheme="majorHAnsi"/>
          <w:sz w:val="24"/>
          <w:szCs w:val="24"/>
        </w:rPr>
        <w:t>].</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Hurn, B. and Tomalin, B., 2013. Cross-cultural communication: Theory and practice. Palgrave Macmillan.</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Kleinhans, M., Chakradhar, S., Muller, S. and Waddill, P., 2015. Multilingual speech perception and spoken word recognition in high proficient bilinguals. Journal of the Acoustical Society of America, 138(2), pp.846-860.</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Lauring, J. and Klitmøller, A., 2015. Corporate language-based communication avoidance in MNCs: A multi-sited ethnography approach. Journal of World Business, 50(1), pp.46-55.</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Lee, Y.S., 2021. Lost in translation: Examining science knowledge when communicating science information. Public Understanding of Science, 30(8), pp.965-984.</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Lewis, R.D. 2010. Finland, Cultural Lone Wolf. London: Nicholas Brealey Publishing.</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Magno, F., Cassia, F. and DeMassis, A., 2022. Home sweet home? Entrepreneurial families’ emotional wealth and internationalization across generations. International Business Review, 31(1), p.100811.</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lastRenderedPageBreak/>
        <w:t xml:space="preserve">Malhotra, A., 2022. Presenting the reasons behind pharma’s shift beyond the pill. [online] Think with Google. Available at: </w:t>
      </w:r>
      <w:hyperlink r:id="rId12" w:history="1">
        <w:r w:rsidRPr="007F551F">
          <w:rPr>
            <w:rStyle w:val="Hyperlink"/>
            <w:rFonts w:asciiTheme="majorHAnsi" w:hAnsiTheme="majorHAnsi" w:cstheme="majorHAnsi"/>
            <w:color w:val="000000" w:themeColor="text1"/>
            <w:sz w:val="24"/>
            <w:szCs w:val="24"/>
          </w:rPr>
          <w:t>https://www.thinkwithgoogle.com/consumer-insights/consumer-healthcare-industry-trends/</w:t>
        </w:r>
      </w:hyperlink>
      <w:r w:rsidRPr="007F551F">
        <w:rPr>
          <w:rFonts w:asciiTheme="majorHAnsi" w:hAnsiTheme="majorHAnsi" w:cstheme="majorHAnsi"/>
          <w:color w:val="000000" w:themeColor="text1"/>
          <w:sz w:val="24"/>
          <w:szCs w:val="24"/>
        </w:rPr>
        <w:t xml:space="preserve"> [Ac</w:t>
      </w:r>
      <w:r w:rsidR="007F551F">
        <w:rPr>
          <w:rFonts w:asciiTheme="majorHAnsi" w:hAnsiTheme="majorHAnsi" w:cstheme="majorHAnsi"/>
          <w:sz w:val="24"/>
          <w:szCs w:val="24"/>
        </w:rPr>
        <w:t>cessed 9 December 2023</w:t>
      </w:r>
      <w:r w:rsidRPr="005D727B">
        <w:rPr>
          <w:rFonts w:asciiTheme="majorHAnsi" w:hAnsiTheme="majorHAnsi" w:cstheme="majorHAnsi"/>
          <w:sz w:val="24"/>
          <w:szCs w:val="24"/>
        </w:rPr>
        <w:t>].</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Millar, J., 2012. Pharmaceutical companies: A contribution to global health in developing countries?. Journal of global health insights, 2(1).</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Molteni, M. and Onetti, A., 2022. Fostering innovation, productivity and growth: a place-based strategy for lagging Italian regions. European Planning Studies, pp.1-34.</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Nilsson, F., Rapp, B., Axelsson, J.R.C., LoSchiavo, F.M., Persson, M. and Rothstein, B., 2017. Corporate governance in Sweden: exploring nominal and real board diversity. In: Gender Diversity in the Boardroom. Palgrave Macmillan, Cham.</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 xml:space="preserve">OECD, 2022. Economic Forecast Summary (November 2022). Sweden. [online] Available at: </w:t>
      </w:r>
      <w:hyperlink r:id="rId13" w:history="1">
        <w:r w:rsidRPr="007F551F">
          <w:rPr>
            <w:rStyle w:val="Hyperlink"/>
            <w:rFonts w:asciiTheme="majorHAnsi" w:hAnsiTheme="majorHAnsi" w:cstheme="majorHAnsi"/>
            <w:color w:val="000000" w:themeColor="text1"/>
            <w:sz w:val="24"/>
            <w:szCs w:val="24"/>
          </w:rPr>
          <w:t>https://www.oecd.org/economy/sweden-economic-snapshot/</w:t>
        </w:r>
      </w:hyperlink>
      <w:r w:rsidRPr="007F551F">
        <w:rPr>
          <w:rFonts w:asciiTheme="majorHAnsi" w:hAnsiTheme="majorHAnsi" w:cstheme="majorHAnsi"/>
          <w:color w:val="000000" w:themeColor="text1"/>
          <w:sz w:val="24"/>
          <w:szCs w:val="24"/>
        </w:rPr>
        <w:t xml:space="preserve"> </w:t>
      </w:r>
      <w:r w:rsidR="007F551F">
        <w:rPr>
          <w:rFonts w:asciiTheme="majorHAnsi" w:hAnsiTheme="majorHAnsi" w:cstheme="majorHAnsi"/>
          <w:sz w:val="24"/>
          <w:szCs w:val="24"/>
        </w:rPr>
        <w:t>[Accessed 12 December 2023</w:t>
      </w:r>
      <w:r w:rsidRPr="005D727B">
        <w:rPr>
          <w:rFonts w:asciiTheme="majorHAnsi" w:hAnsiTheme="majorHAnsi" w:cstheme="majorHAnsi"/>
          <w:sz w:val="24"/>
          <w:szCs w:val="24"/>
        </w:rPr>
        <w:t>].</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Peltokorpi, V., Alho, A., Kujala, J., Aitamurto, J. and Parvinen, P., 2022. Knowledge transfer from expatriates to host-country employees: The role of language, cultural intelligence and personality. Journal of Global Mobility: The Home of Expatriate Management Research, 10(1), pp.146-169.</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Pettersson-Lidbom, P. and Priks, M., 2019. Behavior under variable incentives: Gender differences in the response to competition. The Economic Journal, 129(618), pp.1263-1277.</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Piekkari, R., Plakoyiannaki, E. and Welch, C., 2015. ‘Good’ case research in industrial marketing: insights from research practice. In: John Wiley &amp; Sons, Ltd, Industrial Marketing Management 45 (2015) 109–117.</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Razzouk, N.Y. and Seitz, V., 2003. Bicultural personalities and halo effect in the workplace: The case of Middle Eastern immigrant women in the US and UK. International Journal of Hospitality Management, 22(4), pp.423-438.</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Robinson, L., Cotten, S.R., Ono, H., Quan-Haase, A., Mesch, G., Chen, W., Schulz, J., Hale, T.M. and Stern, M.J., 2006. Digital inequalities and why they matter. Information, communication &amp; society, 18(5), pp.569-582.</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Rogerson-Revell, P., 2007. Using English for international business: A European case study. English for Specific Purposes, 26(1), pp.103-120.</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lastRenderedPageBreak/>
        <w:t>Scaratti, G., Galuppo, L., Gorli, M., Gozzoli, C. and Ripamonti, S., 2009. The social relevance and social impact of knowledge and knowing. Management Learning, 40(3), pp.279-302.</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Schirato, T. and Webb, J., 2002. Bourdieu's concept of reflexivity as metaliteracy. Cultural studies, 16(3), pp.539-552.</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Smith, P., 2022. EU spending on imports from Britain fell 10% last year, even as trade flows held up. [online] CNBC. Available at:</w:t>
      </w:r>
      <w:hyperlink r:id="rId14" w:history="1">
        <w:r w:rsidRPr="007F551F">
          <w:rPr>
            <w:rStyle w:val="Hyperlink"/>
            <w:rFonts w:asciiTheme="majorHAnsi" w:hAnsiTheme="majorHAnsi" w:cstheme="majorHAnsi"/>
            <w:color w:val="000000" w:themeColor="text1"/>
            <w:sz w:val="24"/>
            <w:szCs w:val="24"/>
          </w:rPr>
          <w:t>https://www.cnbc.com/2022/03/04/eu-spending-on-imports-from-britain-fell-10percent-last-year.html</w:t>
        </w:r>
      </w:hyperlink>
      <w:r w:rsidRPr="005D727B">
        <w:rPr>
          <w:rFonts w:asciiTheme="majorHAnsi" w:hAnsiTheme="majorHAnsi" w:cstheme="majorHAnsi"/>
          <w:sz w:val="24"/>
          <w:szCs w:val="24"/>
        </w:rPr>
        <w:t xml:space="preserve"> [Accessed </w:t>
      </w:r>
      <w:r>
        <w:rPr>
          <w:rFonts w:asciiTheme="majorHAnsi" w:hAnsiTheme="majorHAnsi" w:cstheme="majorHAnsi"/>
          <w:sz w:val="24"/>
          <w:szCs w:val="24"/>
        </w:rPr>
        <w:t>13 December</w:t>
      </w:r>
      <w:r w:rsidR="007F551F">
        <w:rPr>
          <w:rFonts w:asciiTheme="majorHAnsi" w:hAnsiTheme="majorHAnsi" w:cstheme="majorHAnsi"/>
          <w:sz w:val="24"/>
          <w:szCs w:val="24"/>
        </w:rPr>
        <w:t xml:space="preserve"> 2023</w:t>
      </w:r>
      <w:r w:rsidRPr="005D727B">
        <w:rPr>
          <w:rFonts w:asciiTheme="majorHAnsi" w:hAnsiTheme="majorHAnsi" w:cstheme="majorHAnsi"/>
          <w:sz w:val="24"/>
          <w:szCs w:val="24"/>
        </w:rPr>
        <w:t>].</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 xml:space="preserve">Swedish Institute. 2022. Healthcare in Sweden. [online] Available at: </w:t>
      </w:r>
      <w:hyperlink r:id="rId15" w:history="1">
        <w:r w:rsidRPr="007F551F">
          <w:rPr>
            <w:rStyle w:val="Hyperlink"/>
            <w:rFonts w:asciiTheme="majorHAnsi" w:hAnsiTheme="majorHAnsi" w:cstheme="majorHAnsi"/>
            <w:color w:val="000000" w:themeColor="text1"/>
            <w:sz w:val="24"/>
            <w:szCs w:val="24"/>
          </w:rPr>
          <w:t>https://sweden.se/society/health-care-in-sweden/</w:t>
        </w:r>
      </w:hyperlink>
      <w:r w:rsidRPr="005D727B">
        <w:rPr>
          <w:rFonts w:asciiTheme="majorHAnsi" w:hAnsiTheme="majorHAnsi" w:cstheme="majorHAnsi"/>
          <w:sz w:val="24"/>
          <w:szCs w:val="24"/>
        </w:rPr>
        <w:t xml:space="preserve"> [Accessed 18 Dece</w:t>
      </w:r>
      <w:r w:rsidR="007F551F">
        <w:rPr>
          <w:rFonts w:asciiTheme="majorHAnsi" w:hAnsiTheme="majorHAnsi" w:cstheme="majorHAnsi"/>
          <w:sz w:val="24"/>
          <w:szCs w:val="24"/>
        </w:rPr>
        <w:t>mber 2023</w:t>
      </w:r>
      <w:r w:rsidRPr="005D727B">
        <w:rPr>
          <w:rFonts w:asciiTheme="majorHAnsi" w:hAnsiTheme="majorHAnsi" w:cstheme="majorHAnsi"/>
          <w:sz w:val="24"/>
          <w:szCs w:val="24"/>
        </w:rPr>
        <w:t>].</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 xml:space="preserve">The Conversation, 2022. Sweden needs more foreign talent to maintain its economic success. [online] Available at: </w:t>
      </w:r>
      <w:hyperlink r:id="rId16" w:history="1">
        <w:r w:rsidRPr="007F551F">
          <w:rPr>
            <w:rStyle w:val="Hyperlink"/>
            <w:rFonts w:asciiTheme="majorHAnsi" w:hAnsiTheme="majorHAnsi" w:cstheme="majorHAnsi"/>
            <w:color w:val="000000" w:themeColor="text1"/>
            <w:sz w:val="24"/>
            <w:szCs w:val="24"/>
          </w:rPr>
          <w:t>https://theconversationukcom/sweden-needs-more-foreign-talent-to-maintain-its-economic-success-198104</w:t>
        </w:r>
      </w:hyperlink>
      <w:r w:rsidR="007F551F">
        <w:rPr>
          <w:rFonts w:asciiTheme="majorHAnsi" w:hAnsiTheme="majorHAnsi" w:cstheme="majorHAnsi"/>
          <w:sz w:val="24"/>
          <w:szCs w:val="24"/>
        </w:rPr>
        <w:t xml:space="preserve"> [Accessed 10 December 2023</w:t>
      </w:r>
      <w:r w:rsidRPr="005D727B">
        <w:rPr>
          <w:rFonts w:asciiTheme="majorHAnsi" w:hAnsiTheme="majorHAnsi" w:cstheme="majorHAnsi"/>
          <w:sz w:val="24"/>
          <w:szCs w:val="24"/>
        </w:rPr>
        <w:t>].</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Trigkas, M., Papadopoulos, I. and Karagouni, G., 2022. Smart industry ecosystems: The case of Italy towards digital transformation. Journal of Innovation &amp; Knowledge, 7(3), pp.100199.</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Usunier, J.C. and Roulin, N., 2010. The influence of high-and low-context communication styles on the design, content, and language of business-to-business web sites. Journal of Business Communication, 47(2), pp.189-227.</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Vaiman, V., Haslberger, A., Vance, C.M. and Tharenou, P., 2022. Editorial: Talent management in the global context–theories, practices, and future research directions. Journal of Global Mobility, 10(1), pp.1-18.</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Webber, S.A. and Burman, K., 2022. Think global, knit local: Understanding SME internationalisation readiness within the UK Craft sector. The Service Industries Journal, pp.1-25.</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Wilken, S., Jacob, F., Primecz, H. and Romani, L., 2022. Cross-cultural management research: overview and suggestions for future studies. Management International Review, 62(3), pp.269-323.</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lastRenderedPageBreak/>
        <w:t>Zaninotto, L. and Rodríguez-Pose, A., 2022. Waking up a sleeping beauty—improving the local business environment in Southern Italy. Socio-economic planning sciences, p.101150.</w:t>
      </w:r>
    </w:p>
    <w:p w:rsidR="005D727B" w:rsidRPr="005D727B" w:rsidRDefault="005D727B" w:rsidP="005D727B">
      <w:pPr>
        <w:pStyle w:val="ListParagraph"/>
        <w:numPr>
          <w:ilvl w:val="0"/>
          <w:numId w:val="2"/>
        </w:numPr>
        <w:spacing w:line="360" w:lineRule="auto"/>
        <w:jc w:val="both"/>
        <w:rPr>
          <w:rFonts w:asciiTheme="majorHAnsi" w:hAnsiTheme="majorHAnsi" w:cstheme="majorHAnsi"/>
          <w:sz w:val="24"/>
          <w:szCs w:val="24"/>
        </w:rPr>
      </w:pPr>
      <w:r w:rsidRPr="005D727B">
        <w:rPr>
          <w:rFonts w:asciiTheme="majorHAnsi" w:hAnsiTheme="majorHAnsi" w:cstheme="majorHAnsi"/>
          <w:sz w:val="24"/>
          <w:szCs w:val="24"/>
        </w:rPr>
        <w:t>Zhang, Y., Harzing, A.W. and Fan, S.X., 2014. Transcending borders through postcolonial ideological cleansing: Shell's perspective on its presence in Nigeria (1960–95). Human Relations, 67(6), pp.713-740.</w:t>
      </w:r>
    </w:p>
    <w:p w:rsidR="005D727B" w:rsidRPr="005D727B" w:rsidRDefault="005D727B" w:rsidP="005D727B">
      <w:pPr>
        <w:spacing w:line="360" w:lineRule="auto"/>
        <w:jc w:val="both"/>
        <w:rPr>
          <w:rFonts w:asciiTheme="majorHAnsi" w:hAnsiTheme="majorHAnsi" w:cstheme="majorHAnsi"/>
          <w:sz w:val="24"/>
          <w:szCs w:val="24"/>
        </w:rPr>
      </w:pPr>
    </w:p>
    <w:sectPr w:rsidR="005D727B" w:rsidRPr="005D727B" w:rsidSect="007D2C1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B835DD"/>
    <w:multiLevelType w:val="hybridMultilevel"/>
    <w:tmpl w:val="3EB0702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CD30DC5"/>
    <w:multiLevelType w:val="hybridMultilevel"/>
    <w:tmpl w:val="1EC280B6"/>
    <w:lvl w:ilvl="0" w:tplc="0418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A30D6E"/>
    <w:rsid w:val="00132979"/>
    <w:rsid w:val="001F7295"/>
    <w:rsid w:val="00346EE8"/>
    <w:rsid w:val="003A7705"/>
    <w:rsid w:val="005370D4"/>
    <w:rsid w:val="005548A3"/>
    <w:rsid w:val="00566D4A"/>
    <w:rsid w:val="005D727B"/>
    <w:rsid w:val="0071238A"/>
    <w:rsid w:val="007D2C11"/>
    <w:rsid w:val="007F551F"/>
    <w:rsid w:val="00811D59"/>
    <w:rsid w:val="008215D9"/>
    <w:rsid w:val="00A30D6E"/>
    <w:rsid w:val="00AB0D2F"/>
    <w:rsid w:val="00C21BA7"/>
    <w:rsid w:val="00D97A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C11"/>
  </w:style>
  <w:style w:type="paragraph" w:styleId="Heading1">
    <w:name w:val="heading 1"/>
    <w:basedOn w:val="Normal"/>
    <w:next w:val="Normal"/>
    <w:link w:val="Heading1Char"/>
    <w:uiPriority w:val="9"/>
    <w:qFormat/>
    <w:rsid w:val="005D72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6D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727B"/>
    <w:rPr>
      <w:color w:val="0563C1" w:themeColor="hyperlink"/>
      <w:u w:val="single"/>
    </w:rPr>
  </w:style>
  <w:style w:type="character" w:customStyle="1" w:styleId="UnresolvedMention">
    <w:name w:val="Unresolved Mention"/>
    <w:basedOn w:val="DefaultParagraphFont"/>
    <w:uiPriority w:val="99"/>
    <w:semiHidden/>
    <w:unhideWhenUsed/>
    <w:rsid w:val="005D727B"/>
    <w:rPr>
      <w:color w:val="605E5C"/>
      <w:shd w:val="clear" w:color="auto" w:fill="E1DFDD"/>
    </w:rPr>
  </w:style>
  <w:style w:type="paragraph" w:styleId="ListParagraph">
    <w:name w:val="List Paragraph"/>
    <w:basedOn w:val="Normal"/>
    <w:uiPriority w:val="34"/>
    <w:qFormat/>
    <w:rsid w:val="005D727B"/>
    <w:pPr>
      <w:ind w:left="720"/>
      <w:contextualSpacing/>
    </w:pPr>
  </w:style>
  <w:style w:type="character" w:customStyle="1" w:styleId="Heading1Char">
    <w:name w:val="Heading 1 Char"/>
    <w:basedOn w:val="DefaultParagraphFont"/>
    <w:link w:val="Heading1"/>
    <w:uiPriority w:val="9"/>
    <w:rsid w:val="005D727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66D4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A7705"/>
    <w:pPr>
      <w:outlineLvl w:val="9"/>
    </w:pPr>
    <w:rPr>
      <w:lang w:val="en-US"/>
    </w:rPr>
  </w:style>
  <w:style w:type="paragraph" w:styleId="TOC1">
    <w:name w:val="toc 1"/>
    <w:basedOn w:val="Normal"/>
    <w:next w:val="Normal"/>
    <w:autoRedefine/>
    <w:uiPriority w:val="39"/>
    <w:unhideWhenUsed/>
    <w:rsid w:val="003A7705"/>
    <w:pPr>
      <w:spacing w:after="100"/>
    </w:pPr>
  </w:style>
  <w:style w:type="paragraph" w:styleId="Title">
    <w:name w:val="Title"/>
    <w:basedOn w:val="Normal"/>
    <w:next w:val="Normal"/>
    <w:link w:val="TitleChar"/>
    <w:uiPriority w:val="10"/>
    <w:qFormat/>
    <w:rsid w:val="00346EE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6E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6EE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46EE8"/>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D97A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7AB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4379734">
      <w:bodyDiv w:val="1"/>
      <w:marLeft w:val="0"/>
      <w:marRight w:val="0"/>
      <w:marTop w:val="0"/>
      <w:marBottom w:val="0"/>
      <w:divBdr>
        <w:top w:val="none" w:sz="0" w:space="0" w:color="auto"/>
        <w:left w:val="none" w:sz="0" w:space="0" w:color="auto"/>
        <w:bottom w:val="none" w:sz="0" w:space="0" w:color="auto"/>
        <w:right w:val="none" w:sz="0" w:space="0" w:color="auto"/>
      </w:divBdr>
    </w:div>
    <w:div w:id="127093244">
      <w:bodyDiv w:val="1"/>
      <w:marLeft w:val="0"/>
      <w:marRight w:val="0"/>
      <w:marTop w:val="0"/>
      <w:marBottom w:val="0"/>
      <w:divBdr>
        <w:top w:val="none" w:sz="0" w:space="0" w:color="auto"/>
        <w:left w:val="none" w:sz="0" w:space="0" w:color="auto"/>
        <w:bottom w:val="none" w:sz="0" w:space="0" w:color="auto"/>
        <w:right w:val="none" w:sz="0" w:space="0" w:color="auto"/>
      </w:divBdr>
    </w:div>
    <w:div w:id="134028192">
      <w:bodyDiv w:val="1"/>
      <w:marLeft w:val="0"/>
      <w:marRight w:val="0"/>
      <w:marTop w:val="0"/>
      <w:marBottom w:val="0"/>
      <w:divBdr>
        <w:top w:val="none" w:sz="0" w:space="0" w:color="auto"/>
        <w:left w:val="none" w:sz="0" w:space="0" w:color="auto"/>
        <w:bottom w:val="none" w:sz="0" w:space="0" w:color="auto"/>
        <w:right w:val="none" w:sz="0" w:space="0" w:color="auto"/>
      </w:divBdr>
    </w:div>
    <w:div w:id="145172628">
      <w:bodyDiv w:val="1"/>
      <w:marLeft w:val="0"/>
      <w:marRight w:val="0"/>
      <w:marTop w:val="0"/>
      <w:marBottom w:val="0"/>
      <w:divBdr>
        <w:top w:val="none" w:sz="0" w:space="0" w:color="auto"/>
        <w:left w:val="none" w:sz="0" w:space="0" w:color="auto"/>
        <w:bottom w:val="none" w:sz="0" w:space="0" w:color="auto"/>
        <w:right w:val="none" w:sz="0" w:space="0" w:color="auto"/>
      </w:divBdr>
    </w:div>
    <w:div w:id="153300991">
      <w:bodyDiv w:val="1"/>
      <w:marLeft w:val="0"/>
      <w:marRight w:val="0"/>
      <w:marTop w:val="0"/>
      <w:marBottom w:val="0"/>
      <w:divBdr>
        <w:top w:val="none" w:sz="0" w:space="0" w:color="auto"/>
        <w:left w:val="none" w:sz="0" w:space="0" w:color="auto"/>
        <w:bottom w:val="none" w:sz="0" w:space="0" w:color="auto"/>
        <w:right w:val="none" w:sz="0" w:space="0" w:color="auto"/>
      </w:divBdr>
    </w:div>
    <w:div w:id="220486474">
      <w:bodyDiv w:val="1"/>
      <w:marLeft w:val="0"/>
      <w:marRight w:val="0"/>
      <w:marTop w:val="0"/>
      <w:marBottom w:val="0"/>
      <w:divBdr>
        <w:top w:val="none" w:sz="0" w:space="0" w:color="auto"/>
        <w:left w:val="none" w:sz="0" w:space="0" w:color="auto"/>
        <w:bottom w:val="none" w:sz="0" w:space="0" w:color="auto"/>
        <w:right w:val="none" w:sz="0" w:space="0" w:color="auto"/>
      </w:divBdr>
    </w:div>
    <w:div w:id="226915082">
      <w:bodyDiv w:val="1"/>
      <w:marLeft w:val="0"/>
      <w:marRight w:val="0"/>
      <w:marTop w:val="0"/>
      <w:marBottom w:val="0"/>
      <w:divBdr>
        <w:top w:val="none" w:sz="0" w:space="0" w:color="auto"/>
        <w:left w:val="none" w:sz="0" w:space="0" w:color="auto"/>
        <w:bottom w:val="none" w:sz="0" w:space="0" w:color="auto"/>
        <w:right w:val="none" w:sz="0" w:space="0" w:color="auto"/>
      </w:divBdr>
    </w:div>
    <w:div w:id="272565167">
      <w:bodyDiv w:val="1"/>
      <w:marLeft w:val="0"/>
      <w:marRight w:val="0"/>
      <w:marTop w:val="0"/>
      <w:marBottom w:val="0"/>
      <w:divBdr>
        <w:top w:val="none" w:sz="0" w:space="0" w:color="auto"/>
        <w:left w:val="none" w:sz="0" w:space="0" w:color="auto"/>
        <w:bottom w:val="none" w:sz="0" w:space="0" w:color="auto"/>
        <w:right w:val="none" w:sz="0" w:space="0" w:color="auto"/>
      </w:divBdr>
    </w:div>
    <w:div w:id="296497302">
      <w:bodyDiv w:val="1"/>
      <w:marLeft w:val="0"/>
      <w:marRight w:val="0"/>
      <w:marTop w:val="0"/>
      <w:marBottom w:val="0"/>
      <w:divBdr>
        <w:top w:val="none" w:sz="0" w:space="0" w:color="auto"/>
        <w:left w:val="none" w:sz="0" w:space="0" w:color="auto"/>
        <w:bottom w:val="none" w:sz="0" w:space="0" w:color="auto"/>
        <w:right w:val="none" w:sz="0" w:space="0" w:color="auto"/>
      </w:divBdr>
    </w:div>
    <w:div w:id="308704588">
      <w:bodyDiv w:val="1"/>
      <w:marLeft w:val="0"/>
      <w:marRight w:val="0"/>
      <w:marTop w:val="0"/>
      <w:marBottom w:val="0"/>
      <w:divBdr>
        <w:top w:val="none" w:sz="0" w:space="0" w:color="auto"/>
        <w:left w:val="none" w:sz="0" w:space="0" w:color="auto"/>
        <w:bottom w:val="none" w:sz="0" w:space="0" w:color="auto"/>
        <w:right w:val="none" w:sz="0" w:space="0" w:color="auto"/>
      </w:divBdr>
    </w:div>
    <w:div w:id="391848862">
      <w:bodyDiv w:val="1"/>
      <w:marLeft w:val="0"/>
      <w:marRight w:val="0"/>
      <w:marTop w:val="0"/>
      <w:marBottom w:val="0"/>
      <w:divBdr>
        <w:top w:val="none" w:sz="0" w:space="0" w:color="auto"/>
        <w:left w:val="none" w:sz="0" w:space="0" w:color="auto"/>
        <w:bottom w:val="none" w:sz="0" w:space="0" w:color="auto"/>
        <w:right w:val="none" w:sz="0" w:space="0" w:color="auto"/>
      </w:divBdr>
    </w:div>
    <w:div w:id="418717057">
      <w:bodyDiv w:val="1"/>
      <w:marLeft w:val="0"/>
      <w:marRight w:val="0"/>
      <w:marTop w:val="0"/>
      <w:marBottom w:val="0"/>
      <w:divBdr>
        <w:top w:val="none" w:sz="0" w:space="0" w:color="auto"/>
        <w:left w:val="none" w:sz="0" w:space="0" w:color="auto"/>
        <w:bottom w:val="none" w:sz="0" w:space="0" w:color="auto"/>
        <w:right w:val="none" w:sz="0" w:space="0" w:color="auto"/>
      </w:divBdr>
    </w:div>
    <w:div w:id="497113236">
      <w:bodyDiv w:val="1"/>
      <w:marLeft w:val="0"/>
      <w:marRight w:val="0"/>
      <w:marTop w:val="0"/>
      <w:marBottom w:val="0"/>
      <w:divBdr>
        <w:top w:val="none" w:sz="0" w:space="0" w:color="auto"/>
        <w:left w:val="none" w:sz="0" w:space="0" w:color="auto"/>
        <w:bottom w:val="none" w:sz="0" w:space="0" w:color="auto"/>
        <w:right w:val="none" w:sz="0" w:space="0" w:color="auto"/>
      </w:divBdr>
    </w:div>
    <w:div w:id="508100663">
      <w:bodyDiv w:val="1"/>
      <w:marLeft w:val="0"/>
      <w:marRight w:val="0"/>
      <w:marTop w:val="0"/>
      <w:marBottom w:val="0"/>
      <w:divBdr>
        <w:top w:val="none" w:sz="0" w:space="0" w:color="auto"/>
        <w:left w:val="none" w:sz="0" w:space="0" w:color="auto"/>
        <w:bottom w:val="none" w:sz="0" w:space="0" w:color="auto"/>
        <w:right w:val="none" w:sz="0" w:space="0" w:color="auto"/>
      </w:divBdr>
    </w:div>
    <w:div w:id="603459367">
      <w:bodyDiv w:val="1"/>
      <w:marLeft w:val="0"/>
      <w:marRight w:val="0"/>
      <w:marTop w:val="0"/>
      <w:marBottom w:val="0"/>
      <w:divBdr>
        <w:top w:val="none" w:sz="0" w:space="0" w:color="auto"/>
        <w:left w:val="none" w:sz="0" w:space="0" w:color="auto"/>
        <w:bottom w:val="none" w:sz="0" w:space="0" w:color="auto"/>
        <w:right w:val="none" w:sz="0" w:space="0" w:color="auto"/>
      </w:divBdr>
    </w:div>
    <w:div w:id="609355274">
      <w:bodyDiv w:val="1"/>
      <w:marLeft w:val="0"/>
      <w:marRight w:val="0"/>
      <w:marTop w:val="0"/>
      <w:marBottom w:val="0"/>
      <w:divBdr>
        <w:top w:val="none" w:sz="0" w:space="0" w:color="auto"/>
        <w:left w:val="none" w:sz="0" w:space="0" w:color="auto"/>
        <w:bottom w:val="none" w:sz="0" w:space="0" w:color="auto"/>
        <w:right w:val="none" w:sz="0" w:space="0" w:color="auto"/>
      </w:divBdr>
    </w:div>
    <w:div w:id="716395771">
      <w:bodyDiv w:val="1"/>
      <w:marLeft w:val="0"/>
      <w:marRight w:val="0"/>
      <w:marTop w:val="0"/>
      <w:marBottom w:val="0"/>
      <w:divBdr>
        <w:top w:val="none" w:sz="0" w:space="0" w:color="auto"/>
        <w:left w:val="none" w:sz="0" w:space="0" w:color="auto"/>
        <w:bottom w:val="none" w:sz="0" w:space="0" w:color="auto"/>
        <w:right w:val="none" w:sz="0" w:space="0" w:color="auto"/>
      </w:divBdr>
    </w:div>
    <w:div w:id="768043191">
      <w:bodyDiv w:val="1"/>
      <w:marLeft w:val="0"/>
      <w:marRight w:val="0"/>
      <w:marTop w:val="0"/>
      <w:marBottom w:val="0"/>
      <w:divBdr>
        <w:top w:val="none" w:sz="0" w:space="0" w:color="auto"/>
        <w:left w:val="none" w:sz="0" w:space="0" w:color="auto"/>
        <w:bottom w:val="none" w:sz="0" w:space="0" w:color="auto"/>
        <w:right w:val="none" w:sz="0" w:space="0" w:color="auto"/>
      </w:divBdr>
    </w:div>
    <w:div w:id="856894073">
      <w:bodyDiv w:val="1"/>
      <w:marLeft w:val="0"/>
      <w:marRight w:val="0"/>
      <w:marTop w:val="0"/>
      <w:marBottom w:val="0"/>
      <w:divBdr>
        <w:top w:val="none" w:sz="0" w:space="0" w:color="auto"/>
        <w:left w:val="none" w:sz="0" w:space="0" w:color="auto"/>
        <w:bottom w:val="none" w:sz="0" w:space="0" w:color="auto"/>
        <w:right w:val="none" w:sz="0" w:space="0" w:color="auto"/>
      </w:divBdr>
    </w:div>
    <w:div w:id="948006092">
      <w:bodyDiv w:val="1"/>
      <w:marLeft w:val="0"/>
      <w:marRight w:val="0"/>
      <w:marTop w:val="0"/>
      <w:marBottom w:val="0"/>
      <w:divBdr>
        <w:top w:val="none" w:sz="0" w:space="0" w:color="auto"/>
        <w:left w:val="none" w:sz="0" w:space="0" w:color="auto"/>
        <w:bottom w:val="none" w:sz="0" w:space="0" w:color="auto"/>
        <w:right w:val="none" w:sz="0" w:space="0" w:color="auto"/>
      </w:divBdr>
    </w:div>
    <w:div w:id="976301922">
      <w:bodyDiv w:val="1"/>
      <w:marLeft w:val="0"/>
      <w:marRight w:val="0"/>
      <w:marTop w:val="0"/>
      <w:marBottom w:val="0"/>
      <w:divBdr>
        <w:top w:val="none" w:sz="0" w:space="0" w:color="auto"/>
        <w:left w:val="none" w:sz="0" w:space="0" w:color="auto"/>
        <w:bottom w:val="none" w:sz="0" w:space="0" w:color="auto"/>
        <w:right w:val="none" w:sz="0" w:space="0" w:color="auto"/>
      </w:divBdr>
    </w:div>
    <w:div w:id="993029282">
      <w:bodyDiv w:val="1"/>
      <w:marLeft w:val="0"/>
      <w:marRight w:val="0"/>
      <w:marTop w:val="0"/>
      <w:marBottom w:val="0"/>
      <w:divBdr>
        <w:top w:val="none" w:sz="0" w:space="0" w:color="auto"/>
        <w:left w:val="none" w:sz="0" w:space="0" w:color="auto"/>
        <w:bottom w:val="none" w:sz="0" w:space="0" w:color="auto"/>
        <w:right w:val="none" w:sz="0" w:space="0" w:color="auto"/>
      </w:divBdr>
    </w:div>
    <w:div w:id="994186169">
      <w:bodyDiv w:val="1"/>
      <w:marLeft w:val="0"/>
      <w:marRight w:val="0"/>
      <w:marTop w:val="0"/>
      <w:marBottom w:val="0"/>
      <w:divBdr>
        <w:top w:val="none" w:sz="0" w:space="0" w:color="auto"/>
        <w:left w:val="none" w:sz="0" w:space="0" w:color="auto"/>
        <w:bottom w:val="none" w:sz="0" w:space="0" w:color="auto"/>
        <w:right w:val="none" w:sz="0" w:space="0" w:color="auto"/>
      </w:divBdr>
    </w:div>
    <w:div w:id="1010763561">
      <w:bodyDiv w:val="1"/>
      <w:marLeft w:val="0"/>
      <w:marRight w:val="0"/>
      <w:marTop w:val="0"/>
      <w:marBottom w:val="0"/>
      <w:divBdr>
        <w:top w:val="none" w:sz="0" w:space="0" w:color="auto"/>
        <w:left w:val="none" w:sz="0" w:space="0" w:color="auto"/>
        <w:bottom w:val="none" w:sz="0" w:space="0" w:color="auto"/>
        <w:right w:val="none" w:sz="0" w:space="0" w:color="auto"/>
      </w:divBdr>
    </w:div>
    <w:div w:id="1024399233">
      <w:bodyDiv w:val="1"/>
      <w:marLeft w:val="0"/>
      <w:marRight w:val="0"/>
      <w:marTop w:val="0"/>
      <w:marBottom w:val="0"/>
      <w:divBdr>
        <w:top w:val="none" w:sz="0" w:space="0" w:color="auto"/>
        <w:left w:val="none" w:sz="0" w:space="0" w:color="auto"/>
        <w:bottom w:val="none" w:sz="0" w:space="0" w:color="auto"/>
        <w:right w:val="none" w:sz="0" w:space="0" w:color="auto"/>
      </w:divBdr>
    </w:div>
    <w:div w:id="1028262741">
      <w:bodyDiv w:val="1"/>
      <w:marLeft w:val="0"/>
      <w:marRight w:val="0"/>
      <w:marTop w:val="0"/>
      <w:marBottom w:val="0"/>
      <w:divBdr>
        <w:top w:val="none" w:sz="0" w:space="0" w:color="auto"/>
        <w:left w:val="none" w:sz="0" w:space="0" w:color="auto"/>
        <w:bottom w:val="none" w:sz="0" w:space="0" w:color="auto"/>
        <w:right w:val="none" w:sz="0" w:space="0" w:color="auto"/>
      </w:divBdr>
    </w:div>
    <w:div w:id="1066757645">
      <w:bodyDiv w:val="1"/>
      <w:marLeft w:val="0"/>
      <w:marRight w:val="0"/>
      <w:marTop w:val="0"/>
      <w:marBottom w:val="0"/>
      <w:divBdr>
        <w:top w:val="none" w:sz="0" w:space="0" w:color="auto"/>
        <w:left w:val="none" w:sz="0" w:space="0" w:color="auto"/>
        <w:bottom w:val="none" w:sz="0" w:space="0" w:color="auto"/>
        <w:right w:val="none" w:sz="0" w:space="0" w:color="auto"/>
      </w:divBdr>
    </w:div>
    <w:div w:id="1118643477">
      <w:bodyDiv w:val="1"/>
      <w:marLeft w:val="0"/>
      <w:marRight w:val="0"/>
      <w:marTop w:val="0"/>
      <w:marBottom w:val="0"/>
      <w:divBdr>
        <w:top w:val="none" w:sz="0" w:space="0" w:color="auto"/>
        <w:left w:val="none" w:sz="0" w:space="0" w:color="auto"/>
        <w:bottom w:val="none" w:sz="0" w:space="0" w:color="auto"/>
        <w:right w:val="none" w:sz="0" w:space="0" w:color="auto"/>
      </w:divBdr>
    </w:div>
    <w:div w:id="1145665933">
      <w:bodyDiv w:val="1"/>
      <w:marLeft w:val="0"/>
      <w:marRight w:val="0"/>
      <w:marTop w:val="0"/>
      <w:marBottom w:val="0"/>
      <w:divBdr>
        <w:top w:val="none" w:sz="0" w:space="0" w:color="auto"/>
        <w:left w:val="none" w:sz="0" w:space="0" w:color="auto"/>
        <w:bottom w:val="none" w:sz="0" w:space="0" w:color="auto"/>
        <w:right w:val="none" w:sz="0" w:space="0" w:color="auto"/>
      </w:divBdr>
    </w:div>
    <w:div w:id="1157309267">
      <w:bodyDiv w:val="1"/>
      <w:marLeft w:val="0"/>
      <w:marRight w:val="0"/>
      <w:marTop w:val="0"/>
      <w:marBottom w:val="0"/>
      <w:divBdr>
        <w:top w:val="none" w:sz="0" w:space="0" w:color="auto"/>
        <w:left w:val="none" w:sz="0" w:space="0" w:color="auto"/>
        <w:bottom w:val="none" w:sz="0" w:space="0" w:color="auto"/>
        <w:right w:val="none" w:sz="0" w:space="0" w:color="auto"/>
      </w:divBdr>
    </w:div>
    <w:div w:id="1175806470">
      <w:bodyDiv w:val="1"/>
      <w:marLeft w:val="0"/>
      <w:marRight w:val="0"/>
      <w:marTop w:val="0"/>
      <w:marBottom w:val="0"/>
      <w:divBdr>
        <w:top w:val="none" w:sz="0" w:space="0" w:color="auto"/>
        <w:left w:val="none" w:sz="0" w:space="0" w:color="auto"/>
        <w:bottom w:val="none" w:sz="0" w:space="0" w:color="auto"/>
        <w:right w:val="none" w:sz="0" w:space="0" w:color="auto"/>
      </w:divBdr>
    </w:div>
    <w:div w:id="1208420878">
      <w:bodyDiv w:val="1"/>
      <w:marLeft w:val="0"/>
      <w:marRight w:val="0"/>
      <w:marTop w:val="0"/>
      <w:marBottom w:val="0"/>
      <w:divBdr>
        <w:top w:val="none" w:sz="0" w:space="0" w:color="auto"/>
        <w:left w:val="none" w:sz="0" w:space="0" w:color="auto"/>
        <w:bottom w:val="none" w:sz="0" w:space="0" w:color="auto"/>
        <w:right w:val="none" w:sz="0" w:space="0" w:color="auto"/>
      </w:divBdr>
    </w:div>
    <w:div w:id="1231815697">
      <w:bodyDiv w:val="1"/>
      <w:marLeft w:val="0"/>
      <w:marRight w:val="0"/>
      <w:marTop w:val="0"/>
      <w:marBottom w:val="0"/>
      <w:divBdr>
        <w:top w:val="none" w:sz="0" w:space="0" w:color="auto"/>
        <w:left w:val="none" w:sz="0" w:space="0" w:color="auto"/>
        <w:bottom w:val="none" w:sz="0" w:space="0" w:color="auto"/>
        <w:right w:val="none" w:sz="0" w:space="0" w:color="auto"/>
      </w:divBdr>
    </w:div>
    <w:div w:id="1325163406">
      <w:bodyDiv w:val="1"/>
      <w:marLeft w:val="0"/>
      <w:marRight w:val="0"/>
      <w:marTop w:val="0"/>
      <w:marBottom w:val="0"/>
      <w:divBdr>
        <w:top w:val="none" w:sz="0" w:space="0" w:color="auto"/>
        <w:left w:val="none" w:sz="0" w:space="0" w:color="auto"/>
        <w:bottom w:val="none" w:sz="0" w:space="0" w:color="auto"/>
        <w:right w:val="none" w:sz="0" w:space="0" w:color="auto"/>
      </w:divBdr>
    </w:div>
    <w:div w:id="1411195110">
      <w:bodyDiv w:val="1"/>
      <w:marLeft w:val="0"/>
      <w:marRight w:val="0"/>
      <w:marTop w:val="0"/>
      <w:marBottom w:val="0"/>
      <w:divBdr>
        <w:top w:val="none" w:sz="0" w:space="0" w:color="auto"/>
        <w:left w:val="none" w:sz="0" w:space="0" w:color="auto"/>
        <w:bottom w:val="none" w:sz="0" w:space="0" w:color="auto"/>
        <w:right w:val="none" w:sz="0" w:space="0" w:color="auto"/>
      </w:divBdr>
    </w:div>
    <w:div w:id="1430661429">
      <w:bodyDiv w:val="1"/>
      <w:marLeft w:val="0"/>
      <w:marRight w:val="0"/>
      <w:marTop w:val="0"/>
      <w:marBottom w:val="0"/>
      <w:divBdr>
        <w:top w:val="none" w:sz="0" w:space="0" w:color="auto"/>
        <w:left w:val="none" w:sz="0" w:space="0" w:color="auto"/>
        <w:bottom w:val="none" w:sz="0" w:space="0" w:color="auto"/>
        <w:right w:val="none" w:sz="0" w:space="0" w:color="auto"/>
      </w:divBdr>
    </w:div>
    <w:div w:id="1517385931">
      <w:bodyDiv w:val="1"/>
      <w:marLeft w:val="0"/>
      <w:marRight w:val="0"/>
      <w:marTop w:val="0"/>
      <w:marBottom w:val="0"/>
      <w:divBdr>
        <w:top w:val="none" w:sz="0" w:space="0" w:color="auto"/>
        <w:left w:val="none" w:sz="0" w:space="0" w:color="auto"/>
        <w:bottom w:val="none" w:sz="0" w:space="0" w:color="auto"/>
        <w:right w:val="none" w:sz="0" w:space="0" w:color="auto"/>
      </w:divBdr>
    </w:div>
    <w:div w:id="1553541757">
      <w:bodyDiv w:val="1"/>
      <w:marLeft w:val="0"/>
      <w:marRight w:val="0"/>
      <w:marTop w:val="0"/>
      <w:marBottom w:val="0"/>
      <w:divBdr>
        <w:top w:val="none" w:sz="0" w:space="0" w:color="auto"/>
        <w:left w:val="none" w:sz="0" w:space="0" w:color="auto"/>
        <w:bottom w:val="none" w:sz="0" w:space="0" w:color="auto"/>
        <w:right w:val="none" w:sz="0" w:space="0" w:color="auto"/>
      </w:divBdr>
    </w:div>
    <w:div w:id="1579947295">
      <w:bodyDiv w:val="1"/>
      <w:marLeft w:val="0"/>
      <w:marRight w:val="0"/>
      <w:marTop w:val="0"/>
      <w:marBottom w:val="0"/>
      <w:divBdr>
        <w:top w:val="none" w:sz="0" w:space="0" w:color="auto"/>
        <w:left w:val="none" w:sz="0" w:space="0" w:color="auto"/>
        <w:bottom w:val="none" w:sz="0" w:space="0" w:color="auto"/>
        <w:right w:val="none" w:sz="0" w:space="0" w:color="auto"/>
      </w:divBdr>
    </w:div>
    <w:div w:id="1596786164">
      <w:bodyDiv w:val="1"/>
      <w:marLeft w:val="0"/>
      <w:marRight w:val="0"/>
      <w:marTop w:val="0"/>
      <w:marBottom w:val="0"/>
      <w:divBdr>
        <w:top w:val="none" w:sz="0" w:space="0" w:color="auto"/>
        <w:left w:val="none" w:sz="0" w:space="0" w:color="auto"/>
        <w:bottom w:val="none" w:sz="0" w:space="0" w:color="auto"/>
        <w:right w:val="none" w:sz="0" w:space="0" w:color="auto"/>
      </w:divBdr>
    </w:div>
    <w:div w:id="1648242487">
      <w:bodyDiv w:val="1"/>
      <w:marLeft w:val="0"/>
      <w:marRight w:val="0"/>
      <w:marTop w:val="0"/>
      <w:marBottom w:val="0"/>
      <w:divBdr>
        <w:top w:val="none" w:sz="0" w:space="0" w:color="auto"/>
        <w:left w:val="none" w:sz="0" w:space="0" w:color="auto"/>
        <w:bottom w:val="none" w:sz="0" w:space="0" w:color="auto"/>
        <w:right w:val="none" w:sz="0" w:space="0" w:color="auto"/>
      </w:divBdr>
    </w:div>
    <w:div w:id="1738016023">
      <w:bodyDiv w:val="1"/>
      <w:marLeft w:val="0"/>
      <w:marRight w:val="0"/>
      <w:marTop w:val="0"/>
      <w:marBottom w:val="0"/>
      <w:divBdr>
        <w:top w:val="none" w:sz="0" w:space="0" w:color="auto"/>
        <w:left w:val="none" w:sz="0" w:space="0" w:color="auto"/>
        <w:bottom w:val="none" w:sz="0" w:space="0" w:color="auto"/>
        <w:right w:val="none" w:sz="0" w:space="0" w:color="auto"/>
      </w:divBdr>
    </w:div>
    <w:div w:id="1776822402">
      <w:bodyDiv w:val="1"/>
      <w:marLeft w:val="0"/>
      <w:marRight w:val="0"/>
      <w:marTop w:val="0"/>
      <w:marBottom w:val="0"/>
      <w:divBdr>
        <w:top w:val="none" w:sz="0" w:space="0" w:color="auto"/>
        <w:left w:val="none" w:sz="0" w:space="0" w:color="auto"/>
        <w:bottom w:val="none" w:sz="0" w:space="0" w:color="auto"/>
        <w:right w:val="none" w:sz="0" w:space="0" w:color="auto"/>
      </w:divBdr>
    </w:div>
    <w:div w:id="1885941033">
      <w:bodyDiv w:val="1"/>
      <w:marLeft w:val="0"/>
      <w:marRight w:val="0"/>
      <w:marTop w:val="0"/>
      <w:marBottom w:val="0"/>
      <w:divBdr>
        <w:top w:val="none" w:sz="0" w:space="0" w:color="auto"/>
        <w:left w:val="none" w:sz="0" w:space="0" w:color="auto"/>
        <w:bottom w:val="none" w:sz="0" w:space="0" w:color="auto"/>
        <w:right w:val="none" w:sz="0" w:space="0" w:color="auto"/>
      </w:divBdr>
    </w:div>
    <w:div w:id="1902596894">
      <w:bodyDiv w:val="1"/>
      <w:marLeft w:val="0"/>
      <w:marRight w:val="0"/>
      <w:marTop w:val="0"/>
      <w:marBottom w:val="0"/>
      <w:divBdr>
        <w:top w:val="none" w:sz="0" w:space="0" w:color="auto"/>
        <w:left w:val="none" w:sz="0" w:space="0" w:color="auto"/>
        <w:bottom w:val="none" w:sz="0" w:space="0" w:color="auto"/>
        <w:right w:val="none" w:sz="0" w:space="0" w:color="auto"/>
      </w:divBdr>
    </w:div>
    <w:div w:id="1932664506">
      <w:bodyDiv w:val="1"/>
      <w:marLeft w:val="0"/>
      <w:marRight w:val="0"/>
      <w:marTop w:val="0"/>
      <w:marBottom w:val="0"/>
      <w:divBdr>
        <w:top w:val="none" w:sz="0" w:space="0" w:color="auto"/>
        <w:left w:val="none" w:sz="0" w:space="0" w:color="auto"/>
        <w:bottom w:val="none" w:sz="0" w:space="0" w:color="auto"/>
        <w:right w:val="none" w:sz="0" w:space="0" w:color="auto"/>
      </w:divBdr>
    </w:div>
    <w:div w:id="1935286376">
      <w:bodyDiv w:val="1"/>
      <w:marLeft w:val="0"/>
      <w:marRight w:val="0"/>
      <w:marTop w:val="0"/>
      <w:marBottom w:val="0"/>
      <w:divBdr>
        <w:top w:val="none" w:sz="0" w:space="0" w:color="auto"/>
        <w:left w:val="none" w:sz="0" w:space="0" w:color="auto"/>
        <w:bottom w:val="none" w:sz="0" w:space="0" w:color="auto"/>
        <w:right w:val="none" w:sz="0" w:space="0" w:color="auto"/>
      </w:divBdr>
    </w:div>
    <w:div w:id="1957323005">
      <w:bodyDiv w:val="1"/>
      <w:marLeft w:val="0"/>
      <w:marRight w:val="0"/>
      <w:marTop w:val="0"/>
      <w:marBottom w:val="0"/>
      <w:divBdr>
        <w:top w:val="none" w:sz="0" w:space="0" w:color="auto"/>
        <w:left w:val="none" w:sz="0" w:space="0" w:color="auto"/>
        <w:bottom w:val="none" w:sz="0" w:space="0" w:color="auto"/>
        <w:right w:val="none" w:sz="0" w:space="0" w:color="auto"/>
      </w:divBdr>
    </w:div>
    <w:div w:id="1959027015">
      <w:bodyDiv w:val="1"/>
      <w:marLeft w:val="0"/>
      <w:marRight w:val="0"/>
      <w:marTop w:val="0"/>
      <w:marBottom w:val="0"/>
      <w:divBdr>
        <w:top w:val="none" w:sz="0" w:space="0" w:color="auto"/>
        <w:left w:val="none" w:sz="0" w:space="0" w:color="auto"/>
        <w:bottom w:val="none" w:sz="0" w:space="0" w:color="auto"/>
        <w:right w:val="none" w:sz="0" w:space="0" w:color="auto"/>
      </w:divBdr>
    </w:div>
    <w:div w:id="1965425036">
      <w:bodyDiv w:val="1"/>
      <w:marLeft w:val="0"/>
      <w:marRight w:val="0"/>
      <w:marTop w:val="0"/>
      <w:marBottom w:val="0"/>
      <w:divBdr>
        <w:top w:val="none" w:sz="0" w:space="0" w:color="auto"/>
        <w:left w:val="none" w:sz="0" w:space="0" w:color="auto"/>
        <w:bottom w:val="none" w:sz="0" w:space="0" w:color="auto"/>
        <w:right w:val="none" w:sz="0" w:space="0" w:color="auto"/>
      </w:divBdr>
    </w:div>
    <w:div w:id="2011758864">
      <w:bodyDiv w:val="1"/>
      <w:marLeft w:val="0"/>
      <w:marRight w:val="0"/>
      <w:marTop w:val="0"/>
      <w:marBottom w:val="0"/>
      <w:divBdr>
        <w:top w:val="none" w:sz="0" w:space="0" w:color="auto"/>
        <w:left w:val="none" w:sz="0" w:space="0" w:color="auto"/>
        <w:bottom w:val="none" w:sz="0" w:space="0" w:color="auto"/>
        <w:right w:val="none" w:sz="0" w:space="0" w:color="auto"/>
      </w:divBdr>
    </w:div>
    <w:div w:id="202134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235/osf.io/x93ka" TargetMode="External"/><Relationship Id="rId13" Type="http://schemas.openxmlformats.org/officeDocument/2006/relationships/hyperlink" Target="https://www.oecd.org/economy/sweden-economic-snapsho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mckinsey.com/business-functions/strategy-and-corporate-finance/our-insights/purpose-is-good-business" TargetMode="External"/><Relationship Id="rId12" Type="http://schemas.openxmlformats.org/officeDocument/2006/relationships/hyperlink" Target="https://www.thinkwithgoogle.com/consumer-insights/consumer-healthcare-industry-trend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heconversationukcom/sweden-needs-more-foreign-talent-to-maintain-its-economic-success-19810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hi.hofstede-insights.com/" TargetMode="External"/><Relationship Id="rId5" Type="http://schemas.openxmlformats.org/officeDocument/2006/relationships/webSettings" Target="webSettings.xml"/><Relationship Id="rId15" Type="http://schemas.openxmlformats.org/officeDocument/2006/relationships/hyperlink" Target="https://sweden.se/society/health-care-in-sweden/" TargetMode="External"/><Relationship Id="rId10" Type="http://schemas.openxmlformats.org/officeDocument/2006/relationships/hyperlink" Target="http://www.nytimes.com/2002/10/31/opinion/think-glocally-act-glocally.html" TargetMode="External"/><Relationship Id="rId4" Type="http://schemas.openxmlformats.org/officeDocument/2006/relationships/settings" Target="settings.xml"/><Relationship Id="rId9" Type="http://schemas.openxmlformats.org/officeDocument/2006/relationships/hyperlink" Target="https://www.ef.com/assetscdn/WIBIwq6RdJvcD9bc8RMd/cefcom-epi-site/reports/2022/ef-epi-2022-english.pdf" TargetMode="External"/><Relationship Id="rId14" Type="http://schemas.openxmlformats.org/officeDocument/2006/relationships/hyperlink" Target="https://www.cnbc.com/2022/03/04/eu-spending-on-imports-from-britain-fell-10percent-last-year.html"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187C1-4A9A-4900-B462-EF456D256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4122</Words>
  <Characters>23499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sandu</dc:creator>
  <cp:lastModifiedBy>Alina</cp:lastModifiedBy>
  <cp:revision>2</cp:revision>
  <dcterms:created xsi:type="dcterms:W3CDTF">2023-12-22T23:38:00Z</dcterms:created>
  <dcterms:modified xsi:type="dcterms:W3CDTF">2023-12-22T23:38:00Z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ac524b41d6f079d48a7fe2191ef3a4f43add9a89dd0d7c53dcb165cfb9f70c44</vt:lpwstr>
  </property>
</Properties>
</file>