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19D2E442" w:rsidR="009F64C5" w:rsidRDefault="00901DD0" w:rsidP="00B97FEE">
      <w:pPr>
        <w:spacing w:after="158"/>
      </w:pPr>
      <w:r>
        <w:rPr>
          <w:noProof/>
          <w:lang w:eastAsia="en-GB"/>
        </w:rPr>
        <w:drawing>
          <wp:anchor distT="0" distB="0" distL="114300" distR="114300" simplePos="0" relativeHeight="251680768" behindDoc="0" locked="0" layoutInCell="1" allowOverlap="1" wp14:anchorId="0851FAE4" wp14:editId="7996E38D">
            <wp:simplePos x="0" y="0"/>
            <wp:positionH relativeFrom="column">
              <wp:posOffset>60960</wp:posOffset>
            </wp:positionH>
            <wp:positionV relativeFrom="paragraph">
              <wp:posOffset>-190500</wp:posOffset>
            </wp:positionV>
            <wp:extent cx="3406140" cy="1121810"/>
            <wp:effectExtent l="0" t="0" r="381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8082" cy="1168559"/>
                    </a:xfrm>
                    <a:prstGeom prst="rect">
                      <a:avLst/>
                    </a:prstGeom>
                    <a:noFill/>
                  </pic:spPr>
                </pic:pic>
              </a:graphicData>
            </a:graphic>
            <wp14:sizeRelH relativeFrom="margin">
              <wp14:pctWidth>0</wp14:pctWidth>
            </wp14:sizeRelH>
            <wp14:sizeRelV relativeFrom="margin">
              <wp14:pctHeight>0</wp14:pctHeight>
            </wp14:sizeRelV>
          </wp:anchor>
        </w:drawing>
      </w:r>
      <w:r w:rsidR="009F64C5">
        <w:rPr>
          <w:rFonts w:ascii="Calibri" w:eastAsia="Calibri" w:hAnsi="Calibri" w:cs="Calibri"/>
        </w:rPr>
        <w:t xml:space="preserve"> </w:t>
      </w:r>
    </w:p>
    <w:p w14:paraId="6D3D663A" w14:textId="1983AE0B" w:rsidR="009F64C5" w:rsidRDefault="009F64C5">
      <w:pPr>
        <w:ind w:left="49"/>
        <w:jc w:val="center"/>
      </w:pPr>
      <w:r>
        <w:rPr>
          <w:rFonts w:ascii="Calibri" w:eastAsia="Calibri" w:hAnsi="Calibri" w:cs="Calibri"/>
        </w:rPr>
        <w:t xml:space="preserve"> </w:t>
      </w:r>
    </w:p>
    <w:p w14:paraId="6787C14B" w14:textId="3E533988" w:rsidR="009F64C5" w:rsidRDefault="009F64C5">
      <w:pPr>
        <w:spacing w:after="158"/>
        <w:ind w:left="49"/>
        <w:jc w:val="center"/>
      </w:pPr>
      <w:r>
        <w:rPr>
          <w:rFonts w:ascii="Calibri" w:eastAsia="Calibri" w:hAnsi="Calibri" w:cs="Calibri"/>
        </w:rPr>
        <w:t xml:space="preserve"> </w:t>
      </w:r>
    </w:p>
    <w:p w14:paraId="0C4D53A1" w14:textId="2CA48565" w:rsidR="009F64C5" w:rsidRDefault="009F64C5" w:rsidP="00901DD0">
      <w:pPr>
        <w:ind w:left="49"/>
        <w:jc w:val="center"/>
      </w:pPr>
      <w:r>
        <w:rPr>
          <w:rFonts w:ascii="Calibri" w:eastAsia="Calibri" w:hAnsi="Calibri" w:cs="Calibri"/>
        </w:rPr>
        <w:t xml:space="preserve">  </w:t>
      </w:r>
    </w:p>
    <w:p w14:paraId="196BF838" w14:textId="0BD65C83" w:rsidR="009F64C5" w:rsidRDefault="00595555" w:rsidP="00595555">
      <w:pPr>
        <w:spacing w:after="157"/>
        <w:ind w:left="89"/>
        <w:rPr>
          <w:rFonts w:asciiTheme="minorBidi" w:hAnsiTheme="minorBidi"/>
          <w:sz w:val="36"/>
        </w:rPr>
      </w:pPr>
      <w:r>
        <w:rPr>
          <w:rFonts w:asciiTheme="minorBidi" w:hAnsiTheme="minorBidi"/>
          <w:sz w:val="36"/>
        </w:rPr>
        <w:t xml:space="preserve"> </w:t>
      </w:r>
      <w:r w:rsidR="000227B1" w:rsidRPr="000227B1">
        <w:rPr>
          <w:rFonts w:asciiTheme="minorBidi" w:hAnsiTheme="minorBidi"/>
          <w:sz w:val="36"/>
        </w:rPr>
        <w:t>Improving Awareness and Prevention of Vitamin D Deficiency Among Older Adults in UK Care Homes</w:t>
      </w:r>
      <w:r>
        <w:rPr>
          <w:rFonts w:asciiTheme="minorBidi" w:hAnsiTheme="minorBidi"/>
          <w:sz w:val="36"/>
        </w:rPr>
        <w:t>,</w:t>
      </w:r>
    </w:p>
    <w:p w14:paraId="71A6D1DD" w14:textId="559CE856" w:rsidR="00595555" w:rsidRPr="007F3292" w:rsidRDefault="00595555" w:rsidP="00595555">
      <w:pPr>
        <w:spacing w:after="157"/>
        <w:ind w:left="89"/>
        <w:rPr>
          <w:rFonts w:asciiTheme="minorBidi" w:hAnsiTheme="minorBidi"/>
        </w:rPr>
      </w:pPr>
      <w:r>
        <w:rPr>
          <w:rFonts w:asciiTheme="minorBidi" w:hAnsiTheme="minorBidi"/>
          <w:sz w:val="36"/>
        </w:rPr>
        <w:t xml:space="preserve">                         A Systematic Review</w:t>
      </w:r>
    </w:p>
    <w:p w14:paraId="5E1E2E05" w14:textId="77777777" w:rsidR="009F64C5" w:rsidRDefault="009F64C5">
      <w:pPr>
        <w:spacing w:after="42"/>
        <w:ind w:left="89"/>
        <w:jc w:val="center"/>
        <w:rPr>
          <w:sz w:val="24"/>
          <w:szCs w:val="24"/>
        </w:rPr>
      </w:pPr>
      <w:r w:rsidRPr="00901DD0">
        <w:rPr>
          <w:sz w:val="24"/>
          <w:szCs w:val="24"/>
        </w:rPr>
        <w:t xml:space="preserve"> </w:t>
      </w:r>
    </w:p>
    <w:p w14:paraId="55C87E01" w14:textId="77777777" w:rsidR="00716627" w:rsidRDefault="00716627">
      <w:pPr>
        <w:spacing w:after="42"/>
        <w:ind w:left="89"/>
        <w:jc w:val="center"/>
        <w:rPr>
          <w:sz w:val="24"/>
          <w:szCs w:val="24"/>
        </w:rPr>
      </w:pPr>
    </w:p>
    <w:p w14:paraId="3E022D47" w14:textId="77777777" w:rsidR="00716627" w:rsidRPr="00901DD0" w:rsidRDefault="00716627">
      <w:pPr>
        <w:spacing w:after="42"/>
        <w:ind w:left="89"/>
        <w:jc w:val="center"/>
        <w:rPr>
          <w:sz w:val="24"/>
          <w:szCs w:val="24"/>
        </w:rPr>
      </w:pPr>
    </w:p>
    <w:p w14:paraId="46D86011" w14:textId="3EBA74D6" w:rsidR="009F64C5" w:rsidRPr="00716627" w:rsidRDefault="00901DD0" w:rsidP="00901DD0">
      <w:pPr>
        <w:spacing w:after="157"/>
        <w:ind w:left="2367" w:right="2358"/>
        <w:rPr>
          <w:rFonts w:asciiTheme="minorBidi" w:hAnsiTheme="minorBidi"/>
          <w:sz w:val="26"/>
          <w:szCs w:val="26"/>
        </w:rPr>
      </w:pPr>
      <w:r w:rsidRPr="00716627">
        <w:rPr>
          <w:rFonts w:asciiTheme="minorBidi" w:hAnsiTheme="minorBidi"/>
          <w:sz w:val="26"/>
          <w:szCs w:val="26"/>
        </w:rPr>
        <w:t xml:space="preserve">Student Name: Tarikul Islam </w:t>
      </w:r>
    </w:p>
    <w:p w14:paraId="75EA3561" w14:textId="7EB98E9E" w:rsidR="009F64C5" w:rsidRPr="00716627" w:rsidRDefault="00901DD0" w:rsidP="00901DD0">
      <w:pPr>
        <w:spacing w:after="157"/>
        <w:ind w:right="2358"/>
        <w:rPr>
          <w:rFonts w:asciiTheme="minorBidi" w:hAnsiTheme="minorBidi"/>
          <w:sz w:val="26"/>
          <w:szCs w:val="26"/>
        </w:rPr>
      </w:pPr>
      <w:r w:rsidRPr="00716627">
        <w:rPr>
          <w:rFonts w:asciiTheme="minorBidi" w:hAnsiTheme="minorBidi"/>
          <w:sz w:val="26"/>
          <w:szCs w:val="26"/>
        </w:rPr>
        <w:t xml:space="preserve">                                       Student ID:  2422390</w:t>
      </w:r>
      <w:r w:rsidR="009F64C5" w:rsidRPr="00716627">
        <w:rPr>
          <w:rFonts w:asciiTheme="minorBidi" w:hAnsiTheme="minorBidi"/>
          <w:sz w:val="26"/>
          <w:szCs w:val="26"/>
        </w:rPr>
        <w:t xml:space="preserve"> </w:t>
      </w:r>
    </w:p>
    <w:p w14:paraId="0C6149DD" w14:textId="77777777" w:rsidR="006E14D9" w:rsidRPr="00716627" w:rsidRDefault="006E14D9" w:rsidP="00901DD0">
      <w:pPr>
        <w:spacing w:after="157"/>
        <w:ind w:right="2358"/>
        <w:rPr>
          <w:rFonts w:asciiTheme="minorBidi" w:hAnsiTheme="minorBidi"/>
          <w:sz w:val="26"/>
          <w:szCs w:val="26"/>
        </w:rPr>
      </w:pPr>
    </w:p>
    <w:p w14:paraId="4BF6932C" w14:textId="0A34C3E8" w:rsidR="006E14D9" w:rsidRPr="00716627" w:rsidRDefault="006E14D9" w:rsidP="00901DD0">
      <w:pPr>
        <w:spacing w:after="157"/>
        <w:ind w:right="2358"/>
        <w:rPr>
          <w:rFonts w:asciiTheme="minorBidi" w:hAnsiTheme="minorBidi"/>
          <w:sz w:val="26"/>
          <w:szCs w:val="26"/>
        </w:rPr>
      </w:pPr>
      <w:r w:rsidRPr="00716627">
        <w:rPr>
          <w:rFonts w:asciiTheme="minorBidi" w:hAnsiTheme="minorBidi"/>
          <w:sz w:val="26"/>
          <w:szCs w:val="26"/>
        </w:rPr>
        <w:t xml:space="preserve">                                      Module Code: LCHS7004</w:t>
      </w:r>
    </w:p>
    <w:p w14:paraId="09C8500D" w14:textId="63E2613F" w:rsidR="009F64C5" w:rsidRPr="00716627" w:rsidRDefault="00901DD0" w:rsidP="006E14D9">
      <w:pPr>
        <w:tabs>
          <w:tab w:val="left" w:pos="8244"/>
        </w:tabs>
        <w:spacing w:after="158"/>
        <w:rPr>
          <w:rFonts w:asciiTheme="minorBidi" w:hAnsiTheme="minorBidi"/>
          <w:sz w:val="26"/>
          <w:szCs w:val="26"/>
        </w:rPr>
      </w:pPr>
      <w:r w:rsidRPr="00716627">
        <w:rPr>
          <w:rFonts w:asciiTheme="minorBidi" w:hAnsiTheme="minorBidi"/>
          <w:sz w:val="26"/>
          <w:szCs w:val="26"/>
        </w:rPr>
        <w:t xml:space="preserve">                                         Word Count:  21152</w:t>
      </w:r>
      <w:r w:rsidR="009F64C5" w:rsidRPr="00716627">
        <w:rPr>
          <w:rFonts w:asciiTheme="minorBidi" w:hAnsiTheme="minorBidi"/>
          <w:sz w:val="26"/>
          <w:szCs w:val="26"/>
        </w:rPr>
        <w:t xml:space="preserve"> </w:t>
      </w:r>
      <w:r w:rsidR="006E14D9" w:rsidRPr="00716627">
        <w:rPr>
          <w:rFonts w:asciiTheme="minorBidi" w:hAnsiTheme="minorBidi"/>
          <w:sz w:val="26"/>
          <w:szCs w:val="26"/>
        </w:rPr>
        <w:tab/>
      </w:r>
    </w:p>
    <w:p w14:paraId="65758614" w14:textId="44B31B78" w:rsidR="00901DD0" w:rsidRPr="00716627" w:rsidRDefault="00901DD0" w:rsidP="00901DD0">
      <w:pPr>
        <w:spacing w:after="158"/>
        <w:rPr>
          <w:rFonts w:asciiTheme="minorBidi" w:hAnsiTheme="minorBidi"/>
          <w:sz w:val="26"/>
          <w:szCs w:val="26"/>
        </w:rPr>
      </w:pPr>
      <w:r w:rsidRPr="00716627">
        <w:rPr>
          <w:rFonts w:asciiTheme="minorBidi" w:hAnsiTheme="minorBidi"/>
          <w:sz w:val="26"/>
          <w:szCs w:val="26"/>
        </w:rPr>
        <w:t xml:space="preserve">                                     Supervisor Name: Dr. Shepherd Ziko</w:t>
      </w:r>
    </w:p>
    <w:p w14:paraId="78CE2597" w14:textId="5882DEA5" w:rsidR="00901DD0" w:rsidRPr="00716627" w:rsidRDefault="00901DD0" w:rsidP="00901DD0">
      <w:pPr>
        <w:spacing w:after="158"/>
        <w:rPr>
          <w:rFonts w:asciiTheme="minorBidi" w:hAnsiTheme="minorBidi"/>
          <w:sz w:val="28"/>
          <w:szCs w:val="28"/>
        </w:rPr>
      </w:pPr>
    </w:p>
    <w:p w14:paraId="3280ABDB" w14:textId="77777777" w:rsidR="00901DD0" w:rsidRDefault="00901DD0" w:rsidP="00901DD0">
      <w:pPr>
        <w:spacing w:after="158"/>
      </w:pPr>
    </w:p>
    <w:p w14:paraId="5CAC7C58" w14:textId="039FCA45" w:rsidR="009F64C5" w:rsidRPr="00997918" w:rsidRDefault="009F64C5" w:rsidP="00997918">
      <w:pPr>
        <w:spacing w:after="158"/>
        <w:ind w:left="59"/>
        <w:jc w:val="center"/>
      </w:pPr>
      <w:r>
        <w:t xml:space="preserve"> </w:t>
      </w:r>
      <w:r w:rsidRPr="007F3292">
        <w:rPr>
          <w:rFonts w:asciiTheme="minorBidi" w:hAnsiTheme="minorBidi"/>
        </w:rPr>
        <w:t xml:space="preserve"> </w:t>
      </w:r>
    </w:p>
    <w:p w14:paraId="75DE2693" w14:textId="795AEA4B" w:rsidR="009F64C5" w:rsidRPr="007F3292" w:rsidRDefault="009F64C5" w:rsidP="009F64C5">
      <w:pPr>
        <w:spacing w:after="156"/>
        <w:ind w:left="59"/>
        <w:jc w:val="center"/>
        <w:rPr>
          <w:rFonts w:asciiTheme="minorBidi" w:hAnsiTheme="minorBidi"/>
          <w:sz w:val="24"/>
          <w:szCs w:val="24"/>
        </w:rPr>
      </w:pPr>
      <w:r w:rsidRPr="007F3292">
        <w:rPr>
          <w:rFonts w:asciiTheme="minorBidi" w:hAnsiTheme="minorBidi"/>
          <w:sz w:val="24"/>
          <w:szCs w:val="24"/>
        </w:rPr>
        <w:t xml:space="preserve">A Dissertation submitted in partial fulfilment of the requirements for the </w:t>
      </w:r>
      <w:r w:rsidR="006E14D9" w:rsidRPr="007F3292">
        <w:rPr>
          <w:rFonts w:asciiTheme="minorBidi" w:hAnsiTheme="minorBidi"/>
          <w:sz w:val="24"/>
          <w:szCs w:val="24"/>
        </w:rPr>
        <w:t>in-Practice</w:t>
      </w:r>
      <w:r w:rsidR="006E14D9" w:rsidRPr="006E14D9">
        <w:rPr>
          <w:rFonts w:asciiTheme="minorBidi" w:hAnsiTheme="minorBidi"/>
          <w:sz w:val="24"/>
          <w:szCs w:val="24"/>
        </w:rPr>
        <w:t xml:space="preserve"> </w:t>
      </w:r>
      <w:r w:rsidR="006E14D9" w:rsidRPr="007F3292">
        <w:rPr>
          <w:rFonts w:asciiTheme="minorBidi" w:hAnsiTheme="minorBidi"/>
          <w:sz w:val="24"/>
          <w:szCs w:val="24"/>
        </w:rPr>
        <w:t>degree of Masters of Science in Public Health and Social Care</w:t>
      </w:r>
    </w:p>
    <w:p w14:paraId="2678540A" w14:textId="77777777" w:rsidR="009F64C5" w:rsidRPr="007F3292" w:rsidRDefault="009F64C5" w:rsidP="009F64C5">
      <w:pPr>
        <w:spacing w:after="156"/>
        <w:ind w:left="59"/>
        <w:rPr>
          <w:rFonts w:asciiTheme="minorBidi" w:hAnsiTheme="minorBidi"/>
        </w:rPr>
      </w:pPr>
    </w:p>
    <w:p w14:paraId="6B1630CF" w14:textId="77777777" w:rsidR="009F64C5" w:rsidRPr="007F3292" w:rsidRDefault="009F64C5" w:rsidP="009F64C5">
      <w:pPr>
        <w:spacing w:after="169"/>
        <w:jc w:val="center"/>
        <w:rPr>
          <w:rFonts w:asciiTheme="minorBidi" w:hAnsiTheme="minorBidi"/>
          <w:b/>
          <w:bCs/>
        </w:rPr>
      </w:pPr>
    </w:p>
    <w:p w14:paraId="4C4866B4" w14:textId="77777777" w:rsidR="009F64C5" w:rsidRPr="007F3292" w:rsidRDefault="009F64C5">
      <w:pPr>
        <w:spacing w:after="157"/>
        <w:ind w:left="2367" w:right="2357"/>
        <w:jc w:val="center"/>
        <w:rPr>
          <w:rFonts w:asciiTheme="minorBidi" w:hAnsiTheme="minorBidi"/>
          <w:b/>
          <w:bCs/>
          <w:sz w:val="24"/>
          <w:szCs w:val="24"/>
        </w:rPr>
      </w:pPr>
    </w:p>
    <w:p w14:paraId="52A3D603" w14:textId="77777777" w:rsidR="009F64C5" w:rsidRPr="007F3292" w:rsidRDefault="009F64C5">
      <w:pPr>
        <w:spacing w:after="157"/>
        <w:ind w:left="2367" w:right="2357"/>
        <w:jc w:val="center"/>
        <w:rPr>
          <w:rFonts w:asciiTheme="minorBidi" w:hAnsiTheme="minorBidi"/>
          <w:b/>
          <w:bCs/>
          <w:sz w:val="24"/>
          <w:szCs w:val="24"/>
        </w:rPr>
      </w:pPr>
    </w:p>
    <w:p w14:paraId="251A8C6E" w14:textId="61A3B5E0" w:rsidR="004B2304" w:rsidRDefault="00901DD0" w:rsidP="004B2304">
      <w:pPr>
        <w:jc w:val="center"/>
        <w:rPr>
          <w:rFonts w:asciiTheme="minorBidi" w:hAnsiTheme="minorBidi"/>
          <w:b/>
          <w:bCs/>
          <w:sz w:val="24"/>
          <w:szCs w:val="24"/>
        </w:rPr>
      </w:pPr>
      <w:r>
        <w:rPr>
          <w:rFonts w:asciiTheme="minorBidi" w:hAnsiTheme="minorBidi"/>
          <w:b/>
          <w:bCs/>
          <w:sz w:val="24"/>
          <w:szCs w:val="24"/>
        </w:rPr>
        <w:t>Submission Date: 24</w:t>
      </w:r>
      <w:r w:rsidRPr="00901DD0">
        <w:rPr>
          <w:rFonts w:asciiTheme="minorBidi" w:hAnsiTheme="minorBidi"/>
          <w:b/>
          <w:bCs/>
          <w:sz w:val="24"/>
          <w:szCs w:val="24"/>
          <w:vertAlign w:val="superscript"/>
        </w:rPr>
        <w:t>th</w:t>
      </w:r>
      <w:r>
        <w:rPr>
          <w:rFonts w:asciiTheme="minorBidi" w:hAnsiTheme="minorBidi"/>
          <w:b/>
          <w:bCs/>
          <w:sz w:val="24"/>
          <w:szCs w:val="24"/>
        </w:rPr>
        <w:t xml:space="preserve"> </w:t>
      </w:r>
      <w:r w:rsidR="004B2304" w:rsidRPr="00037D72">
        <w:rPr>
          <w:rFonts w:asciiTheme="minorBidi" w:hAnsiTheme="minorBidi"/>
          <w:b/>
          <w:bCs/>
          <w:sz w:val="24"/>
          <w:szCs w:val="24"/>
        </w:rPr>
        <w:t>September 2026</w:t>
      </w:r>
    </w:p>
    <w:p w14:paraId="33C324D5" w14:textId="77777777" w:rsidR="00F832B2" w:rsidRDefault="00F832B2" w:rsidP="00B95409">
      <w:pPr>
        <w:rPr>
          <w:b/>
          <w:bCs/>
        </w:rPr>
      </w:pPr>
    </w:p>
    <w:p w14:paraId="732DEA8D" w14:textId="77777777" w:rsidR="00F832B2" w:rsidRDefault="00F832B2" w:rsidP="00B95409">
      <w:pPr>
        <w:rPr>
          <w:b/>
          <w:bCs/>
        </w:rPr>
      </w:pPr>
    </w:p>
    <w:p w14:paraId="7230A52E" w14:textId="77777777" w:rsidR="00F832B2" w:rsidRDefault="00F832B2" w:rsidP="00B95409">
      <w:pPr>
        <w:rPr>
          <w:b/>
          <w:bCs/>
        </w:rPr>
      </w:pPr>
    </w:p>
    <w:p w14:paraId="19F078D8" w14:textId="77777777" w:rsidR="00F832B2" w:rsidRDefault="00F832B2" w:rsidP="00B95409">
      <w:pPr>
        <w:rPr>
          <w:b/>
          <w:bCs/>
        </w:rPr>
      </w:pPr>
    </w:p>
    <w:p w14:paraId="0619D7D6" w14:textId="77777777" w:rsidR="000625F3" w:rsidRDefault="000625F3" w:rsidP="00B95409">
      <w:pPr>
        <w:rPr>
          <w:b/>
          <w:bCs/>
        </w:rPr>
      </w:pPr>
    </w:p>
    <w:p w14:paraId="33CA6ACD" w14:textId="77777777" w:rsidR="00F832B2" w:rsidRDefault="00F832B2" w:rsidP="00B95409">
      <w:pPr>
        <w:rPr>
          <w:b/>
          <w:bCs/>
        </w:rPr>
      </w:pPr>
    </w:p>
    <w:p w14:paraId="38143F49" w14:textId="77777777" w:rsidR="00F832B2" w:rsidRPr="00C4204A" w:rsidRDefault="00F832B2" w:rsidP="00F832B2">
      <w:pPr>
        <w:spacing w:after="200" w:line="276" w:lineRule="auto"/>
        <w:jc w:val="center"/>
        <w:rPr>
          <w:rFonts w:ascii="Arial" w:eastAsia="Times New Roman" w:hAnsi="Arial" w:cs="Arial"/>
          <w:b/>
          <w:bCs/>
          <w:color w:val="000000" w:themeColor="text1"/>
          <w:sz w:val="24"/>
          <w:szCs w:val="24"/>
          <w:lang w:val="hr-HR"/>
        </w:rPr>
      </w:pPr>
      <w:r w:rsidRPr="00C4204A">
        <w:rPr>
          <w:rFonts w:ascii="Arial" w:eastAsia="Times New Roman" w:hAnsi="Arial" w:cs="Arial"/>
          <w:b/>
          <w:bCs/>
          <w:color w:val="000000" w:themeColor="text1"/>
          <w:sz w:val="24"/>
          <w:szCs w:val="24"/>
          <w:lang w:val="hr-HR"/>
        </w:rPr>
        <w:t>DECLARATION</w:t>
      </w:r>
    </w:p>
    <w:p w14:paraId="7BCC9B13" w14:textId="77777777" w:rsidR="00F832B2" w:rsidRPr="00946751" w:rsidRDefault="00F832B2" w:rsidP="00F832B2">
      <w:pPr>
        <w:spacing w:after="200" w:line="276" w:lineRule="auto"/>
        <w:rPr>
          <w:rFonts w:ascii="Arial" w:eastAsia="Times New Roman" w:hAnsi="Arial" w:cs="Arial"/>
          <w:color w:val="000000" w:themeColor="text1"/>
          <w:sz w:val="24"/>
          <w:szCs w:val="24"/>
          <w:lang w:val="hr-HR"/>
        </w:rPr>
      </w:pPr>
    </w:p>
    <w:p w14:paraId="736613A5" w14:textId="4D315DC5" w:rsidR="00F832B2" w:rsidRPr="00946751" w:rsidRDefault="00F832B2" w:rsidP="00F832B2">
      <w:pPr>
        <w:spacing w:after="200" w:line="276" w:lineRule="auto"/>
        <w:rPr>
          <w:rFonts w:ascii="Arial" w:eastAsia="Times New Roman" w:hAnsi="Arial" w:cs="Arial"/>
          <w:color w:val="000000" w:themeColor="text1"/>
          <w:sz w:val="24"/>
          <w:szCs w:val="24"/>
          <w:lang w:val="hr-HR"/>
        </w:rPr>
      </w:pPr>
      <w:r>
        <w:rPr>
          <w:noProof/>
          <w:lang w:eastAsia="en-GB"/>
        </w:rPr>
        <mc:AlternateContent>
          <mc:Choice Requires="wpi">
            <w:drawing>
              <wp:anchor distT="0" distB="0" distL="114300" distR="114300" simplePos="0" relativeHeight="251676672" behindDoc="0" locked="0" layoutInCell="1" allowOverlap="1" wp14:anchorId="21B655E6" wp14:editId="6B0A27D4">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6FD818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77.15pt;margin-top:-30.75pt;width:100.05pt;height:100.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">
                <v:imagedata r:id="rId10" o:title=""/>
                <o:lock v:ext="edit" rotation="t" verticies="t" shapetype="t"/>
              </v:shape>
            </w:pict>
          </mc:Fallback>
        </mc:AlternateContent>
      </w:r>
      <w:r>
        <w:rPr>
          <w:noProof/>
          <w:lang w:eastAsia="en-GB"/>
        </w:rPr>
        <mc:AlternateContent>
          <mc:Choice Requires="wpi">
            <w:drawing>
              <wp:anchor distT="0" distB="0" distL="114300" distR="114300" simplePos="0" relativeHeight="251677696" behindDoc="0" locked="0" layoutInCell="1" allowOverlap="1" wp14:anchorId="7FA6D098" wp14:editId="3D9D5CAB">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1FC7B5BB" id="Ink 15" o:spid="_x0000_s1026" type="#_x0000_t75" style="position:absolute;margin-left:-177.15pt;margin-top:18.1pt;width:100.05pt;height: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">
                <v:imagedata r:id="rId12" o:title=""/>
                <o:lock v:ext="edit" rotation="t" verticies="t" shapetype="t"/>
              </v:shape>
            </w:pict>
          </mc:Fallback>
        </mc:AlternateContent>
      </w:r>
      <w:r>
        <w:rPr>
          <w:noProof/>
          <w:lang w:eastAsia="en-GB"/>
        </w:rPr>
        <mc:AlternateContent>
          <mc:Choice Requires="wpi">
            <w:drawing>
              <wp:anchor distT="0" distB="0" distL="114300" distR="114300" simplePos="0" relativeHeight="251678720" behindDoc="0" locked="0" layoutInCell="1" allowOverlap="1" wp14:anchorId="58F8D2ED" wp14:editId="5CC0C0E3">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7A9CAABF" id="Ink 14" o:spid="_x0000_s1026" type="#_x0000_t75" style="position:absolute;margin-left:-177.15pt;margin-top:-29.95pt;width:100.05pt;height:100.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">
                <v:imagedata r:id="rId10" o:title=""/>
                <o:lock v:ext="edit" rotation="t" verticies="t" shapetype="t"/>
              </v:shape>
            </w:pict>
          </mc:Fallback>
        </mc:AlternateContent>
      </w:r>
      <w:r>
        <w:rPr>
          <w:noProof/>
          <w:lang w:eastAsia="en-GB"/>
        </w:rPr>
        <mc:AlternateContent>
          <mc:Choice Requires="wpi">
            <w:drawing>
              <wp:anchor distT="0" distB="0" distL="114300" distR="114300" simplePos="0" relativeHeight="251679744" behindDoc="0" locked="0" layoutInCell="1" allowOverlap="1" wp14:anchorId="69B4A8CB" wp14:editId="52BC55E7">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22A907E9" id="Ink 11" o:spid="_x0000_s1026" type="#_x0000_t75" style="position:absolute;margin-left:-201.7pt;margin-top:-30.1pt;width:100.05pt;height:100.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">
                <v:imagedata r:id="rId10" o:title=""/>
                <o:lock v:ext="edit" rotation="t" verticies="t" shapetype="t"/>
              </v:shape>
            </w:pict>
          </mc:Fallback>
        </mc:AlternateContent>
      </w:r>
      <w:r>
        <w:rPr>
          <w:rFonts w:ascii="Arial" w:eastAsia="Times New Roman" w:hAnsi="Arial" w:cs="Arial"/>
          <w:color w:val="000000" w:themeColor="text1"/>
          <w:sz w:val="24"/>
          <w:szCs w:val="24"/>
          <w:lang w:val="hr-HR"/>
        </w:rPr>
        <w:t xml:space="preserve">I, </w:t>
      </w:r>
      <w:r w:rsidRPr="00F832B2">
        <w:rPr>
          <w:rFonts w:ascii="Arial" w:eastAsia="Times New Roman" w:hAnsi="Arial" w:cs="Arial"/>
          <w:color w:val="000000" w:themeColor="text1"/>
          <w:sz w:val="24"/>
          <w:szCs w:val="24"/>
          <w:lang w:val="hr-HR"/>
        </w:rPr>
        <w:t xml:space="preserve">Tarikul Islam </w:t>
      </w:r>
      <w:r w:rsidRPr="008A73BC">
        <w:rPr>
          <w:rFonts w:ascii="Arial" w:eastAsia="Times New Roman" w:hAnsi="Arial" w:cs="Arial"/>
          <w:color w:val="000000" w:themeColor="text1"/>
          <w:sz w:val="24"/>
          <w:szCs w:val="24"/>
          <w:lang w:val="hr-HR"/>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946751">
        <w:rPr>
          <w:rFonts w:ascii="Arial" w:eastAsia="Times New Roman" w:hAnsi="Arial" w:cs="Arial"/>
          <w:color w:val="000000" w:themeColor="text1"/>
          <w:sz w:val="24"/>
          <w:szCs w:val="24"/>
          <w:lang w:val="hr-HR"/>
        </w:rPr>
        <w:t>.</w:t>
      </w:r>
    </w:p>
    <w:p w14:paraId="2E0CA8F0" w14:textId="77777777" w:rsidR="00F832B2" w:rsidRPr="00946751" w:rsidRDefault="00F832B2" w:rsidP="00F832B2">
      <w:pPr>
        <w:spacing w:after="200" w:line="276" w:lineRule="auto"/>
        <w:rPr>
          <w:rFonts w:ascii="Arial" w:eastAsia="Times New Roman" w:hAnsi="Arial" w:cs="Arial"/>
          <w:color w:val="000000" w:themeColor="text1"/>
          <w:sz w:val="24"/>
          <w:szCs w:val="24"/>
          <w:lang w:val="hr-HR"/>
        </w:rPr>
      </w:pPr>
    </w:p>
    <w:p w14:paraId="36B9CCBD" w14:textId="77777777" w:rsidR="00F832B2" w:rsidRPr="00946751" w:rsidRDefault="00F832B2" w:rsidP="00F832B2">
      <w:pPr>
        <w:spacing w:after="200" w:line="276" w:lineRule="auto"/>
        <w:rPr>
          <w:rFonts w:ascii="Arial" w:eastAsia="Times New Roman" w:hAnsi="Arial" w:cs="Arial"/>
          <w:color w:val="000000" w:themeColor="text1"/>
          <w:sz w:val="24"/>
          <w:szCs w:val="24"/>
          <w:lang w:val="hr-HR"/>
        </w:rPr>
      </w:pPr>
    </w:p>
    <w:p w14:paraId="10F0486D" w14:textId="161D69D9" w:rsidR="00F832B2" w:rsidRPr="00F832B2" w:rsidRDefault="00F832B2" w:rsidP="00F832B2">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Signed</w:t>
      </w:r>
      <w:r>
        <w:rPr>
          <w:rFonts w:ascii="Arial" w:eastAsia="Times New Roman" w:hAnsi="Arial" w:cs="Arial"/>
          <w:color w:val="000000" w:themeColor="text1"/>
          <w:sz w:val="24"/>
          <w:szCs w:val="24"/>
          <w:lang w:val="hr-HR"/>
        </w:rPr>
        <w:t>:</w:t>
      </w:r>
      <w:r w:rsidRPr="00F832B2">
        <w:t xml:space="preserve"> </w:t>
      </w:r>
      <w:r w:rsidRPr="00F832B2">
        <w:rPr>
          <w:rFonts w:ascii="Arial" w:eastAsia="Times New Roman" w:hAnsi="Arial" w:cs="Arial"/>
          <w:color w:val="000000" w:themeColor="text1"/>
          <w:sz w:val="24"/>
          <w:szCs w:val="24"/>
          <w:lang w:val="hr-HR"/>
        </w:rPr>
        <w:t>Tarikul Islam</w:t>
      </w:r>
    </w:p>
    <w:p w14:paraId="313D8F7C" w14:textId="5D1FD401" w:rsidR="00F832B2" w:rsidRDefault="00F832B2" w:rsidP="00F832B2">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Dat</w:t>
      </w:r>
      <w:r>
        <w:rPr>
          <w:rFonts w:ascii="Arial" w:eastAsia="Times New Roman" w:hAnsi="Arial" w:cs="Arial"/>
          <w:color w:val="000000" w:themeColor="text1"/>
          <w:sz w:val="24"/>
          <w:szCs w:val="24"/>
          <w:lang w:val="hr-HR"/>
        </w:rPr>
        <w:t xml:space="preserve">e: </w:t>
      </w:r>
      <w:r w:rsidR="00F27D82">
        <w:rPr>
          <w:rFonts w:ascii="Arial" w:eastAsia="Times New Roman" w:hAnsi="Arial" w:cs="Arial"/>
          <w:color w:val="000000" w:themeColor="text1"/>
          <w:sz w:val="24"/>
          <w:szCs w:val="24"/>
          <w:lang w:val="hr-HR"/>
        </w:rPr>
        <w:t>2</w:t>
      </w:r>
      <w:r w:rsidR="006E14D9">
        <w:rPr>
          <w:rFonts w:ascii="Arial" w:eastAsia="Times New Roman" w:hAnsi="Arial" w:cs="Arial"/>
          <w:color w:val="000000" w:themeColor="text1"/>
          <w:sz w:val="24"/>
          <w:szCs w:val="24"/>
          <w:lang w:val="hr-HR"/>
        </w:rPr>
        <w:t>4</w:t>
      </w:r>
      <w:r w:rsidR="00F27D82">
        <w:rPr>
          <w:rFonts w:ascii="Arial" w:eastAsia="Times New Roman" w:hAnsi="Arial" w:cs="Arial"/>
          <w:color w:val="000000" w:themeColor="text1"/>
          <w:sz w:val="24"/>
          <w:szCs w:val="24"/>
          <w:lang w:val="hr-HR"/>
        </w:rPr>
        <w:t>-09-2026</w:t>
      </w:r>
    </w:p>
    <w:p w14:paraId="106D8489" w14:textId="3F78CC56" w:rsidR="00F832B2" w:rsidRDefault="00F832B2" w:rsidP="00F832B2">
      <w:pPr>
        <w:spacing w:after="200" w:line="276" w:lineRule="auto"/>
        <w:rPr>
          <w:rFonts w:ascii="Arial" w:eastAsia="Times New Roman" w:hAnsi="Arial" w:cs="Arial"/>
          <w:color w:val="000000" w:themeColor="text1"/>
          <w:sz w:val="24"/>
          <w:szCs w:val="24"/>
          <w:lang w:val="hr-HR"/>
        </w:rPr>
      </w:pPr>
    </w:p>
    <w:p w14:paraId="1843CEE5" w14:textId="78DD4581" w:rsidR="00F832B2" w:rsidRDefault="00F832B2" w:rsidP="00F832B2">
      <w:pPr>
        <w:spacing w:after="200" w:line="276" w:lineRule="auto"/>
        <w:rPr>
          <w:rFonts w:ascii="Arial" w:eastAsia="Times New Roman" w:hAnsi="Arial" w:cs="Arial"/>
          <w:color w:val="000000" w:themeColor="text1"/>
          <w:sz w:val="24"/>
          <w:szCs w:val="24"/>
          <w:lang w:val="hr-HR"/>
        </w:rPr>
      </w:pPr>
    </w:p>
    <w:p w14:paraId="5BC07187" w14:textId="554B70F5" w:rsidR="00F832B2" w:rsidRDefault="00F832B2" w:rsidP="00F832B2">
      <w:pPr>
        <w:spacing w:after="200" w:line="276" w:lineRule="auto"/>
        <w:rPr>
          <w:rFonts w:ascii="Arial" w:eastAsia="Times New Roman" w:hAnsi="Arial" w:cs="Arial"/>
          <w:color w:val="000000" w:themeColor="text1"/>
          <w:sz w:val="24"/>
          <w:szCs w:val="24"/>
          <w:lang w:val="hr-HR"/>
        </w:rPr>
      </w:pPr>
    </w:p>
    <w:p w14:paraId="4A393C7F" w14:textId="56B2140F" w:rsidR="00F832B2" w:rsidRDefault="00F832B2" w:rsidP="00F832B2">
      <w:pPr>
        <w:spacing w:after="200" w:line="276" w:lineRule="auto"/>
        <w:rPr>
          <w:rFonts w:ascii="Arial" w:eastAsia="Times New Roman" w:hAnsi="Arial" w:cs="Arial"/>
          <w:color w:val="000000" w:themeColor="text1"/>
          <w:sz w:val="24"/>
          <w:szCs w:val="24"/>
          <w:lang w:val="hr-HR"/>
        </w:rPr>
      </w:pPr>
    </w:p>
    <w:p w14:paraId="08B85BCB" w14:textId="24B099FE" w:rsidR="00F832B2" w:rsidRDefault="00F832B2" w:rsidP="00F832B2">
      <w:pPr>
        <w:spacing w:after="200" w:line="276" w:lineRule="auto"/>
        <w:rPr>
          <w:rFonts w:ascii="Arial" w:eastAsia="Times New Roman" w:hAnsi="Arial" w:cs="Arial"/>
          <w:color w:val="000000" w:themeColor="text1"/>
          <w:sz w:val="24"/>
          <w:szCs w:val="24"/>
          <w:lang w:val="hr-HR"/>
        </w:rPr>
      </w:pPr>
    </w:p>
    <w:p w14:paraId="26106ABC" w14:textId="17A02804" w:rsidR="00F832B2" w:rsidRDefault="00F832B2" w:rsidP="00F832B2">
      <w:pPr>
        <w:spacing w:after="200" w:line="276" w:lineRule="auto"/>
        <w:rPr>
          <w:rFonts w:ascii="Arial" w:eastAsia="Times New Roman" w:hAnsi="Arial" w:cs="Arial"/>
          <w:color w:val="000000" w:themeColor="text1"/>
          <w:sz w:val="24"/>
          <w:szCs w:val="24"/>
          <w:lang w:val="hr-HR"/>
        </w:rPr>
      </w:pPr>
    </w:p>
    <w:p w14:paraId="762BEC01" w14:textId="03629272" w:rsidR="00F832B2" w:rsidRDefault="00F832B2" w:rsidP="00F832B2">
      <w:pPr>
        <w:spacing w:after="200" w:line="276" w:lineRule="auto"/>
        <w:rPr>
          <w:rFonts w:ascii="Arial" w:eastAsia="Times New Roman" w:hAnsi="Arial" w:cs="Arial"/>
          <w:color w:val="000000" w:themeColor="text1"/>
          <w:sz w:val="24"/>
          <w:szCs w:val="24"/>
          <w:lang w:val="hr-HR"/>
        </w:rPr>
      </w:pPr>
    </w:p>
    <w:p w14:paraId="7798D86E" w14:textId="06E6A910" w:rsidR="00F832B2" w:rsidRDefault="00F832B2" w:rsidP="00F832B2">
      <w:pPr>
        <w:spacing w:after="200" w:line="276" w:lineRule="auto"/>
        <w:rPr>
          <w:rFonts w:ascii="Arial" w:eastAsia="Times New Roman" w:hAnsi="Arial" w:cs="Arial"/>
          <w:color w:val="000000" w:themeColor="text1"/>
          <w:sz w:val="24"/>
          <w:szCs w:val="24"/>
          <w:lang w:val="hr-HR"/>
        </w:rPr>
      </w:pPr>
    </w:p>
    <w:p w14:paraId="59F07825" w14:textId="7B15D27E" w:rsidR="00F832B2" w:rsidRDefault="00F832B2" w:rsidP="00F832B2">
      <w:pPr>
        <w:spacing w:after="200" w:line="276" w:lineRule="auto"/>
        <w:rPr>
          <w:rFonts w:ascii="Arial" w:eastAsia="Times New Roman" w:hAnsi="Arial" w:cs="Arial"/>
          <w:color w:val="000000" w:themeColor="text1"/>
          <w:sz w:val="24"/>
          <w:szCs w:val="24"/>
          <w:lang w:val="hr-HR"/>
        </w:rPr>
      </w:pPr>
    </w:p>
    <w:p w14:paraId="0F3912BA" w14:textId="48CBA6EF" w:rsidR="00F832B2" w:rsidRDefault="00F832B2" w:rsidP="00F832B2">
      <w:pPr>
        <w:spacing w:after="200" w:line="276" w:lineRule="auto"/>
        <w:rPr>
          <w:rFonts w:ascii="Arial" w:eastAsia="Times New Roman" w:hAnsi="Arial" w:cs="Arial"/>
          <w:color w:val="000000" w:themeColor="text1"/>
          <w:sz w:val="24"/>
          <w:szCs w:val="24"/>
          <w:lang w:val="hr-HR"/>
        </w:rPr>
      </w:pPr>
    </w:p>
    <w:p w14:paraId="47CFE8DA" w14:textId="6BB9CC22" w:rsidR="00F832B2" w:rsidRDefault="00F832B2" w:rsidP="00F832B2">
      <w:pPr>
        <w:spacing w:after="200" w:line="276" w:lineRule="auto"/>
        <w:rPr>
          <w:rFonts w:ascii="Arial" w:eastAsia="Times New Roman" w:hAnsi="Arial" w:cs="Arial"/>
          <w:color w:val="000000" w:themeColor="text1"/>
          <w:sz w:val="24"/>
          <w:szCs w:val="24"/>
          <w:lang w:val="hr-HR"/>
        </w:rPr>
      </w:pPr>
    </w:p>
    <w:p w14:paraId="51D934A1" w14:textId="1CD08294" w:rsidR="00F832B2" w:rsidRDefault="00F832B2" w:rsidP="00F832B2">
      <w:pPr>
        <w:spacing w:after="200" w:line="276" w:lineRule="auto"/>
        <w:rPr>
          <w:rFonts w:ascii="Arial" w:eastAsia="Times New Roman" w:hAnsi="Arial" w:cs="Arial"/>
          <w:color w:val="000000" w:themeColor="text1"/>
          <w:sz w:val="24"/>
          <w:szCs w:val="24"/>
          <w:lang w:val="hr-HR"/>
        </w:rPr>
      </w:pPr>
    </w:p>
    <w:p w14:paraId="062E3000" w14:textId="79852C9C" w:rsidR="00F832B2" w:rsidRDefault="00F832B2" w:rsidP="00F832B2">
      <w:pPr>
        <w:spacing w:after="200" w:line="276" w:lineRule="auto"/>
        <w:rPr>
          <w:rFonts w:ascii="Arial" w:eastAsia="Times New Roman" w:hAnsi="Arial" w:cs="Arial"/>
          <w:color w:val="000000" w:themeColor="text1"/>
          <w:sz w:val="24"/>
          <w:szCs w:val="24"/>
          <w:lang w:val="hr-HR"/>
        </w:rPr>
      </w:pPr>
    </w:p>
    <w:p w14:paraId="050D486C" w14:textId="0DBE6BDD" w:rsidR="00F832B2" w:rsidRDefault="00F832B2" w:rsidP="00F832B2">
      <w:pPr>
        <w:spacing w:after="200" w:line="276" w:lineRule="auto"/>
        <w:rPr>
          <w:rFonts w:ascii="Arial" w:eastAsia="Times New Roman" w:hAnsi="Arial" w:cs="Arial"/>
          <w:color w:val="000000" w:themeColor="text1"/>
          <w:sz w:val="24"/>
          <w:szCs w:val="24"/>
          <w:lang w:val="hr-HR"/>
        </w:rPr>
      </w:pPr>
    </w:p>
    <w:p w14:paraId="5D3CB0FC" w14:textId="41179667" w:rsidR="00F832B2" w:rsidRDefault="00F832B2" w:rsidP="00F832B2">
      <w:pPr>
        <w:spacing w:after="200" w:line="276" w:lineRule="auto"/>
        <w:rPr>
          <w:rFonts w:ascii="Arial" w:eastAsia="Times New Roman" w:hAnsi="Arial" w:cs="Arial"/>
          <w:color w:val="000000" w:themeColor="text1"/>
          <w:sz w:val="24"/>
          <w:szCs w:val="24"/>
          <w:lang w:val="hr-HR"/>
        </w:rPr>
      </w:pPr>
    </w:p>
    <w:p w14:paraId="40F1BB92" w14:textId="1E111FB4" w:rsidR="00F832B2" w:rsidRDefault="00F832B2" w:rsidP="00F832B2">
      <w:pPr>
        <w:spacing w:after="200" w:line="276" w:lineRule="auto"/>
        <w:rPr>
          <w:rFonts w:ascii="Arial" w:eastAsia="Times New Roman" w:hAnsi="Arial" w:cs="Arial"/>
          <w:color w:val="000000" w:themeColor="text1"/>
          <w:sz w:val="24"/>
          <w:szCs w:val="24"/>
          <w:lang w:val="hr-HR"/>
        </w:rPr>
      </w:pPr>
    </w:p>
    <w:p w14:paraId="11FA0599" w14:textId="2DDE2ED5" w:rsidR="00F832B2" w:rsidRDefault="00F832B2" w:rsidP="00F832B2">
      <w:pPr>
        <w:spacing w:after="200" w:line="276" w:lineRule="auto"/>
        <w:rPr>
          <w:rFonts w:ascii="Arial" w:eastAsia="Times New Roman" w:hAnsi="Arial" w:cs="Arial"/>
          <w:color w:val="000000" w:themeColor="text1"/>
          <w:sz w:val="24"/>
          <w:szCs w:val="24"/>
          <w:lang w:val="hr-HR"/>
        </w:rPr>
      </w:pPr>
    </w:p>
    <w:p w14:paraId="2166713B" w14:textId="77777777" w:rsidR="006D3606" w:rsidRPr="006D3606" w:rsidRDefault="006D3606" w:rsidP="006D3606">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bookmarkStart w:id="0" w:name="_Toc240558441"/>
      <w:r w:rsidRPr="006D3606">
        <w:rPr>
          <w:rFonts w:ascii="Times New Roman" w:eastAsia="Times New Roman" w:hAnsi="Times New Roman" w:cs="Times New Roman"/>
          <w:b/>
          <w:bCs/>
          <w:kern w:val="36"/>
          <w:sz w:val="48"/>
          <w:szCs w:val="48"/>
          <w:lang w:eastAsia="en-GB"/>
          <w14:ligatures w14:val="none"/>
        </w:rPr>
        <w:lastRenderedPageBreak/>
        <w:t>Acknowledgements</w:t>
      </w:r>
      <w:bookmarkEnd w:id="0"/>
    </w:p>
    <w:p w14:paraId="7212B308" w14:textId="577CCCAC" w:rsidR="006D3606" w:rsidRPr="006D3606" w:rsidRDefault="006D3606" w:rsidP="006D360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3606">
        <w:rPr>
          <w:rFonts w:ascii="Arial" w:eastAsia="Times New Roman" w:hAnsi="Arial" w:cs="Arial"/>
          <w:kern w:val="0"/>
          <w:sz w:val="24"/>
          <w:szCs w:val="24"/>
          <w:lang w:eastAsia="en-GB"/>
          <w14:ligatures w14:val="none"/>
        </w:rPr>
        <w:t xml:space="preserve">I would like to express my sincere gratitude to my </w:t>
      </w:r>
      <w:r w:rsidRPr="006D3606">
        <w:rPr>
          <w:rFonts w:ascii="Arial" w:eastAsia="Times New Roman" w:hAnsi="Arial" w:cs="Arial"/>
          <w:b/>
          <w:bCs/>
          <w:kern w:val="0"/>
          <w:sz w:val="24"/>
          <w:szCs w:val="24"/>
          <w:lang w:eastAsia="en-GB"/>
          <w14:ligatures w14:val="none"/>
        </w:rPr>
        <w:t xml:space="preserve">supervisor </w:t>
      </w:r>
      <w:r w:rsidR="00595555">
        <w:rPr>
          <w:rFonts w:ascii="Arial" w:eastAsia="Times New Roman" w:hAnsi="Arial" w:cs="Arial"/>
          <w:b/>
          <w:bCs/>
          <w:kern w:val="0"/>
          <w:sz w:val="24"/>
          <w:szCs w:val="24"/>
          <w:lang w:eastAsia="en-GB"/>
          <w14:ligatures w14:val="none"/>
        </w:rPr>
        <w:t>Dr. Shepherd Ziko</w:t>
      </w:r>
      <w:r w:rsidR="00F27D82">
        <w:rPr>
          <w:rFonts w:ascii="Arial" w:eastAsia="Times New Roman" w:hAnsi="Arial" w:cs="Arial"/>
          <w:kern w:val="0"/>
          <w:sz w:val="24"/>
          <w:szCs w:val="24"/>
          <w:lang w:eastAsia="en-GB"/>
          <w14:ligatures w14:val="none"/>
        </w:rPr>
        <w:t xml:space="preserve"> </w:t>
      </w:r>
      <w:r w:rsidRPr="006D3606">
        <w:rPr>
          <w:rFonts w:ascii="Arial" w:eastAsia="Times New Roman" w:hAnsi="Arial" w:cs="Arial"/>
          <w:kern w:val="0"/>
          <w:sz w:val="24"/>
          <w:szCs w:val="24"/>
          <w:lang w:eastAsia="en-GB"/>
          <w14:ligatures w14:val="none"/>
        </w:rPr>
        <w:t>for their invaluable guidance, constructive feedback and continuous support throughout the development and completion of this dissertation. Their academic expertise, encouragement and critical comments were instrumental in shaping the direction and quality of this research.</w:t>
      </w:r>
    </w:p>
    <w:p w14:paraId="526B2880" w14:textId="77777777" w:rsidR="006D3606" w:rsidRPr="006D3606" w:rsidRDefault="006D3606" w:rsidP="006D360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3606">
        <w:rPr>
          <w:rFonts w:ascii="Arial" w:eastAsia="Times New Roman" w:hAnsi="Arial" w:cs="Arial"/>
          <w:kern w:val="0"/>
          <w:sz w:val="24"/>
          <w:szCs w:val="24"/>
          <w:lang w:eastAsia="en-GB"/>
          <w14:ligatures w14:val="none"/>
        </w:rPr>
        <w:t xml:space="preserve">I would also like to thank the </w:t>
      </w:r>
      <w:r w:rsidRPr="006D3606">
        <w:rPr>
          <w:rFonts w:ascii="Arial" w:eastAsia="Times New Roman" w:hAnsi="Arial" w:cs="Arial"/>
          <w:b/>
          <w:bCs/>
          <w:kern w:val="0"/>
          <w:sz w:val="24"/>
          <w:szCs w:val="24"/>
          <w:lang w:eastAsia="en-GB"/>
          <w14:ligatures w14:val="none"/>
        </w:rPr>
        <w:t>academic staff and teaching team</w:t>
      </w:r>
      <w:r w:rsidRPr="006D3606">
        <w:rPr>
          <w:rFonts w:ascii="Arial" w:eastAsia="Times New Roman" w:hAnsi="Arial" w:cs="Arial"/>
          <w:kern w:val="0"/>
          <w:sz w:val="24"/>
          <w:szCs w:val="24"/>
          <w:lang w:eastAsia="en-GB"/>
          <w14:ligatures w14:val="none"/>
        </w:rPr>
        <w:t xml:space="preserve"> of my programme for providing the knowledge, resources and research guidance necessary to complete this study. Their support throughout the programme contributed significantly to my academic development and understanding of public health research and systematic review methodology.</w:t>
      </w:r>
    </w:p>
    <w:p w14:paraId="73FD943C" w14:textId="77777777" w:rsidR="006D3606" w:rsidRPr="006D3606" w:rsidRDefault="006D3606" w:rsidP="006D360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3606">
        <w:rPr>
          <w:rFonts w:ascii="Arial" w:eastAsia="Times New Roman" w:hAnsi="Arial" w:cs="Arial"/>
          <w:kern w:val="0"/>
          <w:sz w:val="24"/>
          <w:szCs w:val="24"/>
          <w:lang w:eastAsia="en-GB"/>
          <w14:ligatures w14:val="none"/>
        </w:rPr>
        <w:t>I am grateful to all those who contributed indirectly to this research by providing academic resources, research guidance and encouragement during the dissertation process. I also acknowledge the researchers and organisations whose published evidence formed the foundation of this systematic review.</w:t>
      </w:r>
    </w:p>
    <w:p w14:paraId="622CA48D" w14:textId="77777777" w:rsidR="006D3606" w:rsidRPr="006D3606" w:rsidRDefault="006D3606" w:rsidP="006D360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3606">
        <w:rPr>
          <w:rFonts w:ascii="Arial" w:eastAsia="Times New Roman" w:hAnsi="Arial" w:cs="Arial"/>
          <w:kern w:val="0"/>
          <w:sz w:val="24"/>
          <w:szCs w:val="24"/>
          <w:lang w:eastAsia="en-GB"/>
          <w14:ligatures w14:val="none"/>
        </w:rPr>
        <w:t xml:space="preserve">Finally, I would like to express my deepest appreciation to my </w:t>
      </w:r>
      <w:r w:rsidRPr="006D3606">
        <w:rPr>
          <w:rFonts w:ascii="Arial" w:eastAsia="Times New Roman" w:hAnsi="Arial" w:cs="Arial"/>
          <w:b/>
          <w:bCs/>
          <w:kern w:val="0"/>
          <w:sz w:val="24"/>
          <w:szCs w:val="24"/>
          <w:lang w:eastAsia="en-GB"/>
          <w14:ligatures w14:val="none"/>
        </w:rPr>
        <w:t>family and friends</w:t>
      </w:r>
      <w:r w:rsidRPr="006D3606">
        <w:rPr>
          <w:rFonts w:ascii="Arial" w:eastAsia="Times New Roman" w:hAnsi="Arial" w:cs="Arial"/>
          <w:kern w:val="0"/>
          <w:sz w:val="24"/>
          <w:szCs w:val="24"/>
          <w:lang w:eastAsia="en-GB"/>
          <w14:ligatures w14:val="none"/>
        </w:rPr>
        <w:t xml:space="preserve"> for their patience, encouragement and emotional support throughout my studies. Their understanding and motivation helped me remain focused and committed during the challenging stages of the research and writing process.</w:t>
      </w:r>
    </w:p>
    <w:p w14:paraId="65B19EA5" w14:textId="77777777" w:rsidR="006D3606" w:rsidRPr="006D3606" w:rsidRDefault="006D3606" w:rsidP="006D360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3606">
        <w:rPr>
          <w:rFonts w:ascii="Arial" w:eastAsia="Times New Roman" w:hAnsi="Arial" w:cs="Arial"/>
          <w:b/>
          <w:bCs/>
          <w:kern w:val="0"/>
          <w:sz w:val="24"/>
          <w:szCs w:val="24"/>
          <w:lang w:eastAsia="en-GB"/>
          <w14:ligatures w14:val="none"/>
        </w:rPr>
        <w:t>Thank you to everyone who supported me throughout this academic journey.</w:t>
      </w:r>
    </w:p>
    <w:p w14:paraId="7CDD196C" w14:textId="2E05EA18" w:rsidR="009F64C5" w:rsidRDefault="009F64C5" w:rsidP="006D3606">
      <w:pPr>
        <w:jc w:val="both"/>
        <w:rPr>
          <w:rFonts w:ascii="Arial" w:eastAsia="Times New Roman" w:hAnsi="Arial" w:cs="Arial"/>
          <w:color w:val="000000" w:themeColor="text1"/>
          <w:sz w:val="24"/>
          <w:szCs w:val="24"/>
          <w:lang w:val="hr-HR"/>
        </w:rPr>
      </w:pPr>
    </w:p>
    <w:p w14:paraId="33F25B15" w14:textId="59C235A1" w:rsidR="006D3606" w:rsidRDefault="006D3606" w:rsidP="006D3606">
      <w:pPr>
        <w:jc w:val="both"/>
        <w:rPr>
          <w:rFonts w:ascii="Arial" w:eastAsia="Times New Roman" w:hAnsi="Arial" w:cs="Arial"/>
          <w:color w:val="000000" w:themeColor="text1"/>
          <w:sz w:val="24"/>
          <w:szCs w:val="24"/>
          <w:lang w:val="hr-HR"/>
        </w:rPr>
      </w:pPr>
    </w:p>
    <w:p w14:paraId="0A9042D3" w14:textId="3C9AFD96" w:rsidR="006D3606" w:rsidRDefault="006D3606" w:rsidP="006D3606">
      <w:pPr>
        <w:jc w:val="both"/>
        <w:rPr>
          <w:rFonts w:ascii="Arial" w:eastAsia="Times New Roman" w:hAnsi="Arial" w:cs="Arial"/>
          <w:color w:val="000000" w:themeColor="text1"/>
          <w:sz w:val="24"/>
          <w:szCs w:val="24"/>
          <w:lang w:val="hr-HR"/>
        </w:rPr>
      </w:pPr>
    </w:p>
    <w:p w14:paraId="20FF4919" w14:textId="5FF61A5A" w:rsidR="006D3606" w:rsidRDefault="006D3606" w:rsidP="006D3606">
      <w:pPr>
        <w:jc w:val="both"/>
        <w:rPr>
          <w:rFonts w:ascii="Arial" w:eastAsia="Times New Roman" w:hAnsi="Arial" w:cs="Arial"/>
          <w:color w:val="000000" w:themeColor="text1"/>
          <w:sz w:val="24"/>
          <w:szCs w:val="24"/>
          <w:lang w:val="hr-HR"/>
        </w:rPr>
      </w:pPr>
    </w:p>
    <w:p w14:paraId="7F5DC84E" w14:textId="22232359" w:rsidR="006D3606" w:rsidRDefault="006D3606" w:rsidP="006D3606">
      <w:pPr>
        <w:jc w:val="both"/>
        <w:rPr>
          <w:rFonts w:ascii="Arial" w:eastAsia="Times New Roman" w:hAnsi="Arial" w:cs="Arial"/>
          <w:color w:val="000000" w:themeColor="text1"/>
          <w:sz w:val="24"/>
          <w:szCs w:val="24"/>
          <w:lang w:val="hr-HR"/>
        </w:rPr>
      </w:pPr>
    </w:p>
    <w:p w14:paraId="390FDC9B" w14:textId="316CABF1" w:rsidR="006D3606" w:rsidRDefault="006D3606" w:rsidP="006D3606">
      <w:pPr>
        <w:jc w:val="both"/>
        <w:rPr>
          <w:rFonts w:ascii="Arial" w:eastAsia="Times New Roman" w:hAnsi="Arial" w:cs="Arial"/>
          <w:color w:val="000000" w:themeColor="text1"/>
          <w:sz w:val="24"/>
          <w:szCs w:val="24"/>
          <w:lang w:val="hr-HR"/>
        </w:rPr>
      </w:pPr>
    </w:p>
    <w:p w14:paraId="310D11F8" w14:textId="28718375" w:rsidR="006D3606" w:rsidRDefault="006D3606" w:rsidP="006D3606">
      <w:pPr>
        <w:jc w:val="both"/>
        <w:rPr>
          <w:rFonts w:ascii="Arial" w:eastAsia="Times New Roman" w:hAnsi="Arial" w:cs="Arial"/>
          <w:color w:val="000000" w:themeColor="text1"/>
          <w:sz w:val="24"/>
          <w:szCs w:val="24"/>
          <w:lang w:val="hr-HR"/>
        </w:rPr>
      </w:pPr>
    </w:p>
    <w:p w14:paraId="25CCE27E" w14:textId="2EFA024C" w:rsidR="006D3606" w:rsidRDefault="006D3606" w:rsidP="006D3606">
      <w:pPr>
        <w:jc w:val="both"/>
        <w:rPr>
          <w:rFonts w:ascii="Arial" w:eastAsia="Times New Roman" w:hAnsi="Arial" w:cs="Arial"/>
          <w:color w:val="000000" w:themeColor="text1"/>
          <w:sz w:val="24"/>
          <w:szCs w:val="24"/>
          <w:lang w:val="hr-HR"/>
        </w:rPr>
      </w:pPr>
    </w:p>
    <w:p w14:paraId="2549F417" w14:textId="77777777" w:rsidR="00C1695C" w:rsidRPr="00C1695C" w:rsidRDefault="00C1695C" w:rsidP="00462F16">
      <w:pPr>
        <w:pStyle w:val="Heading1"/>
        <w:rPr>
          <w:lang w:eastAsia="en-GB"/>
        </w:rPr>
      </w:pPr>
      <w:bookmarkStart w:id="1" w:name="_Toc240558442"/>
      <w:r w:rsidRPr="00C1695C">
        <w:rPr>
          <w:lang w:eastAsia="en-GB"/>
        </w:rPr>
        <w:lastRenderedPageBreak/>
        <w:t>Abstract</w:t>
      </w:r>
      <w:bookmarkEnd w:id="1"/>
    </w:p>
    <w:p w14:paraId="2125D5D2" w14:textId="77777777" w:rsidR="00C1695C" w:rsidRPr="00C1695C" w:rsidRDefault="00C1695C" w:rsidP="00C1695C">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1695C">
        <w:rPr>
          <w:rFonts w:ascii="Arial" w:eastAsia="Times New Roman" w:hAnsi="Arial" w:cs="Arial"/>
          <w:kern w:val="0"/>
          <w:sz w:val="24"/>
          <w:szCs w:val="24"/>
          <w:lang w:eastAsia="en-GB"/>
          <w14:ligatures w14:val="none"/>
        </w:rPr>
        <w:t xml:space="preserve">Vitamin D deficiency represents an important public health concern among older adults living in UK care homes, who may be particularly vulnerable because of ageing-related reductions in vitamin D synthesis, limited sunlight exposure, reduced mobility, frailty and inadequate dietary intake. This </w:t>
      </w:r>
      <w:r w:rsidRPr="00830205">
        <w:rPr>
          <w:rFonts w:ascii="Arial" w:eastAsia="Times New Roman" w:hAnsi="Arial" w:cs="Arial"/>
          <w:b/>
          <w:bCs/>
          <w:kern w:val="0"/>
          <w:sz w:val="24"/>
          <w:szCs w:val="24"/>
          <w:lang w:eastAsia="en-GB"/>
          <w14:ligatures w14:val="none"/>
        </w:rPr>
        <w:t>systematic review</w:t>
      </w:r>
      <w:r w:rsidRPr="00C1695C">
        <w:rPr>
          <w:rFonts w:ascii="Arial" w:eastAsia="Times New Roman" w:hAnsi="Arial" w:cs="Arial"/>
          <w:kern w:val="0"/>
          <w:sz w:val="24"/>
          <w:szCs w:val="24"/>
          <w:lang w:eastAsia="en-GB"/>
          <w14:ligatures w14:val="none"/>
        </w:rPr>
        <w:t xml:space="preserve"> examined awareness and prevention of vitamin D deficiency among older adults living in UK care homes. The objectives were to examine levels of awareness and knowledge, identify barriers to prevention, evaluate prevention strategies, and identify approaches for improving awareness and preventive practice. A </w:t>
      </w:r>
      <w:r w:rsidRPr="00830205">
        <w:rPr>
          <w:rFonts w:ascii="Arial" w:eastAsia="Times New Roman" w:hAnsi="Arial" w:cs="Arial"/>
          <w:b/>
          <w:bCs/>
          <w:kern w:val="0"/>
          <w:sz w:val="24"/>
          <w:szCs w:val="24"/>
          <w:lang w:eastAsia="en-GB"/>
          <w14:ligatures w14:val="none"/>
        </w:rPr>
        <w:t>systematic review</w:t>
      </w:r>
      <w:r w:rsidRPr="00C1695C">
        <w:rPr>
          <w:rFonts w:ascii="Arial" w:eastAsia="Times New Roman" w:hAnsi="Arial" w:cs="Arial"/>
          <w:kern w:val="0"/>
          <w:sz w:val="24"/>
          <w:szCs w:val="24"/>
          <w:lang w:eastAsia="en-GB"/>
          <w14:ligatures w14:val="none"/>
        </w:rPr>
        <w:t xml:space="preserve"> design was adopted using a structured search of PubMed, MEDLINE, CINAHL, Scopus, Web of Science and Google Scholar, supplemented by hand searching and grey literature. Studies were screened against predefined inclusion and exclusion criteria, critically appraised using appropriate quality-assessment tools, and synthesised thematically.</w:t>
      </w:r>
    </w:p>
    <w:p w14:paraId="4388AD5C" w14:textId="77777777" w:rsidR="00C1695C" w:rsidRPr="00C1695C" w:rsidRDefault="00C1695C" w:rsidP="00C1695C">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1695C">
        <w:rPr>
          <w:rFonts w:ascii="Arial" w:eastAsia="Times New Roman" w:hAnsi="Arial" w:cs="Arial"/>
          <w:kern w:val="0"/>
          <w:sz w:val="24"/>
          <w:szCs w:val="24"/>
          <w:lang w:eastAsia="en-GB"/>
          <w14:ligatures w14:val="none"/>
        </w:rPr>
        <w:t>The findings identified five major themes: vitamin D deficiency among older adults, awareness and knowledge, barriers to prevention, prevention strategies and interventions, and improving awareness in UK care homes. The evidence showed that older care-home residents remained particularly vulnerable to deficiency, while gaps in staff and resident knowledge contributed to inconsistent preventive practice. Organisational barriers, unclear professional responsibilities, inadequate training and inconsistent supplementation procedures further restricted prevention. Structured education, routine supplementation, appropriate nutritional assessment, staff training and clear organisational protocols were identified as complementary prevention approaches.</w:t>
      </w:r>
    </w:p>
    <w:p w14:paraId="6D6F749E" w14:textId="77777777" w:rsidR="00C1695C" w:rsidRPr="00C1695C" w:rsidRDefault="00C1695C" w:rsidP="00C1695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1695C">
        <w:rPr>
          <w:rFonts w:ascii="Arial" w:eastAsia="Times New Roman" w:hAnsi="Arial" w:cs="Arial"/>
          <w:kern w:val="0"/>
          <w:sz w:val="24"/>
          <w:szCs w:val="24"/>
          <w:lang w:eastAsia="en-GB"/>
          <w14:ligatures w14:val="none"/>
        </w:rPr>
        <w:t xml:space="preserve">The review concludes that vitamin D deficiency prevention in UK care homes requires a </w:t>
      </w:r>
      <w:r w:rsidRPr="00C1695C">
        <w:rPr>
          <w:rFonts w:ascii="Arial" w:eastAsia="Times New Roman" w:hAnsi="Arial" w:cs="Arial"/>
          <w:b/>
          <w:bCs/>
          <w:kern w:val="0"/>
          <w:sz w:val="24"/>
          <w:szCs w:val="24"/>
          <w:lang w:eastAsia="en-GB"/>
          <w14:ligatures w14:val="none"/>
        </w:rPr>
        <w:t>multicomponent approach rather than supplementation alone</w:t>
      </w:r>
      <w:r w:rsidRPr="00C1695C">
        <w:rPr>
          <w:rFonts w:ascii="Arial" w:eastAsia="Times New Roman" w:hAnsi="Arial" w:cs="Arial"/>
          <w:kern w:val="0"/>
          <w:sz w:val="24"/>
          <w:szCs w:val="24"/>
          <w:lang w:eastAsia="en-GB"/>
          <w14:ligatures w14:val="none"/>
        </w:rPr>
        <w:t>. Clear implementation of national guidance, improved staff and resident awareness, organisational accountability and consistent monitoring are recommended. Interpretation is limited by heterogeneity between studies, potential publication and selection bias, and limited UK-specific evidence</w:t>
      </w:r>
      <w:r w:rsidRPr="00C1695C">
        <w:rPr>
          <w:rFonts w:ascii="Times New Roman" w:eastAsia="Times New Roman" w:hAnsi="Times New Roman" w:cs="Times New Roman"/>
          <w:kern w:val="0"/>
          <w:sz w:val="24"/>
          <w:szCs w:val="24"/>
          <w:lang w:eastAsia="en-GB"/>
          <w14:ligatures w14:val="none"/>
        </w:rPr>
        <w:t>.</w:t>
      </w:r>
    </w:p>
    <w:p w14:paraId="4836D73B" w14:textId="77777777" w:rsidR="006D3606" w:rsidRPr="00B95409" w:rsidRDefault="006D3606" w:rsidP="006D3606">
      <w:pPr>
        <w:jc w:val="both"/>
        <w:rPr>
          <w:b/>
          <w:bCs/>
        </w:rPr>
      </w:pPr>
    </w:p>
    <w:sdt>
      <w:sdtPr>
        <w:rPr>
          <w:rFonts w:ascii="Arial" w:hAnsi="Arial" w:cs="Arial"/>
          <w:b/>
          <w:sz w:val="24"/>
          <w:szCs w:val="24"/>
        </w:rPr>
        <w:id w:val="1513028152"/>
        <w:docPartObj>
          <w:docPartGallery w:val="Table of Contents"/>
        </w:docPartObj>
      </w:sdtPr>
      <w:sdtEndPr>
        <w:rPr>
          <w:b w:val="0"/>
        </w:rPr>
      </w:sdtEndPr>
      <w:sdtContent>
        <w:p w14:paraId="10CA4FC8" w14:textId="77777777" w:rsidR="00DE4331" w:rsidRPr="00F74152" w:rsidRDefault="00DE4331" w:rsidP="00311DB4">
          <w:pPr>
            <w:jc w:val="both"/>
            <w:rPr>
              <w:rFonts w:ascii="Arial" w:hAnsi="Arial" w:cs="Arial"/>
              <w:sz w:val="24"/>
              <w:szCs w:val="24"/>
            </w:rPr>
          </w:pPr>
        </w:p>
        <w:sdt>
          <w:sdtPr>
            <w:rPr>
              <w:rFonts w:asciiTheme="minorHAnsi" w:eastAsiaTheme="minorEastAsia" w:hAnsiTheme="minorHAnsi" w:cstheme="minorBidi"/>
              <w:color w:val="auto"/>
              <w:kern w:val="2"/>
              <w:sz w:val="22"/>
              <w:szCs w:val="22"/>
              <w:lang w:val="en-GB" w:eastAsia="zh-CN"/>
              <w14:ligatures w14:val="standardContextual"/>
            </w:rPr>
            <w:id w:val="2145765162"/>
            <w:docPartObj>
              <w:docPartGallery w:val="Table of Contents"/>
              <w:docPartUnique/>
            </w:docPartObj>
          </w:sdtPr>
          <w:sdtEndPr>
            <w:rPr>
              <w:rFonts w:ascii="Arial" w:hAnsi="Arial" w:cs="Arial"/>
              <w:b/>
              <w:bCs/>
              <w:noProof/>
              <w:sz w:val="24"/>
              <w:szCs w:val="24"/>
            </w:rPr>
          </w:sdtEndPr>
          <w:sdtContent>
            <w:p w14:paraId="3C6353E5" w14:textId="73D14FE4" w:rsidR="00DE4331" w:rsidRPr="00F74152" w:rsidRDefault="00DE4331" w:rsidP="00462F16">
              <w:pPr>
                <w:pStyle w:val="TOCHeading"/>
              </w:pPr>
              <w:r w:rsidRPr="00F74152">
                <w:t>Contents</w:t>
              </w:r>
            </w:p>
            <w:p w14:paraId="1B32B6A8" w14:textId="30FD4902" w:rsidR="006A0C92" w:rsidRPr="006A0C92" w:rsidRDefault="00DE4331" w:rsidP="006A0C92">
              <w:pPr>
                <w:pStyle w:val="TOC1"/>
                <w:tabs>
                  <w:tab w:val="right" w:leader="dot" w:pos="9016"/>
                </w:tabs>
                <w:jc w:val="both"/>
                <w:rPr>
                  <w:rFonts w:ascii="Arial" w:eastAsiaTheme="minorEastAsia" w:hAnsi="Arial" w:cs="Arial"/>
                  <w:noProof/>
                  <w:color w:val="auto"/>
                  <w:kern w:val="0"/>
                  <w:szCs w:val="24"/>
                  <w:lang w:eastAsia="en-GB"/>
                  <w14:ligatures w14:val="none"/>
                </w:rPr>
              </w:pPr>
              <w:r w:rsidRPr="003A2840">
                <w:rPr>
                  <w:rFonts w:ascii="Arial" w:hAnsi="Arial" w:cs="Arial"/>
                  <w:szCs w:val="24"/>
                </w:rPr>
                <w:fldChar w:fldCharType="begin"/>
              </w:r>
              <w:r w:rsidRPr="003A2840">
                <w:rPr>
                  <w:rFonts w:ascii="Arial" w:hAnsi="Arial" w:cs="Arial"/>
                  <w:szCs w:val="24"/>
                </w:rPr>
                <w:instrText xml:space="preserve"> TOC \o "1-3" \h \z \u </w:instrText>
              </w:r>
              <w:r w:rsidRPr="003A2840">
                <w:rPr>
                  <w:rFonts w:ascii="Arial" w:hAnsi="Arial" w:cs="Arial"/>
                  <w:szCs w:val="24"/>
                </w:rPr>
                <w:fldChar w:fldCharType="separate"/>
              </w:r>
              <w:hyperlink w:anchor="_Toc240558441" w:history="1">
                <w:r w:rsidR="006A0C92" w:rsidRPr="006A0C92">
                  <w:rPr>
                    <w:rStyle w:val="Hyperlink"/>
                    <w:rFonts w:ascii="Arial" w:hAnsi="Arial" w:cs="Arial"/>
                    <w:b/>
                    <w:bCs/>
                    <w:noProof/>
                    <w:kern w:val="36"/>
                    <w:szCs w:val="24"/>
                    <w:lang w:eastAsia="en-GB"/>
                  </w:rPr>
                  <w:t>Acknowledgements</w:t>
                </w:r>
                <w:r w:rsidR="006A0C92" w:rsidRPr="006A0C92">
                  <w:rPr>
                    <w:rFonts w:ascii="Arial" w:hAnsi="Arial" w:cs="Arial"/>
                    <w:noProof/>
                    <w:webHidden/>
                    <w:szCs w:val="24"/>
                  </w:rPr>
                  <w:tab/>
                </w:r>
                <w:r w:rsidR="006A0C92" w:rsidRPr="006A0C92">
                  <w:rPr>
                    <w:rFonts w:ascii="Arial" w:hAnsi="Arial" w:cs="Arial"/>
                    <w:noProof/>
                    <w:webHidden/>
                    <w:szCs w:val="24"/>
                  </w:rPr>
                  <w:fldChar w:fldCharType="begin"/>
                </w:r>
                <w:r w:rsidR="006A0C92" w:rsidRPr="006A0C92">
                  <w:rPr>
                    <w:rFonts w:ascii="Arial" w:hAnsi="Arial" w:cs="Arial"/>
                    <w:noProof/>
                    <w:webHidden/>
                    <w:szCs w:val="24"/>
                  </w:rPr>
                  <w:instrText xml:space="preserve"> PAGEREF _Toc240558441 \h </w:instrText>
                </w:r>
                <w:r w:rsidR="006A0C92" w:rsidRPr="006A0C92">
                  <w:rPr>
                    <w:rFonts w:ascii="Arial" w:hAnsi="Arial" w:cs="Arial"/>
                    <w:noProof/>
                    <w:webHidden/>
                    <w:szCs w:val="24"/>
                  </w:rPr>
                </w:r>
                <w:r w:rsidR="006A0C92" w:rsidRPr="006A0C92">
                  <w:rPr>
                    <w:rFonts w:ascii="Arial" w:hAnsi="Arial" w:cs="Arial"/>
                    <w:noProof/>
                    <w:webHidden/>
                    <w:szCs w:val="24"/>
                  </w:rPr>
                  <w:fldChar w:fldCharType="separate"/>
                </w:r>
                <w:r w:rsidR="006A0C92" w:rsidRPr="006A0C92">
                  <w:rPr>
                    <w:rFonts w:ascii="Arial" w:hAnsi="Arial" w:cs="Arial"/>
                    <w:noProof/>
                    <w:webHidden/>
                    <w:szCs w:val="24"/>
                  </w:rPr>
                  <w:t>iii</w:t>
                </w:r>
                <w:r w:rsidR="006A0C92" w:rsidRPr="006A0C92">
                  <w:rPr>
                    <w:rFonts w:ascii="Arial" w:hAnsi="Arial" w:cs="Arial"/>
                    <w:noProof/>
                    <w:webHidden/>
                    <w:szCs w:val="24"/>
                  </w:rPr>
                  <w:fldChar w:fldCharType="end"/>
                </w:r>
              </w:hyperlink>
            </w:p>
            <w:p w14:paraId="03961224" w14:textId="1DA424F5"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442" w:history="1">
                <w:r w:rsidRPr="006A0C92">
                  <w:rPr>
                    <w:rStyle w:val="Hyperlink"/>
                    <w:rFonts w:ascii="Arial" w:hAnsi="Arial" w:cs="Arial"/>
                    <w:noProof/>
                    <w:szCs w:val="24"/>
                    <w:lang w:eastAsia="en-GB"/>
                  </w:rPr>
                  <w:t>Abstract</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_Toc240558442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iv</w:t>
                </w:r>
                <w:r w:rsidRPr="006A0C92">
                  <w:rPr>
                    <w:rFonts w:ascii="Arial" w:hAnsi="Arial" w:cs="Arial"/>
                    <w:noProof/>
                    <w:webHidden/>
                    <w:szCs w:val="24"/>
                  </w:rPr>
                  <w:fldChar w:fldCharType="end"/>
                </w:r>
              </w:hyperlink>
            </w:p>
            <w:p w14:paraId="2F42B104" w14:textId="7FBDFE6F"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443" w:history="1">
                <w:r w:rsidRPr="006A0C92">
                  <w:rPr>
                    <w:rStyle w:val="Hyperlink"/>
                    <w:rFonts w:ascii="Arial" w:hAnsi="Arial" w:cs="Arial"/>
                    <w:noProof/>
                    <w:szCs w:val="24"/>
                  </w:rPr>
                  <w:t>List of Abbreviations</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_Toc240558443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viii</w:t>
                </w:r>
                <w:r w:rsidRPr="006A0C92">
                  <w:rPr>
                    <w:rFonts w:ascii="Arial" w:hAnsi="Arial" w:cs="Arial"/>
                    <w:noProof/>
                    <w:webHidden/>
                    <w:szCs w:val="24"/>
                  </w:rPr>
                  <w:fldChar w:fldCharType="end"/>
                </w:r>
              </w:hyperlink>
            </w:p>
            <w:p w14:paraId="2C8DBA4D" w14:textId="3041DAF0"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444" w:history="1">
                <w:r w:rsidRPr="006A0C92">
                  <w:rPr>
                    <w:rStyle w:val="Hyperlink"/>
                    <w:rFonts w:ascii="Arial" w:hAnsi="Arial" w:cs="Arial"/>
                    <w:noProof/>
                    <w:szCs w:val="24"/>
                  </w:rPr>
                  <w:t>Glossary</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_Toc240558444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ix</w:t>
                </w:r>
                <w:r w:rsidRPr="006A0C92">
                  <w:rPr>
                    <w:rFonts w:ascii="Arial" w:hAnsi="Arial" w:cs="Arial"/>
                    <w:noProof/>
                    <w:webHidden/>
                    <w:szCs w:val="24"/>
                  </w:rPr>
                  <w:fldChar w:fldCharType="end"/>
                </w:r>
              </w:hyperlink>
            </w:p>
            <w:p w14:paraId="5430D943" w14:textId="13F897C0"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445" w:history="1">
                <w:r w:rsidRPr="006A0C92">
                  <w:rPr>
                    <w:rStyle w:val="Hyperlink"/>
                    <w:rFonts w:ascii="Arial" w:hAnsi="Arial" w:cs="Arial"/>
                    <w:noProof/>
                    <w:szCs w:val="24"/>
                  </w:rPr>
                  <w:t>Chapter 1: Introduction</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_Toc240558445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1</w:t>
                </w:r>
                <w:r w:rsidRPr="006A0C92">
                  <w:rPr>
                    <w:rFonts w:ascii="Arial" w:hAnsi="Arial" w:cs="Arial"/>
                    <w:noProof/>
                    <w:webHidden/>
                    <w:szCs w:val="24"/>
                  </w:rPr>
                  <w:fldChar w:fldCharType="end"/>
                </w:r>
              </w:hyperlink>
            </w:p>
            <w:p w14:paraId="710BCF81" w14:textId="4CAE5B26"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46" w:history="1">
                <w:r w:rsidRPr="006A0C92">
                  <w:rPr>
                    <w:rStyle w:val="Hyperlink"/>
                    <w:rFonts w:ascii="Arial" w:hAnsi="Arial" w:cs="Arial"/>
                    <w:noProof/>
                    <w:sz w:val="24"/>
                    <w:szCs w:val="24"/>
                  </w:rPr>
                  <w:t>1.1 Introduction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_Toc240558446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w:t>
                </w:r>
                <w:r w:rsidRPr="006A0C92">
                  <w:rPr>
                    <w:rFonts w:ascii="Arial" w:hAnsi="Arial" w:cs="Arial"/>
                    <w:noProof/>
                    <w:webHidden/>
                    <w:sz w:val="24"/>
                    <w:szCs w:val="24"/>
                  </w:rPr>
                  <w:fldChar w:fldCharType="end"/>
                </w:r>
              </w:hyperlink>
            </w:p>
            <w:p w14:paraId="6D2484D7" w14:textId="3315B692"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47" w:history="1">
                <w:r w:rsidRPr="006A0C92">
                  <w:rPr>
                    <w:rStyle w:val="Hyperlink"/>
                    <w:rFonts w:ascii="Arial" w:hAnsi="Arial" w:cs="Arial"/>
                    <w:noProof/>
                    <w:sz w:val="24"/>
                    <w:szCs w:val="24"/>
                  </w:rPr>
                  <w:t>1.2 Background of the Study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_Toc240558447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w:t>
                </w:r>
                <w:r w:rsidRPr="006A0C92">
                  <w:rPr>
                    <w:rFonts w:ascii="Arial" w:hAnsi="Arial" w:cs="Arial"/>
                    <w:noProof/>
                    <w:webHidden/>
                    <w:sz w:val="24"/>
                    <w:szCs w:val="24"/>
                  </w:rPr>
                  <w:fldChar w:fldCharType="end"/>
                </w:r>
              </w:hyperlink>
            </w:p>
            <w:p w14:paraId="2D092B69" w14:textId="498472BC"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48" w:history="1">
                <w:r w:rsidRPr="006A0C92">
                  <w:rPr>
                    <w:rStyle w:val="Hyperlink"/>
                    <w:rFonts w:ascii="Arial" w:hAnsi="Arial" w:cs="Arial"/>
                    <w:noProof/>
                    <w:sz w:val="24"/>
                    <w:szCs w:val="24"/>
                  </w:rPr>
                  <w:t>1.3 Statement of the Problem</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_Toc240558448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w:t>
                </w:r>
                <w:r w:rsidRPr="006A0C92">
                  <w:rPr>
                    <w:rFonts w:ascii="Arial" w:hAnsi="Arial" w:cs="Arial"/>
                    <w:noProof/>
                    <w:webHidden/>
                    <w:sz w:val="24"/>
                    <w:szCs w:val="24"/>
                  </w:rPr>
                  <w:fldChar w:fldCharType="end"/>
                </w:r>
              </w:hyperlink>
            </w:p>
            <w:p w14:paraId="53D325FF" w14:textId="041151F1"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49" w:history="1">
                <w:r w:rsidRPr="006A0C92">
                  <w:rPr>
                    <w:rStyle w:val="Hyperlink"/>
                    <w:rFonts w:ascii="Arial" w:hAnsi="Arial" w:cs="Arial"/>
                    <w:noProof/>
                    <w:sz w:val="24"/>
                    <w:szCs w:val="24"/>
                  </w:rPr>
                  <w:t>1.4 Rationale of the Research.</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_Toc240558449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w:t>
                </w:r>
                <w:r w:rsidRPr="006A0C92">
                  <w:rPr>
                    <w:rFonts w:ascii="Arial" w:hAnsi="Arial" w:cs="Arial"/>
                    <w:noProof/>
                    <w:webHidden/>
                    <w:sz w:val="24"/>
                    <w:szCs w:val="24"/>
                  </w:rPr>
                  <w:fldChar w:fldCharType="end"/>
                </w:r>
              </w:hyperlink>
            </w:p>
            <w:p w14:paraId="66659315" w14:textId="4FAD92E1"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0" w:history="1">
                <w:r w:rsidRPr="006A0C92">
                  <w:rPr>
                    <w:rStyle w:val="Hyperlink"/>
                    <w:rFonts w:ascii="Arial" w:hAnsi="Arial" w:cs="Arial"/>
                    <w:noProof/>
                    <w:sz w:val="24"/>
                    <w:szCs w:val="24"/>
                  </w:rPr>
                  <w:t>1.5 Research Question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w:t>
                </w:r>
                <w:r w:rsidRPr="006A0C92">
                  <w:rPr>
                    <w:rFonts w:ascii="Arial" w:hAnsi="Arial" w:cs="Arial"/>
                    <w:noProof/>
                    <w:webHidden/>
                    <w:sz w:val="24"/>
                    <w:szCs w:val="24"/>
                  </w:rPr>
                  <w:fldChar w:fldCharType="end"/>
                </w:r>
              </w:hyperlink>
            </w:p>
            <w:p w14:paraId="61C87899" w14:textId="327D2F8B"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1" w:history="1">
                <w:r w:rsidRPr="006A0C92">
                  <w:rPr>
                    <w:rStyle w:val="Hyperlink"/>
                    <w:rFonts w:ascii="Arial" w:hAnsi="Arial" w:cs="Arial"/>
                    <w:noProof/>
                    <w:sz w:val="24"/>
                    <w:szCs w:val="24"/>
                  </w:rPr>
                  <w:t>1.6 Research Aim</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w:t>
                </w:r>
                <w:r w:rsidRPr="006A0C92">
                  <w:rPr>
                    <w:rFonts w:ascii="Arial" w:hAnsi="Arial" w:cs="Arial"/>
                    <w:noProof/>
                    <w:webHidden/>
                    <w:sz w:val="24"/>
                    <w:szCs w:val="24"/>
                  </w:rPr>
                  <w:fldChar w:fldCharType="end"/>
                </w:r>
              </w:hyperlink>
            </w:p>
            <w:p w14:paraId="62C77BF8" w14:textId="10E0EFC8"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2" w:history="1">
                <w:r w:rsidRPr="006A0C92">
                  <w:rPr>
                    <w:rStyle w:val="Hyperlink"/>
                    <w:rFonts w:ascii="Arial" w:hAnsi="Arial" w:cs="Arial"/>
                    <w:noProof/>
                    <w:sz w:val="24"/>
                    <w:szCs w:val="24"/>
                  </w:rPr>
                  <w:t>1.7 Research Objectives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w:t>
                </w:r>
                <w:r w:rsidRPr="006A0C92">
                  <w:rPr>
                    <w:rFonts w:ascii="Arial" w:hAnsi="Arial" w:cs="Arial"/>
                    <w:noProof/>
                    <w:webHidden/>
                    <w:sz w:val="24"/>
                    <w:szCs w:val="24"/>
                  </w:rPr>
                  <w:fldChar w:fldCharType="end"/>
                </w:r>
              </w:hyperlink>
            </w:p>
            <w:p w14:paraId="19EBB2A3" w14:textId="591C6683"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3" w:history="1">
                <w:r w:rsidRPr="006A0C92">
                  <w:rPr>
                    <w:rStyle w:val="Hyperlink"/>
                    <w:rFonts w:ascii="Arial" w:hAnsi="Arial" w:cs="Arial"/>
                    <w:noProof/>
                    <w:sz w:val="24"/>
                    <w:szCs w:val="24"/>
                  </w:rPr>
                  <w:t>1.8 Significance of the Study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_Toc240558453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w:t>
                </w:r>
                <w:r w:rsidRPr="006A0C92">
                  <w:rPr>
                    <w:rFonts w:ascii="Arial" w:hAnsi="Arial" w:cs="Arial"/>
                    <w:noProof/>
                    <w:webHidden/>
                    <w:sz w:val="24"/>
                    <w:szCs w:val="24"/>
                  </w:rPr>
                  <w:fldChar w:fldCharType="end"/>
                </w:r>
              </w:hyperlink>
            </w:p>
            <w:p w14:paraId="0230CD04" w14:textId="73F7E126"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4" w:history="1">
                <w:r w:rsidRPr="006A0C92">
                  <w:rPr>
                    <w:rStyle w:val="Hyperlink"/>
                    <w:rFonts w:ascii="Arial" w:hAnsi="Arial" w:cs="Arial"/>
                    <w:noProof/>
                    <w:sz w:val="24"/>
                    <w:szCs w:val="24"/>
                  </w:rPr>
                  <w:t>1.9 Summary of the Chapter</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6</w:t>
                </w:r>
                <w:r w:rsidRPr="006A0C92">
                  <w:rPr>
                    <w:rFonts w:ascii="Arial" w:hAnsi="Arial" w:cs="Arial"/>
                    <w:noProof/>
                    <w:webHidden/>
                    <w:sz w:val="24"/>
                    <w:szCs w:val="24"/>
                  </w:rPr>
                  <w:fldChar w:fldCharType="end"/>
                </w:r>
              </w:hyperlink>
            </w:p>
            <w:p w14:paraId="2535D5F7" w14:textId="51006238"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455" w:history="1">
                <w:r w:rsidRPr="006A0C92">
                  <w:rPr>
                    <w:rStyle w:val="Hyperlink"/>
                    <w:rFonts w:ascii="Arial" w:hAnsi="Arial" w:cs="Arial"/>
                    <w:noProof/>
                    <w:szCs w:val="24"/>
                  </w:rPr>
                  <w:t>Chapter 2: Literature review/theoretical framework</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_Toc240558455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7</w:t>
                </w:r>
                <w:r w:rsidRPr="006A0C92">
                  <w:rPr>
                    <w:rFonts w:ascii="Arial" w:hAnsi="Arial" w:cs="Arial"/>
                    <w:noProof/>
                    <w:webHidden/>
                    <w:szCs w:val="24"/>
                  </w:rPr>
                  <w:fldChar w:fldCharType="end"/>
                </w:r>
              </w:hyperlink>
            </w:p>
            <w:p w14:paraId="1D5E3176" w14:textId="3A5CFB1E"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6" w:history="1">
                <w:r w:rsidRPr="006A0C92">
                  <w:rPr>
                    <w:rStyle w:val="Hyperlink"/>
                    <w:rFonts w:ascii="Arial" w:hAnsi="Arial" w:cs="Arial"/>
                    <w:noProof/>
                    <w:sz w:val="24"/>
                    <w:szCs w:val="24"/>
                  </w:rPr>
                  <w:t>2.1 Introduction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7</w:t>
                </w:r>
                <w:r w:rsidRPr="006A0C92">
                  <w:rPr>
                    <w:rFonts w:ascii="Arial" w:hAnsi="Arial" w:cs="Arial"/>
                    <w:noProof/>
                    <w:webHidden/>
                    <w:sz w:val="24"/>
                    <w:szCs w:val="24"/>
                  </w:rPr>
                  <w:fldChar w:fldCharType="end"/>
                </w:r>
              </w:hyperlink>
            </w:p>
            <w:p w14:paraId="419C4659" w14:textId="71FE67D2"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7" w:history="1">
                <w:r w:rsidRPr="006A0C92">
                  <w:rPr>
                    <w:rStyle w:val="Hyperlink"/>
                    <w:rFonts w:ascii="Arial" w:hAnsi="Arial" w:cs="Arial"/>
                    <w:noProof/>
                    <w:sz w:val="24"/>
                    <w:szCs w:val="24"/>
                  </w:rPr>
                  <w:t>2.2 Literature Search Strategy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7</w:t>
                </w:r>
                <w:r w:rsidRPr="006A0C92">
                  <w:rPr>
                    <w:rFonts w:ascii="Arial" w:hAnsi="Arial" w:cs="Arial"/>
                    <w:noProof/>
                    <w:webHidden/>
                    <w:sz w:val="24"/>
                    <w:szCs w:val="24"/>
                  </w:rPr>
                  <w:fldChar w:fldCharType="end"/>
                </w:r>
              </w:hyperlink>
            </w:p>
            <w:p w14:paraId="23438CF1" w14:textId="50C27736"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58" w:history="1">
                <w:r w:rsidRPr="006A0C92">
                  <w:rPr>
                    <w:rStyle w:val="Hyperlink"/>
                    <w:rFonts w:ascii="Arial" w:hAnsi="Arial" w:cs="Arial"/>
                    <w:noProof/>
                    <w:sz w:val="24"/>
                    <w:szCs w:val="24"/>
                  </w:rPr>
                  <w:t>2.3 Literature Review</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8</w:t>
                </w:r>
                <w:r w:rsidRPr="006A0C92">
                  <w:rPr>
                    <w:rFonts w:ascii="Arial" w:hAnsi="Arial" w:cs="Arial"/>
                    <w:noProof/>
                    <w:webHidden/>
                    <w:sz w:val="24"/>
                    <w:szCs w:val="24"/>
                  </w:rPr>
                  <w:fldChar w:fldCharType="end"/>
                </w:r>
              </w:hyperlink>
            </w:p>
            <w:p w14:paraId="7182AD66" w14:textId="0F9554F8"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59" w:history="1">
                <w:r w:rsidRPr="006A0C92">
                  <w:rPr>
                    <w:rStyle w:val="Hyperlink"/>
                    <w:rFonts w:ascii="Arial" w:hAnsi="Arial" w:cs="Arial"/>
                    <w:noProof/>
                    <w:sz w:val="24"/>
                    <w:szCs w:val="24"/>
                  </w:rPr>
                  <w:t>2.3.1 Theme 1: Vitamin D and Older Adults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_Toc240558459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8</w:t>
                </w:r>
                <w:r w:rsidRPr="006A0C92">
                  <w:rPr>
                    <w:rFonts w:ascii="Arial" w:hAnsi="Arial" w:cs="Arial"/>
                    <w:noProof/>
                    <w:webHidden/>
                    <w:sz w:val="24"/>
                    <w:szCs w:val="24"/>
                  </w:rPr>
                  <w:fldChar w:fldCharType="end"/>
                </w:r>
              </w:hyperlink>
            </w:p>
            <w:p w14:paraId="3D431692" w14:textId="0F302685"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60" w:history="1">
                <w:r w:rsidRPr="006A0C92">
                  <w:rPr>
                    <w:rStyle w:val="Hyperlink"/>
                    <w:rFonts w:ascii="Arial" w:hAnsi="Arial" w:cs="Arial"/>
                    <w:noProof/>
                    <w:sz w:val="24"/>
                    <w:szCs w:val="24"/>
                  </w:rPr>
                  <w:t>2.3.2 Theme 2: Prevalence in UK Care Homes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9</w:t>
                </w:r>
                <w:r w:rsidRPr="006A0C92">
                  <w:rPr>
                    <w:rFonts w:ascii="Arial" w:hAnsi="Arial" w:cs="Arial"/>
                    <w:noProof/>
                    <w:webHidden/>
                    <w:sz w:val="24"/>
                    <w:szCs w:val="24"/>
                  </w:rPr>
                  <w:fldChar w:fldCharType="end"/>
                </w:r>
              </w:hyperlink>
            </w:p>
            <w:p w14:paraId="51C5A3E6" w14:textId="6E1FA9DE"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61" w:history="1">
                <w:r w:rsidRPr="006A0C92">
                  <w:rPr>
                    <w:rStyle w:val="Hyperlink"/>
                    <w:rFonts w:ascii="Arial" w:hAnsi="Arial" w:cs="Arial"/>
                    <w:noProof/>
                    <w:sz w:val="24"/>
                    <w:szCs w:val="24"/>
                  </w:rPr>
                  <w:t>2.3.3 Theme 3: Awareness and Knowledge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10</w:t>
                </w:r>
                <w:r w:rsidRPr="006A0C92">
                  <w:rPr>
                    <w:rFonts w:ascii="Arial" w:hAnsi="Arial" w:cs="Arial"/>
                    <w:noProof/>
                    <w:webHidden/>
                    <w:sz w:val="24"/>
                    <w:szCs w:val="24"/>
                  </w:rPr>
                  <w:fldChar w:fldCharType="end"/>
                </w:r>
              </w:hyperlink>
            </w:p>
            <w:p w14:paraId="262D85A0" w14:textId="61B36DCD"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62" w:history="1">
                <w:r w:rsidRPr="006A0C92">
                  <w:rPr>
                    <w:rStyle w:val="Hyperlink"/>
                    <w:rFonts w:ascii="Arial" w:hAnsi="Arial" w:cs="Arial"/>
                    <w:noProof/>
                    <w:sz w:val="24"/>
                    <w:szCs w:val="24"/>
                  </w:rPr>
                  <w:t>2.3.4 Theme 4: Barriers to Prevention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12</w:t>
                </w:r>
                <w:r w:rsidRPr="006A0C92">
                  <w:rPr>
                    <w:rFonts w:ascii="Arial" w:hAnsi="Arial" w:cs="Arial"/>
                    <w:noProof/>
                    <w:webHidden/>
                    <w:sz w:val="24"/>
                    <w:szCs w:val="24"/>
                  </w:rPr>
                  <w:fldChar w:fldCharType="end"/>
                </w:r>
              </w:hyperlink>
            </w:p>
            <w:p w14:paraId="3B6C0126" w14:textId="48999B76"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63" w:history="1">
                <w:r w:rsidRPr="006A0C92">
                  <w:rPr>
                    <w:rStyle w:val="Hyperlink"/>
                    <w:rFonts w:ascii="Arial" w:hAnsi="Arial" w:cs="Arial"/>
                    <w:noProof/>
                    <w:sz w:val="24"/>
                    <w:szCs w:val="24"/>
                  </w:rPr>
                  <w:t>2.3.5 Theme 5: Prevention Strategies and Interventions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_Toc240558463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13</w:t>
                </w:r>
                <w:r w:rsidRPr="006A0C92">
                  <w:rPr>
                    <w:rFonts w:ascii="Arial" w:hAnsi="Arial" w:cs="Arial"/>
                    <w:noProof/>
                    <w:webHidden/>
                    <w:sz w:val="24"/>
                    <w:szCs w:val="24"/>
                  </w:rPr>
                  <w:fldChar w:fldCharType="end"/>
                </w:r>
              </w:hyperlink>
            </w:p>
            <w:p w14:paraId="3974E739" w14:textId="2D87C70F"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64" w:history="1">
                <w:r w:rsidRPr="006A0C92">
                  <w:rPr>
                    <w:rStyle w:val="Hyperlink"/>
                    <w:rFonts w:ascii="Arial" w:hAnsi="Arial" w:cs="Arial"/>
                    <w:noProof/>
                    <w:sz w:val="24"/>
                    <w:szCs w:val="24"/>
                  </w:rPr>
                  <w:t>Critical Comparison and Synthesis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14</w:t>
                </w:r>
                <w:r w:rsidRPr="006A0C92">
                  <w:rPr>
                    <w:rFonts w:ascii="Arial" w:hAnsi="Arial" w:cs="Arial"/>
                    <w:noProof/>
                    <w:webHidden/>
                    <w:sz w:val="24"/>
                    <w:szCs w:val="24"/>
                  </w:rPr>
                  <w:fldChar w:fldCharType="end"/>
                </w:r>
              </w:hyperlink>
            </w:p>
            <w:p w14:paraId="54D73612" w14:textId="474CFC5A"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65" w:history="1">
                <w:r w:rsidRPr="006A0C92">
                  <w:rPr>
                    <w:rStyle w:val="Hyperlink"/>
                    <w:rFonts w:ascii="Arial" w:hAnsi="Arial" w:cs="Arial"/>
                    <w:noProof/>
                    <w:sz w:val="24"/>
                    <w:szCs w:val="24"/>
                  </w:rPr>
                  <w:t>2.4 Gaps in the Literature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_Toc240558465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15</w:t>
                </w:r>
                <w:r w:rsidRPr="006A0C92">
                  <w:rPr>
                    <w:rFonts w:ascii="Arial" w:hAnsi="Arial" w:cs="Arial"/>
                    <w:noProof/>
                    <w:webHidden/>
                    <w:sz w:val="24"/>
                    <w:szCs w:val="24"/>
                  </w:rPr>
                  <w:fldChar w:fldCharType="end"/>
                </w:r>
              </w:hyperlink>
            </w:p>
            <w:p w14:paraId="5F422B80" w14:textId="2A6BC0AC"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66" w:history="1">
                <w:r w:rsidRPr="006A0C92">
                  <w:rPr>
                    <w:rStyle w:val="Hyperlink"/>
                    <w:rFonts w:ascii="Arial" w:hAnsi="Arial" w:cs="Arial"/>
                    <w:noProof/>
                    <w:sz w:val="24"/>
                    <w:szCs w:val="24"/>
                  </w:rPr>
                  <w:t>2.5 Theoretical Framework: Health Belief Model</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16</w:t>
                </w:r>
                <w:r w:rsidRPr="006A0C92">
                  <w:rPr>
                    <w:rFonts w:ascii="Arial" w:hAnsi="Arial" w:cs="Arial"/>
                    <w:noProof/>
                    <w:webHidden/>
                    <w:sz w:val="24"/>
                    <w:szCs w:val="24"/>
                  </w:rPr>
                  <w:fldChar w:fldCharType="end"/>
                </w:r>
              </w:hyperlink>
            </w:p>
            <w:p w14:paraId="088BBAF9" w14:textId="5EA60897"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67" w:history="1">
                <w:r w:rsidRPr="006A0C92">
                  <w:rPr>
                    <w:rStyle w:val="Hyperlink"/>
                    <w:rFonts w:ascii="Arial" w:hAnsi="Arial" w:cs="Arial"/>
                    <w:noProof/>
                    <w:sz w:val="24"/>
                    <w:szCs w:val="24"/>
                  </w:rPr>
                  <w:t>2.6 Summary of the Chapter</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18</w:t>
                </w:r>
                <w:r w:rsidRPr="006A0C92">
                  <w:rPr>
                    <w:rFonts w:ascii="Arial" w:hAnsi="Arial" w:cs="Arial"/>
                    <w:noProof/>
                    <w:webHidden/>
                    <w:sz w:val="24"/>
                    <w:szCs w:val="24"/>
                  </w:rPr>
                  <w:fldChar w:fldCharType="end"/>
                </w:r>
              </w:hyperlink>
            </w:p>
            <w:p w14:paraId="7390A464" w14:textId="4D4BE5F7"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468" w:history="1">
                <w:r w:rsidRPr="006A0C92">
                  <w:rPr>
                    <w:rStyle w:val="Hyperlink"/>
                    <w:rFonts w:ascii="Arial" w:hAnsi="Arial" w:cs="Arial"/>
                    <w:noProof/>
                    <w:szCs w:val="24"/>
                    <w:lang w:eastAsia="en-GB"/>
                  </w:rPr>
                  <w:t>CHAPTER 3: Research methodology</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_Toc240558468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19</w:t>
                </w:r>
                <w:r w:rsidRPr="006A0C92">
                  <w:rPr>
                    <w:rFonts w:ascii="Arial" w:hAnsi="Arial" w:cs="Arial"/>
                    <w:noProof/>
                    <w:webHidden/>
                    <w:szCs w:val="24"/>
                  </w:rPr>
                  <w:fldChar w:fldCharType="end"/>
                </w:r>
              </w:hyperlink>
            </w:p>
            <w:p w14:paraId="0EFF8A8A" w14:textId="6968FB16"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69" w:history="1">
                <w:r w:rsidRPr="006A0C92">
                  <w:rPr>
                    <w:rStyle w:val="Hyperlink"/>
                    <w:rFonts w:ascii="Arial" w:hAnsi="Arial" w:cs="Arial"/>
                    <w:noProof/>
                    <w:sz w:val="24"/>
                    <w:szCs w:val="24"/>
                    <w:lang w:eastAsia="en-GB"/>
                  </w:rPr>
                  <w:t>3.1 Introduction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_Toc240558469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19</w:t>
                </w:r>
                <w:r w:rsidRPr="006A0C92">
                  <w:rPr>
                    <w:rFonts w:ascii="Arial" w:hAnsi="Arial" w:cs="Arial"/>
                    <w:noProof/>
                    <w:webHidden/>
                    <w:sz w:val="24"/>
                    <w:szCs w:val="24"/>
                  </w:rPr>
                  <w:fldChar w:fldCharType="end"/>
                </w:r>
              </w:hyperlink>
            </w:p>
            <w:p w14:paraId="7C728D7F" w14:textId="3ABA3DA5"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70" w:history="1">
                <w:r w:rsidRPr="006A0C92">
                  <w:rPr>
                    <w:rStyle w:val="Hyperlink"/>
                    <w:rFonts w:ascii="Arial" w:hAnsi="Arial" w:cs="Arial"/>
                    <w:noProof/>
                    <w:sz w:val="24"/>
                    <w:szCs w:val="24"/>
                    <w:lang w:eastAsia="en-GB"/>
                  </w:rPr>
                  <w:t>3.2 Research Philosophy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19</w:t>
                </w:r>
                <w:r w:rsidRPr="006A0C92">
                  <w:rPr>
                    <w:rFonts w:ascii="Arial" w:hAnsi="Arial" w:cs="Arial"/>
                    <w:noProof/>
                    <w:webHidden/>
                    <w:sz w:val="24"/>
                    <w:szCs w:val="24"/>
                  </w:rPr>
                  <w:fldChar w:fldCharType="end"/>
                </w:r>
              </w:hyperlink>
            </w:p>
            <w:p w14:paraId="51AB3846" w14:textId="783B3BF8"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71" w:history="1">
                <w:r w:rsidRPr="006A0C92">
                  <w:rPr>
                    <w:rStyle w:val="Hyperlink"/>
                    <w:rFonts w:ascii="Arial" w:hAnsi="Arial" w:cs="Arial"/>
                    <w:noProof/>
                    <w:sz w:val="24"/>
                    <w:szCs w:val="24"/>
                    <w:lang w:eastAsia="en-GB"/>
                  </w:rPr>
                  <w:t>3.3 Research Approach</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20</w:t>
                </w:r>
                <w:r w:rsidRPr="006A0C92">
                  <w:rPr>
                    <w:rFonts w:ascii="Arial" w:hAnsi="Arial" w:cs="Arial"/>
                    <w:noProof/>
                    <w:webHidden/>
                    <w:sz w:val="24"/>
                    <w:szCs w:val="24"/>
                  </w:rPr>
                  <w:fldChar w:fldCharType="end"/>
                </w:r>
              </w:hyperlink>
            </w:p>
            <w:p w14:paraId="309AA814" w14:textId="1BEF129C"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72" w:history="1">
                <w:r w:rsidRPr="006A0C92">
                  <w:rPr>
                    <w:rStyle w:val="Hyperlink"/>
                    <w:rFonts w:ascii="Arial" w:hAnsi="Arial" w:cs="Arial"/>
                    <w:noProof/>
                    <w:sz w:val="24"/>
                    <w:szCs w:val="24"/>
                    <w:lang w:eastAsia="en-GB"/>
                  </w:rPr>
                  <w:t>3.4 Research Strategy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20</w:t>
                </w:r>
                <w:r w:rsidRPr="006A0C92">
                  <w:rPr>
                    <w:rFonts w:ascii="Arial" w:hAnsi="Arial" w:cs="Arial"/>
                    <w:noProof/>
                    <w:webHidden/>
                    <w:sz w:val="24"/>
                    <w:szCs w:val="24"/>
                  </w:rPr>
                  <w:fldChar w:fldCharType="end"/>
                </w:r>
              </w:hyperlink>
            </w:p>
            <w:p w14:paraId="382EC828" w14:textId="3E257D62"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73" w:history="1">
                <w:r w:rsidRPr="006A0C92">
                  <w:rPr>
                    <w:rStyle w:val="Hyperlink"/>
                    <w:rFonts w:ascii="Arial" w:hAnsi="Arial" w:cs="Arial"/>
                    <w:noProof/>
                    <w:sz w:val="24"/>
                    <w:szCs w:val="24"/>
                    <w:lang w:eastAsia="en-GB"/>
                  </w:rPr>
                  <w:t>3.6 Study Design – Systematic Review</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_Toc240558473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21</w:t>
                </w:r>
                <w:r w:rsidRPr="006A0C92">
                  <w:rPr>
                    <w:rFonts w:ascii="Arial" w:hAnsi="Arial" w:cs="Arial"/>
                    <w:noProof/>
                    <w:webHidden/>
                    <w:sz w:val="24"/>
                    <w:szCs w:val="24"/>
                  </w:rPr>
                  <w:fldChar w:fldCharType="end"/>
                </w:r>
              </w:hyperlink>
            </w:p>
            <w:p w14:paraId="75C1658B" w14:textId="00CDC729"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74" w:history="1">
                <w:r w:rsidRPr="006A0C92">
                  <w:rPr>
                    <w:rStyle w:val="Hyperlink"/>
                    <w:rFonts w:ascii="Arial" w:hAnsi="Arial" w:cs="Arial"/>
                    <w:noProof/>
                    <w:sz w:val="24"/>
                    <w:szCs w:val="24"/>
                  </w:rPr>
                  <w:t>3.6.1 Definition of a Systematic Review</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21</w:t>
                </w:r>
                <w:r w:rsidRPr="006A0C92">
                  <w:rPr>
                    <w:rFonts w:ascii="Arial" w:hAnsi="Arial" w:cs="Arial"/>
                    <w:noProof/>
                    <w:webHidden/>
                    <w:sz w:val="24"/>
                    <w:szCs w:val="24"/>
                  </w:rPr>
                  <w:fldChar w:fldCharType="end"/>
                </w:r>
              </w:hyperlink>
            </w:p>
            <w:p w14:paraId="17617C7C" w14:textId="319913E4"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75" w:history="1">
                <w:r w:rsidRPr="006A0C92">
                  <w:rPr>
                    <w:rStyle w:val="Hyperlink"/>
                    <w:rFonts w:ascii="Arial" w:hAnsi="Arial" w:cs="Arial"/>
                    <w:noProof/>
                    <w:sz w:val="24"/>
                    <w:szCs w:val="24"/>
                  </w:rPr>
                  <w:t>3.6.2 Difference Between Narrative Review, Literature Review and Systematic Review</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_Toc240558475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21</w:t>
                </w:r>
                <w:r w:rsidRPr="006A0C92">
                  <w:rPr>
                    <w:rFonts w:ascii="Arial" w:hAnsi="Arial" w:cs="Arial"/>
                    <w:noProof/>
                    <w:webHidden/>
                    <w:sz w:val="24"/>
                    <w:szCs w:val="24"/>
                  </w:rPr>
                  <w:fldChar w:fldCharType="end"/>
                </w:r>
              </w:hyperlink>
            </w:p>
            <w:p w14:paraId="11F1659C" w14:textId="530A6468"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76" w:history="1">
                <w:r w:rsidRPr="006A0C92">
                  <w:rPr>
                    <w:rStyle w:val="Hyperlink"/>
                    <w:rFonts w:ascii="Arial" w:hAnsi="Arial" w:cs="Arial"/>
                    <w:noProof/>
                    <w:sz w:val="24"/>
                    <w:szCs w:val="24"/>
                    <w:lang w:eastAsia="en-GB"/>
                  </w:rPr>
                  <w:t>3.7 Method of Data Collection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22</w:t>
                </w:r>
                <w:r w:rsidRPr="006A0C92">
                  <w:rPr>
                    <w:rFonts w:ascii="Arial" w:hAnsi="Arial" w:cs="Arial"/>
                    <w:noProof/>
                    <w:webHidden/>
                    <w:sz w:val="24"/>
                    <w:szCs w:val="24"/>
                  </w:rPr>
                  <w:fldChar w:fldCharType="end"/>
                </w:r>
              </w:hyperlink>
            </w:p>
            <w:p w14:paraId="74D3CCDD" w14:textId="1ABA9ACC"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77" w:history="1">
                <w:r w:rsidRPr="006A0C92">
                  <w:rPr>
                    <w:rStyle w:val="Hyperlink"/>
                    <w:rFonts w:ascii="Arial" w:hAnsi="Arial" w:cs="Arial"/>
                    <w:noProof/>
                    <w:sz w:val="24"/>
                    <w:szCs w:val="24"/>
                  </w:rPr>
                  <w:t>3.7.1 Search Strategy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22</w:t>
                </w:r>
                <w:r w:rsidRPr="006A0C92">
                  <w:rPr>
                    <w:rFonts w:ascii="Arial" w:hAnsi="Arial" w:cs="Arial"/>
                    <w:noProof/>
                    <w:webHidden/>
                    <w:sz w:val="24"/>
                    <w:szCs w:val="24"/>
                  </w:rPr>
                  <w:fldChar w:fldCharType="end"/>
                </w:r>
              </w:hyperlink>
            </w:p>
            <w:p w14:paraId="7C672727" w14:textId="4A54EA7E"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78" w:history="1">
                <w:r w:rsidRPr="006A0C92">
                  <w:rPr>
                    <w:rStyle w:val="Hyperlink"/>
                    <w:rFonts w:ascii="Arial" w:hAnsi="Arial" w:cs="Arial"/>
                    <w:noProof/>
                    <w:sz w:val="24"/>
                    <w:szCs w:val="24"/>
                  </w:rPr>
                  <w:t>3.7.2 Framing the Research Question (PICO)</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23</w:t>
                </w:r>
                <w:r w:rsidRPr="006A0C92">
                  <w:rPr>
                    <w:rFonts w:ascii="Arial" w:hAnsi="Arial" w:cs="Arial"/>
                    <w:noProof/>
                    <w:webHidden/>
                    <w:sz w:val="24"/>
                    <w:szCs w:val="24"/>
                  </w:rPr>
                  <w:fldChar w:fldCharType="end"/>
                </w:r>
              </w:hyperlink>
            </w:p>
            <w:p w14:paraId="1C560087" w14:textId="6913F1DE"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79" w:history="1">
                <w:r w:rsidRPr="006A0C92">
                  <w:rPr>
                    <w:rStyle w:val="Hyperlink"/>
                    <w:rFonts w:ascii="Arial" w:hAnsi="Arial" w:cs="Arial"/>
                    <w:noProof/>
                    <w:sz w:val="24"/>
                    <w:szCs w:val="24"/>
                  </w:rPr>
                  <w:t>3.7.3 Database Search Procedure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_Toc240558479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23</w:t>
                </w:r>
                <w:r w:rsidRPr="006A0C92">
                  <w:rPr>
                    <w:rFonts w:ascii="Arial" w:hAnsi="Arial" w:cs="Arial"/>
                    <w:noProof/>
                    <w:webHidden/>
                    <w:sz w:val="24"/>
                    <w:szCs w:val="24"/>
                  </w:rPr>
                  <w:fldChar w:fldCharType="end"/>
                </w:r>
              </w:hyperlink>
            </w:p>
            <w:p w14:paraId="2A5EEA2D" w14:textId="49923A45"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0" w:history="1">
                <w:r w:rsidRPr="006A0C92">
                  <w:rPr>
                    <w:rStyle w:val="Hyperlink"/>
                    <w:rFonts w:ascii="Arial" w:hAnsi="Arial" w:cs="Arial"/>
                    <w:noProof/>
                    <w:sz w:val="24"/>
                    <w:szCs w:val="24"/>
                  </w:rPr>
                  <w:t>3.7.4 Hand Searching</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24</w:t>
                </w:r>
                <w:r w:rsidRPr="006A0C92">
                  <w:rPr>
                    <w:rFonts w:ascii="Arial" w:hAnsi="Arial" w:cs="Arial"/>
                    <w:noProof/>
                    <w:webHidden/>
                    <w:sz w:val="24"/>
                    <w:szCs w:val="24"/>
                  </w:rPr>
                  <w:fldChar w:fldCharType="end"/>
                </w:r>
              </w:hyperlink>
            </w:p>
            <w:p w14:paraId="164A7D7E" w14:textId="5D0B8BA5"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1" w:history="1">
                <w:r w:rsidRPr="006A0C92">
                  <w:rPr>
                    <w:rStyle w:val="Hyperlink"/>
                    <w:rFonts w:ascii="Arial" w:hAnsi="Arial" w:cs="Arial"/>
                    <w:noProof/>
                    <w:sz w:val="24"/>
                    <w:szCs w:val="24"/>
                  </w:rPr>
                  <w:t>3.7.5 Grey Literature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25</w:t>
                </w:r>
                <w:r w:rsidRPr="006A0C92">
                  <w:rPr>
                    <w:rFonts w:ascii="Arial" w:hAnsi="Arial" w:cs="Arial"/>
                    <w:noProof/>
                    <w:webHidden/>
                    <w:sz w:val="24"/>
                    <w:szCs w:val="24"/>
                  </w:rPr>
                  <w:fldChar w:fldCharType="end"/>
                </w:r>
              </w:hyperlink>
            </w:p>
            <w:p w14:paraId="42BD06A4" w14:textId="0ECB000F"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2" w:history="1">
                <w:r w:rsidRPr="006A0C92">
                  <w:rPr>
                    <w:rStyle w:val="Hyperlink"/>
                    <w:rFonts w:ascii="Arial" w:hAnsi="Arial" w:cs="Arial"/>
                    <w:noProof/>
                    <w:sz w:val="24"/>
                    <w:szCs w:val="24"/>
                  </w:rPr>
                  <w:t>3.7.6 Inclusion and Exclusion Criteria</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25</w:t>
                </w:r>
                <w:r w:rsidRPr="006A0C92">
                  <w:rPr>
                    <w:rFonts w:ascii="Arial" w:hAnsi="Arial" w:cs="Arial"/>
                    <w:noProof/>
                    <w:webHidden/>
                    <w:sz w:val="24"/>
                    <w:szCs w:val="24"/>
                  </w:rPr>
                  <w:fldChar w:fldCharType="end"/>
                </w:r>
              </w:hyperlink>
            </w:p>
            <w:p w14:paraId="68B4A06F" w14:textId="3EAC7B90"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3" w:history="1">
                <w:r w:rsidRPr="006A0C92">
                  <w:rPr>
                    <w:rStyle w:val="Hyperlink"/>
                    <w:rFonts w:ascii="Arial" w:hAnsi="Arial" w:cs="Arial"/>
                    <w:noProof/>
                    <w:sz w:val="24"/>
                    <w:szCs w:val="24"/>
                  </w:rPr>
                  <w:t>3.7.7 Screening Process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_Toc240558483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26</w:t>
                </w:r>
                <w:r w:rsidRPr="006A0C92">
                  <w:rPr>
                    <w:rFonts w:ascii="Arial" w:hAnsi="Arial" w:cs="Arial"/>
                    <w:noProof/>
                    <w:webHidden/>
                    <w:sz w:val="24"/>
                    <w:szCs w:val="24"/>
                  </w:rPr>
                  <w:fldChar w:fldCharType="end"/>
                </w:r>
              </w:hyperlink>
            </w:p>
            <w:p w14:paraId="747BC0E0" w14:textId="625266FD"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4" w:history="1">
                <w:r w:rsidRPr="006A0C92">
                  <w:rPr>
                    <w:rStyle w:val="Hyperlink"/>
                    <w:rFonts w:ascii="Arial" w:hAnsi="Arial" w:cs="Arial"/>
                    <w:noProof/>
                    <w:sz w:val="24"/>
                    <w:szCs w:val="24"/>
                  </w:rPr>
                  <w:t>3.7.8 Quality Assessment</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26</w:t>
                </w:r>
                <w:r w:rsidRPr="006A0C92">
                  <w:rPr>
                    <w:rFonts w:ascii="Arial" w:hAnsi="Arial" w:cs="Arial"/>
                    <w:noProof/>
                    <w:webHidden/>
                    <w:sz w:val="24"/>
                    <w:szCs w:val="24"/>
                  </w:rPr>
                  <w:fldChar w:fldCharType="end"/>
                </w:r>
              </w:hyperlink>
            </w:p>
            <w:p w14:paraId="4AA3498F" w14:textId="42B79D65"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5" w:history="1">
                <w:r w:rsidRPr="006A0C92">
                  <w:rPr>
                    <w:rStyle w:val="Hyperlink"/>
                    <w:rFonts w:ascii="Arial" w:hAnsi="Arial" w:cs="Arial"/>
                    <w:noProof/>
                    <w:sz w:val="24"/>
                    <w:szCs w:val="24"/>
                  </w:rPr>
                  <w:t>3.7.9 Data Extraction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_Toc240558485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27</w:t>
                </w:r>
                <w:r w:rsidRPr="006A0C92">
                  <w:rPr>
                    <w:rFonts w:ascii="Arial" w:hAnsi="Arial" w:cs="Arial"/>
                    <w:noProof/>
                    <w:webHidden/>
                    <w:sz w:val="24"/>
                    <w:szCs w:val="24"/>
                  </w:rPr>
                  <w:fldChar w:fldCharType="end"/>
                </w:r>
              </w:hyperlink>
            </w:p>
            <w:p w14:paraId="7549DA46" w14:textId="5F6E14A7"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6" w:history="1">
                <w:r w:rsidRPr="006A0C92">
                  <w:rPr>
                    <w:rStyle w:val="Hyperlink"/>
                    <w:rFonts w:ascii="Arial" w:hAnsi="Arial" w:cs="Arial"/>
                    <w:noProof/>
                    <w:sz w:val="24"/>
                    <w:szCs w:val="24"/>
                  </w:rPr>
                  <w:t>3.7.10 Data Synthesis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28</w:t>
                </w:r>
                <w:r w:rsidRPr="006A0C92">
                  <w:rPr>
                    <w:rFonts w:ascii="Arial" w:hAnsi="Arial" w:cs="Arial"/>
                    <w:noProof/>
                    <w:webHidden/>
                    <w:sz w:val="24"/>
                    <w:szCs w:val="24"/>
                  </w:rPr>
                  <w:fldChar w:fldCharType="end"/>
                </w:r>
              </w:hyperlink>
            </w:p>
            <w:p w14:paraId="2D479BC7" w14:textId="2779F16F"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487" w:history="1">
                <w:r w:rsidRPr="006A0C92">
                  <w:rPr>
                    <w:rStyle w:val="Hyperlink"/>
                    <w:rFonts w:ascii="Arial" w:hAnsi="Arial" w:cs="Arial"/>
                    <w:noProof/>
                    <w:sz w:val="24"/>
                    <w:szCs w:val="24"/>
                  </w:rPr>
                  <w:t>3.7.11 Limitations / Risk of Bias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28</w:t>
                </w:r>
                <w:r w:rsidRPr="006A0C92">
                  <w:rPr>
                    <w:rFonts w:ascii="Arial" w:hAnsi="Arial" w:cs="Arial"/>
                    <w:noProof/>
                    <w:webHidden/>
                    <w:sz w:val="24"/>
                    <w:szCs w:val="24"/>
                  </w:rPr>
                  <w:fldChar w:fldCharType="end"/>
                </w:r>
              </w:hyperlink>
            </w:p>
            <w:p w14:paraId="2F2FEDF2" w14:textId="78E4617B"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88" w:history="1">
                <w:r w:rsidRPr="006A0C92">
                  <w:rPr>
                    <w:rStyle w:val="Hyperlink"/>
                    <w:rFonts w:ascii="Arial" w:hAnsi="Arial" w:cs="Arial"/>
                    <w:noProof/>
                    <w:sz w:val="24"/>
                    <w:szCs w:val="24"/>
                    <w:lang w:eastAsia="en-GB"/>
                  </w:rPr>
                  <w:t>3.8 Summary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_Toc240558488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29</w:t>
                </w:r>
                <w:r w:rsidRPr="006A0C92">
                  <w:rPr>
                    <w:rFonts w:ascii="Arial" w:hAnsi="Arial" w:cs="Arial"/>
                    <w:noProof/>
                    <w:webHidden/>
                    <w:sz w:val="24"/>
                    <w:szCs w:val="24"/>
                  </w:rPr>
                  <w:fldChar w:fldCharType="end"/>
                </w:r>
              </w:hyperlink>
            </w:p>
            <w:p w14:paraId="5CC82FC9" w14:textId="28B9A7BA"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489" w:history="1">
                <w:r w:rsidRPr="006A0C92">
                  <w:rPr>
                    <w:rStyle w:val="Hyperlink"/>
                    <w:rFonts w:ascii="Arial" w:hAnsi="Arial" w:cs="Arial"/>
                    <w:noProof/>
                    <w:szCs w:val="24"/>
                    <w:lang w:eastAsia="en-GB"/>
                  </w:rPr>
                  <w:t>Chapter 4: Results</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_Toc240558489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30</w:t>
                </w:r>
                <w:r w:rsidRPr="006A0C92">
                  <w:rPr>
                    <w:rFonts w:ascii="Arial" w:hAnsi="Arial" w:cs="Arial"/>
                    <w:noProof/>
                    <w:webHidden/>
                    <w:szCs w:val="24"/>
                  </w:rPr>
                  <w:fldChar w:fldCharType="end"/>
                </w:r>
              </w:hyperlink>
            </w:p>
            <w:p w14:paraId="06DE07D1" w14:textId="13125639"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0" w:history="1">
                <w:r w:rsidRPr="006A0C92">
                  <w:rPr>
                    <w:rStyle w:val="Hyperlink"/>
                    <w:rFonts w:ascii="Arial" w:hAnsi="Arial" w:cs="Arial"/>
                    <w:noProof/>
                    <w:sz w:val="24"/>
                    <w:szCs w:val="24"/>
                    <w:lang w:eastAsia="en-GB"/>
                  </w:rPr>
                  <w:t>4.1 Introduction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30</w:t>
                </w:r>
                <w:r w:rsidRPr="006A0C92">
                  <w:rPr>
                    <w:rFonts w:ascii="Arial" w:hAnsi="Arial" w:cs="Arial"/>
                    <w:noProof/>
                    <w:webHidden/>
                    <w:sz w:val="24"/>
                    <w:szCs w:val="24"/>
                  </w:rPr>
                  <w:fldChar w:fldCharType="end"/>
                </w:r>
              </w:hyperlink>
            </w:p>
            <w:p w14:paraId="0EDE8F95" w14:textId="2A076A73"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1" w:history="1">
                <w:r w:rsidRPr="006A0C92">
                  <w:rPr>
                    <w:rStyle w:val="Hyperlink"/>
                    <w:rFonts w:ascii="Arial" w:hAnsi="Arial" w:cs="Arial"/>
                    <w:noProof/>
                    <w:sz w:val="24"/>
                    <w:szCs w:val="24"/>
                    <w:lang w:eastAsia="en-GB"/>
                  </w:rPr>
                  <w:t>4.2 Systematic Search Results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30</w:t>
                </w:r>
                <w:r w:rsidRPr="006A0C92">
                  <w:rPr>
                    <w:rFonts w:ascii="Arial" w:hAnsi="Arial" w:cs="Arial"/>
                    <w:noProof/>
                    <w:webHidden/>
                    <w:sz w:val="24"/>
                    <w:szCs w:val="24"/>
                  </w:rPr>
                  <w:fldChar w:fldCharType="end"/>
                </w:r>
              </w:hyperlink>
            </w:p>
            <w:p w14:paraId="0B36F284" w14:textId="57B22DEA"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2" w:history="1">
                <w:r w:rsidRPr="006A0C92">
                  <w:rPr>
                    <w:rStyle w:val="Hyperlink"/>
                    <w:rFonts w:ascii="Arial" w:hAnsi="Arial" w:cs="Arial"/>
                    <w:noProof/>
                    <w:sz w:val="24"/>
                    <w:szCs w:val="24"/>
                    <w:lang w:eastAsia="en-GB"/>
                  </w:rPr>
                  <w:t>4.3 PRISMA Flow Diagram</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31</w:t>
                </w:r>
                <w:r w:rsidRPr="006A0C92">
                  <w:rPr>
                    <w:rFonts w:ascii="Arial" w:hAnsi="Arial" w:cs="Arial"/>
                    <w:noProof/>
                    <w:webHidden/>
                    <w:sz w:val="24"/>
                    <w:szCs w:val="24"/>
                  </w:rPr>
                  <w:fldChar w:fldCharType="end"/>
                </w:r>
              </w:hyperlink>
            </w:p>
            <w:p w14:paraId="56026BF2" w14:textId="3CDE3746"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3" w:history="1">
                <w:r w:rsidRPr="006A0C92">
                  <w:rPr>
                    <w:rStyle w:val="Hyperlink"/>
                    <w:rFonts w:ascii="Arial" w:hAnsi="Arial" w:cs="Arial"/>
                    <w:noProof/>
                    <w:sz w:val="24"/>
                    <w:szCs w:val="24"/>
                    <w:lang w:eastAsia="en-GB"/>
                  </w:rPr>
                  <w:t>4.4 Characteristics of Included Studies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_Toc240558493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32</w:t>
                </w:r>
                <w:r w:rsidRPr="006A0C92">
                  <w:rPr>
                    <w:rFonts w:ascii="Arial" w:hAnsi="Arial" w:cs="Arial"/>
                    <w:noProof/>
                    <w:webHidden/>
                    <w:sz w:val="24"/>
                    <w:szCs w:val="24"/>
                  </w:rPr>
                  <w:fldChar w:fldCharType="end"/>
                </w:r>
              </w:hyperlink>
            </w:p>
            <w:p w14:paraId="35F41362" w14:textId="65B332D1"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4" w:history="1">
                <w:r w:rsidRPr="006A0C92">
                  <w:rPr>
                    <w:rStyle w:val="Hyperlink"/>
                    <w:rFonts w:ascii="Arial" w:hAnsi="Arial" w:cs="Arial"/>
                    <w:noProof/>
                    <w:sz w:val="24"/>
                    <w:szCs w:val="24"/>
                    <w:lang w:eastAsia="en-GB"/>
                  </w:rPr>
                  <w:t>4.5 Quality Assessment Results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36</w:t>
                </w:r>
                <w:r w:rsidRPr="006A0C92">
                  <w:rPr>
                    <w:rFonts w:ascii="Arial" w:hAnsi="Arial" w:cs="Arial"/>
                    <w:noProof/>
                    <w:webHidden/>
                    <w:sz w:val="24"/>
                    <w:szCs w:val="24"/>
                  </w:rPr>
                  <w:fldChar w:fldCharType="end"/>
                </w:r>
              </w:hyperlink>
            </w:p>
            <w:p w14:paraId="6F9862BA" w14:textId="1594188D"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5" w:history="1">
                <w:r w:rsidRPr="006A0C92">
                  <w:rPr>
                    <w:rStyle w:val="Hyperlink"/>
                    <w:rFonts w:ascii="Arial" w:hAnsi="Arial" w:cs="Arial"/>
                    <w:noProof/>
                    <w:sz w:val="24"/>
                    <w:szCs w:val="24"/>
                    <w:lang w:eastAsia="en-GB"/>
                  </w:rPr>
                  <w:t>4.6 Data Extraction and Synthesis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_Toc240558495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37</w:t>
                </w:r>
                <w:r w:rsidRPr="006A0C92">
                  <w:rPr>
                    <w:rFonts w:ascii="Arial" w:hAnsi="Arial" w:cs="Arial"/>
                    <w:noProof/>
                    <w:webHidden/>
                    <w:sz w:val="24"/>
                    <w:szCs w:val="24"/>
                  </w:rPr>
                  <w:fldChar w:fldCharType="end"/>
                </w:r>
              </w:hyperlink>
            </w:p>
            <w:p w14:paraId="44106864" w14:textId="78DF4345"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6" w:history="1">
                <w:r w:rsidRPr="006A0C92">
                  <w:rPr>
                    <w:rStyle w:val="Hyperlink"/>
                    <w:rFonts w:ascii="Arial" w:hAnsi="Arial" w:cs="Arial"/>
                    <w:noProof/>
                    <w:sz w:val="24"/>
                    <w:szCs w:val="24"/>
                    <w:lang w:eastAsia="en-GB"/>
                  </w:rPr>
                  <w:t>4.7 Theme 1: Vitamin D Deficiency among Older Adults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38</w:t>
                </w:r>
                <w:r w:rsidRPr="006A0C92">
                  <w:rPr>
                    <w:rFonts w:ascii="Arial" w:hAnsi="Arial" w:cs="Arial"/>
                    <w:noProof/>
                    <w:webHidden/>
                    <w:sz w:val="24"/>
                    <w:szCs w:val="24"/>
                  </w:rPr>
                  <w:fldChar w:fldCharType="end"/>
                </w:r>
              </w:hyperlink>
            </w:p>
            <w:p w14:paraId="448190AE" w14:textId="02AF87BB"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7" w:history="1">
                <w:r w:rsidRPr="006A0C92">
                  <w:rPr>
                    <w:rStyle w:val="Hyperlink"/>
                    <w:rFonts w:ascii="Arial" w:hAnsi="Arial" w:cs="Arial"/>
                    <w:noProof/>
                    <w:sz w:val="24"/>
                    <w:szCs w:val="24"/>
                    <w:lang w:eastAsia="en-GB"/>
                  </w:rPr>
                  <w:t>4.8 Theme 2: Awareness and Knowledge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39</w:t>
                </w:r>
                <w:r w:rsidRPr="006A0C92">
                  <w:rPr>
                    <w:rFonts w:ascii="Arial" w:hAnsi="Arial" w:cs="Arial"/>
                    <w:noProof/>
                    <w:webHidden/>
                    <w:sz w:val="24"/>
                    <w:szCs w:val="24"/>
                  </w:rPr>
                  <w:fldChar w:fldCharType="end"/>
                </w:r>
              </w:hyperlink>
            </w:p>
            <w:p w14:paraId="39984093" w14:textId="6138153B"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8" w:history="1">
                <w:r w:rsidRPr="006A0C92">
                  <w:rPr>
                    <w:rStyle w:val="Hyperlink"/>
                    <w:rFonts w:ascii="Arial" w:hAnsi="Arial" w:cs="Arial"/>
                    <w:noProof/>
                    <w:sz w:val="24"/>
                    <w:szCs w:val="24"/>
                    <w:lang w:eastAsia="en-GB"/>
                  </w:rPr>
                  <w:t>4.9 Theme 3: Barriers to Prevention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39</w:t>
                </w:r>
                <w:r w:rsidRPr="006A0C92">
                  <w:rPr>
                    <w:rFonts w:ascii="Arial" w:hAnsi="Arial" w:cs="Arial"/>
                    <w:noProof/>
                    <w:webHidden/>
                    <w:sz w:val="24"/>
                    <w:szCs w:val="24"/>
                  </w:rPr>
                  <w:fldChar w:fldCharType="end"/>
                </w:r>
              </w:hyperlink>
            </w:p>
            <w:p w14:paraId="20F20752" w14:textId="6FBE6C7D"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499" w:history="1">
                <w:r w:rsidRPr="006A0C92">
                  <w:rPr>
                    <w:rStyle w:val="Hyperlink"/>
                    <w:rFonts w:ascii="Arial" w:hAnsi="Arial" w:cs="Arial"/>
                    <w:noProof/>
                    <w:sz w:val="24"/>
                    <w:szCs w:val="24"/>
                    <w:lang w:eastAsia="en-GB"/>
                  </w:rPr>
                  <w:t>4.10 Theme 4: Prevention Strategies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_Toc240558499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40</w:t>
                </w:r>
                <w:r w:rsidRPr="006A0C92">
                  <w:rPr>
                    <w:rFonts w:ascii="Arial" w:hAnsi="Arial" w:cs="Arial"/>
                    <w:noProof/>
                    <w:webHidden/>
                    <w:sz w:val="24"/>
                    <w:szCs w:val="24"/>
                  </w:rPr>
                  <w:fldChar w:fldCharType="end"/>
                </w:r>
              </w:hyperlink>
            </w:p>
            <w:p w14:paraId="000F85F2" w14:textId="62D93583"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00" w:history="1">
                <w:r w:rsidRPr="006A0C92">
                  <w:rPr>
                    <w:rStyle w:val="Hyperlink"/>
                    <w:rFonts w:ascii="Arial" w:hAnsi="Arial" w:cs="Arial"/>
                    <w:noProof/>
                    <w:sz w:val="24"/>
                    <w:szCs w:val="24"/>
                    <w:lang w:eastAsia="en-GB"/>
                  </w:rPr>
                  <w:t>4.11 Theme 5: Improving Awareness in UK Care Homes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41</w:t>
                </w:r>
                <w:r w:rsidRPr="006A0C92">
                  <w:rPr>
                    <w:rFonts w:ascii="Arial" w:hAnsi="Arial" w:cs="Arial"/>
                    <w:noProof/>
                    <w:webHidden/>
                    <w:sz w:val="24"/>
                    <w:szCs w:val="24"/>
                  </w:rPr>
                  <w:fldChar w:fldCharType="end"/>
                </w:r>
              </w:hyperlink>
            </w:p>
            <w:p w14:paraId="6E924E62" w14:textId="4BE44E91"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01" w:history="1">
                <w:r w:rsidRPr="006A0C92">
                  <w:rPr>
                    <w:rStyle w:val="Hyperlink"/>
                    <w:rFonts w:ascii="Arial" w:hAnsi="Arial" w:cs="Arial"/>
                    <w:noProof/>
                    <w:sz w:val="24"/>
                    <w:szCs w:val="24"/>
                    <w:lang w:eastAsia="en-GB"/>
                  </w:rPr>
                  <w:t>4.12 Summary of Main Findings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42</w:t>
                </w:r>
                <w:r w:rsidRPr="006A0C92">
                  <w:rPr>
                    <w:rFonts w:ascii="Arial" w:hAnsi="Arial" w:cs="Arial"/>
                    <w:noProof/>
                    <w:webHidden/>
                    <w:sz w:val="24"/>
                    <w:szCs w:val="24"/>
                  </w:rPr>
                  <w:fldChar w:fldCharType="end"/>
                </w:r>
              </w:hyperlink>
            </w:p>
            <w:p w14:paraId="7DD5EBA7" w14:textId="3CCA7453"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02" w:history="1">
                <w:r w:rsidRPr="006A0C92">
                  <w:rPr>
                    <w:rStyle w:val="Hyperlink"/>
                    <w:rFonts w:ascii="Arial" w:hAnsi="Arial" w:cs="Arial"/>
                    <w:noProof/>
                    <w:sz w:val="24"/>
                    <w:szCs w:val="24"/>
                    <w:lang w:eastAsia="en-GB"/>
                  </w:rPr>
                  <w:t>4.13 Chapter Summary</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43</w:t>
                </w:r>
                <w:r w:rsidRPr="006A0C92">
                  <w:rPr>
                    <w:rFonts w:ascii="Arial" w:hAnsi="Arial" w:cs="Arial"/>
                    <w:noProof/>
                    <w:webHidden/>
                    <w:sz w:val="24"/>
                    <w:szCs w:val="24"/>
                  </w:rPr>
                  <w:fldChar w:fldCharType="end"/>
                </w:r>
              </w:hyperlink>
            </w:p>
            <w:p w14:paraId="12BE5C6F" w14:textId="022786C0"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503" w:history="1">
                <w:r w:rsidRPr="006A0C92">
                  <w:rPr>
                    <w:rStyle w:val="Hyperlink"/>
                    <w:rFonts w:ascii="Arial" w:hAnsi="Arial" w:cs="Arial"/>
                    <w:noProof/>
                    <w:szCs w:val="24"/>
                  </w:rPr>
                  <w:t>CHAPTER 5: DISCUSSION</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_Toc240558503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45</w:t>
                </w:r>
                <w:r w:rsidRPr="006A0C92">
                  <w:rPr>
                    <w:rFonts w:ascii="Arial" w:hAnsi="Arial" w:cs="Arial"/>
                    <w:noProof/>
                    <w:webHidden/>
                    <w:szCs w:val="24"/>
                  </w:rPr>
                  <w:fldChar w:fldCharType="end"/>
                </w:r>
              </w:hyperlink>
            </w:p>
            <w:p w14:paraId="2BECBE0E" w14:textId="30BB69F3"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04" w:history="1">
                <w:r w:rsidRPr="006A0C92">
                  <w:rPr>
                    <w:rStyle w:val="Hyperlink"/>
                    <w:rFonts w:ascii="Arial" w:hAnsi="Arial" w:cs="Arial"/>
                    <w:noProof/>
                    <w:sz w:val="24"/>
                    <w:szCs w:val="24"/>
                    <w:lang w:eastAsia="en-GB"/>
                  </w:rPr>
                  <w:t>5.1 Introduction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45</w:t>
                </w:r>
                <w:r w:rsidRPr="006A0C92">
                  <w:rPr>
                    <w:rFonts w:ascii="Arial" w:hAnsi="Arial" w:cs="Arial"/>
                    <w:noProof/>
                    <w:webHidden/>
                    <w:sz w:val="24"/>
                    <w:szCs w:val="24"/>
                  </w:rPr>
                  <w:fldChar w:fldCharType="end"/>
                </w:r>
              </w:hyperlink>
            </w:p>
            <w:p w14:paraId="3443ED9D" w14:textId="40455B11"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05" w:history="1">
                <w:r w:rsidRPr="006A0C92">
                  <w:rPr>
                    <w:rStyle w:val="Hyperlink"/>
                    <w:rFonts w:ascii="Arial" w:hAnsi="Arial" w:cs="Arial"/>
                    <w:noProof/>
                    <w:sz w:val="24"/>
                    <w:szCs w:val="24"/>
                    <w:lang w:eastAsia="en-GB"/>
                  </w:rPr>
                  <w:t>5.2 Discussion of Main Findings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_Toc240558505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45</w:t>
                </w:r>
                <w:r w:rsidRPr="006A0C92">
                  <w:rPr>
                    <w:rFonts w:ascii="Arial" w:hAnsi="Arial" w:cs="Arial"/>
                    <w:noProof/>
                    <w:webHidden/>
                    <w:sz w:val="24"/>
                    <w:szCs w:val="24"/>
                  </w:rPr>
                  <w:fldChar w:fldCharType="end"/>
                </w:r>
              </w:hyperlink>
            </w:p>
            <w:p w14:paraId="2CFF614D" w14:textId="502CFDCD"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06" w:history="1">
                <w:r w:rsidRPr="006A0C92">
                  <w:rPr>
                    <w:rStyle w:val="Hyperlink"/>
                    <w:rFonts w:ascii="Arial" w:hAnsi="Arial" w:cs="Arial"/>
                    <w:noProof/>
                    <w:sz w:val="24"/>
                    <w:szCs w:val="24"/>
                  </w:rPr>
                  <w:t>5.2.1 Theme 1: Vitamin D Deficiency among Older Adults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45</w:t>
                </w:r>
                <w:r w:rsidRPr="006A0C92">
                  <w:rPr>
                    <w:rFonts w:ascii="Arial" w:hAnsi="Arial" w:cs="Arial"/>
                    <w:noProof/>
                    <w:webHidden/>
                    <w:sz w:val="24"/>
                    <w:szCs w:val="24"/>
                  </w:rPr>
                  <w:fldChar w:fldCharType="end"/>
                </w:r>
              </w:hyperlink>
            </w:p>
            <w:p w14:paraId="5C448277" w14:textId="47BE05E0"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07" w:history="1">
                <w:r w:rsidRPr="006A0C92">
                  <w:rPr>
                    <w:rStyle w:val="Hyperlink"/>
                    <w:rFonts w:ascii="Arial" w:hAnsi="Arial" w:cs="Arial"/>
                    <w:noProof/>
                    <w:sz w:val="24"/>
                    <w:szCs w:val="24"/>
                  </w:rPr>
                  <w:t>5.2.2 Theme 2: Awareness and Knowledge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45</w:t>
                </w:r>
                <w:r w:rsidRPr="006A0C92">
                  <w:rPr>
                    <w:rFonts w:ascii="Arial" w:hAnsi="Arial" w:cs="Arial"/>
                    <w:noProof/>
                    <w:webHidden/>
                    <w:sz w:val="24"/>
                    <w:szCs w:val="24"/>
                  </w:rPr>
                  <w:fldChar w:fldCharType="end"/>
                </w:r>
              </w:hyperlink>
            </w:p>
            <w:p w14:paraId="4B4DF19C" w14:textId="49AC0647"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08" w:history="1">
                <w:r w:rsidRPr="006A0C92">
                  <w:rPr>
                    <w:rStyle w:val="Hyperlink"/>
                    <w:rFonts w:ascii="Arial" w:hAnsi="Arial" w:cs="Arial"/>
                    <w:noProof/>
                    <w:sz w:val="24"/>
                    <w:szCs w:val="24"/>
                  </w:rPr>
                  <w:t>5.2.3 Theme 3: Barriers to Prevention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46</w:t>
                </w:r>
                <w:r w:rsidRPr="006A0C92">
                  <w:rPr>
                    <w:rFonts w:ascii="Arial" w:hAnsi="Arial" w:cs="Arial"/>
                    <w:noProof/>
                    <w:webHidden/>
                    <w:sz w:val="24"/>
                    <w:szCs w:val="24"/>
                  </w:rPr>
                  <w:fldChar w:fldCharType="end"/>
                </w:r>
              </w:hyperlink>
            </w:p>
            <w:p w14:paraId="083ADA79" w14:textId="48033341"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09" w:history="1">
                <w:r w:rsidRPr="006A0C92">
                  <w:rPr>
                    <w:rStyle w:val="Hyperlink"/>
                    <w:rFonts w:ascii="Arial" w:hAnsi="Arial" w:cs="Arial"/>
                    <w:noProof/>
                    <w:sz w:val="24"/>
                    <w:szCs w:val="24"/>
                  </w:rPr>
                  <w:t>5.2.4 Theme 4: Prevention Strategies and Interventions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_Toc240558509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46</w:t>
                </w:r>
                <w:r w:rsidRPr="006A0C92">
                  <w:rPr>
                    <w:rFonts w:ascii="Arial" w:hAnsi="Arial" w:cs="Arial"/>
                    <w:noProof/>
                    <w:webHidden/>
                    <w:sz w:val="24"/>
                    <w:szCs w:val="24"/>
                  </w:rPr>
                  <w:fldChar w:fldCharType="end"/>
                </w:r>
              </w:hyperlink>
            </w:p>
            <w:p w14:paraId="54DBFD8B" w14:textId="03AC9DD5"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10" w:history="1">
                <w:r w:rsidRPr="006A0C92">
                  <w:rPr>
                    <w:rStyle w:val="Hyperlink"/>
                    <w:rFonts w:ascii="Arial" w:hAnsi="Arial" w:cs="Arial"/>
                    <w:noProof/>
                    <w:sz w:val="24"/>
                    <w:szCs w:val="24"/>
                  </w:rPr>
                  <w:t>5.2.5 Theme 5: Improving Awareness in UK Care Homes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47</w:t>
                </w:r>
                <w:r w:rsidRPr="006A0C92">
                  <w:rPr>
                    <w:rFonts w:ascii="Arial" w:hAnsi="Arial" w:cs="Arial"/>
                    <w:noProof/>
                    <w:webHidden/>
                    <w:sz w:val="24"/>
                    <w:szCs w:val="24"/>
                  </w:rPr>
                  <w:fldChar w:fldCharType="end"/>
                </w:r>
              </w:hyperlink>
            </w:p>
            <w:p w14:paraId="169A9012" w14:textId="16874C1F"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1" w:history="1">
                <w:r w:rsidRPr="006A0C92">
                  <w:rPr>
                    <w:rStyle w:val="Hyperlink"/>
                    <w:rFonts w:ascii="Arial" w:hAnsi="Arial" w:cs="Arial"/>
                    <w:noProof/>
                    <w:sz w:val="24"/>
                    <w:szCs w:val="24"/>
                    <w:lang w:eastAsia="en-GB"/>
                  </w:rPr>
                  <w:t>5.3 Findings in Relation to the Research Question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47</w:t>
                </w:r>
                <w:r w:rsidRPr="006A0C92">
                  <w:rPr>
                    <w:rFonts w:ascii="Arial" w:hAnsi="Arial" w:cs="Arial"/>
                    <w:noProof/>
                    <w:webHidden/>
                    <w:sz w:val="24"/>
                    <w:szCs w:val="24"/>
                  </w:rPr>
                  <w:fldChar w:fldCharType="end"/>
                </w:r>
              </w:hyperlink>
            </w:p>
            <w:p w14:paraId="4295BC75" w14:textId="694C293B"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2" w:history="1">
                <w:r w:rsidRPr="006A0C92">
                  <w:rPr>
                    <w:rStyle w:val="Hyperlink"/>
                    <w:rFonts w:ascii="Arial" w:hAnsi="Arial" w:cs="Arial"/>
                    <w:noProof/>
                    <w:sz w:val="24"/>
                    <w:szCs w:val="24"/>
                    <w:lang w:eastAsia="en-GB"/>
                  </w:rPr>
                  <w:t>5.4 Results for Research Objectives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47</w:t>
                </w:r>
                <w:r w:rsidRPr="006A0C92">
                  <w:rPr>
                    <w:rFonts w:ascii="Arial" w:hAnsi="Arial" w:cs="Arial"/>
                    <w:noProof/>
                    <w:webHidden/>
                    <w:sz w:val="24"/>
                    <w:szCs w:val="24"/>
                  </w:rPr>
                  <w:fldChar w:fldCharType="end"/>
                </w:r>
              </w:hyperlink>
            </w:p>
            <w:p w14:paraId="056BBE02" w14:textId="0F3CA6B8"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3" w:history="1">
                <w:r w:rsidRPr="006A0C92">
                  <w:rPr>
                    <w:rStyle w:val="Hyperlink"/>
                    <w:rFonts w:ascii="Arial" w:hAnsi="Arial" w:cs="Arial"/>
                    <w:noProof/>
                    <w:sz w:val="24"/>
                    <w:szCs w:val="24"/>
                    <w:lang w:eastAsia="en-GB"/>
                  </w:rPr>
                  <w:t>5.5 Implications for Public Health, Policy and Practice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_Toc240558513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48</w:t>
                </w:r>
                <w:r w:rsidRPr="006A0C92">
                  <w:rPr>
                    <w:rFonts w:ascii="Arial" w:hAnsi="Arial" w:cs="Arial"/>
                    <w:noProof/>
                    <w:webHidden/>
                    <w:sz w:val="24"/>
                    <w:szCs w:val="24"/>
                  </w:rPr>
                  <w:fldChar w:fldCharType="end"/>
                </w:r>
              </w:hyperlink>
            </w:p>
            <w:p w14:paraId="1164FC9D" w14:textId="7C1AFA32"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4" w:history="1">
                <w:r w:rsidRPr="006A0C92">
                  <w:rPr>
                    <w:rStyle w:val="Hyperlink"/>
                    <w:rFonts w:ascii="Arial" w:hAnsi="Arial" w:cs="Arial"/>
                    <w:noProof/>
                    <w:sz w:val="24"/>
                    <w:szCs w:val="24"/>
                    <w:lang w:eastAsia="en-GB"/>
                  </w:rPr>
                  <w:t>5.6 Future Research Needs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49</w:t>
                </w:r>
                <w:r w:rsidRPr="006A0C92">
                  <w:rPr>
                    <w:rFonts w:ascii="Arial" w:hAnsi="Arial" w:cs="Arial"/>
                    <w:noProof/>
                    <w:webHidden/>
                    <w:sz w:val="24"/>
                    <w:szCs w:val="24"/>
                  </w:rPr>
                  <w:fldChar w:fldCharType="end"/>
                </w:r>
              </w:hyperlink>
            </w:p>
            <w:p w14:paraId="6A3BDB1D" w14:textId="30CF161E"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5" w:history="1">
                <w:r w:rsidRPr="006A0C92">
                  <w:rPr>
                    <w:rStyle w:val="Hyperlink"/>
                    <w:rFonts w:ascii="Arial" w:hAnsi="Arial" w:cs="Arial"/>
                    <w:noProof/>
                    <w:sz w:val="24"/>
                    <w:szCs w:val="24"/>
                    <w:lang w:eastAsia="en-GB"/>
                  </w:rPr>
                  <w:t>5.7 Strengths and Limitations / Risk of Bias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_Toc240558515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50</w:t>
                </w:r>
                <w:r w:rsidRPr="006A0C92">
                  <w:rPr>
                    <w:rFonts w:ascii="Arial" w:hAnsi="Arial" w:cs="Arial"/>
                    <w:noProof/>
                    <w:webHidden/>
                    <w:sz w:val="24"/>
                    <w:szCs w:val="24"/>
                  </w:rPr>
                  <w:fldChar w:fldCharType="end"/>
                </w:r>
              </w:hyperlink>
            </w:p>
            <w:p w14:paraId="1551DDB3" w14:textId="12FB9236"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6" w:history="1">
                <w:r w:rsidRPr="006A0C92">
                  <w:rPr>
                    <w:rStyle w:val="Hyperlink"/>
                    <w:rFonts w:ascii="Arial" w:hAnsi="Arial" w:cs="Arial"/>
                    <w:noProof/>
                    <w:sz w:val="24"/>
                    <w:szCs w:val="24"/>
                    <w:lang w:eastAsia="en-GB"/>
                  </w:rPr>
                  <w:t>5.8 Conclusion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50</w:t>
                </w:r>
                <w:r w:rsidRPr="006A0C92">
                  <w:rPr>
                    <w:rFonts w:ascii="Arial" w:hAnsi="Arial" w:cs="Arial"/>
                    <w:noProof/>
                    <w:webHidden/>
                    <w:sz w:val="24"/>
                    <w:szCs w:val="24"/>
                  </w:rPr>
                  <w:fldChar w:fldCharType="end"/>
                </w:r>
              </w:hyperlink>
            </w:p>
            <w:p w14:paraId="00B2E0AA" w14:textId="4001F803" w:rsidR="006A0C92" w:rsidRPr="006A0C92" w:rsidRDefault="006A0C92" w:rsidP="006A0C92">
              <w:pPr>
                <w:pStyle w:val="TOC1"/>
                <w:tabs>
                  <w:tab w:val="right" w:leader="dot" w:pos="9016"/>
                </w:tabs>
                <w:jc w:val="both"/>
                <w:rPr>
                  <w:rFonts w:ascii="Arial" w:eastAsiaTheme="minorEastAsia" w:hAnsi="Arial" w:cs="Arial"/>
                  <w:noProof/>
                  <w:color w:val="auto"/>
                  <w:kern w:val="0"/>
                  <w:szCs w:val="24"/>
                  <w:lang w:eastAsia="en-GB"/>
                  <w14:ligatures w14:val="none"/>
                </w:rPr>
              </w:pPr>
              <w:hyperlink w:anchor="_Toc240558517" w:history="1">
                <w:r w:rsidRPr="006A0C92">
                  <w:rPr>
                    <w:rStyle w:val="Hyperlink"/>
                    <w:rFonts w:ascii="Arial" w:hAnsi="Arial" w:cs="Arial"/>
                    <w:noProof/>
                    <w:szCs w:val="24"/>
                    <w:lang w:eastAsia="en-GB"/>
                  </w:rPr>
                  <w:t>Chapter 6: Conclusion</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_Toc240558517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51</w:t>
                </w:r>
                <w:r w:rsidRPr="006A0C92">
                  <w:rPr>
                    <w:rFonts w:ascii="Arial" w:hAnsi="Arial" w:cs="Arial"/>
                    <w:noProof/>
                    <w:webHidden/>
                    <w:szCs w:val="24"/>
                  </w:rPr>
                  <w:fldChar w:fldCharType="end"/>
                </w:r>
              </w:hyperlink>
            </w:p>
            <w:p w14:paraId="69619BEB" w14:textId="0F4E3D2F"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8" w:history="1">
                <w:r w:rsidRPr="006A0C92">
                  <w:rPr>
                    <w:rStyle w:val="Hyperlink"/>
                    <w:rFonts w:ascii="Arial" w:hAnsi="Arial" w:cs="Arial"/>
                    <w:noProof/>
                    <w:sz w:val="24"/>
                    <w:szCs w:val="24"/>
                    <w:lang w:eastAsia="en-GB"/>
                  </w:rPr>
                  <w:t>6.1 Introduction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51</w:t>
                </w:r>
                <w:r w:rsidRPr="006A0C92">
                  <w:rPr>
                    <w:rFonts w:ascii="Arial" w:hAnsi="Arial" w:cs="Arial"/>
                    <w:noProof/>
                    <w:webHidden/>
                    <w:sz w:val="24"/>
                    <w:szCs w:val="24"/>
                  </w:rPr>
                  <w:fldChar w:fldCharType="end"/>
                </w:r>
              </w:hyperlink>
            </w:p>
            <w:p w14:paraId="60A76F1F" w14:textId="50E2D3BD"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19" w:history="1">
                <w:r w:rsidRPr="006A0C92">
                  <w:rPr>
                    <w:rStyle w:val="Hyperlink"/>
                    <w:rFonts w:ascii="Arial" w:hAnsi="Arial" w:cs="Arial"/>
                    <w:noProof/>
                    <w:sz w:val="24"/>
                    <w:szCs w:val="24"/>
                    <w:lang w:eastAsia="en-GB"/>
                  </w:rPr>
                  <w:t>6.2 Overall Conclusion of the Systematic Review</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_Toc240558519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51</w:t>
                </w:r>
                <w:r w:rsidRPr="006A0C92">
                  <w:rPr>
                    <w:rFonts w:ascii="Arial" w:hAnsi="Arial" w:cs="Arial"/>
                    <w:noProof/>
                    <w:webHidden/>
                    <w:sz w:val="24"/>
                    <w:szCs w:val="24"/>
                  </w:rPr>
                  <w:fldChar w:fldCharType="end"/>
                </w:r>
              </w:hyperlink>
            </w:p>
            <w:p w14:paraId="125EDB05" w14:textId="23A17AF8"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20" w:history="1">
                <w:r w:rsidRPr="006A0C92">
                  <w:rPr>
                    <w:rStyle w:val="Hyperlink"/>
                    <w:rFonts w:ascii="Arial" w:hAnsi="Arial" w:cs="Arial"/>
                    <w:noProof/>
                    <w:sz w:val="24"/>
                    <w:szCs w:val="24"/>
                    <w:lang w:eastAsia="en-GB"/>
                  </w:rPr>
                  <w:t>6.3 Answer to the Research Question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52</w:t>
                </w:r>
                <w:r w:rsidRPr="006A0C92">
                  <w:rPr>
                    <w:rFonts w:ascii="Arial" w:hAnsi="Arial" w:cs="Arial"/>
                    <w:noProof/>
                    <w:webHidden/>
                    <w:sz w:val="24"/>
                    <w:szCs w:val="24"/>
                  </w:rPr>
                  <w:fldChar w:fldCharType="end"/>
                </w:r>
              </w:hyperlink>
            </w:p>
            <w:p w14:paraId="5C0511BA" w14:textId="6D6739DE"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21" w:history="1">
                <w:r w:rsidRPr="006A0C92">
                  <w:rPr>
                    <w:rStyle w:val="Hyperlink"/>
                    <w:rFonts w:ascii="Arial" w:hAnsi="Arial" w:cs="Arial"/>
                    <w:noProof/>
                    <w:sz w:val="24"/>
                    <w:szCs w:val="24"/>
                    <w:lang w:eastAsia="en-GB"/>
                  </w:rPr>
                  <w:t>6.4 Achievement of Research Objectives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_Toc240558521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52</w:t>
                </w:r>
                <w:r w:rsidRPr="006A0C92">
                  <w:rPr>
                    <w:rFonts w:ascii="Arial" w:hAnsi="Arial" w:cs="Arial"/>
                    <w:noProof/>
                    <w:webHidden/>
                    <w:sz w:val="24"/>
                    <w:szCs w:val="24"/>
                  </w:rPr>
                  <w:fldChar w:fldCharType="end"/>
                </w:r>
              </w:hyperlink>
            </w:p>
            <w:p w14:paraId="4985EE47" w14:textId="66413516"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22" w:history="1">
                <w:r w:rsidRPr="006A0C92">
                  <w:rPr>
                    <w:rStyle w:val="Hyperlink"/>
                    <w:rFonts w:ascii="Arial" w:hAnsi="Arial" w:cs="Arial"/>
                    <w:noProof/>
                    <w:sz w:val="24"/>
                    <w:szCs w:val="24"/>
                  </w:rPr>
                  <w:t>6.4.1 Objective 1: To assess current knowledge and practices regarding vitamin D supplementation among older adults and care staff in UK care settings.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_Toc240558522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52</w:t>
                </w:r>
                <w:r w:rsidRPr="006A0C92">
                  <w:rPr>
                    <w:rFonts w:ascii="Arial" w:hAnsi="Arial" w:cs="Arial"/>
                    <w:noProof/>
                    <w:webHidden/>
                    <w:sz w:val="24"/>
                    <w:szCs w:val="24"/>
                  </w:rPr>
                  <w:fldChar w:fldCharType="end"/>
                </w:r>
              </w:hyperlink>
            </w:p>
            <w:p w14:paraId="3212EE3D" w14:textId="43A85135"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23" w:history="1">
                <w:r w:rsidRPr="006A0C92">
                  <w:rPr>
                    <w:rStyle w:val="Hyperlink"/>
                    <w:rFonts w:ascii="Arial" w:hAnsi="Arial" w:cs="Arial"/>
                    <w:noProof/>
                    <w:sz w:val="24"/>
                    <w:szCs w:val="24"/>
                  </w:rPr>
                  <w:t>6.4.2 Objective 2: To identify the individual, professional and organisational barriers affecting effective prevention of vitamin D deficiency among older adults in UK care settings.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_Toc240558523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53</w:t>
                </w:r>
                <w:r w:rsidRPr="006A0C92">
                  <w:rPr>
                    <w:rFonts w:ascii="Arial" w:hAnsi="Arial" w:cs="Arial"/>
                    <w:noProof/>
                    <w:webHidden/>
                    <w:sz w:val="24"/>
                    <w:szCs w:val="24"/>
                  </w:rPr>
                  <w:fldChar w:fldCharType="end"/>
                </w:r>
              </w:hyperlink>
            </w:p>
            <w:p w14:paraId="1B4A68D6" w14:textId="7DC1FF9B"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24" w:history="1">
                <w:r w:rsidRPr="006A0C92">
                  <w:rPr>
                    <w:rStyle w:val="Hyperlink"/>
                    <w:rFonts w:ascii="Arial" w:hAnsi="Arial" w:cs="Arial"/>
                    <w:noProof/>
                    <w:sz w:val="24"/>
                    <w:szCs w:val="24"/>
                  </w:rPr>
                  <w:t>6.4.3 Objective 3: To examine practical strategies for improving awareness, screening and supplementation practices to reduce vitamin D-related health risks, particularly falls and fractures.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_Toc240558524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53</w:t>
                </w:r>
                <w:r w:rsidRPr="006A0C92">
                  <w:rPr>
                    <w:rFonts w:ascii="Arial" w:hAnsi="Arial" w:cs="Arial"/>
                    <w:noProof/>
                    <w:webHidden/>
                    <w:sz w:val="24"/>
                    <w:szCs w:val="24"/>
                  </w:rPr>
                  <w:fldChar w:fldCharType="end"/>
                </w:r>
              </w:hyperlink>
            </w:p>
            <w:p w14:paraId="10A4A8F2" w14:textId="4AF590CF"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25" w:history="1">
                <w:r w:rsidRPr="006A0C92">
                  <w:rPr>
                    <w:rStyle w:val="Hyperlink"/>
                    <w:rFonts w:ascii="Arial" w:hAnsi="Arial" w:cs="Arial"/>
                    <w:noProof/>
                    <w:sz w:val="24"/>
                    <w:szCs w:val="24"/>
                    <w:lang w:eastAsia="en-GB"/>
                  </w:rPr>
                  <w:t>6.5 Implications for Public Health</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_Toc240558525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53</w:t>
                </w:r>
                <w:r w:rsidRPr="006A0C92">
                  <w:rPr>
                    <w:rFonts w:ascii="Arial" w:hAnsi="Arial" w:cs="Arial"/>
                    <w:noProof/>
                    <w:webHidden/>
                    <w:sz w:val="24"/>
                    <w:szCs w:val="24"/>
                  </w:rPr>
                  <w:fldChar w:fldCharType="end"/>
                </w:r>
              </w:hyperlink>
            </w:p>
            <w:p w14:paraId="17F1FF2B" w14:textId="4BA54E78" w:rsidR="006A0C92" w:rsidRPr="006A0C92" w:rsidRDefault="006A0C92" w:rsidP="006A0C92">
              <w:pPr>
                <w:pStyle w:val="TOC3"/>
                <w:tabs>
                  <w:tab w:val="right" w:leader="dot" w:pos="9016"/>
                </w:tabs>
                <w:jc w:val="both"/>
                <w:rPr>
                  <w:rFonts w:ascii="Arial" w:hAnsi="Arial" w:cs="Arial"/>
                  <w:noProof/>
                  <w:kern w:val="0"/>
                  <w:sz w:val="24"/>
                  <w:szCs w:val="24"/>
                  <w:lang w:eastAsia="en-GB"/>
                  <w14:ligatures w14:val="none"/>
                </w:rPr>
              </w:pPr>
              <w:hyperlink w:anchor="_Toc240558526" w:history="1">
                <w:r w:rsidRPr="006A0C92">
                  <w:rPr>
                    <w:rStyle w:val="Hyperlink"/>
                    <w:rFonts w:ascii="Arial" w:hAnsi="Arial" w:cs="Arial"/>
                    <w:noProof/>
                    <w:sz w:val="24"/>
                    <w:szCs w:val="24"/>
                  </w:rPr>
                  <w:t>6.6 Implications for Care-Home Practice</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_Toc240558526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54</w:t>
                </w:r>
                <w:r w:rsidRPr="006A0C92">
                  <w:rPr>
                    <w:rFonts w:ascii="Arial" w:hAnsi="Arial" w:cs="Arial"/>
                    <w:noProof/>
                    <w:webHidden/>
                    <w:sz w:val="24"/>
                    <w:szCs w:val="24"/>
                  </w:rPr>
                  <w:fldChar w:fldCharType="end"/>
                </w:r>
              </w:hyperlink>
            </w:p>
            <w:p w14:paraId="39D6D163" w14:textId="0127EC84"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27" w:history="1">
                <w:r w:rsidRPr="006A0C92">
                  <w:rPr>
                    <w:rStyle w:val="Hyperlink"/>
                    <w:rFonts w:ascii="Arial" w:hAnsi="Arial" w:cs="Arial"/>
                    <w:noProof/>
                    <w:sz w:val="24"/>
                    <w:szCs w:val="24"/>
                    <w:lang w:eastAsia="en-GB"/>
                  </w:rPr>
                  <w:t>6.7 Recommendations</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_Toc240558527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54</w:t>
                </w:r>
                <w:r w:rsidRPr="006A0C92">
                  <w:rPr>
                    <w:rFonts w:ascii="Arial" w:hAnsi="Arial" w:cs="Arial"/>
                    <w:noProof/>
                    <w:webHidden/>
                    <w:sz w:val="24"/>
                    <w:szCs w:val="24"/>
                  </w:rPr>
                  <w:fldChar w:fldCharType="end"/>
                </w:r>
              </w:hyperlink>
            </w:p>
            <w:p w14:paraId="012BA8B9" w14:textId="085BD922"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28" w:history="1">
                <w:r w:rsidRPr="006A0C92">
                  <w:rPr>
                    <w:rStyle w:val="Hyperlink"/>
                    <w:rFonts w:ascii="Arial" w:hAnsi="Arial" w:cs="Arial"/>
                    <w:noProof/>
                    <w:sz w:val="24"/>
                    <w:szCs w:val="24"/>
                    <w:lang w:eastAsia="en-GB"/>
                  </w:rPr>
                  <w:t>6.8 Recommendations for Future Research</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_Toc240558528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55</w:t>
                </w:r>
                <w:r w:rsidRPr="006A0C92">
                  <w:rPr>
                    <w:rFonts w:ascii="Arial" w:hAnsi="Arial" w:cs="Arial"/>
                    <w:noProof/>
                    <w:webHidden/>
                    <w:sz w:val="24"/>
                    <w:szCs w:val="24"/>
                  </w:rPr>
                  <w:fldChar w:fldCharType="end"/>
                </w:r>
              </w:hyperlink>
            </w:p>
            <w:p w14:paraId="02F467F3" w14:textId="6805354B"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29" w:history="1">
                <w:r w:rsidRPr="006A0C92">
                  <w:rPr>
                    <w:rStyle w:val="Hyperlink"/>
                    <w:rFonts w:ascii="Arial" w:hAnsi="Arial" w:cs="Arial"/>
                    <w:noProof/>
                    <w:sz w:val="24"/>
                    <w:szCs w:val="24"/>
                    <w:lang w:eastAsia="en-GB"/>
                  </w:rPr>
                  <w:t>6.9 Contribution of the Review</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_Toc240558529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56</w:t>
                </w:r>
                <w:r w:rsidRPr="006A0C92">
                  <w:rPr>
                    <w:rFonts w:ascii="Arial" w:hAnsi="Arial" w:cs="Arial"/>
                    <w:noProof/>
                    <w:webHidden/>
                    <w:sz w:val="24"/>
                    <w:szCs w:val="24"/>
                  </w:rPr>
                  <w:fldChar w:fldCharType="end"/>
                </w:r>
              </w:hyperlink>
            </w:p>
            <w:p w14:paraId="7544853B" w14:textId="7547A239" w:rsidR="006A0C92" w:rsidRPr="006A0C92" w:rsidRDefault="006A0C92" w:rsidP="006A0C92">
              <w:pPr>
                <w:pStyle w:val="TOC2"/>
                <w:tabs>
                  <w:tab w:val="right" w:leader="dot" w:pos="9016"/>
                </w:tabs>
                <w:jc w:val="both"/>
                <w:rPr>
                  <w:rFonts w:ascii="Arial" w:hAnsi="Arial" w:cs="Arial"/>
                  <w:noProof/>
                  <w:kern w:val="0"/>
                  <w:sz w:val="24"/>
                  <w:szCs w:val="24"/>
                  <w:lang w:eastAsia="en-GB"/>
                  <w14:ligatures w14:val="none"/>
                </w:rPr>
              </w:pPr>
              <w:hyperlink w:anchor="_Toc240558530" w:history="1">
                <w:r w:rsidRPr="006A0C92">
                  <w:rPr>
                    <w:rStyle w:val="Hyperlink"/>
                    <w:rFonts w:ascii="Arial" w:hAnsi="Arial" w:cs="Arial"/>
                    <w:noProof/>
                    <w:sz w:val="24"/>
                    <w:szCs w:val="24"/>
                    <w:lang w:eastAsia="en-GB"/>
                  </w:rPr>
                  <w:t>6.10 Final Conclusion</w:t>
                </w:r>
                <w:r w:rsidRPr="006A0C92">
                  <w:rPr>
                    <w:rFonts w:ascii="Arial" w:hAnsi="Arial" w:cs="Arial"/>
                    <w:noProof/>
                    <w:webHidden/>
                    <w:sz w:val="24"/>
                    <w:szCs w:val="24"/>
                  </w:rPr>
                  <w:tab/>
                </w:r>
                <w:r w:rsidRPr="006A0C92">
                  <w:rPr>
                    <w:rFonts w:ascii="Arial" w:hAnsi="Arial" w:cs="Arial"/>
                    <w:noProof/>
                    <w:webHidden/>
                    <w:sz w:val="24"/>
                    <w:szCs w:val="24"/>
                  </w:rPr>
                  <w:fldChar w:fldCharType="begin"/>
                </w:r>
                <w:r w:rsidRPr="006A0C92">
                  <w:rPr>
                    <w:rFonts w:ascii="Arial" w:hAnsi="Arial" w:cs="Arial"/>
                    <w:noProof/>
                    <w:webHidden/>
                    <w:sz w:val="24"/>
                    <w:szCs w:val="24"/>
                  </w:rPr>
                  <w:instrText xml:space="preserve"> PAGEREF _Toc240558530 \h </w:instrText>
                </w:r>
                <w:r w:rsidRPr="006A0C92">
                  <w:rPr>
                    <w:rFonts w:ascii="Arial" w:hAnsi="Arial" w:cs="Arial"/>
                    <w:noProof/>
                    <w:webHidden/>
                    <w:sz w:val="24"/>
                    <w:szCs w:val="24"/>
                  </w:rPr>
                </w:r>
                <w:r w:rsidRPr="006A0C92">
                  <w:rPr>
                    <w:rFonts w:ascii="Arial" w:hAnsi="Arial" w:cs="Arial"/>
                    <w:noProof/>
                    <w:webHidden/>
                    <w:sz w:val="24"/>
                    <w:szCs w:val="24"/>
                  </w:rPr>
                  <w:fldChar w:fldCharType="separate"/>
                </w:r>
                <w:r w:rsidRPr="006A0C92">
                  <w:rPr>
                    <w:rFonts w:ascii="Arial" w:hAnsi="Arial" w:cs="Arial"/>
                    <w:noProof/>
                    <w:webHidden/>
                    <w:sz w:val="24"/>
                    <w:szCs w:val="24"/>
                  </w:rPr>
                  <w:t>56</w:t>
                </w:r>
                <w:r w:rsidRPr="006A0C92">
                  <w:rPr>
                    <w:rFonts w:ascii="Arial" w:hAnsi="Arial" w:cs="Arial"/>
                    <w:noProof/>
                    <w:webHidden/>
                    <w:sz w:val="24"/>
                    <w:szCs w:val="24"/>
                  </w:rPr>
                  <w:fldChar w:fldCharType="end"/>
                </w:r>
              </w:hyperlink>
            </w:p>
            <w:p w14:paraId="60B8175C" w14:textId="0D45AEB1" w:rsidR="006A0C92" w:rsidRDefault="006A0C92" w:rsidP="006A0C92">
              <w:pPr>
                <w:pStyle w:val="TOC1"/>
                <w:tabs>
                  <w:tab w:val="right" w:leader="dot" w:pos="9016"/>
                </w:tabs>
                <w:jc w:val="both"/>
                <w:rPr>
                  <w:rFonts w:asciiTheme="minorHAnsi" w:eastAsiaTheme="minorEastAsia" w:hAnsiTheme="minorHAnsi" w:cstheme="minorBidi"/>
                  <w:noProof/>
                  <w:color w:val="auto"/>
                  <w:kern w:val="0"/>
                  <w:sz w:val="22"/>
                  <w:lang w:eastAsia="en-GB"/>
                  <w14:ligatures w14:val="none"/>
                </w:rPr>
              </w:pPr>
              <w:hyperlink w:anchor="_Toc240558531" w:history="1">
                <w:r w:rsidRPr="006A0C92">
                  <w:rPr>
                    <w:rStyle w:val="Hyperlink"/>
                    <w:rFonts w:ascii="Arial" w:hAnsi="Arial" w:cs="Arial"/>
                    <w:noProof/>
                    <w:szCs w:val="24"/>
                  </w:rPr>
                  <w:t>References</w:t>
                </w:r>
                <w:r w:rsidRPr="006A0C92">
                  <w:rPr>
                    <w:rFonts w:ascii="Arial" w:hAnsi="Arial" w:cs="Arial"/>
                    <w:noProof/>
                    <w:webHidden/>
                    <w:szCs w:val="24"/>
                  </w:rPr>
                  <w:tab/>
                </w:r>
                <w:r w:rsidRPr="006A0C92">
                  <w:rPr>
                    <w:rFonts w:ascii="Arial" w:hAnsi="Arial" w:cs="Arial"/>
                    <w:noProof/>
                    <w:webHidden/>
                    <w:szCs w:val="24"/>
                  </w:rPr>
                  <w:fldChar w:fldCharType="begin"/>
                </w:r>
                <w:r w:rsidRPr="006A0C92">
                  <w:rPr>
                    <w:rFonts w:ascii="Arial" w:hAnsi="Arial" w:cs="Arial"/>
                    <w:noProof/>
                    <w:webHidden/>
                    <w:szCs w:val="24"/>
                  </w:rPr>
                  <w:instrText xml:space="preserve"> PAGEREF _Toc240558531 \h </w:instrText>
                </w:r>
                <w:r w:rsidRPr="006A0C92">
                  <w:rPr>
                    <w:rFonts w:ascii="Arial" w:hAnsi="Arial" w:cs="Arial"/>
                    <w:noProof/>
                    <w:webHidden/>
                    <w:szCs w:val="24"/>
                  </w:rPr>
                </w:r>
                <w:r w:rsidRPr="006A0C92">
                  <w:rPr>
                    <w:rFonts w:ascii="Arial" w:hAnsi="Arial" w:cs="Arial"/>
                    <w:noProof/>
                    <w:webHidden/>
                    <w:szCs w:val="24"/>
                  </w:rPr>
                  <w:fldChar w:fldCharType="separate"/>
                </w:r>
                <w:r w:rsidRPr="006A0C92">
                  <w:rPr>
                    <w:rFonts w:ascii="Arial" w:hAnsi="Arial" w:cs="Arial"/>
                    <w:noProof/>
                    <w:webHidden/>
                    <w:szCs w:val="24"/>
                  </w:rPr>
                  <w:t>57</w:t>
                </w:r>
                <w:r w:rsidRPr="006A0C92">
                  <w:rPr>
                    <w:rFonts w:ascii="Arial" w:hAnsi="Arial" w:cs="Arial"/>
                    <w:noProof/>
                    <w:webHidden/>
                    <w:szCs w:val="24"/>
                  </w:rPr>
                  <w:fldChar w:fldCharType="end"/>
                </w:r>
              </w:hyperlink>
            </w:p>
            <w:p w14:paraId="4996406C" w14:textId="4C740D65" w:rsidR="00DE4331" w:rsidRPr="003A2840" w:rsidRDefault="00DE4331" w:rsidP="003A2840">
              <w:pPr>
                <w:jc w:val="both"/>
                <w:rPr>
                  <w:rFonts w:ascii="Arial" w:hAnsi="Arial" w:cs="Arial"/>
                  <w:sz w:val="24"/>
                  <w:szCs w:val="24"/>
                </w:rPr>
              </w:pPr>
              <w:r w:rsidRPr="003A2840">
                <w:rPr>
                  <w:rFonts w:ascii="Arial" w:hAnsi="Arial" w:cs="Arial"/>
                  <w:b/>
                  <w:bCs/>
                  <w:noProof/>
                  <w:sz w:val="24"/>
                  <w:szCs w:val="24"/>
                </w:rPr>
                <w:fldChar w:fldCharType="end"/>
              </w:r>
            </w:p>
          </w:sdtContent>
        </w:sdt>
        <w:p w14:paraId="39834B8B" w14:textId="7030877A" w:rsidR="009F64C5" w:rsidRPr="00DE4331" w:rsidRDefault="00E82608" w:rsidP="00311DB4">
          <w:pPr>
            <w:jc w:val="both"/>
            <w:rPr>
              <w:rFonts w:ascii="Arial" w:hAnsi="Arial" w:cs="Arial"/>
              <w:sz w:val="24"/>
              <w:szCs w:val="24"/>
            </w:rPr>
          </w:pPr>
        </w:p>
      </w:sdtContent>
    </w:sdt>
    <w:p w14:paraId="1A99AA07" w14:textId="1359835F" w:rsidR="000F72B6" w:rsidRDefault="000F72B6" w:rsidP="00A72FC0">
      <w:pPr>
        <w:jc w:val="center"/>
        <w:rPr>
          <w:rFonts w:ascii="Arial" w:hAnsi="Arial" w:cs="Arial"/>
          <w:b/>
          <w:i/>
          <w:sz w:val="32"/>
        </w:rPr>
      </w:pPr>
    </w:p>
    <w:p w14:paraId="6C118ACE" w14:textId="77777777" w:rsidR="00B1391A" w:rsidRDefault="00B1391A" w:rsidP="00A72FC0">
      <w:pPr>
        <w:jc w:val="center"/>
        <w:rPr>
          <w:rFonts w:ascii="Arial" w:hAnsi="Arial" w:cs="Arial"/>
          <w:b/>
          <w:i/>
          <w:sz w:val="32"/>
        </w:rPr>
      </w:pPr>
    </w:p>
    <w:p w14:paraId="7EE23706" w14:textId="77777777" w:rsidR="000F72B6" w:rsidRDefault="000F72B6" w:rsidP="00A72FC0">
      <w:pPr>
        <w:jc w:val="center"/>
        <w:rPr>
          <w:rFonts w:ascii="Arial" w:hAnsi="Arial" w:cs="Arial"/>
          <w:b/>
          <w:i/>
          <w:sz w:val="32"/>
        </w:rPr>
      </w:pPr>
    </w:p>
    <w:p w14:paraId="45505E63" w14:textId="426576E0" w:rsidR="00777B75" w:rsidRDefault="00777B75" w:rsidP="00A72FC0">
      <w:pPr>
        <w:jc w:val="center"/>
        <w:rPr>
          <w:rFonts w:ascii="Arial" w:hAnsi="Arial" w:cs="Arial"/>
          <w:b/>
          <w:i/>
          <w:sz w:val="32"/>
        </w:rPr>
      </w:pPr>
    </w:p>
    <w:p w14:paraId="617F822A" w14:textId="34059194" w:rsidR="000555DE" w:rsidRPr="00A72FC0" w:rsidRDefault="00A72FC0" w:rsidP="00A72FC0">
      <w:pPr>
        <w:jc w:val="center"/>
        <w:rPr>
          <w:rFonts w:ascii="Arial" w:hAnsi="Arial" w:cs="Arial"/>
          <w:b/>
          <w:i/>
          <w:sz w:val="32"/>
        </w:rPr>
      </w:pPr>
      <w:r w:rsidRPr="00A72FC0">
        <w:rPr>
          <w:rFonts w:ascii="Arial" w:hAnsi="Arial" w:cs="Arial"/>
          <w:b/>
          <w:i/>
          <w:sz w:val="32"/>
        </w:rPr>
        <w:lastRenderedPageBreak/>
        <w:t>List of Table</w:t>
      </w:r>
    </w:p>
    <w:p w14:paraId="713A03C7" w14:textId="77777777" w:rsidR="00A72FC0" w:rsidRDefault="00A72FC0">
      <w:pPr>
        <w:rPr>
          <w:rFonts w:asciiTheme="minorBidi" w:hAnsiTheme="minorBidi"/>
        </w:rPr>
      </w:pPr>
    </w:p>
    <w:p w14:paraId="2C2BBAB6" w14:textId="0D47029B"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r>
        <w:rPr>
          <w:rFonts w:asciiTheme="minorBidi" w:hAnsiTheme="minorBidi"/>
        </w:rPr>
        <w:fldChar w:fldCharType="begin"/>
      </w:r>
      <w:r>
        <w:rPr>
          <w:rFonts w:asciiTheme="minorBidi" w:hAnsiTheme="minorBidi"/>
        </w:rPr>
        <w:instrText xml:space="preserve"> TOC \h \z \c "Table" </w:instrText>
      </w:r>
      <w:r>
        <w:rPr>
          <w:rFonts w:asciiTheme="minorBidi" w:hAnsiTheme="minorBidi"/>
        </w:rPr>
        <w:fldChar w:fldCharType="separate"/>
      </w:r>
      <w:hyperlink w:anchor="_Toc240558532" w:history="1">
        <w:r w:rsidRPr="00B1391A">
          <w:rPr>
            <w:rStyle w:val="Hyperlink"/>
            <w:rFonts w:ascii="Arial" w:hAnsi="Arial" w:cs="Arial"/>
            <w:noProof/>
            <w:sz w:val="24"/>
          </w:rPr>
          <w:t>Table 1.Alignment between Aims and Objectives</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_Toc240558532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5</w:t>
        </w:r>
        <w:r w:rsidRPr="00B1391A">
          <w:rPr>
            <w:rFonts w:ascii="Arial" w:hAnsi="Arial" w:cs="Arial"/>
            <w:noProof/>
            <w:webHidden/>
            <w:sz w:val="24"/>
          </w:rPr>
          <w:fldChar w:fldCharType="end"/>
        </w:r>
      </w:hyperlink>
    </w:p>
    <w:p w14:paraId="24A697E2" w14:textId="6A7EF7E4"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33" w:history="1">
        <w:r w:rsidRPr="00B1391A">
          <w:rPr>
            <w:rStyle w:val="Hyperlink"/>
            <w:rFonts w:ascii="Arial" w:hAnsi="Arial" w:cs="Arial"/>
            <w:noProof/>
            <w:sz w:val="24"/>
          </w:rPr>
          <w:t>Table 2: PICO Framework</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_Toc240558533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23</w:t>
        </w:r>
        <w:r w:rsidRPr="00B1391A">
          <w:rPr>
            <w:rFonts w:ascii="Arial" w:hAnsi="Arial" w:cs="Arial"/>
            <w:noProof/>
            <w:webHidden/>
            <w:sz w:val="24"/>
          </w:rPr>
          <w:fldChar w:fldCharType="end"/>
        </w:r>
      </w:hyperlink>
    </w:p>
    <w:p w14:paraId="261D82AF" w14:textId="5108CCA1"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34" w:history="1">
        <w:r w:rsidRPr="00B1391A">
          <w:rPr>
            <w:rStyle w:val="Hyperlink"/>
            <w:rFonts w:ascii="Arial" w:hAnsi="Arial" w:cs="Arial"/>
            <w:noProof/>
            <w:sz w:val="24"/>
          </w:rPr>
          <w:t>Table 3.Database Search</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_Toc240558534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24</w:t>
        </w:r>
        <w:r w:rsidRPr="00B1391A">
          <w:rPr>
            <w:rFonts w:ascii="Arial" w:hAnsi="Arial" w:cs="Arial"/>
            <w:noProof/>
            <w:webHidden/>
            <w:sz w:val="24"/>
          </w:rPr>
          <w:fldChar w:fldCharType="end"/>
        </w:r>
      </w:hyperlink>
    </w:p>
    <w:p w14:paraId="552B3549" w14:textId="25D15D42"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35" w:history="1">
        <w:r w:rsidRPr="00B1391A">
          <w:rPr>
            <w:rStyle w:val="Hyperlink"/>
            <w:rFonts w:ascii="Arial" w:hAnsi="Arial" w:cs="Arial"/>
            <w:noProof/>
            <w:sz w:val="24"/>
          </w:rPr>
          <w:t>Table 4. Inclusion and Exclusion Criteria</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_Toc240558535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25</w:t>
        </w:r>
        <w:r w:rsidRPr="00B1391A">
          <w:rPr>
            <w:rFonts w:ascii="Arial" w:hAnsi="Arial" w:cs="Arial"/>
            <w:noProof/>
            <w:webHidden/>
            <w:sz w:val="24"/>
          </w:rPr>
          <w:fldChar w:fldCharType="end"/>
        </w:r>
      </w:hyperlink>
    </w:p>
    <w:p w14:paraId="75A816D2" w14:textId="6A530B63"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36" w:history="1">
        <w:r w:rsidRPr="00B1391A">
          <w:rPr>
            <w:rStyle w:val="Hyperlink"/>
            <w:rFonts w:ascii="Arial" w:hAnsi="Arial" w:cs="Arial"/>
            <w:noProof/>
            <w:sz w:val="24"/>
          </w:rPr>
          <w:t>Table 5.Quality Assessment</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_Toc240558536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27</w:t>
        </w:r>
        <w:r w:rsidRPr="00B1391A">
          <w:rPr>
            <w:rFonts w:ascii="Arial" w:hAnsi="Arial" w:cs="Arial"/>
            <w:noProof/>
            <w:webHidden/>
            <w:sz w:val="24"/>
          </w:rPr>
          <w:fldChar w:fldCharType="end"/>
        </w:r>
      </w:hyperlink>
    </w:p>
    <w:p w14:paraId="4C80664E" w14:textId="7BD0B247"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37" w:history="1">
        <w:r w:rsidRPr="00B1391A">
          <w:rPr>
            <w:rStyle w:val="Hyperlink"/>
            <w:rFonts w:ascii="Arial" w:hAnsi="Arial" w:cs="Arial"/>
            <w:noProof/>
            <w:sz w:val="24"/>
          </w:rPr>
          <w:t>Table 6.Data Extraction</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_Toc240558537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28</w:t>
        </w:r>
        <w:r w:rsidRPr="00B1391A">
          <w:rPr>
            <w:rFonts w:ascii="Arial" w:hAnsi="Arial" w:cs="Arial"/>
            <w:noProof/>
            <w:webHidden/>
            <w:sz w:val="24"/>
          </w:rPr>
          <w:fldChar w:fldCharType="end"/>
        </w:r>
      </w:hyperlink>
    </w:p>
    <w:p w14:paraId="74E1AD74" w14:textId="38AC52D6"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38" w:history="1">
        <w:r w:rsidRPr="00B1391A">
          <w:rPr>
            <w:rStyle w:val="Hyperlink"/>
            <w:rFonts w:ascii="Arial" w:hAnsi="Arial" w:cs="Arial"/>
            <w:noProof/>
            <w:sz w:val="24"/>
          </w:rPr>
          <w:t>Table 7.Systematic Search Results</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_Toc240558538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31</w:t>
        </w:r>
        <w:r w:rsidRPr="00B1391A">
          <w:rPr>
            <w:rFonts w:ascii="Arial" w:hAnsi="Arial" w:cs="Arial"/>
            <w:noProof/>
            <w:webHidden/>
            <w:sz w:val="24"/>
          </w:rPr>
          <w:fldChar w:fldCharType="end"/>
        </w:r>
      </w:hyperlink>
    </w:p>
    <w:p w14:paraId="10C8234B" w14:textId="7EFDC127"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39" w:history="1">
        <w:r w:rsidRPr="00B1391A">
          <w:rPr>
            <w:rStyle w:val="Hyperlink"/>
            <w:rFonts w:ascii="Arial" w:hAnsi="Arial" w:cs="Arial"/>
            <w:noProof/>
            <w:sz w:val="24"/>
          </w:rPr>
          <w:t>Table 8.Characteristics of Included Studies</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_Toc240558539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34</w:t>
        </w:r>
        <w:r w:rsidRPr="00B1391A">
          <w:rPr>
            <w:rFonts w:ascii="Arial" w:hAnsi="Arial" w:cs="Arial"/>
            <w:noProof/>
            <w:webHidden/>
            <w:sz w:val="24"/>
          </w:rPr>
          <w:fldChar w:fldCharType="end"/>
        </w:r>
      </w:hyperlink>
    </w:p>
    <w:p w14:paraId="68FEBA4D" w14:textId="598B8E1D" w:rsidR="00B1391A" w:rsidRPr="00B1391A" w:rsidRDefault="00B1391A" w:rsidP="00B1391A">
      <w:pPr>
        <w:pStyle w:val="TableofFigures"/>
        <w:tabs>
          <w:tab w:val="right" w:leader="dot" w:pos="9016"/>
        </w:tabs>
        <w:spacing w:line="360" w:lineRule="auto"/>
        <w:jc w:val="both"/>
        <w:rPr>
          <w:rFonts w:ascii="Arial" w:hAnsi="Arial" w:cs="Arial"/>
          <w:noProof/>
          <w:kern w:val="0"/>
          <w:sz w:val="24"/>
          <w:lang w:eastAsia="en-GB"/>
          <w14:ligatures w14:val="none"/>
        </w:rPr>
      </w:pPr>
      <w:hyperlink w:anchor="_Toc240558540" w:history="1">
        <w:r w:rsidRPr="00B1391A">
          <w:rPr>
            <w:rStyle w:val="Hyperlink"/>
            <w:rFonts w:ascii="Arial" w:hAnsi="Arial" w:cs="Arial"/>
            <w:noProof/>
            <w:sz w:val="24"/>
          </w:rPr>
          <w:t>Table 9.Quality Assessment of Included Studies</w:t>
        </w:r>
        <w:r w:rsidRPr="00B1391A">
          <w:rPr>
            <w:rFonts w:ascii="Arial" w:hAnsi="Arial" w:cs="Arial"/>
            <w:noProof/>
            <w:webHidden/>
            <w:sz w:val="24"/>
          </w:rPr>
          <w:tab/>
        </w:r>
        <w:r w:rsidRPr="00B1391A">
          <w:rPr>
            <w:rFonts w:ascii="Arial" w:hAnsi="Arial" w:cs="Arial"/>
            <w:noProof/>
            <w:webHidden/>
            <w:sz w:val="24"/>
          </w:rPr>
          <w:fldChar w:fldCharType="begin"/>
        </w:r>
        <w:r w:rsidRPr="00B1391A">
          <w:rPr>
            <w:rFonts w:ascii="Arial" w:hAnsi="Arial" w:cs="Arial"/>
            <w:noProof/>
            <w:webHidden/>
            <w:sz w:val="24"/>
          </w:rPr>
          <w:instrText xml:space="preserve"> PAGEREF _Toc240558540 \h </w:instrText>
        </w:r>
        <w:r w:rsidRPr="00B1391A">
          <w:rPr>
            <w:rFonts w:ascii="Arial" w:hAnsi="Arial" w:cs="Arial"/>
            <w:noProof/>
            <w:webHidden/>
            <w:sz w:val="24"/>
          </w:rPr>
        </w:r>
        <w:r w:rsidRPr="00B1391A">
          <w:rPr>
            <w:rFonts w:ascii="Arial" w:hAnsi="Arial" w:cs="Arial"/>
            <w:noProof/>
            <w:webHidden/>
            <w:sz w:val="24"/>
          </w:rPr>
          <w:fldChar w:fldCharType="separate"/>
        </w:r>
        <w:r w:rsidRPr="00B1391A">
          <w:rPr>
            <w:rFonts w:ascii="Arial" w:hAnsi="Arial" w:cs="Arial"/>
            <w:noProof/>
            <w:webHidden/>
            <w:sz w:val="24"/>
          </w:rPr>
          <w:t>37</w:t>
        </w:r>
        <w:r w:rsidRPr="00B1391A">
          <w:rPr>
            <w:rFonts w:ascii="Arial" w:hAnsi="Arial" w:cs="Arial"/>
            <w:noProof/>
            <w:webHidden/>
            <w:sz w:val="24"/>
          </w:rPr>
          <w:fldChar w:fldCharType="end"/>
        </w:r>
      </w:hyperlink>
    </w:p>
    <w:p w14:paraId="74A88286" w14:textId="0428BFB7" w:rsidR="00A72FC0" w:rsidRDefault="00B1391A" w:rsidP="00A72FC0">
      <w:pPr>
        <w:pStyle w:val="Caption"/>
        <w:rPr>
          <w:rFonts w:asciiTheme="minorBidi" w:hAnsiTheme="minorBidi"/>
        </w:rPr>
      </w:pPr>
      <w:r>
        <w:rPr>
          <w:rFonts w:asciiTheme="minorBidi" w:hAnsiTheme="minorBidi"/>
          <w:color w:val="auto"/>
          <w:sz w:val="22"/>
          <w:szCs w:val="22"/>
        </w:rPr>
        <w:fldChar w:fldCharType="end"/>
      </w:r>
      <w:r w:rsidR="00A72FC0">
        <w:rPr>
          <w:rFonts w:asciiTheme="minorBidi" w:hAnsiTheme="minorBidi"/>
        </w:rPr>
        <w:t xml:space="preserve"> </w:t>
      </w:r>
    </w:p>
    <w:p w14:paraId="03873EAF" w14:textId="435E6587" w:rsidR="00A72FC0" w:rsidRDefault="00A72FC0">
      <w:pPr>
        <w:rPr>
          <w:rFonts w:asciiTheme="minorBidi" w:hAnsiTheme="minorBidi"/>
        </w:rPr>
      </w:pPr>
    </w:p>
    <w:p w14:paraId="1769C6EF" w14:textId="4D490BDA" w:rsidR="00777B75" w:rsidRDefault="00777B75">
      <w:pPr>
        <w:rPr>
          <w:rFonts w:asciiTheme="minorBidi" w:hAnsiTheme="minorBidi"/>
        </w:rPr>
      </w:pPr>
    </w:p>
    <w:p w14:paraId="06589160" w14:textId="27899BDF" w:rsidR="00777B75" w:rsidRDefault="00777B75">
      <w:pPr>
        <w:rPr>
          <w:rFonts w:asciiTheme="minorBidi" w:hAnsiTheme="minorBidi"/>
        </w:rPr>
      </w:pPr>
    </w:p>
    <w:p w14:paraId="652D78BA" w14:textId="56580575" w:rsidR="00777B75" w:rsidRDefault="00777B75">
      <w:pPr>
        <w:rPr>
          <w:rFonts w:asciiTheme="minorBidi" w:hAnsiTheme="minorBidi"/>
        </w:rPr>
      </w:pPr>
    </w:p>
    <w:p w14:paraId="09D62E1A" w14:textId="6A230E33" w:rsidR="00777B75" w:rsidRDefault="00777B75">
      <w:pPr>
        <w:rPr>
          <w:rFonts w:asciiTheme="minorBidi" w:hAnsiTheme="minorBidi"/>
        </w:rPr>
      </w:pPr>
    </w:p>
    <w:p w14:paraId="5DE49D95" w14:textId="06B21A61" w:rsidR="00777B75" w:rsidRDefault="00777B75">
      <w:pPr>
        <w:rPr>
          <w:rFonts w:asciiTheme="minorBidi" w:hAnsiTheme="minorBidi"/>
        </w:rPr>
      </w:pPr>
    </w:p>
    <w:p w14:paraId="79AABBD3" w14:textId="65045087" w:rsidR="00777B75" w:rsidRDefault="00777B75">
      <w:pPr>
        <w:rPr>
          <w:rFonts w:asciiTheme="minorBidi" w:hAnsiTheme="minorBidi"/>
        </w:rPr>
      </w:pPr>
    </w:p>
    <w:p w14:paraId="71923690" w14:textId="437E339C" w:rsidR="00777B75" w:rsidRDefault="00777B75">
      <w:pPr>
        <w:rPr>
          <w:rFonts w:asciiTheme="minorBidi" w:hAnsiTheme="minorBidi"/>
        </w:rPr>
      </w:pPr>
    </w:p>
    <w:p w14:paraId="5B8EB838" w14:textId="31278204" w:rsidR="00777B75" w:rsidRDefault="00777B75">
      <w:pPr>
        <w:rPr>
          <w:rFonts w:asciiTheme="minorBidi" w:hAnsiTheme="minorBidi"/>
        </w:rPr>
      </w:pPr>
    </w:p>
    <w:p w14:paraId="53B3ADE4" w14:textId="4B45B7B0" w:rsidR="00777B75" w:rsidRDefault="00777B75">
      <w:pPr>
        <w:rPr>
          <w:rFonts w:asciiTheme="minorBidi" w:hAnsiTheme="minorBidi"/>
        </w:rPr>
      </w:pPr>
    </w:p>
    <w:p w14:paraId="4CA4B0E1" w14:textId="2B24F0F2" w:rsidR="00777B75" w:rsidRDefault="00777B75">
      <w:pPr>
        <w:rPr>
          <w:rFonts w:asciiTheme="minorBidi" w:hAnsiTheme="minorBidi"/>
        </w:rPr>
      </w:pPr>
    </w:p>
    <w:p w14:paraId="433C36FA" w14:textId="7A8D4ACD" w:rsidR="00777B75" w:rsidRDefault="00777B75">
      <w:pPr>
        <w:rPr>
          <w:rFonts w:asciiTheme="minorBidi" w:hAnsiTheme="minorBidi"/>
        </w:rPr>
      </w:pPr>
    </w:p>
    <w:p w14:paraId="197B900A" w14:textId="1C4BC718" w:rsidR="00777B75" w:rsidRDefault="00777B75">
      <w:pPr>
        <w:rPr>
          <w:rFonts w:asciiTheme="minorBidi" w:hAnsiTheme="minorBidi"/>
        </w:rPr>
      </w:pPr>
    </w:p>
    <w:p w14:paraId="2221982C" w14:textId="2137DFDC" w:rsidR="00777B75" w:rsidRDefault="00777B75">
      <w:pPr>
        <w:rPr>
          <w:rFonts w:asciiTheme="minorBidi" w:hAnsiTheme="minorBidi"/>
        </w:rPr>
      </w:pPr>
    </w:p>
    <w:p w14:paraId="7793CE8A" w14:textId="396C2A64" w:rsidR="00777B75" w:rsidRDefault="00777B75">
      <w:pPr>
        <w:rPr>
          <w:rFonts w:asciiTheme="minorBidi" w:hAnsiTheme="minorBidi"/>
        </w:rPr>
      </w:pPr>
    </w:p>
    <w:p w14:paraId="05A31A0B" w14:textId="454F7179" w:rsidR="00777B75" w:rsidRDefault="00777B75">
      <w:pPr>
        <w:rPr>
          <w:rFonts w:asciiTheme="minorBidi" w:hAnsiTheme="minorBidi"/>
        </w:rPr>
      </w:pPr>
    </w:p>
    <w:p w14:paraId="13C1184F" w14:textId="3ADF0380" w:rsidR="00777B75" w:rsidRDefault="00777B75">
      <w:pPr>
        <w:rPr>
          <w:rFonts w:asciiTheme="minorBidi" w:hAnsiTheme="minorBidi"/>
        </w:rPr>
      </w:pPr>
    </w:p>
    <w:p w14:paraId="18961B25" w14:textId="6D1E39C9" w:rsidR="00777B75" w:rsidRDefault="00777B75">
      <w:pPr>
        <w:rPr>
          <w:rFonts w:asciiTheme="minorBidi" w:hAnsiTheme="minorBidi"/>
        </w:rPr>
      </w:pPr>
    </w:p>
    <w:p w14:paraId="6493611B" w14:textId="1B03B73E" w:rsidR="00777B75" w:rsidRDefault="00777B75">
      <w:pPr>
        <w:rPr>
          <w:rFonts w:asciiTheme="minorBidi" w:hAnsiTheme="minorBidi"/>
        </w:rPr>
      </w:pPr>
    </w:p>
    <w:p w14:paraId="6EAE97F4" w14:textId="2DE36DDE" w:rsidR="00777B75" w:rsidRDefault="00777B75">
      <w:pPr>
        <w:rPr>
          <w:rFonts w:asciiTheme="minorBidi" w:hAnsiTheme="minorBidi"/>
        </w:rPr>
      </w:pPr>
    </w:p>
    <w:p w14:paraId="08FA9BB1" w14:textId="4B11D055" w:rsidR="00777B75" w:rsidRDefault="00777B75">
      <w:pPr>
        <w:rPr>
          <w:rFonts w:asciiTheme="minorBidi" w:hAnsiTheme="minorBidi"/>
        </w:rPr>
      </w:pPr>
    </w:p>
    <w:p w14:paraId="57C2276F" w14:textId="4B6FFF83" w:rsidR="002C538B" w:rsidRPr="002C538B" w:rsidRDefault="00397204" w:rsidP="00462F16">
      <w:pPr>
        <w:pStyle w:val="Heading1"/>
      </w:pPr>
      <w:bookmarkStart w:id="2" w:name="_Toc240558443"/>
      <w:r>
        <w:t>List of Abbreviations</w:t>
      </w:r>
      <w:bookmarkEnd w:id="2"/>
    </w:p>
    <w:p w14:paraId="6042C1FA" w14:textId="77777777" w:rsidR="002C538B" w:rsidRPr="00397204" w:rsidRDefault="002C538B" w:rsidP="00397204">
      <w:pPr>
        <w:rPr>
          <w:rFonts w:asciiTheme="minorBidi" w:hAnsiTheme="minorBidi"/>
        </w:rPr>
      </w:pPr>
    </w:p>
    <w:tbl>
      <w:tblPr>
        <w:tblStyle w:val="TableGrid"/>
        <w:tblW w:w="0" w:type="auto"/>
        <w:tblLook w:val="04A0" w:firstRow="1" w:lastRow="0" w:firstColumn="1" w:lastColumn="0" w:noHBand="0" w:noVBand="1"/>
      </w:tblPr>
      <w:tblGrid>
        <w:gridCol w:w="4508"/>
        <w:gridCol w:w="4508"/>
      </w:tblGrid>
      <w:tr w:rsidR="00397204" w:rsidRPr="00397204" w14:paraId="4A93B1EA" w14:textId="77777777" w:rsidTr="00397204">
        <w:tc>
          <w:tcPr>
            <w:tcW w:w="4508" w:type="dxa"/>
          </w:tcPr>
          <w:p w14:paraId="4B00F345" w14:textId="77777777" w:rsidR="00397204" w:rsidRPr="00B92BDA" w:rsidRDefault="00397204" w:rsidP="00397204">
            <w:pPr>
              <w:spacing w:line="360" w:lineRule="auto"/>
              <w:jc w:val="both"/>
              <w:rPr>
                <w:rFonts w:ascii="Arial" w:hAnsi="Arial" w:cs="Arial"/>
                <w:b/>
                <w:sz w:val="24"/>
              </w:rPr>
            </w:pPr>
            <w:r w:rsidRPr="00B92BDA">
              <w:rPr>
                <w:rFonts w:ascii="Arial" w:hAnsi="Arial" w:cs="Arial"/>
                <w:b/>
                <w:sz w:val="24"/>
              </w:rPr>
              <w:t>Abbreviation</w:t>
            </w:r>
          </w:p>
        </w:tc>
        <w:tc>
          <w:tcPr>
            <w:tcW w:w="4508" w:type="dxa"/>
          </w:tcPr>
          <w:p w14:paraId="7E8189E2" w14:textId="77777777" w:rsidR="00397204" w:rsidRPr="00B92BDA" w:rsidRDefault="00397204" w:rsidP="00397204">
            <w:pPr>
              <w:spacing w:line="360" w:lineRule="auto"/>
              <w:jc w:val="both"/>
              <w:rPr>
                <w:rFonts w:ascii="Arial" w:hAnsi="Arial" w:cs="Arial"/>
                <w:b/>
                <w:sz w:val="24"/>
              </w:rPr>
            </w:pPr>
            <w:r w:rsidRPr="00B92BDA">
              <w:rPr>
                <w:rFonts w:ascii="Arial" w:hAnsi="Arial" w:cs="Arial"/>
                <w:b/>
                <w:sz w:val="24"/>
              </w:rPr>
              <w:t>Full Term</w:t>
            </w:r>
          </w:p>
        </w:tc>
      </w:tr>
      <w:tr w:rsidR="00397204" w:rsidRPr="00397204" w14:paraId="439C4772" w14:textId="77777777" w:rsidTr="00397204">
        <w:tc>
          <w:tcPr>
            <w:tcW w:w="4508" w:type="dxa"/>
          </w:tcPr>
          <w:p w14:paraId="1F1D3FF1"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25(OH)D</w:t>
            </w:r>
          </w:p>
        </w:tc>
        <w:tc>
          <w:tcPr>
            <w:tcW w:w="4508" w:type="dxa"/>
          </w:tcPr>
          <w:p w14:paraId="402AC389"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25-Hydroxyvitamin D</w:t>
            </w:r>
          </w:p>
        </w:tc>
      </w:tr>
      <w:tr w:rsidR="00397204" w:rsidRPr="00397204" w14:paraId="3A0E3ECC" w14:textId="77777777" w:rsidTr="00397204">
        <w:tc>
          <w:tcPr>
            <w:tcW w:w="4508" w:type="dxa"/>
          </w:tcPr>
          <w:p w14:paraId="5D6DB0BC"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BGS</w:t>
            </w:r>
          </w:p>
        </w:tc>
        <w:tc>
          <w:tcPr>
            <w:tcW w:w="4508" w:type="dxa"/>
          </w:tcPr>
          <w:p w14:paraId="542211B5"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British Geriatrics Society</w:t>
            </w:r>
          </w:p>
        </w:tc>
      </w:tr>
      <w:tr w:rsidR="00397204" w:rsidRPr="00397204" w14:paraId="1F2BEE11" w14:textId="77777777" w:rsidTr="00397204">
        <w:tc>
          <w:tcPr>
            <w:tcW w:w="4508" w:type="dxa"/>
          </w:tcPr>
          <w:p w14:paraId="4F8BDD1E"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CASP</w:t>
            </w:r>
          </w:p>
        </w:tc>
        <w:tc>
          <w:tcPr>
            <w:tcW w:w="4508" w:type="dxa"/>
          </w:tcPr>
          <w:p w14:paraId="43AEACE7"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Critical Appraisal Skills Programme</w:t>
            </w:r>
          </w:p>
        </w:tc>
      </w:tr>
      <w:tr w:rsidR="00397204" w:rsidRPr="00397204" w14:paraId="4EB6BF0E" w14:textId="77777777" w:rsidTr="00397204">
        <w:tc>
          <w:tcPr>
            <w:tcW w:w="4508" w:type="dxa"/>
          </w:tcPr>
          <w:p w14:paraId="7358B4F9"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CINAHL</w:t>
            </w:r>
          </w:p>
        </w:tc>
        <w:tc>
          <w:tcPr>
            <w:tcW w:w="4508" w:type="dxa"/>
          </w:tcPr>
          <w:p w14:paraId="2D23BA81"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Cumulative Index to Nursing and Allied Health Literature</w:t>
            </w:r>
          </w:p>
        </w:tc>
      </w:tr>
      <w:tr w:rsidR="00397204" w:rsidRPr="00397204" w14:paraId="2218BAA8" w14:textId="77777777" w:rsidTr="00397204">
        <w:tc>
          <w:tcPr>
            <w:tcW w:w="4508" w:type="dxa"/>
          </w:tcPr>
          <w:p w14:paraId="53CC4DE8"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COM-B</w:t>
            </w:r>
          </w:p>
        </w:tc>
        <w:tc>
          <w:tcPr>
            <w:tcW w:w="4508" w:type="dxa"/>
          </w:tcPr>
          <w:p w14:paraId="5FD5A49B"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Capability, Opportunity, Motivation–Behaviour</w:t>
            </w:r>
          </w:p>
        </w:tc>
      </w:tr>
      <w:tr w:rsidR="00397204" w:rsidRPr="00397204" w14:paraId="51F9966D" w14:textId="77777777" w:rsidTr="00397204">
        <w:tc>
          <w:tcPr>
            <w:tcW w:w="4508" w:type="dxa"/>
          </w:tcPr>
          <w:p w14:paraId="29BD8B89"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GP</w:t>
            </w:r>
          </w:p>
        </w:tc>
        <w:tc>
          <w:tcPr>
            <w:tcW w:w="4508" w:type="dxa"/>
          </w:tcPr>
          <w:p w14:paraId="679ECBB4"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General Practitioner</w:t>
            </w:r>
          </w:p>
        </w:tc>
      </w:tr>
      <w:tr w:rsidR="00397204" w:rsidRPr="00397204" w14:paraId="6D9DBA2E" w14:textId="77777777" w:rsidTr="00397204">
        <w:tc>
          <w:tcPr>
            <w:tcW w:w="4508" w:type="dxa"/>
          </w:tcPr>
          <w:p w14:paraId="6F0CABDC"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JBI</w:t>
            </w:r>
          </w:p>
        </w:tc>
        <w:tc>
          <w:tcPr>
            <w:tcW w:w="4508" w:type="dxa"/>
          </w:tcPr>
          <w:p w14:paraId="542A1613"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Joanna Briggs Institute</w:t>
            </w:r>
          </w:p>
        </w:tc>
      </w:tr>
      <w:tr w:rsidR="00397204" w:rsidRPr="00397204" w14:paraId="607F98DC" w14:textId="77777777" w:rsidTr="00397204">
        <w:tc>
          <w:tcPr>
            <w:tcW w:w="4508" w:type="dxa"/>
          </w:tcPr>
          <w:p w14:paraId="56FC6A66" w14:textId="77777777" w:rsidR="00397204" w:rsidRPr="00397204" w:rsidRDefault="00397204" w:rsidP="00397204">
            <w:pPr>
              <w:spacing w:line="360" w:lineRule="auto"/>
              <w:jc w:val="both"/>
              <w:rPr>
                <w:rFonts w:ascii="Arial" w:hAnsi="Arial" w:cs="Arial"/>
                <w:sz w:val="24"/>
              </w:rPr>
            </w:pPr>
            <w:proofErr w:type="spellStart"/>
            <w:r w:rsidRPr="00397204">
              <w:rPr>
                <w:rFonts w:ascii="Arial" w:hAnsi="Arial" w:cs="Arial"/>
                <w:sz w:val="24"/>
              </w:rPr>
              <w:t>MeSH</w:t>
            </w:r>
            <w:proofErr w:type="spellEnd"/>
          </w:p>
        </w:tc>
        <w:tc>
          <w:tcPr>
            <w:tcW w:w="4508" w:type="dxa"/>
          </w:tcPr>
          <w:p w14:paraId="2C8AB647"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Medical Subject Headings</w:t>
            </w:r>
          </w:p>
        </w:tc>
      </w:tr>
      <w:tr w:rsidR="00397204" w:rsidRPr="00397204" w14:paraId="4EC03E43" w14:textId="77777777" w:rsidTr="00397204">
        <w:tc>
          <w:tcPr>
            <w:tcW w:w="4508" w:type="dxa"/>
          </w:tcPr>
          <w:p w14:paraId="1A180C50"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NHS</w:t>
            </w:r>
          </w:p>
        </w:tc>
        <w:tc>
          <w:tcPr>
            <w:tcW w:w="4508" w:type="dxa"/>
          </w:tcPr>
          <w:p w14:paraId="279D0B1E"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National Health Service</w:t>
            </w:r>
          </w:p>
        </w:tc>
      </w:tr>
      <w:tr w:rsidR="00397204" w:rsidRPr="00397204" w14:paraId="6FE71559" w14:textId="77777777" w:rsidTr="00397204">
        <w:tc>
          <w:tcPr>
            <w:tcW w:w="4508" w:type="dxa"/>
          </w:tcPr>
          <w:p w14:paraId="40216B4E"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NICE</w:t>
            </w:r>
          </w:p>
        </w:tc>
        <w:tc>
          <w:tcPr>
            <w:tcW w:w="4508" w:type="dxa"/>
          </w:tcPr>
          <w:p w14:paraId="5D1E5671"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National Institute for Health and Care Excellence</w:t>
            </w:r>
          </w:p>
        </w:tc>
      </w:tr>
      <w:tr w:rsidR="00397204" w:rsidRPr="00397204" w14:paraId="5D89D50E" w14:textId="77777777" w:rsidTr="00397204">
        <w:tc>
          <w:tcPr>
            <w:tcW w:w="4508" w:type="dxa"/>
          </w:tcPr>
          <w:p w14:paraId="0F2AF18B"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OHID</w:t>
            </w:r>
          </w:p>
        </w:tc>
        <w:tc>
          <w:tcPr>
            <w:tcW w:w="4508" w:type="dxa"/>
          </w:tcPr>
          <w:p w14:paraId="7D811EDC"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Office for Health Improvement and Disparities</w:t>
            </w:r>
          </w:p>
        </w:tc>
      </w:tr>
      <w:tr w:rsidR="00397204" w:rsidRPr="00397204" w14:paraId="41427D79" w14:textId="77777777" w:rsidTr="00397204">
        <w:tc>
          <w:tcPr>
            <w:tcW w:w="4508" w:type="dxa"/>
          </w:tcPr>
          <w:p w14:paraId="0BBF7319"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PICO</w:t>
            </w:r>
          </w:p>
        </w:tc>
        <w:tc>
          <w:tcPr>
            <w:tcW w:w="4508" w:type="dxa"/>
          </w:tcPr>
          <w:p w14:paraId="4AAF46F8"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Population, Intervention, Comparison, Outcome</w:t>
            </w:r>
          </w:p>
        </w:tc>
      </w:tr>
      <w:tr w:rsidR="00397204" w:rsidRPr="00397204" w14:paraId="1D616C7F" w14:textId="77777777" w:rsidTr="00397204">
        <w:tc>
          <w:tcPr>
            <w:tcW w:w="4508" w:type="dxa"/>
          </w:tcPr>
          <w:p w14:paraId="2ED45B95"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PRISMA</w:t>
            </w:r>
          </w:p>
        </w:tc>
        <w:tc>
          <w:tcPr>
            <w:tcW w:w="4508" w:type="dxa"/>
          </w:tcPr>
          <w:p w14:paraId="23CA27B1"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Preferred Reporting Items for Systematic Reviews and Meta-Analyses</w:t>
            </w:r>
          </w:p>
        </w:tc>
      </w:tr>
      <w:tr w:rsidR="00397204" w:rsidRPr="00397204" w14:paraId="3788F05F" w14:textId="77777777" w:rsidTr="00397204">
        <w:tc>
          <w:tcPr>
            <w:tcW w:w="4508" w:type="dxa"/>
          </w:tcPr>
          <w:p w14:paraId="3D8C0AA5"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RCT</w:t>
            </w:r>
          </w:p>
        </w:tc>
        <w:tc>
          <w:tcPr>
            <w:tcW w:w="4508" w:type="dxa"/>
          </w:tcPr>
          <w:p w14:paraId="408132DC"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Randomised Controlled Trial</w:t>
            </w:r>
          </w:p>
        </w:tc>
      </w:tr>
      <w:tr w:rsidR="00397204" w:rsidRPr="00397204" w14:paraId="20F3DF97" w14:textId="77777777" w:rsidTr="00397204">
        <w:tc>
          <w:tcPr>
            <w:tcW w:w="4508" w:type="dxa"/>
          </w:tcPr>
          <w:p w14:paraId="1B7A4D2C"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RCH</w:t>
            </w:r>
          </w:p>
        </w:tc>
        <w:tc>
          <w:tcPr>
            <w:tcW w:w="4508" w:type="dxa"/>
          </w:tcPr>
          <w:p w14:paraId="3DEF5099"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Residential Care Home</w:t>
            </w:r>
          </w:p>
        </w:tc>
      </w:tr>
      <w:tr w:rsidR="00397204" w:rsidRPr="00397204" w14:paraId="00BEF6D1" w14:textId="77777777" w:rsidTr="00397204">
        <w:tc>
          <w:tcPr>
            <w:tcW w:w="4508" w:type="dxa"/>
          </w:tcPr>
          <w:p w14:paraId="46D56DCF"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SR</w:t>
            </w:r>
          </w:p>
        </w:tc>
        <w:tc>
          <w:tcPr>
            <w:tcW w:w="4508" w:type="dxa"/>
          </w:tcPr>
          <w:p w14:paraId="04E282C2"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Systematic Review</w:t>
            </w:r>
          </w:p>
        </w:tc>
      </w:tr>
      <w:tr w:rsidR="00397204" w:rsidRPr="00397204" w14:paraId="659CAE17" w14:textId="77777777" w:rsidTr="00397204">
        <w:tc>
          <w:tcPr>
            <w:tcW w:w="4508" w:type="dxa"/>
          </w:tcPr>
          <w:p w14:paraId="390F5517"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UVB</w:t>
            </w:r>
          </w:p>
        </w:tc>
        <w:tc>
          <w:tcPr>
            <w:tcW w:w="4508" w:type="dxa"/>
          </w:tcPr>
          <w:p w14:paraId="1C4030CB"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Ultraviolet-B Radiation</w:t>
            </w:r>
          </w:p>
        </w:tc>
      </w:tr>
      <w:tr w:rsidR="00397204" w:rsidRPr="00397204" w14:paraId="28ECA341" w14:textId="77777777" w:rsidTr="00397204">
        <w:tc>
          <w:tcPr>
            <w:tcW w:w="4508" w:type="dxa"/>
          </w:tcPr>
          <w:p w14:paraId="46CF9A19"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WHO</w:t>
            </w:r>
          </w:p>
        </w:tc>
        <w:tc>
          <w:tcPr>
            <w:tcW w:w="4508" w:type="dxa"/>
          </w:tcPr>
          <w:p w14:paraId="25578095" w14:textId="77777777" w:rsidR="00397204" w:rsidRPr="00397204" w:rsidRDefault="00397204" w:rsidP="00397204">
            <w:pPr>
              <w:spacing w:line="360" w:lineRule="auto"/>
              <w:jc w:val="both"/>
              <w:rPr>
                <w:rFonts w:ascii="Arial" w:hAnsi="Arial" w:cs="Arial"/>
                <w:sz w:val="24"/>
              </w:rPr>
            </w:pPr>
            <w:r w:rsidRPr="00397204">
              <w:rPr>
                <w:rFonts w:ascii="Arial" w:hAnsi="Arial" w:cs="Arial"/>
                <w:sz w:val="24"/>
              </w:rPr>
              <w:t>World Health Organization</w:t>
            </w:r>
          </w:p>
        </w:tc>
      </w:tr>
    </w:tbl>
    <w:p w14:paraId="07C0FE2D" w14:textId="270E97E1" w:rsidR="00A72FC0" w:rsidRDefault="00A72FC0">
      <w:pPr>
        <w:rPr>
          <w:rFonts w:asciiTheme="minorBidi" w:hAnsiTheme="minorBidi"/>
        </w:rPr>
      </w:pPr>
    </w:p>
    <w:p w14:paraId="75E55067" w14:textId="689DC7BF" w:rsidR="00A72FC0" w:rsidRDefault="00A72FC0">
      <w:pPr>
        <w:rPr>
          <w:rFonts w:asciiTheme="minorBidi" w:hAnsiTheme="minorBidi"/>
        </w:rPr>
      </w:pPr>
    </w:p>
    <w:p w14:paraId="0804D5D6" w14:textId="4B852E0E" w:rsidR="00A72FC0" w:rsidRDefault="00A72FC0">
      <w:pPr>
        <w:rPr>
          <w:rFonts w:asciiTheme="minorBidi" w:hAnsiTheme="minorBidi"/>
        </w:rPr>
      </w:pPr>
    </w:p>
    <w:p w14:paraId="4F44B5BD" w14:textId="065F156C" w:rsidR="00B92BDA" w:rsidRDefault="00B92BDA">
      <w:pPr>
        <w:rPr>
          <w:rFonts w:asciiTheme="minorBidi" w:hAnsiTheme="minorBidi"/>
        </w:rPr>
      </w:pPr>
    </w:p>
    <w:p w14:paraId="08C571CE" w14:textId="30F000A0" w:rsidR="00B92BDA" w:rsidRDefault="00B92BDA">
      <w:pPr>
        <w:rPr>
          <w:rFonts w:asciiTheme="minorBidi" w:hAnsiTheme="minorBidi"/>
        </w:rPr>
      </w:pPr>
    </w:p>
    <w:p w14:paraId="2D348E57" w14:textId="77777777" w:rsidR="00B92BDA" w:rsidRPr="00B92BDA" w:rsidRDefault="00B92BDA" w:rsidP="00462F16">
      <w:pPr>
        <w:pStyle w:val="Heading1"/>
      </w:pPr>
      <w:bookmarkStart w:id="3" w:name="_Toc240558444"/>
      <w:r w:rsidRPr="00B92BDA">
        <w:t>Glossary</w:t>
      </w:r>
      <w:bookmarkEnd w:id="3"/>
    </w:p>
    <w:tbl>
      <w:tblPr>
        <w:tblStyle w:val="TableGrid"/>
        <w:tblW w:w="0" w:type="auto"/>
        <w:tblLook w:val="04A0" w:firstRow="1" w:lastRow="0" w:firstColumn="1" w:lastColumn="0" w:noHBand="0" w:noVBand="1"/>
      </w:tblPr>
      <w:tblGrid>
        <w:gridCol w:w="4508"/>
        <w:gridCol w:w="4508"/>
      </w:tblGrid>
      <w:tr w:rsidR="00B92BDA" w:rsidRPr="00B92BDA" w14:paraId="2B95681E" w14:textId="77777777" w:rsidTr="00B92BDA">
        <w:tc>
          <w:tcPr>
            <w:tcW w:w="4508" w:type="dxa"/>
          </w:tcPr>
          <w:p w14:paraId="6ABC595C" w14:textId="77777777" w:rsidR="00B92BDA" w:rsidRPr="00B92BDA" w:rsidRDefault="00B92BDA" w:rsidP="00B92BDA">
            <w:pPr>
              <w:spacing w:line="360" w:lineRule="auto"/>
              <w:jc w:val="both"/>
              <w:rPr>
                <w:rFonts w:ascii="Arial" w:hAnsi="Arial" w:cs="Arial"/>
                <w:b/>
                <w:sz w:val="24"/>
                <w:szCs w:val="24"/>
              </w:rPr>
            </w:pPr>
            <w:r w:rsidRPr="00B92BDA">
              <w:rPr>
                <w:rFonts w:ascii="Arial" w:hAnsi="Arial" w:cs="Arial"/>
                <w:b/>
                <w:sz w:val="24"/>
                <w:szCs w:val="24"/>
              </w:rPr>
              <w:t>Term</w:t>
            </w:r>
          </w:p>
        </w:tc>
        <w:tc>
          <w:tcPr>
            <w:tcW w:w="4508" w:type="dxa"/>
          </w:tcPr>
          <w:p w14:paraId="56BCFF27" w14:textId="77777777" w:rsidR="00B92BDA" w:rsidRPr="00B92BDA" w:rsidRDefault="00B92BDA" w:rsidP="00B92BDA">
            <w:pPr>
              <w:spacing w:line="360" w:lineRule="auto"/>
              <w:jc w:val="both"/>
              <w:rPr>
                <w:rFonts w:ascii="Arial" w:hAnsi="Arial" w:cs="Arial"/>
                <w:b/>
                <w:sz w:val="24"/>
                <w:szCs w:val="24"/>
              </w:rPr>
            </w:pPr>
            <w:r w:rsidRPr="00B92BDA">
              <w:rPr>
                <w:rFonts w:ascii="Arial" w:hAnsi="Arial" w:cs="Arial"/>
                <w:b/>
                <w:sz w:val="24"/>
                <w:szCs w:val="24"/>
              </w:rPr>
              <w:t>Definition</w:t>
            </w:r>
          </w:p>
        </w:tc>
      </w:tr>
      <w:tr w:rsidR="00B92BDA" w:rsidRPr="00B92BDA" w14:paraId="4C2B5858" w14:textId="77777777" w:rsidTr="00B92BDA">
        <w:tc>
          <w:tcPr>
            <w:tcW w:w="4508" w:type="dxa"/>
          </w:tcPr>
          <w:p w14:paraId="1DC7FE6C"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Awareness</w:t>
            </w:r>
          </w:p>
        </w:tc>
        <w:tc>
          <w:tcPr>
            <w:tcW w:w="4508" w:type="dxa"/>
          </w:tcPr>
          <w:p w14:paraId="1C783F9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extent to which individuals recognise and understand the importance, causes, risks and prevention of vitamin D deficiency.</w:t>
            </w:r>
          </w:p>
        </w:tc>
      </w:tr>
      <w:tr w:rsidR="00B92BDA" w:rsidRPr="00B92BDA" w14:paraId="1E2F5CD4" w14:textId="77777777" w:rsidTr="00B92BDA">
        <w:tc>
          <w:tcPr>
            <w:tcW w:w="4508" w:type="dxa"/>
          </w:tcPr>
          <w:p w14:paraId="35E90A6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Care Home</w:t>
            </w:r>
          </w:p>
        </w:tc>
        <w:tc>
          <w:tcPr>
            <w:tcW w:w="4508" w:type="dxa"/>
          </w:tcPr>
          <w:p w14:paraId="4841C500"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residential setting that provides accommodation and personal or nursing care for older adults who require support with daily living.</w:t>
            </w:r>
          </w:p>
        </w:tc>
      </w:tr>
      <w:tr w:rsidR="00B92BDA" w:rsidRPr="00B92BDA" w14:paraId="3308B3E2" w14:textId="77777777" w:rsidTr="00B92BDA">
        <w:tc>
          <w:tcPr>
            <w:tcW w:w="4508" w:type="dxa"/>
          </w:tcPr>
          <w:p w14:paraId="1A0903F7"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Calcium</w:t>
            </w:r>
          </w:p>
        </w:tc>
        <w:tc>
          <w:tcPr>
            <w:tcW w:w="4508" w:type="dxa"/>
          </w:tcPr>
          <w:p w14:paraId="66E9D120"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An essential mineral required for maintaining bone strength, muscle function and normal physiological processes.</w:t>
            </w:r>
          </w:p>
        </w:tc>
      </w:tr>
      <w:tr w:rsidR="00B92BDA" w:rsidRPr="00B92BDA" w14:paraId="12CDCA70" w14:textId="77777777" w:rsidTr="00B92BDA">
        <w:tc>
          <w:tcPr>
            <w:tcW w:w="4508" w:type="dxa"/>
          </w:tcPr>
          <w:p w14:paraId="6FE9B738"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Cognitive Impairment</w:t>
            </w:r>
          </w:p>
        </w:tc>
        <w:tc>
          <w:tcPr>
            <w:tcW w:w="4508" w:type="dxa"/>
          </w:tcPr>
          <w:p w14:paraId="7426E28A"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reduction in mental abilities such as memory, reasoning, attention or decision-making that may affect an older person's ability to manage health-related behaviours.</w:t>
            </w:r>
          </w:p>
        </w:tc>
      </w:tr>
      <w:tr w:rsidR="00B92BDA" w:rsidRPr="00B92BDA" w14:paraId="6A3684FF" w14:textId="77777777" w:rsidTr="00B92BDA">
        <w:tc>
          <w:tcPr>
            <w:tcW w:w="4508" w:type="dxa"/>
          </w:tcPr>
          <w:p w14:paraId="7BDBD95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25-Hydroxyvitamin D [25(OH)D]</w:t>
            </w:r>
          </w:p>
        </w:tc>
        <w:tc>
          <w:tcPr>
            <w:tcW w:w="4508" w:type="dxa"/>
          </w:tcPr>
          <w:p w14:paraId="3C2ECB35"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main circulating form of vitamin D measured in blood and commonly used to assess an individual's vitamin D status.</w:t>
            </w:r>
          </w:p>
        </w:tc>
      </w:tr>
      <w:tr w:rsidR="00B92BDA" w:rsidRPr="00B92BDA" w14:paraId="16A36049" w14:textId="77777777" w:rsidTr="00B92BDA">
        <w:tc>
          <w:tcPr>
            <w:tcW w:w="4508" w:type="dxa"/>
          </w:tcPr>
          <w:p w14:paraId="4899152F"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Deficiency</w:t>
            </w:r>
          </w:p>
        </w:tc>
        <w:tc>
          <w:tcPr>
            <w:tcW w:w="4508" w:type="dxa"/>
          </w:tcPr>
          <w:p w14:paraId="33CE9127"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level of vitamin D that is below the threshold considered adequate for maintaining normal physiological and musculoskeletal health.</w:t>
            </w:r>
          </w:p>
        </w:tc>
      </w:tr>
      <w:tr w:rsidR="00B92BDA" w:rsidRPr="00B92BDA" w14:paraId="084EFA17" w14:textId="77777777" w:rsidTr="00B92BDA">
        <w:tc>
          <w:tcPr>
            <w:tcW w:w="4508" w:type="dxa"/>
          </w:tcPr>
          <w:p w14:paraId="14B17F34"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Falls</w:t>
            </w:r>
          </w:p>
        </w:tc>
        <w:tc>
          <w:tcPr>
            <w:tcW w:w="4508" w:type="dxa"/>
          </w:tcPr>
          <w:p w14:paraId="7869A795"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Unintended events in which an individual comes to rest on the ground or another lower level and which are particularly important as a health risk among older adults.</w:t>
            </w:r>
          </w:p>
        </w:tc>
      </w:tr>
      <w:tr w:rsidR="00B92BDA" w:rsidRPr="00B92BDA" w14:paraId="2DAA1BF5" w14:textId="77777777" w:rsidTr="00B92BDA">
        <w:tc>
          <w:tcPr>
            <w:tcW w:w="4508" w:type="dxa"/>
          </w:tcPr>
          <w:p w14:paraId="58DCFAA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lastRenderedPageBreak/>
              <w:t>Food Fortification</w:t>
            </w:r>
          </w:p>
        </w:tc>
        <w:tc>
          <w:tcPr>
            <w:tcW w:w="4508" w:type="dxa"/>
          </w:tcPr>
          <w:p w14:paraId="3089B323"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addition of vitamin D or other nutrients to commonly consumed foods to increase dietary intake and reduce the risk of deficiency.</w:t>
            </w:r>
          </w:p>
        </w:tc>
      </w:tr>
      <w:tr w:rsidR="00B92BDA" w:rsidRPr="00B92BDA" w14:paraId="2EE1BFB8" w14:textId="77777777" w:rsidTr="00B92BDA">
        <w:tc>
          <w:tcPr>
            <w:tcW w:w="4508" w:type="dxa"/>
          </w:tcPr>
          <w:p w14:paraId="71FF6276"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Health Literacy</w:t>
            </w:r>
          </w:p>
        </w:tc>
        <w:tc>
          <w:tcPr>
            <w:tcW w:w="4508" w:type="dxa"/>
          </w:tcPr>
          <w:p w14:paraId="6D714E9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ability of individuals to obtain, understand, evaluate and use health information to make appropriate health-related decisions.</w:t>
            </w:r>
          </w:p>
        </w:tc>
      </w:tr>
      <w:tr w:rsidR="00B92BDA" w:rsidRPr="00B92BDA" w14:paraId="45882FCB" w14:textId="77777777" w:rsidTr="00B92BDA">
        <w:tc>
          <w:tcPr>
            <w:tcW w:w="4508" w:type="dxa"/>
          </w:tcPr>
          <w:p w14:paraId="2584B1D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Institutionalised Older Adults</w:t>
            </w:r>
          </w:p>
        </w:tc>
        <w:tc>
          <w:tcPr>
            <w:tcW w:w="4508" w:type="dxa"/>
          </w:tcPr>
          <w:p w14:paraId="6EA831B7"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Older people living in residential or long-term care settings rather than independently in the community.</w:t>
            </w:r>
          </w:p>
        </w:tc>
      </w:tr>
      <w:tr w:rsidR="00B92BDA" w:rsidRPr="00B92BDA" w14:paraId="19112325" w14:textId="77777777" w:rsidTr="00B92BDA">
        <w:tc>
          <w:tcPr>
            <w:tcW w:w="4508" w:type="dxa"/>
          </w:tcPr>
          <w:p w14:paraId="149E5165"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Intervention</w:t>
            </w:r>
          </w:p>
        </w:tc>
        <w:tc>
          <w:tcPr>
            <w:tcW w:w="4508" w:type="dxa"/>
          </w:tcPr>
          <w:p w14:paraId="18A55095"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planned action or programme designed to prevent, reduce or manage a health problem, such as vitamin D deficiency.</w:t>
            </w:r>
          </w:p>
        </w:tc>
      </w:tr>
      <w:tr w:rsidR="00B92BDA" w:rsidRPr="00B92BDA" w14:paraId="629D08DA" w14:textId="77777777" w:rsidTr="00B92BDA">
        <w:tc>
          <w:tcPr>
            <w:tcW w:w="4508" w:type="dxa"/>
          </w:tcPr>
          <w:p w14:paraId="417E131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Long-term Care</w:t>
            </w:r>
          </w:p>
        </w:tc>
        <w:tc>
          <w:tcPr>
            <w:tcW w:w="4508" w:type="dxa"/>
          </w:tcPr>
          <w:p w14:paraId="1CAE37B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Ongoing health and social care provided to people who require continuing assistance because of age, disability, frailty or chronic health conditions.</w:t>
            </w:r>
          </w:p>
        </w:tc>
      </w:tr>
      <w:tr w:rsidR="00B92BDA" w:rsidRPr="00B92BDA" w14:paraId="53AEDE2B" w14:textId="77777777" w:rsidTr="00B92BDA">
        <w:tc>
          <w:tcPr>
            <w:tcW w:w="4508" w:type="dxa"/>
          </w:tcPr>
          <w:p w14:paraId="3D69801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Malnutrition</w:t>
            </w:r>
          </w:p>
        </w:tc>
        <w:tc>
          <w:tcPr>
            <w:tcW w:w="4508" w:type="dxa"/>
          </w:tcPr>
          <w:p w14:paraId="1362E318"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condition resulting from inadequate, excessive or imbalanced intake of energy or nutrients, potentially affecting health and recovery.</w:t>
            </w:r>
          </w:p>
        </w:tc>
      </w:tr>
      <w:tr w:rsidR="00B92BDA" w:rsidRPr="00B92BDA" w14:paraId="5E9CE4A5" w14:textId="77777777" w:rsidTr="00B92BDA">
        <w:tc>
          <w:tcPr>
            <w:tcW w:w="4508" w:type="dxa"/>
          </w:tcPr>
          <w:p w14:paraId="768DF847"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Musculoskeletal Health</w:t>
            </w:r>
          </w:p>
        </w:tc>
        <w:tc>
          <w:tcPr>
            <w:tcW w:w="4508" w:type="dxa"/>
          </w:tcPr>
          <w:p w14:paraId="3F7AA1C5"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health and functioning of bones, muscles, joints and related connective tissues.</w:t>
            </w:r>
          </w:p>
        </w:tc>
      </w:tr>
      <w:tr w:rsidR="00B92BDA" w:rsidRPr="00B92BDA" w14:paraId="2FF13FF0" w14:textId="77777777" w:rsidTr="00B92BDA">
        <w:tc>
          <w:tcPr>
            <w:tcW w:w="4508" w:type="dxa"/>
          </w:tcPr>
          <w:p w14:paraId="43FC853A"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Older Adults</w:t>
            </w:r>
          </w:p>
        </w:tc>
        <w:tc>
          <w:tcPr>
            <w:tcW w:w="4508" w:type="dxa"/>
          </w:tcPr>
          <w:p w14:paraId="498FE28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For this systematic review, people aged 65 years and above.</w:t>
            </w:r>
          </w:p>
        </w:tc>
      </w:tr>
      <w:tr w:rsidR="00B92BDA" w:rsidRPr="00B92BDA" w14:paraId="212B9F65" w14:textId="77777777" w:rsidTr="00B92BDA">
        <w:tc>
          <w:tcPr>
            <w:tcW w:w="4508" w:type="dxa"/>
          </w:tcPr>
          <w:p w14:paraId="552EA23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PRISMA 2020</w:t>
            </w:r>
          </w:p>
        </w:tc>
        <w:tc>
          <w:tcPr>
            <w:tcW w:w="4508" w:type="dxa"/>
          </w:tcPr>
          <w:p w14:paraId="791120FE"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Preferred Reporting Items for Systematic Reviews and Meta-Analyses 2020 guideline used to improve transparent reporting of systematic reviews.</w:t>
            </w:r>
          </w:p>
        </w:tc>
      </w:tr>
      <w:tr w:rsidR="00B92BDA" w:rsidRPr="00B92BDA" w14:paraId="48C3F9A5" w14:textId="77777777" w:rsidTr="00B92BDA">
        <w:tc>
          <w:tcPr>
            <w:tcW w:w="4508" w:type="dxa"/>
          </w:tcPr>
          <w:p w14:paraId="218EA78E"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lastRenderedPageBreak/>
              <w:t>Prevention</w:t>
            </w:r>
          </w:p>
        </w:tc>
        <w:tc>
          <w:tcPr>
            <w:tcW w:w="4508" w:type="dxa"/>
          </w:tcPr>
          <w:p w14:paraId="78BEBF76"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Actions undertaken to reduce the likelihood of developing vitamin D deficiency and its associated health consequences.</w:t>
            </w:r>
          </w:p>
        </w:tc>
      </w:tr>
      <w:tr w:rsidR="00B92BDA" w:rsidRPr="00B92BDA" w14:paraId="680DEDBD" w14:textId="77777777" w:rsidTr="00B92BDA">
        <w:tc>
          <w:tcPr>
            <w:tcW w:w="4508" w:type="dxa"/>
          </w:tcPr>
          <w:p w14:paraId="214CF873"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Qualitative Research</w:t>
            </w:r>
          </w:p>
        </w:tc>
        <w:tc>
          <w:tcPr>
            <w:tcW w:w="4508" w:type="dxa"/>
          </w:tcPr>
          <w:p w14:paraId="20E40E86"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Research that explores experiences, perceptions, behaviours and meanings using non-numerical data such as interviews or observations.</w:t>
            </w:r>
          </w:p>
        </w:tc>
      </w:tr>
      <w:tr w:rsidR="00B92BDA" w:rsidRPr="00B92BDA" w14:paraId="5CFAFCA1" w14:textId="77777777" w:rsidTr="00B92BDA">
        <w:tc>
          <w:tcPr>
            <w:tcW w:w="4508" w:type="dxa"/>
          </w:tcPr>
          <w:p w14:paraId="79665B4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Quantitative Research</w:t>
            </w:r>
          </w:p>
        </w:tc>
        <w:tc>
          <w:tcPr>
            <w:tcW w:w="4508" w:type="dxa"/>
          </w:tcPr>
          <w:p w14:paraId="66C98B89"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Research that collects and analyses numerical data to measure variables, relationships, prevalence or effects.</w:t>
            </w:r>
          </w:p>
        </w:tc>
      </w:tr>
      <w:tr w:rsidR="00B92BDA" w:rsidRPr="00B92BDA" w14:paraId="689EAA7B" w14:textId="77777777" w:rsidTr="00B92BDA">
        <w:tc>
          <w:tcPr>
            <w:tcW w:w="4508" w:type="dxa"/>
          </w:tcPr>
          <w:p w14:paraId="23BAA1FA"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Serum Vitamin D</w:t>
            </w:r>
          </w:p>
        </w:tc>
        <w:tc>
          <w:tcPr>
            <w:tcW w:w="4508" w:type="dxa"/>
          </w:tcPr>
          <w:p w14:paraId="49E4C677"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concentration of vitamin D-related compounds measured in blood, generally assessed using serum 25(OH)D.</w:t>
            </w:r>
          </w:p>
        </w:tc>
      </w:tr>
      <w:tr w:rsidR="00B92BDA" w:rsidRPr="00B92BDA" w14:paraId="682E713F" w14:textId="77777777" w:rsidTr="00B92BDA">
        <w:tc>
          <w:tcPr>
            <w:tcW w:w="4508" w:type="dxa"/>
          </w:tcPr>
          <w:p w14:paraId="29FF1610"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Supplementation</w:t>
            </w:r>
          </w:p>
        </w:tc>
        <w:tc>
          <w:tcPr>
            <w:tcW w:w="4508" w:type="dxa"/>
          </w:tcPr>
          <w:p w14:paraId="39FE3470"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provision or consumption of vitamin D through dietary supplements to increase vitamin D intake.</w:t>
            </w:r>
          </w:p>
        </w:tc>
      </w:tr>
      <w:tr w:rsidR="00B92BDA" w:rsidRPr="00B92BDA" w14:paraId="44CB5AA7" w14:textId="77777777" w:rsidTr="00B92BDA">
        <w:tc>
          <w:tcPr>
            <w:tcW w:w="4508" w:type="dxa"/>
          </w:tcPr>
          <w:p w14:paraId="58BB5F7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Systematic Review</w:t>
            </w:r>
          </w:p>
        </w:tc>
        <w:tc>
          <w:tcPr>
            <w:tcW w:w="4508" w:type="dxa"/>
          </w:tcPr>
          <w:p w14:paraId="27495EEC"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structured research method that systematically identifies, appraises and synthesises evidence from relevant studies addressing a clearly formulated research question.</w:t>
            </w:r>
          </w:p>
        </w:tc>
      </w:tr>
      <w:tr w:rsidR="00B92BDA" w:rsidRPr="00B92BDA" w14:paraId="12C9AF91" w14:textId="77777777" w:rsidTr="00B92BDA">
        <w:tc>
          <w:tcPr>
            <w:tcW w:w="4508" w:type="dxa"/>
          </w:tcPr>
          <w:p w14:paraId="4861871E"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Thematic Synthesis</w:t>
            </w:r>
          </w:p>
        </w:tc>
        <w:tc>
          <w:tcPr>
            <w:tcW w:w="4508" w:type="dxa"/>
          </w:tcPr>
          <w:p w14:paraId="60896A8E"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method of analysing and integrating findings from multiple studies by identifying, organising and interpreting recurring themes and patterns.</w:t>
            </w:r>
          </w:p>
        </w:tc>
      </w:tr>
      <w:tr w:rsidR="00B92BDA" w:rsidRPr="00B92BDA" w14:paraId="20EC5594" w14:textId="77777777" w:rsidTr="00B92BDA">
        <w:tc>
          <w:tcPr>
            <w:tcW w:w="4508" w:type="dxa"/>
          </w:tcPr>
          <w:p w14:paraId="5E61095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Vitamin D</w:t>
            </w:r>
          </w:p>
        </w:tc>
        <w:tc>
          <w:tcPr>
            <w:tcW w:w="4508" w:type="dxa"/>
          </w:tcPr>
          <w:p w14:paraId="4BAF58BE"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fat-soluble vitamin that contributes to calcium and phosphate regulation and supports bone and muscle health, with additional roles in other physiological processes.</w:t>
            </w:r>
          </w:p>
        </w:tc>
      </w:tr>
      <w:tr w:rsidR="00B92BDA" w:rsidRPr="00B92BDA" w14:paraId="7D0F26E9" w14:textId="77777777" w:rsidTr="00B92BDA">
        <w:tc>
          <w:tcPr>
            <w:tcW w:w="4508" w:type="dxa"/>
          </w:tcPr>
          <w:p w14:paraId="259BDF77"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lastRenderedPageBreak/>
              <w:t>Vitamin D Deficiency</w:t>
            </w:r>
          </w:p>
        </w:tc>
        <w:tc>
          <w:tcPr>
            <w:tcW w:w="4508" w:type="dxa"/>
          </w:tcPr>
          <w:p w14:paraId="67D8A3C2"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An inadequate vitamin D status that may impair normal physiological and musculoskeletal functions and increase vulnerability to adverse health outcomes.</w:t>
            </w:r>
          </w:p>
        </w:tc>
      </w:tr>
      <w:tr w:rsidR="00B92BDA" w:rsidRPr="00B92BDA" w14:paraId="2127FDA9" w14:textId="77777777" w:rsidTr="00B92BDA">
        <w:tc>
          <w:tcPr>
            <w:tcW w:w="4508" w:type="dxa"/>
          </w:tcPr>
          <w:p w14:paraId="4954A5E4"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Vitamin D Insufficiency</w:t>
            </w:r>
          </w:p>
        </w:tc>
        <w:tc>
          <w:tcPr>
            <w:tcW w:w="4508" w:type="dxa"/>
          </w:tcPr>
          <w:p w14:paraId="4F6CEF5F"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vitamin D status that is below an optimal level but may not meet the threshold used to define clinical deficiency.</w:t>
            </w:r>
          </w:p>
        </w:tc>
      </w:tr>
      <w:tr w:rsidR="00B92BDA" w:rsidRPr="00B92BDA" w14:paraId="353A014F" w14:textId="77777777" w:rsidTr="00B92BDA">
        <w:tc>
          <w:tcPr>
            <w:tcW w:w="4508" w:type="dxa"/>
          </w:tcPr>
          <w:p w14:paraId="163AF053"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Vitamin D Supplementation</w:t>
            </w:r>
          </w:p>
        </w:tc>
        <w:tc>
          <w:tcPr>
            <w:tcW w:w="4508" w:type="dxa"/>
          </w:tcPr>
          <w:p w14:paraId="6E224EE8"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use of vitamin D-containing supplements as a preventive or therapeutic measure to improve or maintain vitamin D status.</w:t>
            </w:r>
          </w:p>
        </w:tc>
      </w:tr>
      <w:tr w:rsidR="00B92BDA" w:rsidRPr="00B92BDA" w14:paraId="0351C5CA" w14:textId="77777777" w:rsidTr="00B92BDA">
        <w:tc>
          <w:tcPr>
            <w:tcW w:w="4508" w:type="dxa"/>
          </w:tcPr>
          <w:p w14:paraId="0D510440"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UVB Radiation</w:t>
            </w:r>
          </w:p>
        </w:tc>
        <w:tc>
          <w:tcPr>
            <w:tcW w:w="4508" w:type="dxa"/>
          </w:tcPr>
          <w:p w14:paraId="781CC8D7"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Ultraviolet-B radiation from sunlight that stimulates vitamin D synthesis in human skin.</w:t>
            </w:r>
          </w:p>
        </w:tc>
      </w:tr>
      <w:tr w:rsidR="00B92BDA" w:rsidRPr="00B92BDA" w14:paraId="51E0EE55" w14:textId="77777777" w:rsidTr="00B92BDA">
        <w:tc>
          <w:tcPr>
            <w:tcW w:w="4508" w:type="dxa"/>
          </w:tcPr>
          <w:p w14:paraId="731D7639"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Health Inequality</w:t>
            </w:r>
          </w:p>
        </w:tc>
        <w:tc>
          <w:tcPr>
            <w:tcW w:w="4508" w:type="dxa"/>
          </w:tcPr>
          <w:p w14:paraId="4C4D707B"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Differences in health outcomes or access to health-promoting resources between population groups or settings.</w:t>
            </w:r>
          </w:p>
        </w:tc>
      </w:tr>
      <w:tr w:rsidR="00B92BDA" w:rsidRPr="00B92BDA" w14:paraId="0FA22AA5" w14:textId="77777777" w:rsidTr="00B92BDA">
        <w:tc>
          <w:tcPr>
            <w:tcW w:w="4508" w:type="dxa"/>
          </w:tcPr>
          <w:p w14:paraId="3D240FF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Quality Assessment</w:t>
            </w:r>
          </w:p>
        </w:tc>
        <w:tc>
          <w:tcPr>
            <w:tcW w:w="4508" w:type="dxa"/>
          </w:tcPr>
          <w:p w14:paraId="2B845AF5"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structured evaluation of the methodological quality, validity and reliability of studies included in a systematic review.</w:t>
            </w:r>
          </w:p>
        </w:tc>
      </w:tr>
      <w:tr w:rsidR="00B92BDA" w:rsidRPr="00B92BDA" w14:paraId="77501853" w14:textId="77777777" w:rsidTr="00B92BDA">
        <w:tc>
          <w:tcPr>
            <w:tcW w:w="4508" w:type="dxa"/>
          </w:tcPr>
          <w:p w14:paraId="5B4AB3E9"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Critical Appraisal</w:t>
            </w:r>
          </w:p>
        </w:tc>
        <w:tc>
          <w:tcPr>
            <w:tcW w:w="4508" w:type="dxa"/>
          </w:tcPr>
          <w:p w14:paraId="5BE4E5C8"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systematic assessment of a research study's methodological strengths, weaknesses, validity and relevance.</w:t>
            </w:r>
          </w:p>
        </w:tc>
      </w:tr>
      <w:tr w:rsidR="00B92BDA" w:rsidRPr="00B92BDA" w14:paraId="18049D74" w14:textId="77777777" w:rsidTr="00B92BDA">
        <w:tc>
          <w:tcPr>
            <w:tcW w:w="4508" w:type="dxa"/>
          </w:tcPr>
          <w:p w14:paraId="56C20CDB"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CASP</w:t>
            </w:r>
          </w:p>
        </w:tc>
        <w:tc>
          <w:tcPr>
            <w:tcW w:w="4508" w:type="dxa"/>
          </w:tcPr>
          <w:p w14:paraId="6D740C31"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Critical Appraisal Skills Programme, which provides structured checklists for evaluating different types of research evidence.</w:t>
            </w:r>
          </w:p>
        </w:tc>
      </w:tr>
      <w:tr w:rsidR="00B92BDA" w:rsidRPr="00B92BDA" w14:paraId="5F8B0E5E" w14:textId="77777777" w:rsidTr="00B92BDA">
        <w:tc>
          <w:tcPr>
            <w:tcW w:w="4508" w:type="dxa"/>
          </w:tcPr>
          <w:p w14:paraId="0419231E"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JBI</w:t>
            </w:r>
          </w:p>
        </w:tc>
        <w:tc>
          <w:tcPr>
            <w:tcW w:w="4508" w:type="dxa"/>
          </w:tcPr>
          <w:p w14:paraId="5364DD4F"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 xml:space="preserve">The Joanna Briggs Institute, which provides evidence-synthesis methods </w:t>
            </w:r>
            <w:r w:rsidRPr="00B92BDA">
              <w:rPr>
                <w:rFonts w:ascii="Arial" w:hAnsi="Arial" w:cs="Arial"/>
                <w:sz w:val="24"/>
                <w:szCs w:val="24"/>
              </w:rPr>
              <w:lastRenderedPageBreak/>
              <w:t>and critical appraisal tools for different research designs.</w:t>
            </w:r>
          </w:p>
        </w:tc>
      </w:tr>
      <w:tr w:rsidR="00B92BDA" w:rsidRPr="00B92BDA" w14:paraId="007503BE" w14:textId="77777777" w:rsidTr="00B92BDA">
        <w:tc>
          <w:tcPr>
            <w:tcW w:w="4508" w:type="dxa"/>
          </w:tcPr>
          <w:p w14:paraId="74B310D9"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lastRenderedPageBreak/>
              <w:t>PICO</w:t>
            </w:r>
          </w:p>
        </w:tc>
        <w:tc>
          <w:tcPr>
            <w:tcW w:w="4508" w:type="dxa"/>
          </w:tcPr>
          <w:p w14:paraId="149A59D5"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A framework for formulating research questions using Population, Intervention, Comparison and Outcome.</w:t>
            </w:r>
          </w:p>
        </w:tc>
      </w:tr>
      <w:tr w:rsidR="00B92BDA" w:rsidRPr="00B92BDA" w14:paraId="33AC8D5E" w14:textId="77777777" w:rsidTr="00B92BDA">
        <w:tc>
          <w:tcPr>
            <w:tcW w:w="4508" w:type="dxa"/>
          </w:tcPr>
          <w:p w14:paraId="241D4ED1" w14:textId="77777777" w:rsidR="00B92BDA" w:rsidRPr="00B92BDA" w:rsidRDefault="00B92BDA" w:rsidP="00B92BDA">
            <w:pPr>
              <w:spacing w:line="360" w:lineRule="auto"/>
              <w:jc w:val="both"/>
              <w:rPr>
                <w:rFonts w:ascii="Arial" w:hAnsi="Arial" w:cs="Arial"/>
                <w:sz w:val="24"/>
                <w:szCs w:val="24"/>
              </w:rPr>
            </w:pPr>
            <w:proofErr w:type="spellStart"/>
            <w:r w:rsidRPr="00B92BDA">
              <w:rPr>
                <w:rFonts w:ascii="Arial" w:hAnsi="Arial" w:cs="Arial"/>
                <w:sz w:val="24"/>
                <w:szCs w:val="24"/>
              </w:rPr>
              <w:t>MeSH</w:t>
            </w:r>
            <w:proofErr w:type="spellEnd"/>
          </w:p>
        </w:tc>
        <w:tc>
          <w:tcPr>
            <w:tcW w:w="4508" w:type="dxa"/>
          </w:tcPr>
          <w:p w14:paraId="136563A6"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Medical Subject Headings, a controlled vocabulary used by databases such as PubMed to index and retrieve biomedical literature consistently.</w:t>
            </w:r>
          </w:p>
        </w:tc>
      </w:tr>
      <w:tr w:rsidR="00B92BDA" w:rsidRPr="00B92BDA" w14:paraId="1999008B" w14:textId="77777777" w:rsidTr="00B92BDA">
        <w:tc>
          <w:tcPr>
            <w:tcW w:w="4508" w:type="dxa"/>
          </w:tcPr>
          <w:p w14:paraId="7DB817DD"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Grey Literature</w:t>
            </w:r>
          </w:p>
        </w:tc>
        <w:tc>
          <w:tcPr>
            <w:tcW w:w="4508" w:type="dxa"/>
          </w:tcPr>
          <w:p w14:paraId="1A787123"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Research and evidence that are not usually published through traditional commercial or peer-reviewed academic publishing, including government reports, policy documents and organisational publications.</w:t>
            </w:r>
          </w:p>
        </w:tc>
      </w:tr>
      <w:tr w:rsidR="00B92BDA" w:rsidRPr="00B92BDA" w14:paraId="3A492335" w14:textId="77777777" w:rsidTr="00B92BDA">
        <w:tc>
          <w:tcPr>
            <w:tcW w:w="4508" w:type="dxa"/>
          </w:tcPr>
          <w:p w14:paraId="1DB68A26"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Publication Bias</w:t>
            </w:r>
          </w:p>
        </w:tc>
        <w:tc>
          <w:tcPr>
            <w:tcW w:w="4508" w:type="dxa"/>
          </w:tcPr>
          <w:p w14:paraId="7EDE8960"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tendency for studies with statistically significant or favourable findings to be more likely to be published than studies with negative or inconclusive findings.</w:t>
            </w:r>
          </w:p>
        </w:tc>
      </w:tr>
      <w:tr w:rsidR="00B92BDA" w:rsidRPr="00B92BDA" w14:paraId="1F931A98" w14:textId="77777777" w:rsidTr="00B92BDA">
        <w:tc>
          <w:tcPr>
            <w:tcW w:w="4508" w:type="dxa"/>
          </w:tcPr>
          <w:p w14:paraId="22D8817F"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Selection Bias</w:t>
            </w:r>
          </w:p>
        </w:tc>
        <w:tc>
          <w:tcPr>
            <w:tcW w:w="4508" w:type="dxa"/>
          </w:tcPr>
          <w:p w14:paraId="66ECA56C"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Systematic distortion arising when the studies or participants selected for research are not representative of the population or evidence base of interest.</w:t>
            </w:r>
          </w:p>
        </w:tc>
      </w:tr>
      <w:tr w:rsidR="00B92BDA" w:rsidRPr="00B92BDA" w14:paraId="6073EDF8" w14:textId="77777777" w:rsidTr="00B92BDA">
        <w:tc>
          <w:tcPr>
            <w:tcW w:w="4508" w:type="dxa"/>
          </w:tcPr>
          <w:p w14:paraId="69700472"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Evidence-Based Practice</w:t>
            </w:r>
          </w:p>
        </w:tc>
        <w:tc>
          <w:tcPr>
            <w:tcW w:w="4508" w:type="dxa"/>
          </w:tcPr>
          <w:p w14:paraId="09677158" w14:textId="77777777" w:rsidR="00B92BDA" w:rsidRPr="00B92BDA" w:rsidRDefault="00B92BDA" w:rsidP="00B92BDA">
            <w:pPr>
              <w:spacing w:line="360" w:lineRule="auto"/>
              <w:jc w:val="both"/>
              <w:rPr>
                <w:rFonts w:ascii="Arial" w:hAnsi="Arial" w:cs="Arial"/>
                <w:sz w:val="24"/>
                <w:szCs w:val="24"/>
              </w:rPr>
            </w:pPr>
            <w:r w:rsidRPr="00B92BDA">
              <w:rPr>
                <w:rFonts w:ascii="Arial" w:hAnsi="Arial" w:cs="Arial"/>
                <w:sz w:val="24"/>
                <w:szCs w:val="24"/>
              </w:rPr>
              <w:t>The integration of the best available research evidence with professional expertise and the needs, preferences and circumstances of service users.</w:t>
            </w:r>
          </w:p>
        </w:tc>
      </w:tr>
    </w:tbl>
    <w:p w14:paraId="3FBC29DD" w14:textId="2022DC1D" w:rsidR="00A72FC0" w:rsidRDefault="00A72FC0">
      <w:pPr>
        <w:rPr>
          <w:rFonts w:asciiTheme="minorBidi" w:hAnsiTheme="minorBidi"/>
        </w:rPr>
      </w:pPr>
    </w:p>
    <w:p w14:paraId="428EBBB8" w14:textId="77777777" w:rsidR="00723CAC" w:rsidRDefault="00723CAC">
      <w:pPr>
        <w:rPr>
          <w:rFonts w:asciiTheme="minorBidi" w:hAnsiTheme="minorBidi"/>
        </w:rPr>
        <w:sectPr w:rsidR="00723CAC" w:rsidSect="00F02E4F">
          <w:footerReference w:type="even" r:id="rId15"/>
          <w:footerReference w:type="default" r:id="rId16"/>
          <w:footerReference w:type="first" r:id="rId17"/>
          <w:pgSz w:w="11906" w:h="16838"/>
          <w:pgMar w:top="1440" w:right="1440" w:bottom="1440" w:left="1440" w:header="708" w:footer="708" w:gutter="0"/>
          <w:pgNumType w:fmt="lowerRoman"/>
          <w:cols w:space="708"/>
          <w:docGrid w:linePitch="360"/>
        </w:sectPr>
      </w:pPr>
    </w:p>
    <w:p w14:paraId="624C71A9" w14:textId="1D6299C1" w:rsidR="009F64C5" w:rsidRPr="00723CAC" w:rsidRDefault="00BC67C0" w:rsidP="00462F16">
      <w:pPr>
        <w:pStyle w:val="Heading1"/>
      </w:pPr>
      <w:bookmarkStart w:id="4" w:name="_Toc233577703"/>
      <w:bookmarkStart w:id="5" w:name="_Toc240558445"/>
      <w:r w:rsidRPr="00CC6791">
        <w:lastRenderedPageBreak/>
        <w:t xml:space="preserve">Chapter 1: </w:t>
      </w:r>
      <w:r w:rsidR="009F64C5" w:rsidRPr="00CC6791">
        <w:t>Introduction</w:t>
      </w:r>
      <w:bookmarkEnd w:id="4"/>
      <w:bookmarkEnd w:id="5"/>
    </w:p>
    <w:p w14:paraId="5936493C" w14:textId="5A21B5A8" w:rsidR="00997918" w:rsidRPr="00C40D21" w:rsidRDefault="00CC6791" w:rsidP="00FC661F">
      <w:pPr>
        <w:pStyle w:val="Heading2"/>
      </w:pPr>
      <w:bookmarkStart w:id="6" w:name="_Toc240558446"/>
      <w:r>
        <w:t xml:space="preserve">1.1 </w:t>
      </w:r>
      <w:r w:rsidR="00997918" w:rsidRPr="00C40D21">
        <w:t>Introduction</w:t>
      </w:r>
      <w:bookmarkEnd w:id="6"/>
      <w:r w:rsidR="00997918" w:rsidRPr="00C40D21">
        <w:t xml:space="preserve"> </w:t>
      </w:r>
    </w:p>
    <w:p w14:paraId="7A5B5AFE" w14:textId="1DB7A0D9" w:rsidR="00EC51ED" w:rsidRPr="00EC51ED" w:rsidRDefault="00EC51ED" w:rsidP="00EC51ED">
      <w:pPr>
        <w:spacing w:line="360" w:lineRule="auto"/>
        <w:jc w:val="both"/>
        <w:rPr>
          <w:rFonts w:ascii="Arial" w:hAnsi="Arial" w:cs="Arial"/>
          <w:sz w:val="24"/>
          <w:szCs w:val="24"/>
        </w:rPr>
      </w:pPr>
      <w:r w:rsidRPr="00EC51ED">
        <w:rPr>
          <w:rFonts w:ascii="Arial" w:hAnsi="Arial" w:cs="Arial"/>
          <w:sz w:val="24"/>
          <w:szCs w:val="24"/>
        </w:rPr>
        <w:t>Vitamin D deficiency will remain a significant public health problem, especially for older people in care homes in the UK. Low vitamin D levels will lead to raised risk of osteoporosis, falls, fractures and reduced quality of life (British Geriatrics Society, 2023; NHS England, 2024) and vitamin D will have a key role in calcium absorption, bone mineralisation, muscle function and immune regulation. Older people living in care homes will be particularly at risk as their ability to produce vitamin D will diminish as they get older, and their limited time outdoors, inadequate diet and nutritional intake, chronic diseases and mobility issues will also increase the risk of deficiency (Office for Health Improvement</w:t>
      </w:r>
      <w:r w:rsidR="006C5761">
        <w:rPr>
          <w:rFonts w:ascii="Arial" w:hAnsi="Arial" w:cs="Arial"/>
          <w:sz w:val="24"/>
          <w:szCs w:val="24"/>
        </w:rPr>
        <w:t xml:space="preserve"> and Disparities (OHID), 2023).</w:t>
      </w:r>
    </w:p>
    <w:p w14:paraId="06F1E736" w14:textId="5F893B43" w:rsidR="00CC6791" w:rsidRDefault="00EC51ED" w:rsidP="00EC51ED">
      <w:pPr>
        <w:spacing w:line="360" w:lineRule="auto"/>
        <w:jc w:val="both"/>
        <w:rPr>
          <w:rFonts w:ascii="Arial" w:hAnsi="Arial" w:cs="Arial"/>
          <w:sz w:val="24"/>
          <w:szCs w:val="24"/>
        </w:rPr>
      </w:pPr>
      <w:r w:rsidRPr="00EC51ED">
        <w:rPr>
          <w:rFonts w:ascii="Arial" w:hAnsi="Arial" w:cs="Arial"/>
          <w:sz w:val="24"/>
          <w:szCs w:val="24"/>
        </w:rPr>
        <w:t>The research topic will be introduced, with background and context of vitamin D deficiency in older adults in UK care homes given. It will review the scale of the issue, summarise what is known from the literature and highlight the gaps in knowledge about awareness, prevention and supplementation. In addition, the rationale for conducting this study will be discussed and the continued significance of increasing vitamin D awareness to improve the health of residents and supporting evidence-based practice will be highlighted. (Cashman et</w:t>
      </w:r>
      <w:r>
        <w:rPr>
          <w:rFonts w:ascii="Arial" w:hAnsi="Arial" w:cs="Arial"/>
          <w:sz w:val="24"/>
          <w:szCs w:val="24"/>
        </w:rPr>
        <w:t xml:space="preserve"> al., 2023; NICE, 2024)</w:t>
      </w:r>
      <w:r w:rsidR="00036851">
        <w:rPr>
          <w:rFonts w:ascii="Arial" w:hAnsi="Arial" w:cs="Arial"/>
          <w:sz w:val="24"/>
          <w:szCs w:val="24"/>
        </w:rPr>
        <w:t>.</w:t>
      </w:r>
    </w:p>
    <w:p w14:paraId="43C6F22F" w14:textId="77777777" w:rsidR="00830205" w:rsidRPr="00CC6791" w:rsidRDefault="00830205" w:rsidP="00EC51ED">
      <w:pPr>
        <w:spacing w:line="360" w:lineRule="auto"/>
        <w:jc w:val="both"/>
        <w:rPr>
          <w:rFonts w:ascii="Arial" w:hAnsi="Arial" w:cs="Arial"/>
          <w:sz w:val="24"/>
          <w:szCs w:val="24"/>
        </w:rPr>
      </w:pPr>
    </w:p>
    <w:p w14:paraId="093FA8C2" w14:textId="77777777" w:rsidR="00CC6791" w:rsidRPr="00CC6791" w:rsidRDefault="00CC6791" w:rsidP="00FC661F">
      <w:pPr>
        <w:pStyle w:val="Heading2"/>
      </w:pPr>
      <w:bookmarkStart w:id="7" w:name="_Toc240558447"/>
      <w:r w:rsidRPr="00CC6791">
        <w:t>1.2 Background of the Study</w:t>
      </w:r>
      <w:bookmarkEnd w:id="7"/>
      <w:r w:rsidRPr="00CC6791">
        <w:t xml:space="preserve"> </w:t>
      </w:r>
    </w:p>
    <w:p w14:paraId="4E539DE3" w14:textId="73D81B90" w:rsidR="0063463C" w:rsidRPr="0063463C" w:rsidRDefault="0063463C" w:rsidP="0063463C">
      <w:pPr>
        <w:spacing w:line="360" w:lineRule="auto"/>
        <w:jc w:val="both"/>
        <w:rPr>
          <w:rFonts w:ascii="Arial" w:hAnsi="Arial" w:cs="Arial"/>
          <w:sz w:val="24"/>
          <w:szCs w:val="24"/>
        </w:rPr>
      </w:pPr>
      <w:r w:rsidRPr="0063463C">
        <w:rPr>
          <w:rFonts w:ascii="Arial" w:hAnsi="Arial" w:cs="Arial"/>
          <w:sz w:val="24"/>
          <w:szCs w:val="24"/>
        </w:rPr>
        <w:t xml:space="preserve">Vitamin D deficiency is an emerging global public health problem and is a significant problem in older people living in residential and nursing homes. Vitamin D is a fat-soluble vitamin which has a basic role in calcium and phosphate metabolism, in bone mineral density maintenance, in muscle functions and in regulation of immune responses. Low levels of vitamin D have been linked to the development of osteoporosis, osteomalacia, weakness of the muscles, falls, fragility fracture and hospitalisation in older people (British Geriatrics Society, 2023; NICE, 2024). Vitamin D deficiency is largely preventable by ensuring good levels of sun exposure, dietary intake, food fortification and supplementation, and remains a significant problem in the </w:t>
      </w:r>
      <w:r w:rsidR="006C5761">
        <w:rPr>
          <w:rFonts w:ascii="Arial" w:hAnsi="Arial" w:cs="Arial"/>
          <w:sz w:val="24"/>
          <w:szCs w:val="24"/>
        </w:rPr>
        <w:t>United Kingdom in older people.</w:t>
      </w:r>
    </w:p>
    <w:p w14:paraId="505A0DB6" w14:textId="7DF1FDB4" w:rsidR="0063463C" w:rsidRPr="0063463C" w:rsidRDefault="0063463C" w:rsidP="0063463C">
      <w:pPr>
        <w:spacing w:line="360" w:lineRule="auto"/>
        <w:jc w:val="both"/>
        <w:rPr>
          <w:rFonts w:ascii="Arial" w:hAnsi="Arial" w:cs="Arial"/>
          <w:sz w:val="24"/>
          <w:szCs w:val="24"/>
        </w:rPr>
      </w:pPr>
      <w:r w:rsidRPr="0063463C">
        <w:rPr>
          <w:rFonts w:ascii="Arial" w:hAnsi="Arial" w:cs="Arial"/>
          <w:sz w:val="24"/>
          <w:szCs w:val="24"/>
        </w:rPr>
        <w:lastRenderedPageBreak/>
        <w:t xml:space="preserve">There are a number of age and environmental risk factors that make vitamin D deficiency very common among people in care homes. Aged people lose their ability to produce vitamin D after exposure to ultra-violet B (UVB) radiation. Moreover, many of the older adults living in care homes leave home less often due to mobility limitations, chronic diseases, disability or frailty, which decreases their ability to produce natural vitamin D (Office for Health Improvement and Disparities (OHID), 2023). </w:t>
      </w:r>
    </w:p>
    <w:p w14:paraId="32A08132" w14:textId="0630F91B" w:rsidR="0063463C" w:rsidRPr="0063463C" w:rsidRDefault="0063463C" w:rsidP="0063463C">
      <w:pPr>
        <w:spacing w:line="360" w:lineRule="auto"/>
        <w:jc w:val="both"/>
        <w:rPr>
          <w:rFonts w:ascii="Arial" w:hAnsi="Arial" w:cs="Arial"/>
          <w:sz w:val="24"/>
          <w:szCs w:val="24"/>
        </w:rPr>
      </w:pPr>
      <w:r w:rsidRPr="0063463C">
        <w:rPr>
          <w:rFonts w:ascii="Arial" w:hAnsi="Arial" w:cs="Arial"/>
          <w:sz w:val="24"/>
          <w:szCs w:val="24"/>
        </w:rPr>
        <w:t>Vitamin D is recommended for older people, especially those in care homes, in the UK to help minimize the risk of deficiency and any associated complications if this is to happen (NHS England, 2024; NICE, 2024). Although these recommendations have been made, there is evidence that supplement's practices are not standardised in care homes, with differences in care home policies, staff knowledge, prescribing routines and uncertainty about the roles of staff (Williams and William</w:t>
      </w:r>
      <w:r w:rsidR="00FC64BB">
        <w:rPr>
          <w:rFonts w:ascii="Arial" w:hAnsi="Arial" w:cs="Arial"/>
          <w:sz w:val="24"/>
          <w:szCs w:val="24"/>
        </w:rPr>
        <w:t xml:space="preserve">s, 2020; Turner et al., 2023). </w:t>
      </w:r>
    </w:p>
    <w:p w14:paraId="7D09B518" w14:textId="3F1E661D" w:rsidR="00CC6791" w:rsidRPr="00CC6791" w:rsidRDefault="0063463C" w:rsidP="0063463C">
      <w:pPr>
        <w:spacing w:line="360" w:lineRule="auto"/>
        <w:jc w:val="both"/>
        <w:rPr>
          <w:rFonts w:ascii="Arial" w:hAnsi="Arial" w:cs="Arial"/>
          <w:sz w:val="24"/>
          <w:szCs w:val="24"/>
        </w:rPr>
      </w:pPr>
      <w:r w:rsidRPr="0063463C">
        <w:rPr>
          <w:rFonts w:ascii="Arial" w:hAnsi="Arial" w:cs="Arial"/>
          <w:sz w:val="24"/>
          <w:szCs w:val="24"/>
        </w:rPr>
        <w:t xml:space="preserve">More recent research has also shown that the awareness of vitamin D deficiency is still low both in the staff of care homes and amongst older people. Inadequate staff training, and the level of awareness about the benefits of supplementation, as well as inconsistent implementation of national guidance, has meant that there has been a barrier to effective prevention strategies (Cashman et al., 2023). In addition, most of the current literature has been directed towards the clinical effects of vitamin D deficiency and not raised awareness, knowledge and behaviours to prevent it in UK care home settings. The importance of these issues is that raising awareness could lead to better supplementation practices, less falls and fracture, better quality of life, and healthy ageing among older people. </w:t>
      </w:r>
    </w:p>
    <w:p w14:paraId="3936DCF1" w14:textId="6719F6B0" w:rsidR="005638C3" w:rsidRPr="00C40D21" w:rsidRDefault="005638C3" w:rsidP="00FC661F">
      <w:pPr>
        <w:pStyle w:val="Heading2"/>
      </w:pPr>
      <w:bookmarkStart w:id="8" w:name="_Toc240558448"/>
      <w:r w:rsidRPr="00C40D21">
        <w:t>1.3 Statement of the Problem</w:t>
      </w:r>
      <w:bookmarkEnd w:id="8"/>
      <w:r w:rsidRPr="00C40D21">
        <w:t xml:space="preserve"> </w:t>
      </w:r>
    </w:p>
    <w:p w14:paraId="229ED56C" w14:textId="106E2172" w:rsidR="00414C12" w:rsidRPr="00414C12" w:rsidRDefault="00414C12" w:rsidP="00414C12">
      <w:pPr>
        <w:spacing w:line="360" w:lineRule="auto"/>
        <w:jc w:val="both"/>
        <w:rPr>
          <w:rFonts w:ascii="Arial" w:hAnsi="Arial" w:cs="Arial"/>
          <w:sz w:val="24"/>
          <w:szCs w:val="24"/>
        </w:rPr>
      </w:pPr>
      <w:r w:rsidRPr="00414C12">
        <w:rPr>
          <w:rFonts w:ascii="Arial" w:hAnsi="Arial" w:cs="Arial"/>
          <w:sz w:val="24"/>
          <w:szCs w:val="24"/>
        </w:rPr>
        <w:t xml:space="preserve">Recommendations have been made at national level for older people living in the UK care home setting to receive routine vitamin D supplementation for those at high risk (NICE, 2024; NHS England, 2024), but vitamin D deficiency is still a significant and preventable issue among this population. Older age is a risk factor for older residents living in care homes, as there is a decrease in skin synthesis with age, decreased exposure to sunlight, poor dietary intake, chronic health conditions and reduced mobility (Office for Health Improvement and Disparities (OHID), 2023). Vitamin D deficiency can cause poor muscle function, osteoporosis, more falls, fragility fractures, </w:t>
      </w:r>
      <w:r w:rsidRPr="00414C12">
        <w:rPr>
          <w:rFonts w:ascii="Arial" w:hAnsi="Arial" w:cs="Arial"/>
          <w:sz w:val="24"/>
          <w:szCs w:val="24"/>
        </w:rPr>
        <w:lastRenderedPageBreak/>
        <w:t>impaired function and lower quality of life, and stretch the health and social care system without intervention (Bri</w:t>
      </w:r>
      <w:r w:rsidR="006C5761">
        <w:rPr>
          <w:rFonts w:ascii="Arial" w:hAnsi="Arial" w:cs="Arial"/>
          <w:sz w:val="24"/>
          <w:szCs w:val="24"/>
        </w:rPr>
        <w:t>tish Geriatrics Society, 2023).</w:t>
      </w:r>
    </w:p>
    <w:p w14:paraId="1CBDBC8E" w14:textId="2550AFB9" w:rsidR="00414C12" w:rsidRPr="00414C12" w:rsidRDefault="00414C12" w:rsidP="00414C12">
      <w:pPr>
        <w:spacing w:line="360" w:lineRule="auto"/>
        <w:jc w:val="both"/>
        <w:rPr>
          <w:rFonts w:ascii="Arial" w:hAnsi="Arial" w:cs="Arial"/>
          <w:sz w:val="24"/>
          <w:szCs w:val="24"/>
        </w:rPr>
      </w:pPr>
      <w:r w:rsidRPr="00414C12">
        <w:rPr>
          <w:rFonts w:ascii="Arial" w:hAnsi="Arial" w:cs="Arial"/>
          <w:sz w:val="24"/>
          <w:szCs w:val="24"/>
        </w:rPr>
        <w:t>Guidelines for year-round vitamin D supplementation of residents of care homes have been developed, but there is less consistency with their uptake in care settings in the UK. Evidence indicates that there is ongoing staff knowledge and awareness gaps, unclear professional roles, and inconsistent organisational policies in the effective prevention and management of vitamin D deficiency (Cashman et al., 2023; Turner et al., 2023). Thus, many older people may not be getting adequate education, screening or supplementation, placing them at risk</w:t>
      </w:r>
      <w:r w:rsidR="006C5761">
        <w:rPr>
          <w:rFonts w:ascii="Arial" w:hAnsi="Arial" w:cs="Arial"/>
          <w:sz w:val="24"/>
          <w:szCs w:val="24"/>
        </w:rPr>
        <w:t xml:space="preserve"> for preventable health issues.</w:t>
      </w:r>
    </w:p>
    <w:p w14:paraId="0C793318" w14:textId="4F9FDD27" w:rsidR="00A24B29" w:rsidRPr="00A24B29" w:rsidRDefault="00414C12" w:rsidP="00414C12">
      <w:pPr>
        <w:spacing w:line="360" w:lineRule="auto"/>
        <w:jc w:val="both"/>
        <w:rPr>
          <w:rFonts w:ascii="Arial" w:hAnsi="Arial" w:cs="Arial"/>
          <w:sz w:val="24"/>
          <w:szCs w:val="24"/>
        </w:rPr>
      </w:pPr>
      <w:r w:rsidRPr="00414C12">
        <w:rPr>
          <w:rFonts w:ascii="Arial" w:hAnsi="Arial" w:cs="Arial"/>
          <w:sz w:val="24"/>
          <w:szCs w:val="24"/>
        </w:rPr>
        <w:t xml:space="preserve">This research is a problem-solving study that seeks to understand the limited awareness that impacts on vitamin D prevention practices in care homes in the UK. Few studies have investigated the association between awareness, healthcare worker knowledge and supplementation with a mixed-methods approach, whereas the prevalence and clinical consequences of vitamin D deficiency have been the primary focus of most studies. Where these gaps persist, preventable falls, fractures, avoidable admissions to hospital and health care costs will probably remain high, particularly for the older care home residents. </w:t>
      </w:r>
    </w:p>
    <w:p w14:paraId="20A9DD89" w14:textId="16A52612" w:rsidR="00A24B29" w:rsidRPr="00A24B29" w:rsidRDefault="0064039B" w:rsidP="00FC661F">
      <w:pPr>
        <w:pStyle w:val="Heading2"/>
      </w:pPr>
      <w:bookmarkStart w:id="9" w:name="_Toc240558449"/>
      <w:r w:rsidRPr="0064039B">
        <w:t>1.4 Rationale of the Research</w:t>
      </w:r>
      <w:r w:rsidR="00A24B29" w:rsidRPr="00A24B29">
        <w:t>.</w:t>
      </w:r>
      <w:bookmarkEnd w:id="9"/>
      <w:r w:rsidR="00A24B29" w:rsidRPr="00A24B29">
        <w:t xml:space="preserve"> </w:t>
      </w:r>
    </w:p>
    <w:p w14:paraId="51CB7295" w14:textId="481129B2" w:rsidR="00A20D6C" w:rsidRPr="00A20D6C" w:rsidRDefault="00A20D6C" w:rsidP="00A20D6C">
      <w:pPr>
        <w:spacing w:line="360" w:lineRule="auto"/>
        <w:jc w:val="both"/>
        <w:rPr>
          <w:rFonts w:ascii="Arial" w:hAnsi="Arial" w:cs="Arial"/>
          <w:sz w:val="24"/>
          <w:szCs w:val="24"/>
        </w:rPr>
      </w:pPr>
      <w:r w:rsidRPr="00A20D6C">
        <w:rPr>
          <w:rFonts w:ascii="Arial" w:hAnsi="Arial" w:cs="Arial"/>
          <w:sz w:val="24"/>
          <w:szCs w:val="24"/>
        </w:rPr>
        <w:t>This research will be conducted as vitamin D deficiency is a common yet preventable health issue in older adults residing in care homes and UK national guidance states that vitamin D should be routinely offered to high-risk groups in care homes (NICE, 2024; NHS England, 2024). Current studies are mainly concerned with the prevalence, physiological effects and clinical management of vitamin D deficiency. To date, however, relatively little research has focused on the role of awareness, knowledge and prevention practices on supplementation behaviours in a UK care home environment, in a mixed method approach with both quantitative and qualitative e</w:t>
      </w:r>
      <w:r w:rsidR="006C5761">
        <w:rPr>
          <w:rFonts w:ascii="Arial" w:hAnsi="Arial" w:cs="Arial"/>
          <w:sz w:val="24"/>
          <w:szCs w:val="24"/>
        </w:rPr>
        <w:t>vidence (Cashman et al., 2023).</w:t>
      </w:r>
    </w:p>
    <w:p w14:paraId="2BDDFC20" w14:textId="6C41B657" w:rsidR="00A20D6C" w:rsidRPr="00A20D6C" w:rsidRDefault="00A20D6C" w:rsidP="00A20D6C">
      <w:pPr>
        <w:spacing w:line="360" w:lineRule="auto"/>
        <w:jc w:val="both"/>
        <w:rPr>
          <w:rFonts w:ascii="Arial" w:hAnsi="Arial" w:cs="Arial"/>
          <w:sz w:val="24"/>
          <w:szCs w:val="24"/>
        </w:rPr>
      </w:pPr>
      <w:r w:rsidRPr="00A20D6C">
        <w:rPr>
          <w:rFonts w:ascii="Arial" w:hAnsi="Arial" w:cs="Arial"/>
          <w:sz w:val="24"/>
          <w:szCs w:val="24"/>
        </w:rPr>
        <w:t xml:space="preserve">There is a lack of literature to explain the factors impacting awareness of the vitamin D benefits, the level of understanding of national vitamin D recommendations among care home residents and staff, and organisational barriers to effective vitamin D supplementation programmes (Turner et al., 2023). While already there are some studies that show high prevalence of vitamin D deficiency in institutionalised older </w:t>
      </w:r>
      <w:r w:rsidRPr="00A20D6C">
        <w:rPr>
          <w:rFonts w:ascii="Arial" w:hAnsi="Arial" w:cs="Arial"/>
          <w:sz w:val="24"/>
          <w:szCs w:val="24"/>
        </w:rPr>
        <w:lastRenderedPageBreak/>
        <w:t>people, there is less research on practical measures for raising awareness and preventing vitamin D deficiency in everyday care practice. Therefore, there is a limited amount of evidence about the potential of learning and better organisation to improve vitamin D supplementations and mi</w:t>
      </w:r>
      <w:r w:rsidR="006C5761">
        <w:rPr>
          <w:rFonts w:ascii="Arial" w:hAnsi="Arial" w:cs="Arial"/>
          <w:sz w:val="24"/>
          <w:szCs w:val="24"/>
        </w:rPr>
        <w:t>tigate associated health risks.</w:t>
      </w:r>
    </w:p>
    <w:p w14:paraId="059848CC" w14:textId="72CB87B2" w:rsidR="00EA3204" w:rsidRPr="00C40D21" w:rsidRDefault="00A20D6C" w:rsidP="00A20D6C">
      <w:pPr>
        <w:spacing w:line="360" w:lineRule="auto"/>
        <w:jc w:val="both"/>
        <w:rPr>
          <w:rFonts w:ascii="Arial" w:hAnsi="Arial" w:cs="Arial"/>
          <w:sz w:val="24"/>
          <w:szCs w:val="24"/>
        </w:rPr>
      </w:pPr>
      <w:r w:rsidRPr="00A20D6C">
        <w:rPr>
          <w:rFonts w:ascii="Arial" w:hAnsi="Arial" w:cs="Arial"/>
          <w:sz w:val="24"/>
          <w:szCs w:val="24"/>
        </w:rPr>
        <w:t>It is crucial that these gaps are addressed as poor awareness can impact on the ability of older adults to avoid falls, fractures, poor physical functioning and excess healthcare utilisation (British Geriatrics Society, 2023). This study will build on existing research by offering evidence about the state of awareness, identify preventing barriers and offer practical plans to increase vitamin D supplemen</w:t>
      </w:r>
      <w:r w:rsidR="00FC64BB">
        <w:rPr>
          <w:rFonts w:ascii="Arial" w:hAnsi="Arial" w:cs="Arial"/>
          <w:sz w:val="24"/>
          <w:szCs w:val="24"/>
        </w:rPr>
        <w:t>tation in care homes in the UK.</w:t>
      </w:r>
    </w:p>
    <w:p w14:paraId="0CB8DF52" w14:textId="7E84B7BE" w:rsidR="00EA3204" w:rsidRPr="00C40D21" w:rsidRDefault="00EA3204" w:rsidP="00FC661F">
      <w:pPr>
        <w:pStyle w:val="Heading2"/>
      </w:pPr>
      <w:bookmarkStart w:id="10" w:name="_Toc240558450"/>
      <w:r w:rsidRPr="00C40D21">
        <w:t>1.5 Research Question</w:t>
      </w:r>
      <w:bookmarkEnd w:id="10"/>
    </w:p>
    <w:p w14:paraId="4489F773" w14:textId="7A7BCE06" w:rsidR="00EA3204" w:rsidRPr="00C40D21" w:rsidRDefault="00D36A6D" w:rsidP="00C40D21">
      <w:pPr>
        <w:spacing w:line="360" w:lineRule="auto"/>
        <w:jc w:val="both"/>
        <w:rPr>
          <w:rFonts w:ascii="Arial" w:hAnsi="Arial" w:cs="Arial"/>
          <w:sz w:val="24"/>
          <w:szCs w:val="24"/>
        </w:rPr>
      </w:pPr>
      <w:r w:rsidRPr="00D36A6D">
        <w:rPr>
          <w:rFonts w:ascii="Arial" w:hAnsi="Arial" w:cs="Arial"/>
          <w:sz w:val="24"/>
          <w:szCs w:val="24"/>
        </w:rPr>
        <w:t>How can awareness of Vitamin D supplementation be improved among elde</w:t>
      </w:r>
      <w:r>
        <w:rPr>
          <w:rFonts w:ascii="Arial" w:hAnsi="Arial" w:cs="Arial"/>
          <w:sz w:val="24"/>
          <w:szCs w:val="24"/>
        </w:rPr>
        <w:t>rly residents in a UK care home</w:t>
      </w:r>
      <w:r w:rsidR="00EA3204" w:rsidRPr="00C40D21">
        <w:rPr>
          <w:rFonts w:ascii="Arial" w:hAnsi="Arial" w:cs="Arial"/>
          <w:sz w:val="24"/>
          <w:szCs w:val="24"/>
        </w:rPr>
        <w:t>?</w:t>
      </w:r>
    </w:p>
    <w:p w14:paraId="2B5BF254" w14:textId="359B780D" w:rsidR="00EA3204" w:rsidRPr="00C40D21" w:rsidRDefault="00EA3204" w:rsidP="00FC661F">
      <w:pPr>
        <w:pStyle w:val="Heading2"/>
      </w:pPr>
      <w:bookmarkStart w:id="11" w:name="_Toc240558451"/>
      <w:r w:rsidRPr="00C40D21">
        <w:t>1.6 Research Aim</w:t>
      </w:r>
      <w:bookmarkEnd w:id="11"/>
    </w:p>
    <w:p w14:paraId="5DBA8D52" w14:textId="3439B00C" w:rsidR="00126990" w:rsidRPr="00126990" w:rsidRDefault="00126990" w:rsidP="00530581">
      <w:pPr>
        <w:pStyle w:val="ListParagraph"/>
        <w:numPr>
          <w:ilvl w:val="0"/>
          <w:numId w:val="27"/>
        </w:numPr>
        <w:spacing w:line="360" w:lineRule="auto"/>
        <w:jc w:val="both"/>
        <w:rPr>
          <w:rFonts w:ascii="Arial" w:hAnsi="Arial" w:cs="Arial"/>
          <w:sz w:val="24"/>
          <w:szCs w:val="24"/>
        </w:rPr>
      </w:pPr>
      <w:r w:rsidRPr="00126990">
        <w:rPr>
          <w:rFonts w:ascii="Arial" w:hAnsi="Arial" w:cs="Arial"/>
          <w:sz w:val="24"/>
          <w:szCs w:val="24"/>
        </w:rPr>
        <w:t>To evaluate current knowledge and practices regarding vitamin D supplementation among older adults and care staff in UK care settings.</w:t>
      </w:r>
    </w:p>
    <w:p w14:paraId="3668B75D" w14:textId="7BF6E55B" w:rsidR="00126990" w:rsidRPr="00126990" w:rsidRDefault="00126990" w:rsidP="00530581">
      <w:pPr>
        <w:pStyle w:val="ListParagraph"/>
        <w:numPr>
          <w:ilvl w:val="0"/>
          <w:numId w:val="27"/>
        </w:numPr>
        <w:spacing w:line="360" w:lineRule="auto"/>
        <w:jc w:val="both"/>
        <w:rPr>
          <w:rFonts w:ascii="Arial" w:hAnsi="Arial" w:cs="Arial"/>
          <w:sz w:val="24"/>
          <w:szCs w:val="24"/>
        </w:rPr>
      </w:pPr>
      <w:r w:rsidRPr="00126990">
        <w:rPr>
          <w:rFonts w:ascii="Arial" w:hAnsi="Arial" w:cs="Arial"/>
          <w:sz w:val="24"/>
          <w:szCs w:val="24"/>
        </w:rPr>
        <w:t>To identify the individual, professional and organisational barriers affecting the prevention of vitamin D deficiency among older adults in UK care settings.</w:t>
      </w:r>
    </w:p>
    <w:p w14:paraId="2859671C" w14:textId="1F9BEB0E" w:rsidR="00EA3204" w:rsidRPr="00126990" w:rsidRDefault="00126990" w:rsidP="00530581">
      <w:pPr>
        <w:pStyle w:val="ListParagraph"/>
        <w:numPr>
          <w:ilvl w:val="0"/>
          <w:numId w:val="27"/>
        </w:numPr>
        <w:spacing w:line="360" w:lineRule="auto"/>
        <w:jc w:val="both"/>
        <w:rPr>
          <w:rFonts w:ascii="Arial" w:hAnsi="Arial" w:cs="Arial"/>
          <w:sz w:val="24"/>
          <w:szCs w:val="24"/>
        </w:rPr>
      </w:pPr>
      <w:r w:rsidRPr="00126990">
        <w:rPr>
          <w:rFonts w:ascii="Arial" w:hAnsi="Arial" w:cs="Arial"/>
          <w:sz w:val="24"/>
          <w:szCs w:val="24"/>
        </w:rPr>
        <w:t>To examine practical strategies for improving awareness, screening and supplementation practices to reduce vitamin D-related health risks, particularly falls and fractures</w:t>
      </w:r>
      <w:r w:rsidR="00EA3204" w:rsidRPr="00126990">
        <w:rPr>
          <w:rFonts w:ascii="Arial" w:hAnsi="Arial" w:cs="Arial"/>
          <w:sz w:val="24"/>
          <w:szCs w:val="24"/>
        </w:rPr>
        <w:t>.</w:t>
      </w:r>
    </w:p>
    <w:p w14:paraId="2B2899AB" w14:textId="77777777" w:rsidR="00EA3204" w:rsidRPr="00C40D21" w:rsidRDefault="00EA3204" w:rsidP="00FC661F">
      <w:pPr>
        <w:pStyle w:val="Heading2"/>
      </w:pPr>
      <w:bookmarkStart w:id="12" w:name="_Toc240558452"/>
      <w:r w:rsidRPr="00C40D21">
        <w:t>1.7 Research Objectives</w:t>
      </w:r>
      <w:bookmarkEnd w:id="12"/>
      <w:r w:rsidRPr="00C40D21">
        <w:t xml:space="preserve"> </w:t>
      </w:r>
    </w:p>
    <w:p w14:paraId="1E01D9DF" w14:textId="0FB7F48E" w:rsidR="00CE5F90" w:rsidRPr="00CE5F90" w:rsidRDefault="00CE5F90" w:rsidP="00CE5F90">
      <w:pPr>
        <w:pStyle w:val="ListParagraph"/>
        <w:numPr>
          <w:ilvl w:val="0"/>
          <w:numId w:val="28"/>
        </w:numPr>
        <w:spacing w:line="360" w:lineRule="auto"/>
        <w:jc w:val="both"/>
        <w:rPr>
          <w:rFonts w:ascii="Arial" w:hAnsi="Arial" w:cs="Arial"/>
          <w:sz w:val="24"/>
          <w:szCs w:val="24"/>
        </w:rPr>
      </w:pPr>
      <w:r w:rsidRPr="00CE5F90">
        <w:rPr>
          <w:rFonts w:ascii="Arial" w:hAnsi="Arial" w:cs="Arial"/>
          <w:sz w:val="24"/>
          <w:szCs w:val="24"/>
        </w:rPr>
        <w:t>To assess current knowledge and practices regarding vitamin D supplementation among older adults and care staff in UK care settings.</w:t>
      </w:r>
    </w:p>
    <w:p w14:paraId="481010EF" w14:textId="04CBB666" w:rsidR="00CE5F90" w:rsidRPr="00CE5F90" w:rsidRDefault="00CE5F90" w:rsidP="00CE5F90">
      <w:pPr>
        <w:pStyle w:val="ListParagraph"/>
        <w:numPr>
          <w:ilvl w:val="0"/>
          <w:numId w:val="28"/>
        </w:numPr>
        <w:spacing w:line="360" w:lineRule="auto"/>
        <w:jc w:val="both"/>
        <w:rPr>
          <w:rFonts w:ascii="Arial" w:hAnsi="Arial" w:cs="Arial"/>
          <w:sz w:val="24"/>
          <w:szCs w:val="24"/>
        </w:rPr>
      </w:pPr>
      <w:r w:rsidRPr="00CE5F90">
        <w:rPr>
          <w:rFonts w:ascii="Arial" w:hAnsi="Arial" w:cs="Arial"/>
          <w:sz w:val="24"/>
          <w:szCs w:val="24"/>
        </w:rPr>
        <w:t>To identify the individual, professional and organisational barriers affecting effective prevention of vitamin D deficiency among older adults in UK care settings.</w:t>
      </w:r>
    </w:p>
    <w:p w14:paraId="79FDD2AD" w14:textId="55536221" w:rsidR="00CE5F90" w:rsidRDefault="00CE5F90" w:rsidP="00CE5F90">
      <w:pPr>
        <w:pStyle w:val="ListParagraph"/>
        <w:numPr>
          <w:ilvl w:val="0"/>
          <w:numId w:val="28"/>
        </w:numPr>
        <w:spacing w:line="360" w:lineRule="auto"/>
        <w:jc w:val="both"/>
        <w:rPr>
          <w:rFonts w:ascii="Arial" w:hAnsi="Arial" w:cs="Arial"/>
          <w:sz w:val="24"/>
          <w:szCs w:val="24"/>
        </w:rPr>
      </w:pPr>
      <w:r w:rsidRPr="00CE5F90">
        <w:rPr>
          <w:rFonts w:ascii="Arial" w:hAnsi="Arial" w:cs="Arial"/>
          <w:sz w:val="24"/>
          <w:szCs w:val="24"/>
        </w:rPr>
        <w:t>To examine practical strategies for improving awareness, screening and supplementation practices to reduce vitamin D-related health risks, particularly falls and fractures</w:t>
      </w:r>
      <w:r w:rsidR="0055489D" w:rsidRPr="00CE5F90">
        <w:rPr>
          <w:rFonts w:ascii="Arial" w:hAnsi="Arial" w:cs="Arial"/>
          <w:sz w:val="24"/>
          <w:szCs w:val="24"/>
        </w:rPr>
        <w:t>.</w:t>
      </w:r>
    </w:p>
    <w:p w14:paraId="7AE86A9F" w14:textId="77777777" w:rsidR="00CE5F90" w:rsidRPr="00CE5F90" w:rsidRDefault="00CE5F90" w:rsidP="00CE5F90">
      <w:pPr>
        <w:spacing w:line="360" w:lineRule="auto"/>
        <w:jc w:val="both"/>
        <w:rPr>
          <w:rFonts w:ascii="Arial" w:hAnsi="Arial" w:cs="Arial"/>
          <w:sz w:val="24"/>
          <w:szCs w:val="24"/>
        </w:rPr>
      </w:pPr>
    </w:p>
    <w:p w14:paraId="7024DACD" w14:textId="0467A5C1" w:rsidR="00CE5F90" w:rsidRDefault="00CE5F90" w:rsidP="00CE5F90">
      <w:pPr>
        <w:pStyle w:val="Caption"/>
        <w:keepNext/>
      </w:pPr>
      <w:bookmarkStart w:id="13" w:name="_Toc240558532"/>
      <w:r>
        <w:lastRenderedPageBreak/>
        <w:t xml:space="preserve">Table </w:t>
      </w:r>
      <w:r>
        <w:fldChar w:fldCharType="begin"/>
      </w:r>
      <w:r>
        <w:instrText xml:space="preserve"> SEQ Table \* ARABIC </w:instrText>
      </w:r>
      <w:r>
        <w:fldChar w:fldCharType="separate"/>
      </w:r>
      <w:r>
        <w:rPr>
          <w:noProof/>
        </w:rPr>
        <w:t>1</w:t>
      </w:r>
      <w:r>
        <w:rPr>
          <w:noProof/>
        </w:rPr>
        <w:fldChar w:fldCharType="end"/>
      </w:r>
      <w:r>
        <w:t>.</w:t>
      </w:r>
      <w:r w:rsidRPr="00B435EA">
        <w:t>Alignment between Aims and Objectives</w:t>
      </w:r>
      <w:bookmarkEnd w:id="13"/>
    </w:p>
    <w:tbl>
      <w:tblPr>
        <w:tblStyle w:val="TableGrid"/>
        <w:tblW w:w="0" w:type="auto"/>
        <w:tblLook w:val="04A0" w:firstRow="1" w:lastRow="0" w:firstColumn="1" w:lastColumn="0" w:noHBand="0" w:noVBand="1"/>
      </w:tblPr>
      <w:tblGrid>
        <w:gridCol w:w="3005"/>
        <w:gridCol w:w="3005"/>
        <w:gridCol w:w="3006"/>
      </w:tblGrid>
      <w:tr w:rsidR="00CE5F90" w:rsidRPr="00CE5F90" w14:paraId="3EE1AA56" w14:textId="77777777" w:rsidTr="00CE5F90">
        <w:tc>
          <w:tcPr>
            <w:tcW w:w="3005" w:type="dxa"/>
          </w:tcPr>
          <w:p w14:paraId="2476F608" w14:textId="77777777" w:rsidR="00CE5F90" w:rsidRPr="003B57A5" w:rsidRDefault="00CE5F90" w:rsidP="00B018DD">
            <w:pPr>
              <w:spacing w:line="360" w:lineRule="auto"/>
              <w:jc w:val="both"/>
              <w:rPr>
                <w:rFonts w:ascii="Arial" w:hAnsi="Arial" w:cs="Arial"/>
                <w:b/>
                <w:sz w:val="24"/>
                <w:szCs w:val="18"/>
              </w:rPr>
            </w:pPr>
            <w:r w:rsidRPr="003B57A5">
              <w:rPr>
                <w:rFonts w:ascii="Arial" w:hAnsi="Arial" w:cs="Arial"/>
                <w:b/>
                <w:sz w:val="24"/>
                <w:szCs w:val="18"/>
              </w:rPr>
              <w:t>Aim</w:t>
            </w:r>
          </w:p>
        </w:tc>
        <w:tc>
          <w:tcPr>
            <w:tcW w:w="3005" w:type="dxa"/>
          </w:tcPr>
          <w:p w14:paraId="02C9638E" w14:textId="77777777" w:rsidR="00CE5F90" w:rsidRPr="003B57A5" w:rsidRDefault="00CE5F90" w:rsidP="00B018DD">
            <w:pPr>
              <w:spacing w:line="360" w:lineRule="auto"/>
              <w:jc w:val="both"/>
              <w:rPr>
                <w:rFonts w:ascii="Arial" w:hAnsi="Arial" w:cs="Arial"/>
                <w:b/>
                <w:sz w:val="24"/>
                <w:szCs w:val="18"/>
              </w:rPr>
            </w:pPr>
            <w:r w:rsidRPr="003B57A5">
              <w:rPr>
                <w:rFonts w:ascii="Arial" w:hAnsi="Arial" w:cs="Arial"/>
                <w:b/>
                <w:sz w:val="24"/>
                <w:szCs w:val="18"/>
              </w:rPr>
              <w:t>Corresponding Objective</w:t>
            </w:r>
          </w:p>
        </w:tc>
        <w:tc>
          <w:tcPr>
            <w:tcW w:w="3006" w:type="dxa"/>
          </w:tcPr>
          <w:p w14:paraId="02FCFF7A" w14:textId="77777777" w:rsidR="00CE5F90" w:rsidRPr="003B57A5" w:rsidRDefault="00CE5F90" w:rsidP="00B018DD">
            <w:pPr>
              <w:spacing w:line="360" w:lineRule="auto"/>
              <w:jc w:val="both"/>
              <w:rPr>
                <w:rFonts w:ascii="Arial" w:hAnsi="Arial" w:cs="Arial"/>
                <w:b/>
                <w:sz w:val="24"/>
                <w:szCs w:val="18"/>
              </w:rPr>
            </w:pPr>
            <w:r w:rsidRPr="003B57A5">
              <w:rPr>
                <w:rFonts w:ascii="Arial" w:hAnsi="Arial" w:cs="Arial"/>
                <w:b/>
                <w:sz w:val="24"/>
                <w:szCs w:val="18"/>
              </w:rPr>
              <w:t>Alignment</w:t>
            </w:r>
          </w:p>
        </w:tc>
      </w:tr>
      <w:tr w:rsidR="00CE5F90" w:rsidRPr="00CE5F90" w14:paraId="114ECB75" w14:textId="77777777" w:rsidTr="00CE5F90">
        <w:tc>
          <w:tcPr>
            <w:tcW w:w="3005" w:type="dxa"/>
          </w:tcPr>
          <w:p w14:paraId="72508CDC"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Aim 1: Evaluate current knowledge and supplementation practices</w:t>
            </w:r>
          </w:p>
        </w:tc>
        <w:tc>
          <w:tcPr>
            <w:tcW w:w="3005" w:type="dxa"/>
          </w:tcPr>
          <w:p w14:paraId="1738D480"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Objective 1: Assess current knowledge and supplementation practices</w:t>
            </w:r>
          </w:p>
        </w:tc>
        <w:tc>
          <w:tcPr>
            <w:tcW w:w="3006" w:type="dxa"/>
          </w:tcPr>
          <w:p w14:paraId="7A3D00A6"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Directly aligned</w:t>
            </w:r>
          </w:p>
        </w:tc>
      </w:tr>
      <w:tr w:rsidR="00CE5F90" w:rsidRPr="00CE5F90" w14:paraId="3F5A208C" w14:textId="77777777" w:rsidTr="00CE5F90">
        <w:tc>
          <w:tcPr>
            <w:tcW w:w="3005" w:type="dxa"/>
          </w:tcPr>
          <w:p w14:paraId="16DFF164"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Aim 2: Identify barriers to prevention</w:t>
            </w:r>
          </w:p>
        </w:tc>
        <w:tc>
          <w:tcPr>
            <w:tcW w:w="3005" w:type="dxa"/>
          </w:tcPr>
          <w:p w14:paraId="283C5169"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Objective 2: Identify individual, professional and organisational barriers</w:t>
            </w:r>
          </w:p>
        </w:tc>
        <w:tc>
          <w:tcPr>
            <w:tcW w:w="3006" w:type="dxa"/>
          </w:tcPr>
          <w:p w14:paraId="2D0BF8F2"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Directly aligned</w:t>
            </w:r>
          </w:p>
        </w:tc>
      </w:tr>
      <w:tr w:rsidR="00CE5F90" w:rsidRPr="00CE5F90" w14:paraId="01728295" w14:textId="77777777" w:rsidTr="00CE5F90">
        <w:tc>
          <w:tcPr>
            <w:tcW w:w="3005" w:type="dxa"/>
          </w:tcPr>
          <w:p w14:paraId="7F9F8361"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Aim 3: Examine practical prevention strategies and their potential to reduce health risks</w:t>
            </w:r>
          </w:p>
        </w:tc>
        <w:tc>
          <w:tcPr>
            <w:tcW w:w="3005" w:type="dxa"/>
          </w:tcPr>
          <w:p w14:paraId="25802F5A"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Objective 3: Examine strategies for improving awareness, screening and supplementation to reduce falls and fractures</w:t>
            </w:r>
          </w:p>
        </w:tc>
        <w:tc>
          <w:tcPr>
            <w:tcW w:w="3006" w:type="dxa"/>
          </w:tcPr>
          <w:p w14:paraId="41A56723" w14:textId="77777777" w:rsidR="00CE5F90" w:rsidRPr="003B57A5" w:rsidRDefault="00CE5F90" w:rsidP="00B018DD">
            <w:pPr>
              <w:spacing w:line="360" w:lineRule="auto"/>
              <w:jc w:val="both"/>
              <w:rPr>
                <w:rFonts w:ascii="Arial" w:hAnsi="Arial" w:cs="Arial"/>
                <w:sz w:val="24"/>
                <w:szCs w:val="18"/>
              </w:rPr>
            </w:pPr>
            <w:r w:rsidRPr="003B57A5">
              <w:rPr>
                <w:rFonts w:ascii="Arial" w:hAnsi="Arial" w:cs="Arial"/>
                <w:sz w:val="24"/>
                <w:szCs w:val="18"/>
              </w:rPr>
              <w:t>Directly aligned</w:t>
            </w:r>
          </w:p>
        </w:tc>
      </w:tr>
    </w:tbl>
    <w:p w14:paraId="1E6C0392" w14:textId="77777777" w:rsidR="009D0101" w:rsidRDefault="009D0101" w:rsidP="009D0101"/>
    <w:p w14:paraId="6134C776" w14:textId="4DC87637" w:rsidR="00F0183F" w:rsidRPr="00C40D21" w:rsidRDefault="00F0183F" w:rsidP="00FC661F">
      <w:pPr>
        <w:pStyle w:val="Heading2"/>
      </w:pPr>
      <w:bookmarkStart w:id="14" w:name="_Toc240558453"/>
      <w:r w:rsidRPr="00C40D21">
        <w:t>1.8 Significance of the Study</w:t>
      </w:r>
      <w:bookmarkEnd w:id="14"/>
    </w:p>
    <w:p w14:paraId="33A33F24" w14:textId="591676FE" w:rsidR="0018258A" w:rsidRPr="0018258A" w:rsidRDefault="0018258A" w:rsidP="0018258A">
      <w:pPr>
        <w:spacing w:line="360" w:lineRule="auto"/>
        <w:jc w:val="both"/>
        <w:rPr>
          <w:rFonts w:ascii="Arial" w:hAnsi="Arial" w:cs="Arial"/>
          <w:sz w:val="24"/>
          <w:szCs w:val="24"/>
        </w:rPr>
      </w:pPr>
      <w:r w:rsidRPr="0018258A">
        <w:rPr>
          <w:rFonts w:ascii="Arial" w:hAnsi="Arial" w:cs="Arial"/>
          <w:sz w:val="24"/>
          <w:szCs w:val="24"/>
        </w:rPr>
        <w:t>This study will be of importance as it will help raise awareness and prevent vitamin D deficiency in older people in care homes in the UK as this population are at a higher risk for poor health outcomes from low vitamin D. National organisations advise that vitamin D should be routinely prescribed for high-risk groups, but there is limited evidence of awareness, implementation of guidance and supplement use across care home settings (NICE, 2024; NHS England, 2024). This research aims to understand current knowledge, attitudes and preventive practices to offer evidence on how person-</w:t>
      </w:r>
      <w:r w:rsidR="006C5761">
        <w:rPr>
          <w:rFonts w:ascii="Arial" w:hAnsi="Arial" w:cs="Arial"/>
          <w:sz w:val="24"/>
          <w:szCs w:val="24"/>
        </w:rPr>
        <w:t>centred care could be improved.</w:t>
      </w:r>
    </w:p>
    <w:p w14:paraId="337576EE" w14:textId="34DC8CCC" w:rsidR="0018258A" w:rsidRPr="0018258A" w:rsidRDefault="0018258A" w:rsidP="0018258A">
      <w:pPr>
        <w:spacing w:line="360" w:lineRule="auto"/>
        <w:jc w:val="both"/>
        <w:rPr>
          <w:rFonts w:ascii="Arial" w:hAnsi="Arial" w:cs="Arial"/>
          <w:sz w:val="24"/>
          <w:szCs w:val="24"/>
        </w:rPr>
      </w:pPr>
      <w:r w:rsidRPr="0018258A">
        <w:rPr>
          <w:rFonts w:ascii="Arial" w:hAnsi="Arial" w:cs="Arial"/>
          <w:sz w:val="24"/>
          <w:szCs w:val="24"/>
        </w:rPr>
        <w:t xml:space="preserve">The results will be useful for health care professionals </w:t>
      </w:r>
      <w:r w:rsidR="006C5761" w:rsidRPr="0018258A">
        <w:rPr>
          <w:rFonts w:ascii="Arial" w:hAnsi="Arial" w:cs="Arial"/>
          <w:sz w:val="24"/>
          <w:szCs w:val="24"/>
        </w:rPr>
        <w:t>(nurses</w:t>
      </w:r>
      <w:r w:rsidRPr="0018258A">
        <w:rPr>
          <w:rFonts w:ascii="Arial" w:hAnsi="Arial" w:cs="Arial"/>
          <w:sz w:val="24"/>
          <w:szCs w:val="24"/>
        </w:rPr>
        <w:t>, care assistants, general practitioners and dietitians) to identify knowledge gaps and opportunities for further education and professional development of staff. Raising awareness among health workers could help to increase the consistency of checking for vitamin D deficiency, ensure appropriate supplementation and earlier detection of the risk of vitamin D deficiency in residents (British Geriatrics Socie</w:t>
      </w:r>
      <w:r w:rsidR="006C5761">
        <w:rPr>
          <w:rFonts w:ascii="Arial" w:hAnsi="Arial" w:cs="Arial"/>
          <w:sz w:val="24"/>
          <w:szCs w:val="24"/>
        </w:rPr>
        <w:t>ty, 2023; Turner et al., 2023).</w:t>
      </w:r>
    </w:p>
    <w:p w14:paraId="108DC524" w14:textId="5F0E6A7E" w:rsidR="00A24B29" w:rsidRPr="00A24B29" w:rsidRDefault="0018258A" w:rsidP="0018258A">
      <w:pPr>
        <w:spacing w:line="360" w:lineRule="auto"/>
        <w:jc w:val="both"/>
        <w:rPr>
          <w:rFonts w:ascii="Arial" w:hAnsi="Arial" w:cs="Arial"/>
          <w:sz w:val="24"/>
          <w:szCs w:val="24"/>
        </w:rPr>
      </w:pPr>
      <w:r w:rsidRPr="0018258A">
        <w:rPr>
          <w:rFonts w:ascii="Arial" w:hAnsi="Arial" w:cs="Arial"/>
          <w:sz w:val="24"/>
          <w:szCs w:val="24"/>
        </w:rPr>
        <w:lastRenderedPageBreak/>
        <w:t>The study will also be useful to care home managers and providers as evidence can be used to support policy decisions, staff training and quality improvement initiatives within their organisations. Improving vitamin D prevention strategies could lead to fewer falls, fractures, hospital admissions and health service costs, and enhance residents' quality of life and independence (Office for Health Improvement</w:t>
      </w:r>
      <w:r w:rsidR="006C5761">
        <w:rPr>
          <w:rFonts w:ascii="Arial" w:hAnsi="Arial" w:cs="Arial"/>
          <w:sz w:val="24"/>
          <w:szCs w:val="24"/>
        </w:rPr>
        <w:t xml:space="preserve"> and Disparities (OHID), 2023).</w:t>
      </w:r>
      <w:r w:rsidR="00FC64BB">
        <w:rPr>
          <w:rFonts w:ascii="Arial" w:hAnsi="Arial" w:cs="Arial"/>
          <w:sz w:val="24"/>
          <w:szCs w:val="24"/>
        </w:rPr>
        <w:t xml:space="preserve"> </w:t>
      </w:r>
      <w:r w:rsidRPr="0018258A">
        <w:rPr>
          <w:rFonts w:ascii="Arial" w:hAnsi="Arial" w:cs="Arial"/>
          <w:sz w:val="24"/>
          <w:szCs w:val="24"/>
        </w:rPr>
        <w:t xml:space="preserve">On a broader scale, the results will add to the body of knowledge in public health and social care to fill a gap in the literature for knowledge about awareness and prevention in UK care homes. The study could also inform health policy makers of the need for the review of existing guidance and the creation of better health promotion policies for older people. </w:t>
      </w:r>
    </w:p>
    <w:p w14:paraId="61B30BCD" w14:textId="77777777" w:rsidR="00A24B29" w:rsidRDefault="00A24B29" w:rsidP="00FC661F">
      <w:pPr>
        <w:pStyle w:val="Heading2"/>
      </w:pPr>
      <w:bookmarkStart w:id="15" w:name="_Toc240558454"/>
      <w:r w:rsidRPr="00A24B29">
        <w:t>1.9 Summary of the Chapter</w:t>
      </w:r>
      <w:bookmarkEnd w:id="15"/>
    </w:p>
    <w:p w14:paraId="30597078" w14:textId="67BB7101" w:rsidR="00DD7EC2" w:rsidRDefault="002D5D12" w:rsidP="00DD7EC2">
      <w:pPr>
        <w:spacing w:before="240" w:line="360" w:lineRule="auto"/>
        <w:jc w:val="both"/>
        <w:rPr>
          <w:rFonts w:ascii="Arial" w:hAnsi="Arial" w:cs="Arial"/>
          <w:sz w:val="24"/>
          <w:szCs w:val="24"/>
        </w:rPr>
      </w:pPr>
      <w:r w:rsidRPr="002D5D12">
        <w:rPr>
          <w:rFonts w:ascii="Arial" w:hAnsi="Arial" w:cs="Arial"/>
          <w:sz w:val="24"/>
          <w:szCs w:val="24"/>
        </w:rPr>
        <w:t>This chapter set the background of the research area, and presented an overview of the vitamin D deficiency amongst older adults residing in UK care homes. It briefly summarized the background information of the study and emphasized the significance of vitamin D in bone health and function, muscle function, and overall wellbeing. The chapter highlighted vitamin D deficiency as a major public health concern and the impact of poor awareness and inconsistent supplementation practices and limited level of implementation of national guidance. It also explained the need to conduct the study and highlighted the need to study the issue of awareness and prevention practices in UK care homes as it was identified that this area was lacking in the literature. Moreover, the research question, aim, objectives and significance of study were discussed in the chapter, which shows the potential of study for the further study and practice in healthcare. In summary, the chapter set the stage for the remaining chapters, in defining the research focus and providing directio</w:t>
      </w:r>
      <w:r>
        <w:rPr>
          <w:rFonts w:ascii="Arial" w:hAnsi="Arial" w:cs="Arial"/>
          <w:sz w:val="24"/>
          <w:szCs w:val="24"/>
        </w:rPr>
        <w:t>n of the proposed investigation</w:t>
      </w:r>
      <w:r w:rsidR="00A24B29" w:rsidRPr="00A24B29">
        <w:rPr>
          <w:rFonts w:ascii="Arial" w:hAnsi="Arial" w:cs="Arial"/>
          <w:sz w:val="24"/>
          <w:szCs w:val="24"/>
        </w:rPr>
        <w:t>.</w:t>
      </w:r>
      <w:r w:rsidR="00D326B5" w:rsidRPr="00C40D21">
        <w:rPr>
          <w:rFonts w:ascii="Arial" w:hAnsi="Arial" w:cs="Arial"/>
          <w:sz w:val="24"/>
          <w:szCs w:val="24"/>
        </w:rPr>
        <w:t xml:space="preserve"> </w:t>
      </w:r>
      <w:r w:rsidR="00F55794">
        <w:rPr>
          <w:rFonts w:ascii="Arial" w:hAnsi="Arial" w:cs="Arial"/>
          <w:sz w:val="24"/>
          <w:szCs w:val="24"/>
        </w:rPr>
        <w:t>Integrating these results, the next section dives deeper into chapter two.</w:t>
      </w:r>
    </w:p>
    <w:p w14:paraId="39BB17AA" w14:textId="723C77A5" w:rsidR="000D4EC8" w:rsidRDefault="000D4EC8" w:rsidP="00A24B29">
      <w:pPr>
        <w:spacing w:line="360" w:lineRule="auto"/>
        <w:jc w:val="both"/>
        <w:rPr>
          <w:rFonts w:ascii="Arial" w:hAnsi="Arial" w:cs="Arial"/>
          <w:sz w:val="24"/>
          <w:szCs w:val="24"/>
        </w:rPr>
      </w:pPr>
    </w:p>
    <w:p w14:paraId="788028C5" w14:textId="1D836165" w:rsidR="00C365C4" w:rsidRDefault="00C365C4" w:rsidP="00A24B29">
      <w:pPr>
        <w:spacing w:line="360" w:lineRule="auto"/>
        <w:jc w:val="both"/>
        <w:rPr>
          <w:rFonts w:ascii="Arial" w:hAnsi="Arial" w:cs="Arial"/>
          <w:sz w:val="24"/>
          <w:szCs w:val="24"/>
        </w:rPr>
      </w:pPr>
    </w:p>
    <w:p w14:paraId="543C2633" w14:textId="7963A007" w:rsidR="00E329DB" w:rsidRDefault="00E329DB" w:rsidP="00A24B29">
      <w:pPr>
        <w:spacing w:line="360" w:lineRule="auto"/>
        <w:jc w:val="both"/>
        <w:rPr>
          <w:rFonts w:ascii="Arial" w:hAnsi="Arial" w:cs="Arial"/>
          <w:sz w:val="24"/>
          <w:szCs w:val="24"/>
        </w:rPr>
      </w:pPr>
    </w:p>
    <w:p w14:paraId="7DFF28FF" w14:textId="77777777" w:rsidR="00E329DB" w:rsidRDefault="00E329DB" w:rsidP="00A24B29">
      <w:pPr>
        <w:spacing w:line="360" w:lineRule="auto"/>
        <w:jc w:val="both"/>
        <w:rPr>
          <w:rFonts w:ascii="Arial" w:hAnsi="Arial" w:cs="Arial"/>
          <w:sz w:val="24"/>
          <w:szCs w:val="24"/>
        </w:rPr>
      </w:pPr>
    </w:p>
    <w:p w14:paraId="70BE395C" w14:textId="0F924722" w:rsidR="00C365C4" w:rsidRDefault="00C365C4" w:rsidP="00A24B29">
      <w:pPr>
        <w:spacing w:line="360" w:lineRule="auto"/>
        <w:jc w:val="both"/>
        <w:rPr>
          <w:rFonts w:ascii="Arial" w:hAnsi="Arial" w:cs="Arial"/>
          <w:sz w:val="24"/>
          <w:szCs w:val="24"/>
        </w:rPr>
      </w:pPr>
    </w:p>
    <w:p w14:paraId="452E1C6F" w14:textId="0E24A3C9" w:rsidR="00511291" w:rsidRPr="005C5396" w:rsidRDefault="00511291" w:rsidP="00462F16">
      <w:pPr>
        <w:pStyle w:val="Heading1"/>
      </w:pPr>
      <w:bookmarkStart w:id="16" w:name="_Toc233577704"/>
      <w:bookmarkStart w:id="17" w:name="_Toc240558455"/>
      <w:r w:rsidRPr="00511291">
        <w:lastRenderedPageBreak/>
        <w:t>Chapter 2: Literature review/theoretical framework</w:t>
      </w:r>
      <w:bookmarkEnd w:id="16"/>
      <w:bookmarkEnd w:id="17"/>
      <w:r w:rsidRPr="00511291">
        <w:t xml:space="preserve"> </w:t>
      </w:r>
    </w:p>
    <w:p w14:paraId="0B6D84EC" w14:textId="6F1F825D" w:rsidR="00511291" w:rsidRPr="005C5396" w:rsidRDefault="009C23A2" w:rsidP="00FC661F">
      <w:pPr>
        <w:pStyle w:val="Heading2"/>
      </w:pPr>
      <w:bookmarkStart w:id="18" w:name="_Toc240558456"/>
      <w:r w:rsidRPr="005C5396">
        <w:t>2.1 Introduction</w:t>
      </w:r>
      <w:bookmarkEnd w:id="18"/>
    </w:p>
    <w:p w14:paraId="355CD043" w14:textId="77777777" w:rsidR="008A2552" w:rsidRPr="008A2552" w:rsidRDefault="008A2552" w:rsidP="008A2552">
      <w:pPr>
        <w:spacing w:before="240" w:line="360" w:lineRule="auto"/>
        <w:jc w:val="both"/>
        <w:rPr>
          <w:rFonts w:ascii="Arial" w:hAnsi="Arial" w:cs="Arial"/>
          <w:sz w:val="24"/>
          <w:szCs w:val="24"/>
        </w:rPr>
      </w:pPr>
      <w:r w:rsidRPr="008A2552">
        <w:rPr>
          <w:rFonts w:ascii="Arial" w:hAnsi="Arial" w:cs="Arial"/>
          <w:sz w:val="24"/>
          <w:szCs w:val="24"/>
        </w:rPr>
        <w:t>This chapter will critically examine the literature on vitamin D deficiency in the older people residing in UK care homes. The chapter will review the current evidence for the physiological role of vitamin D, prevalence of vitamin D deficiency, awareness and knowledge of vitamin D supplementation, barriers to effective vitamin D prevention and interventions to improve vitamin D status in institutional environments. The chapter will not only describe past research, but compare and critically evaluate the results, methods, strengths, and weaknesses of the research to gain insight into what is currently known and where there are conflicting perspectives in the literature (Snyder, 2019).</w:t>
      </w:r>
    </w:p>
    <w:p w14:paraId="44AE6B7D" w14:textId="77777777" w:rsidR="008A2552" w:rsidRPr="008A2552" w:rsidRDefault="008A2552" w:rsidP="008A2552">
      <w:pPr>
        <w:spacing w:before="240" w:line="360" w:lineRule="auto"/>
        <w:jc w:val="both"/>
        <w:rPr>
          <w:rFonts w:ascii="Arial" w:hAnsi="Arial" w:cs="Arial"/>
          <w:sz w:val="24"/>
          <w:szCs w:val="24"/>
        </w:rPr>
      </w:pPr>
      <w:r w:rsidRPr="008A2552">
        <w:rPr>
          <w:rFonts w:ascii="Arial" w:hAnsi="Arial" w:cs="Arial"/>
          <w:sz w:val="24"/>
          <w:szCs w:val="24"/>
        </w:rPr>
        <w:t>Examples of evidence from national and international organisations, such as the National Institute for Health and Care Excellence (NICE), the Office for Health Improvement and Disparities (OHID), the National Health Service (NHS) and the World Health Organization (WHO), will also be explored along with peer-reviewed journal articles. Specific attention will be paid to studies published in the past five years to reflect current public health policy and new research advances (Cashman et al., 2023).</w:t>
      </w:r>
    </w:p>
    <w:p w14:paraId="2AFDBFAD" w14:textId="77777777" w:rsidR="008A2552" w:rsidRPr="008A2552" w:rsidRDefault="008A2552" w:rsidP="00FC661F">
      <w:pPr>
        <w:pStyle w:val="Heading2"/>
      </w:pPr>
      <w:bookmarkStart w:id="19" w:name="_Toc240558457"/>
      <w:r w:rsidRPr="008A2552">
        <w:t>2.2 Literature Search Strategy</w:t>
      </w:r>
      <w:bookmarkEnd w:id="19"/>
    </w:p>
    <w:p w14:paraId="63AF190D" w14:textId="77777777" w:rsidR="008A2552" w:rsidRPr="008A2552" w:rsidRDefault="008A2552" w:rsidP="008A2552">
      <w:pPr>
        <w:spacing w:before="240" w:line="360" w:lineRule="auto"/>
        <w:jc w:val="both"/>
        <w:rPr>
          <w:rFonts w:ascii="Arial" w:hAnsi="Arial" w:cs="Arial"/>
          <w:sz w:val="24"/>
          <w:szCs w:val="24"/>
        </w:rPr>
      </w:pPr>
      <w:r w:rsidRPr="008A2552">
        <w:rPr>
          <w:rFonts w:ascii="Arial" w:hAnsi="Arial" w:cs="Arial"/>
          <w:sz w:val="24"/>
          <w:szCs w:val="24"/>
        </w:rPr>
        <w:t>A literature search will be carried out in a structured way to locate the evidence that was used for the background and critical literature search in this dissertation. The initial search will comprise a scoping review to explore key concepts, important publications, systematic reviews and current research into vitamin D deficiency, awareness, supplementation and prevention in care home settings for older people. The scoping process will help to narrow the focus of the research and help to identify areas where there is a lack of evidence (Arksey and O'Malley, 2005).</w:t>
      </w:r>
    </w:p>
    <w:p w14:paraId="37171D42" w14:textId="40B1711F" w:rsidR="00156C44" w:rsidRDefault="008A2552" w:rsidP="002519D7">
      <w:pPr>
        <w:spacing w:before="240" w:line="360" w:lineRule="auto"/>
        <w:jc w:val="both"/>
        <w:rPr>
          <w:rFonts w:ascii="Arial" w:hAnsi="Arial" w:cs="Arial"/>
          <w:sz w:val="24"/>
          <w:szCs w:val="24"/>
        </w:rPr>
      </w:pPr>
      <w:r w:rsidRPr="008A2552">
        <w:rPr>
          <w:rFonts w:ascii="Arial" w:hAnsi="Arial" w:cs="Arial"/>
          <w:sz w:val="24"/>
          <w:szCs w:val="24"/>
        </w:rPr>
        <w:t xml:space="preserve">Public health, nursing, social care, epidemiology and medical research will be comprehensively covered in electronic bibliographic databases such as PubMed/MEDLINE, CINAHL Complete, Scopus, Web of Science, PsycINFO and the Cochrane Library. The NHS, NICE, Office for Health Improvement and Disparities (OHID), World Health Organization (WHO) and the British Geriatrics Society will be </w:t>
      </w:r>
      <w:r w:rsidRPr="008A2552">
        <w:rPr>
          <w:rFonts w:ascii="Arial" w:hAnsi="Arial" w:cs="Arial"/>
          <w:sz w:val="24"/>
          <w:szCs w:val="24"/>
        </w:rPr>
        <w:lastRenderedPageBreak/>
        <w:t>searched to identify additional literature to gain clinical guidelines and policy documents relevant to the matter.</w:t>
      </w:r>
      <w:r w:rsidR="00C648A7">
        <w:rPr>
          <w:rFonts w:ascii="Arial" w:hAnsi="Arial" w:cs="Arial"/>
          <w:sz w:val="24"/>
          <w:szCs w:val="24"/>
        </w:rPr>
        <w:t xml:space="preserve">  </w:t>
      </w:r>
      <w:r w:rsidRPr="008A2552">
        <w:rPr>
          <w:rFonts w:ascii="Arial" w:hAnsi="Arial" w:cs="Arial"/>
          <w:sz w:val="24"/>
          <w:szCs w:val="24"/>
        </w:rPr>
        <w:t xml:space="preserve">The main search terms used will be: Vitamin D deficiency, Vitamin D supplementation, Older adults/elderly, Care homes/nursing homes, Residential care, Awareness, Knowledge, Prevention, Falls, Fractures and United Kingdom. Boolean operators, AND </w:t>
      </w:r>
      <w:proofErr w:type="spellStart"/>
      <w:r w:rsidRPr="008A2552">
        <w:rPr>
          <w:rFonts w:ascii="Arial" w:hAnsi="Arial" w:cs="Arial"/>
          <w:sz w:val="24"/>
          <w:szCs w:val="24"/>
        </w:rPr>
        <w:t>and</w:t>
      </w:r>
      <w:proofErr w:type="spellEnd"/>
      <w:r w:rsidRPr="008A2552">
        <w:rPr>
          <w:rFonts w:ascii="Arial" w:hAnsi="Arial" w:cs="Arial"/>
          <w:sz w:val="24"/>
          <w:szCs w:val="24"/>
        </w:rPr>
        <w:t xml:space="preserve"> OR, will be used to expand or narrow search when </w:t>
      </w:r>
      <w:r w:rsidR="00FC661F" w:rsidRPr="008A2552">
        <w:rPr>
          <w:rFonts w:ascii="Arial" w:hAnsi="Arial" w:cs="Arial"/>
          <w:sz w:val="24"/>
          <w:szCs w:val="24"/>
        </w:rPr>
        <w:t xml:space="preserve">relevant. </w:t>
      </w:r>
    </w:p>
    <w:p w14:paraId="5B24ADC4" w14:textId="608F7059" w:rsidR="006C45C3" w:rsidRPr="006C45C3" w:rsidRDefault="003F68FC" w:rsidP="00FC661F">
      <w:pPr>
        <w:pStyle w:val="Heading2"/>
      </w:pPr>
      <w:bookmarkStart w:id="20" w:name="_Toc240558458"/>
      <w:r>
        <w:t>2.3 Literature Review</w:t>
      </w:r>
      <w:bookmarkEnd w:id="20"/>
      <w:r>
        <w:tab/>
      </w:r>
    </w:p>
    <w:p w14:paraId="292B217B" w14:textId="0210A10B" w:rsidR="006C45C3" w:rsidRDefault="00FC661F" w:rsidP="00081EFD">
      <w:pPr>
        <w:pStyle w:val="Heading3"/>
      </w:pPr>
      <w:bookmarkStart w:id="21" w:name="_Toc240558459"/>
      <w:r>
        <w:t>2.3.1 Theme</w:t>
      </w:r>
      <w:r w:rsidR="006C45C3" w:rsidRPr="006C45C3">
        <w:t xml:space="preserve"> 1: Vitamin D and Older Adults</w:t>
      </w:r>
      <w:bookmarkEnd w:id="21"/>
      <w:r w:rsidR="006C45C3" w:rsidRPr="006C45C3">
        <w:tab/>
      </w:r>
    </w:p>
    <w:p w14:paraId="54C317D4" w14:textId="565E4F6F" w:rsidR="00BE4215" w:rsidRPr="00BE4215" w:rsidRDefault="00BE4215" w:rsidP="00BE4215">
      <w:pPr>
        <w:spacing w:before="240" w:line="360" w:lineRule="auto"/>
        <w:jc w:val="both"/>
        <w:rPr>
          <w:rFonts w:ascii="Arial" w:hAnsi="Arial" w:cs="Arial"/>
          <w:sz w:val="24"/>
          <w:szCs w:val="24"/>
        </w:rPr>
      </w:pPr>
      <w:r w:rsidRPr="00BE4215">
        <w:rPr>
          <w:rFonts w:ascii="Arial" w:hAnsi="Arial" w:cs="Arial"/>
          <w:sz w:val="24"/>
          <w:szCs w:val="24"/>
        </w:rPr>
        <w:t>In this section Vitamin D will be discussed as an important nutrient to support musculoskeletal health, immune function and well-being in older adults. Physiological changes in the body are related to ageing, which can limit the production of vitamin D by sunlight, making older people more susceptible to vitamin D deficiency. The ageing population and rising proportion of older adults in long-term residential care settings has made this an increasingly significant public health issue in the United Kingdom (</w:t>
      </w:r>
      <w:r w:rsidR="004D3D94">
        <w:rPr>
          <w:rFonts w:ascii="Arial" w:hAnsi="Arial" w:cs="Arial"/>
          <w:sz w:val="24"/>
          <w:szCs w:val="24"/>
        </w:rPr>
        <w:t>National Health Service, 2024).</w:t>
      </w:r>
    </w:p>
    <w:p w14:paraId="5824768C" w14:textId="6C415B1F" w:rsidR="00BE4215" w:rsidRPr="00BE4215" w:rsidRDefault="00BE4215" w:rsidP="00BE4215">
      <w:pPr>
        <w:spacing w:before="240" w:line="360" w:lineRule="auto"/>
        <w:jc w:val="both"/>
        <w:rPr>
          <w:rFonts w:ascii="Arial" w:hAnsi="Arial" w:cs="Arial"/>
          <w:sz w:val="24"/>
          <w:szCs w:val="24"/>
        </w:rPr>
      </w:pPr>
      <w:r w:rsidRPr="00BE4215">
        <w:rPr>
          <w:rFonts w:ascii="Arial" w:hAnsi="Arial" w:cs="Arial"/>
          <w:sz w:val="24"/>
          <w:szCs w:val="24"/>
        </w:rPr>
        <w:t>Vitamin D is a fat soluble vitamin that is vital to the regulation of calcium and phosphate metabolism, the function of which is to help keep bones and muscles healthy. It also plays a role in immune modulation and muscle strength, helping to prevent falls and fractures in older people (National Institute for Health and Care Excellence, 2022). People aged over 65 years are one of the groups at highest risk of vitamin D deficiency, due to reduced ability of the skin to produce vitamin D from the ultra-violet B radiation (UVB) it needs to do so (Office for Health Impr</w:t>
      </w:r>
      <w:r w:rsidR="004D3D94">
        <w:rPr>
          <w:rFonts w:ascii="Arial" w:hAnsi="Arial" w:cs="Arial"/>
          <w:sz w:val="24"/>
          <w:szCs w:val="24"/>
        </w:rPr>
        <w:t xml:space="preserve">ovement and Disparities 2023). </w:t>
      </w:r>
    </w:p>
    <w:p w14:paraId="290F4784" w14:textId="5829ED9C" w:rsidR="00BE4215" w:rsidRPr="00BE4215" w:rsidRDefault="00BE4215" w:rsidP="00BE4215">
      <w:pPr>
        <w:spacing w:before="240" w:line="360" w:lineRule="auto"/>
        <w:jc w:val="both"/>
        <w:rPr>
          <w:rFonts w:ascii="Arial" w:hAnsi="Arial" w:cs="Arial"/>
          <w:sz w:val="24"/>
          <w:szCs w:val="24"/>
        </w:rPr>
      </w:pPr>
      <w:r w:rsidRPr="00BE4215">
        <w:rPr>
          <w:rFonts w:ascii="Arial" w:hAnsi="Arial" w:cs="Arial"/>
          <w:sz w:val="24"/>
          <w:szCs w:val="24"/>
        </w:rPr>
        <w:t>Multiple studies have indicated that vitamin D deficiency is very common in the elderly population around the globe. Although EU countries have guidelines on vitamin D supplementation, vitamin D insufficiency continues to be widespread, according to a systematic review by Cashman et al. (2023). Likewise, limited outdoor exposure and dietary intake of vitamin D by institutionalised older adults was consistently associated with lower serum vitamin D levels compared with community-dwelling older</w:t>
      </w:r>
      <w:r w:rsidR="004D3D94">
        <w:rPr>
          <w:rFonts w:ascii="Arial" w:hAnsi="Arial" w:cs="Arial"/>
          <w:sz w:val="24"/>
          <w:szCs w:val="24"/>
        </w:rPr>
        <w:t xml:space="preserve"> adults (Feehan et al., 2022). </w:t>
      </w:r>
    </w:p>
    <w:p w14:paraId="481C7E89" w14:textId="5EB19975" w:rsidR="00BE4215" w:rsidRPr="00BE4215" w:rsidRDefault="00BE4215" w:rsidP="00BE4215">
      <w:pPr>
        <w:spacing w:before="240" w:line="360" w:lineRule="auto"/>
        <w:jc w:val="both"/>
        <w:rPr>
          <w:rFonts w:ascii="Arial" w:hAnsi="Arial" w:cs="Arial"/>
          <w:sz w:val="24"/>
          <w:szCs w:val="24"/>
        </w:rPr>
      </w:pPr>
      <w:r w:rsidRPr="00BE4215">
        <w:rPr>
          <w:rFonts w:ascii="Arial" w:hAnsi="Arial" w:cs="Arial"/>
          <w:sz w:val="24"/>
          <w:szCs w:val="24"/>
        </w:rPr>
        <w:t xml:space="preserve">Studies also show vitamin D deficiency has also significant clinical implications for elderly people. Low levels of vitamin D have been linked to poor muscle strength, </w:t>
      </w:r>
      <w:r w:rsidRPr="00BE4215">
        <w:rPr>
          <w:rFonts w:ascii="Arial" w:hAnsi="Arial" w:cs="Arial"/>
          <w:sz w:val="24"/>
          <w:szCs w:val="24"/>
        </w:rPr>
        <w:lastRenderedPageBreak/>
        <w:t xml:space="preserve">poorer balance, osteoporosis, higher risk of falls and fragility fractures (McSorley et al., 2020). It is recognised that vitamin D deficiency is a modifiable risk factor for falls, which is one of the main causes of injury-related admissions to hospital in older people in the UK (National Health Service, 2024). </w:t>
      </w:r>
    </w:p>
    <w:p w14:paraId="13040960" w14:textId="14885465" w:rsidR="00BE4215" w:rsidRPr="00BE4215" w:rsidRDefault="00BE4215" w:rsidP="00BE4215">
      <w:pPr>
        <w:spacing w:before="240" w:line="360" w:lineRule="auto"/>
        <w:jc w:val="both"/>
        <w:rPr>
          <w:rFonts w:ascii="Arial" w:hAnsi="Arial" w:cs="Arial"/>
          <w:sz w:val="24"/>
          <w:szCs w:val="24"/>
        </w:rPr>
      </w:pPr>
      <w:r w:rsidRPr="00BE4215">
        <w:rPr>
          <w:rFonts w:ascii="Arial" w:hAnsi="Arial" w:cs="Arial"/>
          <w:sz w:val="24"/>
          <w:szCs w:val="24"/>
        </w:rPr>
        <w:t xml:space="preserve">But there's conflicting research on the benefits of vitamin D supplementation. Some scientists have suggested that vitamin D supplementation might not make a large difference in fracture incidence unless sufficient calcium is consumed, physical activity is practiced, and comprehensive fall-prevention programmes are implemented (Bolland et al., 2022); </w:t>
      </w:r>
      <w:proofErr w:type="spellStart"/>
      <w:r w:rsidRPr="00BE4215">
        <w:rPr>
          <w:rFonts w:ascii="Arial" w:hAnsi="Arial" w:cs="Arial"/>
          <w:sz w:val="24"/>
          <w:szCs w:val="24"/>
        </w:rPr>
        <w:t>Rombel</w:t>
      </w:r>
      <w:proofErr w:type="spellEnd"/>
      <w:r w:rsidRPr="00BE4215">
        <w:rPr>
          <w:rFonts w:ascii="Arial" w:hAnsi="Arial" w:cs="Arial"/>
          <w:sz w:val="24"/>
          <w:szCs w:val="24"/>
        </w:rPr>
        <w:t xml:space="preserve"> et al. (2025) found that routine supplementation is cost-effective and can significantly improve vitamin D status among older adults. Another critical issue that is raised in the recent literature is that of awareness. </w:t>
      </w:r>
    </w:p>
    <w:p w14:paraId="2D6FA27A" w14:textId="04B26F8E" w:rsidR="007E3114" w:rsidRPr="006C45C3" w:rsidRDefault="00BE4215" w:rsidP="00BE4215">
      <w:pPr>
        <w:spacing w:before="240" w:line="360" w:lineRule="auto"/>
        <w:jc w:val="both"/>
        <w:rPr>
          <w:rFonts w:ascii="Arial" w:hAnsi="Arial" w:cs="Arial"/>
          <w:sz w:val="24"/>
          <w:szCs w:val="24"/>
        </w:rPr>
      </w:pPr>
      <w:r w:rsidRPr="00BE4215">
        <w:rPr>
          <w:rFonts w:ascii="Arial" w:hAnsi="Arial" w:cs="Arial"/>
          <w:sz w:val="24"/>
          <w:szCs w:val="24"/>
        </w:rPr>
        <w:t xml:space="preserve">In summary, there is strong evidence that vitamin D deficiency is a major health problem in older people due to ageing-related changes, decreased sunlight exposure, inadequate dietary intake and presence of multiple chronic health conditions. </w:t>
      </w:r>
    </w:p>
    <w:p w14:paraId="22077B1C" w14:textId="73AC1914" w:rsidR="0096159D" w:rsidRDefault="009031ED" w:rsidP="00081EFD">
      <w:pPr>
        <w:pStyle w:val="Heading3"/>
      </w:pPr>
      <w:bookmarkStart w:id="22" w:name="_Toc240558460"/>
      <w:r>
        <w:t>2.3.2</w:t>
      </w:r>
      <w:r w:rsidR="006C45C3" w:rsidRPr="006C45C3">
        <w:t xml:space="preserve"> Theme 2: Prevalence in UK Care Homes</w:t>
      </w:r>
      <w:bookmarkEnd w:id="22"/>
    </w:p>
    <w:p w14:paraId="5A3B877A" w14:textId="5A68116E" w:rsidR="00E63D8B" w:rsidRPr="00E63D8B" w:rsidRDefault="00E63D8B" w:rsidP="00E63D8B">
      <w:pPr>
        <w:spacing w:before="240" w:line="360" w:lineRule="auto"/>
        <w:jc w:val="both"/>
        <w:rPr>
          <w:rFonts w:ascii="Arial" w:hAnsi="Arial" w:cs="Arial"/>
          <w:sz w:val="24"/>
          <w:szCs w:val="24"/>
        </w:rPr>
      </w:pPr>
      <w:r w:rsidRPr="00E63D8B">
        <w:rPr>
          <w:rFonts w:ascii="Arial" w:hAnsi="Arial" w:cs="Arial"/>
          <w:sz w:val="24"/>
          <w:szCs w:val="24"/>
        </w:rPr>
        <w:t>In this section, the vitamin D deficiency will be explored as an important public health problem among older adults in the UK care homes. Residents of residential and nursing care facilities are far more likely to be vitamin D deficient than community-dwelling older people due to decreased sun exposure, reduced mobility, multiple chronic conditions, low intake of vitamin D-rich foods and increasing frailty (National Health Service, 2024). The above factors contribute to the vulnerability of people in care homes and the need to implem</w:t>
      </w:r>
      <w:r w:rsidR="009031ED">
        <w:rPr>
          <w:rFonts w:ascii="Arial" w:hAnsi="Arial" w:cs="Arial"/>
          <w:sz w:val="24"/>
          <w:szCs w:val="24"/>
        </w:rPr>
        <w:t>ent effective prevention plans</w:t>
      </w:r>
    </w:p>
    <w:p w14:paraId="1A715D13" w14:textId="734CFDE4" w:rsidR="00E63D8B" w:rsidRPr="00E63D8B" w:rsidRDefault="00E63D8B" w:rsidP="00E63D8B">
      <w:pPr>
        <w:spacing w:before="240" w:line="360" w:lineRule="auto"/>
        <w:jc w:val="both"/>
        <w:rPr>
          <w:rFonts w:ascii="Arial" w:hAnsi="Arial" w:cs="Arial"/>
          <w:sz w:val="24"/>
          <w:szCs w:val="24"/>
        </w:rPr>
      </w:pPr>
      <w:r w:rsidRPr="00E63D8B">
        <w:rPr>
          <w:rFonts w:ascii="Arial" w:hAnsi="Arial" w:cs="Arial"/>
          <w:sz w:val="24"/>
          <w:szCs w:val="24"/>
        </w:rPr>
        <w:t>There is recent evidence that despite national recommendations for vitamin D supplementation in older adults, deficiency is still common. The Office for Health Improvement and Disparities (2023) states that all people living in care homes are at high risk of vitamin D deficiency as they spend little time outdoors and often have low levels of vitamin D in their diet. The report also suggests that vitamin D should be given routinely all year round to adults in care homes to help prevent vitamin D deficiency and the musculoskeletal compli</w:t>
      </w:r>
      <w:r w:rsidR="009031ED">
        <w:rPr>
          <w:rFonts w:ascii="Arial" w:hAnsi="Arial" w:cs="Arial"/>
          <w:sz w:val="24"/>
          <w:szCs w:val="24"/>
        </w:rPr>
        <w:t>cations that can occur with it</w:t>
      </w:r>
    </w:p>
    <w:p w14:paraId="19CEF266" w14:textId="36077C6F" w:rsidR="00E63D8B" w:rsidRPr="00E63D8B" w:rsidRDefault="00E63D8B" w:rsidP="00E63D8B">
      <w:pPr>
        <w:spacing w:before="240" w:line="360" w:lineRule="auto"/>
        <w:jc w:val="both"/>
        <w:rPr>
          <w:rFonts w:ascii="Arial" w:hAnsi="Arial" w:cs="Arial"/>
          <w:sz w:val="24"/>
          <w:szCs w:val="24"/>
        </w:rPr>
      </w:pPr>
      <w:r w:rsidRPr="00E63D8B">
        <w:rPr>
          <w:rFonts w:ascii="Arial" w:hAnsi="Arial" w:cs="Arial"/>
          <w:sz w:val="24"/>
          <w:szCs w:val="24"/>
        </w:rPr>
        <w:lastRenderedPageBreak/>
        <w:t>These recommendations are supported by several epidemiological studies. In Northern Europe, over half of the older adults living in institutions were found to have either inadequate or low vitamin D levels, with residents who did not regularly take vitamin D supplements having significantly higher prevalence of the inadequate or low levels of vitamin D (Feehan et al, 2022). Likewise, McSorley et al. (2020) reported deficiencies between about 35% to more than 60% in older adults residing in residential care homes (RCHs) based on the serum vitamin D threshold used. The results of this study reflect the continuing high prevalence of vitamin D deficiency despite growing clinical recognition. The reasons behind the poor care in care homes are complex. Physiological ageing diminishes the vitamin D production in skin after exposure to UV-B radiation, and chronic diseases and decreased kidney function hinder vitamin D meta</w:t>
      </w:r>
      <w:r w:rsidR="009031ED">
        <w:rPr>
          <w:rFonts w:ascii="Arial" w:hAnsi="Arial" w:cs="Arial"/>
          <w:sz w:val="24"/>
          <w:szCs w:val="24"/>
        </w:rPr>
        <w:t>bolism (Cashman et al., 2023).</w:t>
      </w:r>
    </w:p>
    <w:p w14:paraId="38C23F95" w14:textId="2B28C9E9" w:rsidR="00E63D8B" w:rsidRPr="00E63D8B" w:rsidRDefault="00E63D8B" w:rsidP="00E63D8B">
      <w:pPr>
        <w:spacing w:before="240" w:line="360" w:lineRule="auto"/>
        <w:jc w:val="both"/>
        <w:rPr>
          <w:rFonts w:ascii="Arial" w:hAnsi="Arial" w:cs="Arial"/>
          <w:sz w:val="24"/>
          <w:szCs w:val="24"/>
        </w:rPr>
      </w:pPr>
      <w:r w:rsidRPr="00E63D8B">
        <w:rPr>
          <w:rFonts w:ascii="Arial" w:hAnsi="Arial" w:cs="Arial"/>
          <w:sz w:val="24"/>
          <w:szCs w:val="24"/>
        </w:rPr>
        <w:t>Vitamin D deficiency in care homes has clinical implications. Evidence consistently shows that lower levels of vitamin D are associated with lower muscle strength, impaired balance, osteoporosis, falls, decreased functional independence and increased health service use (British Geriatrics Society, 2023). Falls are one of the main causes of hospital admissions for older people and those who live in care homes have fall rates significantly higher than older people who live in the community (National Institute for Heal</w:t>
      </w:r>
      <w:r w:rsidR="009031ED">
        <w:rPr>
          <w:rFonts w:ascii="Arial" w:hAnsi="Arial" w:cs="Arial"/>
          <w:sz w:val="24"/>
          <w:szCs w:val="24"/>
        </w:rPr>
        <w:t xml:space="preserve">th and Care Excellence, 2022). </w:t>
      </w:r>
    </w:p>
    <w:p w14:paraId="2AA220C6" w14:textId="0F7D375D" w:rsidR="00E63D8B" w:rsidRDefault="00E63D8B" w:rsidP="00E63D8B">
      <w:pPr>
        <w:spacing w:before="240" w:line="360" w:lineRule="auto"/>
        <w:jc w:val="both"/>
        <w:rPr>
          <w:rFonts w:ascii="Arial" w:hAnsi="Arial" w:cs="Arial"/>
          <w:sz w:val="24"/>
          <w:szCs w:val="24"/>
        </w:rPr>
      </w:pPr>
      <w:r w:rsidRPr="00E63D8B">
        <w:rPr>
          <w:rFonts w:ascii="Arial" w:hAnsi="Arial" w:cs="Arial"/>
          <w:sz w:val="24"/>
          <w:szCs w:val="24"/>
        </w:rPr>
        <w:t>There is also some inconsistent evidence in the literature relating to the implementation of supplementation policies in care homes. Many care home workers were unclear about whether vitamin D supplementation should be considered a nutritional intervention or a medicine, as reported by Williams and Williams (2020). This uncertainty often led to erratic supplementation, despite the national guidelines that called for supplem</w:t>
      </w:r>
      <w:r w:rsidR="009031ED">
        <w:rPr>
          <w:rFonts w:ascii="Arial" w:hAnsi="Arial" w:cs="Arial"/>
          <w:sz w:val="24"/>
          <w:szCs w:val="24"/>
        </w:rPr>
        <w:t>entation to be done routinely.</w:t>
      </w:r>
    </w:p>
    <w:p w14:paraId="3FB53D12" w14:textId="77777777" w:rsidR="00F27D82" w:rsidRDefault="00F27D82" w:rsidP="00E63D8B">
      <w:pPr>
        <w:spacing w:before="240" w:line="360" w:lineRule="auto"/>
        <w:jc w:val="both"/>
        <w:rPr>
          <w:rFonts w:ascii="Arial" w:hAnsi="Arial" w:cs="Arial"/>
          <w:sz w:val="24"/>
          <w:szCs w:val="24"/>
        </w:rPr>
      </w:pPr>
    </w:p>
    <w:p w14:paraId="11F0DDAB" w14:textId="77777777" w:rsidR="00F27D82" w:rsidRDefault="00F27D82" w:rsidP="00E63D8B">
      <w:pPr>
        <w:spacing w:before="240" w:line="360" w:lineRule="auto"/>
        <w:jc w:val="both"/>
        <w:rPr>
          <w:rFonts w:ascii="Arial" w:hAnsi="Arial" w:cs="Arial"/>
          <w:sz w:val="24"/>
          <w:szCs w:val="24"/>
        </w:rPr>
      </w:pPr>
    </w:p>
    <w:p w14:paraId="5C1E8DBA" w14:textId="77777777" w:rsidR="00F27D82" w:rsidRPr="00E63D8B" w:rsidRDefault="00F27D82" w:rsidP="00E63D8B">
      <w:pPr>
        <w:spacing w:before="240" w:line="360" w:lineRule="auto"/>
        <w:jc w:val="both"/>
        <w:rPr>
          <w:rFonts w:ascii="Arial" w:hAnsi="Arial" w:cs="Arial"/>
          <w:sz w:val="24"/>
          <w:szCs w:val="24"/>
        </w:rPr>
      </w:pPr>
    </w:p>
    <w:p w14:paraId="5ED60BFC" w14:textId="02DFCA93" w:rsidR="006C45C3" w:rsidRDefault="009031ED" w:rsidP="00081EFD">
      <w:pPr>
        <w:pStyle w:val="Heading3"/>
      </w:pPr>
      <w:bookmarkStart w:id="23" w:name="_Toc240558461"/>
      <w:r>
        <w:lastRenderedPageBreak/>
        <w:t xml:space="preserve">2.3.3 </w:t>
      </w:r>
      <w:r w:rsidR="006C45C3" w:rsidRPr="006C45C3">
        <w:t>T</w:t>
      </w:r>
      <w:r>
        <w:t>heme 3: Awareness and Knowledge</w:t>
      </w:r>
      <w:bookmarkEnd w:id="23"/>
    </w:p>
    <w:p w14:paraId="49F12960" w14:textId="677571D1" w:rsidR="009179A0" w:rsidRPr="009179A0" w:rsidRDefault="009179A0" w:rsidP="009179A0">
      <w:pPr>
        <w:spacing w:before="240" w:line="360" w:lineRule="auto"/>
        <w:jc w:val="both"/>
        <w:rPr>
          <w:rFonts w:ascii="Arial" w:hAnsi="Arial" w:cs="Arial"/>
          <w:sz w:val="24"/>
          <w:szCs w:val="24"/>
        </w:rPr>
      </w:pPr>
      <w:r w:rsidRPr="009179A0">
        <w:rPr>
          <w:rFonts w:ascii="Arial" w:hAnsi="Arial" w:cs="Arial"/>
          <w:sz w:val="24"/>
          <w:szCs w:val="24"/>
        </w:rPr>
        <w:t>In this section, awareness and knowledge about vitamin D deficiency will be discussed as these factors are known to be important for successful vitamin D deficiency prevention strategies in older adults in UK care homes. National guidance has advised that residents in long-term care facilities should take vitamin D on a regular basis, but there is evidence that awareness amongst both the healthcare professional and the resident is not consistent with low uptake of preventative interventions (</w:t>
      </w:r>
      <w:r w:rsidR="009031ED">
        <w:rPr>
          <w:rFonts w:ascii="Arial" w:hAnsi="Arial" w:cs="Arial"/>
          <w:sz w:val="24"/>
          <w:szCs w:val="24"/>
        </w:rPr>
        <w:t>National Health Service, 2024)</w:t>
      </w:r>
    </w:p>
    <w:p w14:paraId="30EC2BA2" w14:textId="33930739" w:rsidR="009179A0" w:rsidRPr="009179A0" w:rsidRDefault="009179A0" w:rsidP="009179A0">
      <w:pPr>
        <w:spacing w:before="240" w:line="360" w:lineRule="auto"/>
        <w:jc w:val="both"/>
        <w:rPr>
          <w:rFonts w:ascii="Arial" w:hAnsi="Arial" w:cs="Arial"/>
          <w:sz w:val="24"/>
          <w:szCs w:val="24"/>
        </w:rPr>
      </w:pPr>
      <w:r w:rsidRPr="009179A0">
        <w:rPr>
          <w:rFonts w:ascii="Arial" w:hAnsi="Arial" w:cs="Arial"/>
          <w:sz w:val="24"/>
          <w:szCs w:val="24"/>
        </w:rPr>
        <w:t>Health literacy plays an important role in influencing preventive health behaviours. Those who know more about vitamin D are more likely to know of its health benefits, identify risk factors for deficiency and follow vitamin D supplementation guidelines (Turner et al., 2023). In care home settings, however, many care home residents rely on health care professionals and carers to make decisions about nutritional supplementation due to physical frailty, cognitive impairment or multiple chronic conditions. When appropriate preventive practice is required, therefore, staff knowled</w:t>
      </w:r>
      <w:r w:rsidR="009031ED">
        <w:rPr>
          <w:rFonts w:ascii="Arial" w:hAnsi="Arial" w:cs="Arial"/>
          <w:sz w:val="24"/>
          <w:szCs w:val="24"/>
        </w:rPr>
        <w:t xml:space="preserve">ge is of particular </w:t>
      </w:r>
      <w:proofErr w:type="spellStart"/>
      <w:r w:rsidR="009031ED">
        <w:rPr>
          <w:rFonts w:ascii="Arial" w:hAnsi="Arial" w:cs="Arial"/>
          <w:sz w:val="24"/>
          <w:szCs w:val="24"/>
        </w:rPr>
        <w:t>importanc</w:t>
      </w:r>
      <w:proofErr w:type="spellEnd"/>
    </w:p>
    <w:p w14:paraId="55207481" w14:textId="0655AAA5" w:rsidR="009179A0" w:rsidRPr="009179A0" w:rsidRDefault="009179A0" w:rsidP="009179A0">
      <w:pPr>
        <w:spacing w:before="240" w:line="360" w:lineRule="auto"/>
        <w:jc w:val="both"/>
        <w:rPr>
          <w:rFonts w:ascii="Arial" w:hAnsi="Arial" w:cs="Arial"/>
          <w:sz w:val="24"/>
          <w:szCs w:val="24"/>
        </w:rPr>
      </w:pPr>
      <w:r w:rsidRPr="009179A0">
        <w:rPr>
          <w:rFonts w:ascii="Arial" w:hAnsi="Arial" w:cs="Arial"/>
          <w:sz w:val="24"/>
          <w:szCs w:val="24"/>
        </w:rPr>
        <w:t>Recent studies suggest that there are lots of gaps in knowledge amongst care home staff. Turner et al. (2023) reported that most health care professionals had inadequate knowledge of adequate vitamin D intake, signs of deficiency, and vitamin D supplementation guidelines. Likewise, Cashman et al. (2023) noted that there was significant variation in awareness by European healthcare settings and practitioners were not confident in the evidence-b</w:t>
      </w:r>
      <w:r w:rsidR="009031ED">
        <w:rPr>
          <w:rFonts w:ascii="Arial" w:hAnsi="Arial" w:cs="Arial"/>
          <w:sz w:val="24"/>
          <w:szCs w:val="24"/>
        </w:rPr>
        <w:t>ased vitamin D recommendations.</w:t>
      </w:r>
    </w:p>
    <w:p w14:paraId="1857EC33" w14:textId="7AAB7E19" w:rsidR="009179A0" w:rsidRPr="009179A0" w:rsidRDefault="009179A0" w:rsidP="009179A0">
      <w:pPr>
        <w:spacing w:before="240" w:line="360" w:lineRule="auto"/>
        <w:jc w:val="both"/>
        <w:rPr>
          <w:rFonts w:ascii="Arial" w:hAnsi="Arial" w:cs="Arial"/>
          <w:sz w:val="24"/>
          <w:szCs w:val="24"/>
        </w:rPr>
      </w:pPr>
      <w:r w:rsidRPr="009179A0">
        <w:rPr>
          <w:rFonts w:ascii="Arial" w:hAnsi="Arial" w:cs="Arial"/>
          <w:sz w:val="24"/>
          <w:szCs w:val="24"/>
        </w:rPr>
        <w:t xml:space="preserve">The awareness of older adults is also not uniform. However, vitamin D is most commonly recognized by older persons for its skeletal benefits and they are generally not aware of its immune function and ability to strengthen muscles, and decrease falls (Pilz et al., 2022). This narrow perspective can decrease motivation to accept or seek supplementation, especially if deficiency does not manifest in apparent symptoms.  While there are a number of studies reporting positive relationships between knowledge and supplementation, these results are not consistent. Turner et al. (2023) found that education had a significant effect on enhancing awareness and supplement use in older people. However, Williams and Williams (2020) discussed how knowledge </w:t>
      </w:r>
      <w:r w:rsidRPr="009179A0">
        <w:rPr>
          <w:rFonts w:ascii="Arial" w:hAnsi="Arial" w:cs="Arial"/>
          <w:sz w:val="24"/>
          <w:szCs w:val="24"/>
        </w:rPr>
        <w:lastRenderedPageBreak/>
        <w:t>without knowledge systems or organisational policies can be inadequate to bring about behavioural change as prescribing systems and professional res</w:t>
      </w:r>
      <w:r w:rsidR="009031ED">
        <w:rPr>
          <w:rFonts w:ascii="Arial" w:hAnsi="Arial" w:cs="Arial"/>
          <w:sz w:val="24"/>
          <w:szCs w:val="24"/>
        </w:rPr>
        <w:t>ponsibilities are not defined.</w:t>
      </w:r>
    </w:p>
    <w:p w14:paraId="4E5670ED" w14:textId="4C175C1B" w:rsidR="00515A87" w:rsidRPr="006C45C3" w:rsidRDefault="009179A0" w:rsidP="009179A0">
      <w:pPr>
        <w:spacing w:before="240" w:line="360" w:lineRule="auto"/>
        <w:jc w:val="both"/>
        <w:rPr>
          <w:rFonts w:ascii="Arial" w:hAnsi="Arial" w:cs="Arial"/>
          <w:sz w:val="24"/>
          <w:szCs w:val="24"/>
        </w:rPr>
      </w:pPr>
      <w:r w:rsidRPr="009179A0">
        <w:rPr>
          <w:rFonts w:ascii="Arial" w:hAnsi="Arial" w:cs="Arial"/>
          <w:sz w:val="24"/>
          <w:szCs w:val="24"/>
        </w:rPr>
        <w:t xml:space="preserve">From the available literature, it is clear that there is a lack of knowledge amongst both residents and care home staff, which is linked with inconsistent vitamin D supplementation. Structured education programmes, staff education and easily available public health information can enhance knowledge which can increase preventive behaviours and aid implementation of national guidance. </w:t>
      </w:r>
    </w:p>
    <w:p w14:paraId="1BED0AA8" w14:textId="6C7D25F5" w:rsidR="001F3BE6" w:rsidRPr="001F3BE6" w:rsidRDefault="009031ED" w:rsidP="00081EFD">
      <w:pPr>
        <w:pStyle w:val="Heading3"/>
      </w:pPr>
      <w:bookmarkStart w:id="24" w:name="_Toc240558462"/>
      <w:r>
        <w:t xml:space="preserve">2.3.4 </w:t>
      </w:r>
      <w:r w:rsidR="006C45C3" w:rsidRPr="006C45C3">
        <w:t>Theme 4: Barriers to Prevention</w:t>
      </w:r>
      <w:bookmarkEnd w:id="24"/>
      <w:r w:rsidR="006C45C3" w:rsidRPr="006C45C3">
        <w:tab/>
      </w:r>
    </w:p>
    <w:p w14:paraId="7C8F563B" w14:textId="30678F7B" w:rsidR="00431464" w:rsidRPr="00431464" w:rsidRDefault="00431464" w:rsidP="00431464">
      <w:pPr>
        <w:spacing w:before="240" w:line="360" w:lineRule="auto"/>
        <w:jc w:val="both"/>
        <w:rPr>
          <w:rFonts w:ascii="Arial" w:hAnsi="Arial" w:cs="Arial"/>
          <w:sz w:val="24"/>
          <w:szCs w:val="24"/>
        </w:rPr>
      </w:pPr>
      <w:r w:rsidRPr="00431464">
        <w:rPr>
          <w:rFonts w:ascii="Arial" w:hAnsi="Arial" w:cs="Arial"/>
          <w:sz w:val="24"/>
          <w:szCs w:val="24"/>
        </w:rPr>
        <w:t>This section will explore the organisational, professional and individual factors that restrict effective implementation of vitamin D supplementation strategies to prevent vitamin D deficiency in care homes in the UK. National guidance is for older people in residential homes to receive regular vitamin D supplements, however in practice it is not always being done in most residential facilities (Office for Health Impr</w:t>
      </w:r>
      <w:r w:rsidR="009031ED">
        <w:rPr>
          <w:rFonts w:ascii="Arial" w:hAnsi="Arial" w:cs="Arial"/>
          <w:sz w:val="24"/>
          <w:szCs w:val="24"/>
        </w:rPr>
        <w:t>ovement and Disparities, 2023)</w:t>
      </w:r>
    </w:p>
    <w:p w14:paraId="78E74CD8" w14:textId="3956B9A2" w:rsidR="00431464" w:rsidRPr="00431464" w:rsidRDefault="00431464" w:rsidP="00431464">
      <w:pPr>
        <w:spacing w:before="240" w:line="360" w:lineRule="auto"/>
        <w:jc w:val="both"/>
        <w:rPr>
          <w:rFonts w:ascii="Arial" w:hAnsi="Arial" w:cs="Arial"/>
          <w:sz w:val="24"/>
          <w:szCs w:val="24"/>
        </w:rPr>
      </w:pPr>
      <w:r w:rsidRPr="00431464">
        <w:rPr>
          <w:rFonts w:ascii="Arial" w:hAnsi="Arial" w:cs="Arial"/>
          <w:sz w:val="24"/>
          <w:szCs w:val="24"/>
        </w:rPr>
        <w:t>A common obstacle mentioned is uncertainty about professional responsibility. Williams and Williams (2020) discovered that there was some uncertainty among care home staff regarding the classification of vitamin D supplement as a nutrition support or a prescribed medicine. Uncertainty sometimes led to delays or discrepancies as caregivers wanted general practitioners to prescribe supplements, and medical professionals regarded supplementation as a routine nutritional care. As a result, people often did not get the recommended supplementation</w:t>
      </w:r>
      <w:r w:rsidR="009031ED">
        <w:rPr>
          <w:rFonts w:ascii="Arial" w:hAnsi="Arial" w:cs="Arial"/>
          <w:sz w:val="24"/>
          <w:szCs w:val="24"/>
        </w:rPr>
        <w:t xml:space="preserve"> as recommended by the country</w:t>
      </w:r>
    </w:p>
    <w:p w14:paraId="1C1E40B8" w14:textId="2F90DFBB" w:rsidR="00431464" w:rsidRPr="00431464" w:rsidRDefault="00431464" w:rsidP="00431464">
      <w:pPr>
        <w:spacing w:before="240" w:line="360" w:lineRule="auto"/>
        <w:jc w:val="both"/>
        <w:rPr>
          <w:rFonts w:ascii="Arial" w:hAnsi="Arial" w:cs="Arial"/>
          <w:sz w:val="24"/>
          <w:szCs w:val="24"/>
        </w:rPr>
      </w:pPr>
      <w:r w:rsidRPr="00431464">
        <w:rPr>
          <w:rFonts w:ascii="Arial" w:hAnsi="Arial" w:cs="Arial"/>
          <w:sz w:val="24"/>
          <w:szCs w:val="24"/>
        </w:rPr>
        <w:t xml:space="preserve">This is partly due to inadequate staff education and training. Turner et al. (2023) found that many health care providers were not knowledgeable about the current vitamin D recommendations, signs of vitamin D deficiency, and adequate supplementation practices. These results are consistent with Cashman et al.'s (2023) findings, which revealed a significant difference in professional knowledge between healthcare environments. </w:t>
      </w:r>
    </w:p>
    <w:p w14:paraId="1CF65FC4" w14:textId="30B8D4F5" w:rsidR="00431464" w:rsidRPr="00431464" w:rsidRDefault="00431464" w:rsidP="00431464">
      <w:pPr>
        <w:spacing w:before="240" w:line="360" w:lineRule="auto"/>
        <w:jc w:val="both"/>
        <w:rPr>
          <w:rFonts w:ascii="Arial" w:hAnsi="Arial" w:cs="Arial"/>
          <w:sz w:val="24"/>
          <w:szCs w:val="24"/>
        </w:rPr>
      </w:pPr>
      <w:r w:rsidRPr="00431464">
        <w:rPr>
          <w:rFonts w:ascii="Arial" w:hAnsi="Arial" w:cs="Arial"/>
          <w:sz w:val="24"/>
          <w:szCs w:val="24"/>
        </w:rPr>
        <w:lastRenderedPageBreak/>
        <w:t>Prevention practices are also shaped by institutional policies. Whereas some care homes have well documented supplementation protocols, supported by regular nutritional assessments, others do not have a consistent local protocol (British Geriatrics Society, 2023). Such variability means inequities in preventive care, as the quality of services may vary from one organisation to another due to policies, not clinical need. Also, differing documentation and monitoring systems can limit the ability to identify residents wit</w:t>
      </w:r>
      <w:r w:rsidR="009031ED">
        <w:rPr>
          <w:rFonts w:ascii="Arial" w:hAnsi="Arial" w:cs="Arial"/>
          <w:sz w:val="24"/>
          <w:szCs w:val="24"/>
        </w:rPr>
        <w:t>h a higher risk for deficiency.</w:t>
      </w:r>
    </w:p>
    <w:p w14:paraId="3A4A6A69" w14:textId="6803FFEE" w:rsidR="00431464" w:rsidRPr="00431464" w:rsidRDefault="00431464" w:rsidP="00431464">
      <w:pPr>
        <w:spacing w:before="240" w:line="360" w:lineRule="auto"/>
        <w:jc w:val="both"/>
        <w:rPr>
          <w:rFonts w:ascii="Arial" w:hAnsi="Arial" w:cs="Arial"/>
          <w:sz w:val="24"/>
          <w:szCs w:val="24"/>
        </w:rPr>
      </w:pPr>
      <w:r w:rsidRPr="00431464">
        <w:rPr>
          <w:rFonts w:ascii="Arial" w:hAnsi="Arial" w:cs="Arial"/>
          <w:sz w:val="24"/>
          <w:szCs w:val="24"/>
        </w:rPr>
        <w:t>Additional factors related to the residents also make it more difficult to prevent. Dementia, cognitive problems, problems with swallowing or having multiple long-term health conditions are common among older people and can impair their ability to follow supplementation programmes (Feehan et al., 2022). Not being able to move around quite as much also means less exposure to sunlight, and poor appetite and dietary intake mean less natural vitamin D consumption. These factors work in combination with the organisational barriers to increase the risk of having a deficiency if the perso</w:t>
      </w:r>
      <w:r w:rsidR="009031ED">
        <w:rPr>
          <w:rFonts w:ascii="Arial" w:hAnsi="Arial" w:cs="Arial"/>
          <w:sz w:val="24"/>
          <w:szCs w:val="24"/>
        </w:rPr>
        <w:t>n is a resident of a care home.</w:t>
      </w:r>
    </w:p>
    <w:p w14:paraId="45CBDB6F" w14:textId="204702FA" w:rsidR="001F3BE6" w:rsidRPr="006C45C3" w:rsidRDefault="00431464" w:rsidP="00431464">
      <w:pPr>
        <w:spacing w:before="240" w:line="360" w:lineRule="auto"/>
        <w:jc w:val="both"/>
        <w:rPr>
          <w:rFonts w:ascii="Arial" w:hAnsi="Arial" w:cs="Arial"/>
          <w:sz w:val="24"/>
          <w:szCs w:val="24"/>
        </w:rPr>
      </w:pPr>
      <w:r w:rsidRPr="00431464">
        <w:rPr>
          <w:rFonts w:ascii="Arial" w:hAnsi="Arial" w:cs="Arial"/>
          <w:sz w:val="24"/>
          <w:szCs w:val="24"/>
        </w:rPr>
        <w:t>The literature shows that challenges to achieving vitamin D prevention are not just about the individual and there is a complex interplay between the health system, organisational practices, the responsibilities of health professionals, and the characteristics of the residents.</w:t>
      </w:r>
    </w:p>
    <w:p w14:paraId="7704B2ED" w14:textId="0B0E9109" w:rsidR="00C82AB3" w:rsidRPr="00C82AB3" w:rsidRDefault="009031ED" w:rsidP="00081EFD">
      <w:pPr>
        <w:pStyle w:val="Heading3"/>
      </w:pPr>
      <w:bookmarkStart w:id="25" w:name="_Toc240558463"/>
      <w:r>
        <w:t xml:space="preserve">2.3.5 </w:t>
      </w:r>
      <w:r w:rsidR="006C45C3" w:rsidRPr="006C45C3">
        <w:t>Theme 5: Preventi</w:t>
      </w:r>
      <w:r>
        <w:t>on Strategies and Interventions</w:t>
      </w:r>
      <w:bookmarkEnd w:id="25"/>
    </w:p>
    <w:p w14:paraId="3D3494BB" w14:textId="13539F80" w:rsidR="00654543" w:rsidRPr="00654543" w:rsidRDefault="00654543" w:rsidP="00654543">
      <w:pPr>
        <w:spacing w:before="240" w:line="360" w:lineRule="auto"/>
        <w:jc w:val="both"/>
        <w:rPr>
          <w:rFonts w:ascii="Arial" w:hAnsi="Arial" w:cs="Arial"/>
          <w:sz w:val="24"/>
          <w:szCs w:val="24"/>
        </w:rPr>
      </w:pPr>
      <w:r w:rsidRPr="00654543">
        <w:rPr>
          <w:rFonts w:ascii="Arial" w:hAnsi="Arial" w:cs="Arial"/>
          <w:sz w:val="24"/>
          <w:szCs w:val="24"/>
        </w:rPr>
        <w:t>In this section, current evidence related to vitamin D prevention strategies will be explored including the potential for supplementation, education, screening, fortification of food and organisational interventions within UK care homes. The prevention of vitamin D deficiency in older people is a total public health strategy since there are many physiological, environmental, behavioural and organisational factors responsible for vitamin D deficiency. The recent literature suggests that an educational approach along with a clinical approach may be more effective than just one preventive approac</w:t>
      </w:r>
      <w:r w:rsidR="009031ED">
        <w:rPr>
          <w:rFonts w:ascii="Arial" w:hAnsi="Arial" w:cs="Arial"/>
          <w:sz w:val="24"/>
          <w:szCs w:val="24"/>
        </w:rPr>
        <w:t>h alone (Cashman et al., 2023).</w:t>
      </w:r>
    </w:p>
    <w:p w14:paraId="553F5963" w14:textId="79CB5B5A" w:rsidR="00654543" w:rsidRPr="00654543" w:rsidRDefault="00654543" w:rsidP="00654543">
      <w:pPr>
        <w:spacing w:before="240" w:line="360" w:lineRule="auto"/>
        <w:jc w:val="both"/>
        <w:rPr>
          <w:rFonts w:ascii="Arial" w:hAnsi="Arial" w:cs="Arial"/>
          <w:sz w:val="24"/>
          <w:szCs w:val="24"/>
        </w:rPr>
      </w:pPr>
      <w:r w:rsidRPr="00654543">
        <w:rPr>
          <w:rFonts w:ascii="Arial" w:hAnsi="Arial" w:cs="Arial"/>
          <w:sz w:val="24"/>
          <w:szCs w:val="24"/>
        </w:rPr>
        <w:t xml:space="preserve">Vitamin D supplementation as a regular prescription for older people in residential care facilities is the most common intervention recommended. The NICE guideline on vitamin D for the prevention of osteoporosis in adults (2023) advises that all people </w:t>
      </w:r>
      <w:r w:rsidRPr="00654543">
        <w:rPr>
          <w:rFonts w:ascii="Arial" w:hAnsi="Arial" w:cs="Arial"/>
          <w:sz w:val="24"/>
          <w:szCs w:val="24"/>
        </w:rPr>
        <w:lastRenderedPageBreak/>
        <w:t xml:space="preserve">living in care homes should take a daily vitamin D supplement all year round as people in care homes may be at high risk of vitamin D deficiency due to low levels of sunlight exposure. Likewise, older adults, especially those with limited outdoor activity, should consider taking vitamin D supplements to ensure they have a sufficient level of vitamin D in their bloodstream to benefit musculoskeletal health, advises the </w:t>
      </w:r>
      <w:r w:rsidR="009031ED">
        <w:rPr>
          <w:rFonts w:ascii="Arial" w:hAnsi="Arial" w:cs="Arial"/>
          <w:sz w:val="24"/>
          <w:szCs w:val="24"/>
        </w:rPr>
        <w:t>National Health Service (2024)</w:t>
      </w:r>
    </w:p>
    <w:p w14:paraId="2A6F86F7" w14:textId="6D7C7007" w:rsidR="00654543" w:rsidRPr="00654543" w:rsidRDefault="00654543" w:rsidP="00654543">
      <w:pPr>
        <w:spacing w:before="240" w:line="360" w:lineRule="auto"/>
        <w:jc w:val="both"/>
        <w:rPr>
          <w:rFonts w:ascii="Arial" w:hAnsi="Arial" w:cs="Arial"/>
          <w:sz w:val="24"/>
          <w:szCs w:val="24"/>
        </w:rPr>
      </w:pPr>
      <w:r w:rsidRPr="00654543">
        <w:rPr>
          <w:rFonts w:ascii="Arial" w:hAnsi="Arial" w:cs="Arial"/>
          <w:sz w:val="24"/>
          <w:szCs w:val="24"/>
        </w:rPr>
        <w:t xml:space="preserve">There is evidence that supplementation works to prevent vitamin D deficiency. Routine supplementation was an effective way to enhance serum vitamin D levels and a cost-effective intervention to lower falls, fractures, and healthcare cost in older adults according to </w:t>
      </w:r>
      <w:proofErr w:type="spellStart"/>
      <w:r w:rsidRPr="00654543">
        <w:rPr>
          <w:rFonts w:ascii="Arial" w:hAnsi="Arial" w:cs="Arial"/>
          <w:sz w:val="24"/>
          <w:szCs w:val="24"/>
        </w:rPr>
        <w:t>Rombel</w:t>
      </w:r>
      <w:proofErr w:type="spellEnd"/>
      <w:r w:rsidRPr="00654543">
        <w:rPr>
          <w:rFonts w:ascii="Arial" w:hAnsi="Arial" w:cs="Arial"/>
          <w:sz w:val="24"/>
          <w:szCs w:val="24"/>
        </w:rPr>
        <w:t xml:space="preserve"> et al (2025). Similarly, Feehan et al. (2022) found that residents of care homes who were taking vitamin D supplements regularly had significantly less vitamin D deficiency than their counterparts who were only getting vitamin </w:t>
      </w:r>
      <w:r w:rsidR="009031ED">
        <w:rPr>
          <w:rFonts w:ascii="Arial" w:hAnsi="Arial" w:cs="Arial"/>
          <w:sz w:val="24"/>
          <w:szCs w:val="24"/>
        </w:rPr>
        <w:t>D from their food or sunlight.</w:t>
      </w:r>
    </w:p>
    <w:p w14:paraId="04BA2FA5" w14:textId="4A148231" w:rsidR="00654543" w:rsidRPr="00654543" w:rsidRDefault="00654543" w:rsidP="00654543">
      <w:pPr>
        <w:spacing w:before="240" w:line="360" w:lineRule="auto"/>
        <w:jc w:val="both"/>
        <w:rPr>
          <w:rFonts w:ascii="Arial" w:hAnsi="Arial" w:cs="Arial"/>
          <w:sz w:val="24"/>
          <w:szCs w:val="24"/>
        </w:rPr>
      </w:pPr>
      <w:r w:rsidRPr="00654543">
        <w:rPr>
          <w:rFonts w:ascii="Arial" w:hAnsi="Arial" w:cs="Arial"/>
          <w:sz w:val="24"/>
          <w:szCs w:val="24"/>
        </w:rPr>
        <w:t>But it is necessary to supplement, if the awareness and implementation is not adequate. In recent years, attention has therefore been paid to the educational interventions. Turner et al. (2023) showed that structured educational sessions not only enhanced knowledge of Vitamin D recommendations, but also boosted the confidence of health care professionals to discuss the supplementation, and encouraged adherence with evidence-based practice. Nutritional assessment and screening also have been noted as ways of preventing the problem. Universal biochemical screening is not recommended due to cost considerations; however, several authors suggest targeted screening as part of routine health assessment, especially in frail older people, in people with limited mobility and in those with a history of falls and fracture (Bri</w:t>
      </w:r>
      <w:r w:rsidR="009031ED">
        <w:rPr>
          <w:rFonts w:ascii="Arial" w:hAnsi="Arial" w:cs="Arial"/>
          <w:sz w:val="24"/>
          <w:szCs w:val="24"/>
        </w:rPr>
        <w:t xml:space="preserve">tish Geriatrics Society 2023). </w:t>
      </w:r>
    </w:p>
    <w:p w14:paraId="2D649471" w14:textId="77191329" w:rsidR="009031ED" w:rsidRDefault="00654543" w:rsidP="006C45C3">
      <w:pPr>
        <w:spacing w:before="240" w:line="360" w:lineRule="auto"/>
        <w:jc w:val="both"/>
        <w:rPr>
          <w:rFonts w:ascii="Arial" w:hAnsi="Arial" w:cs="Arial"/>
          <w:sz w:val="24"/>
          <w:szCs w:val="24"/>
        </w:rPr>
      </w:pPr>
      <w:r w:rsidRPr="00654543">
        <w:rPr>
          <w:rFonts w:ascii="Arial" w:hAnsi="Arial" w:cs="Arial"/>
          <w:sz w:val="24"/>
          <w:szCs w:val="24"/>
        </w:rPr>
        <w:t>Although these interventions have been shown to be effective, many implementation issues still remain. Consistent policy, professional uncertainty and poor staff training are common factors that impact the effectiveness of prevention programmes in residential care settings, as noted b</w:t>
      </w:r>
      <w:r w:rsidR="009031ED">
        <w:rPr>
          <w:rFonts w:ascii="Arial" w:hAnsi="Arial" w:cs="Arial"/>
          <w:sz w:val="24"/>
          <w:szCs w:val="24"/>
        </w:rPr>
        <w:t xml:space="preserve">y Williams and Williams (2020). </w:t>
      </w:r>
      <w:r w:rsidRPr="00654543">
        <w:rPr>
          <w:rFonts w:ascii="Arial" w:hAnsi="Arial" w:cs="Arial"/>
          <w:sz w:val="24"/>
          <w:szCs w:val="24"/>
        </w:rPr>
        <w:t xml:space="preserve">Importantly, the published evidence suggests that none of the interventions will be effective as standalone approaches to addressing vitamin D deficiency in older people in care homes. Instead, a multi-faceted approach should be implemented as a means to prevention, and should include regular supplementation regimes, staff education, </w:t>
      </w:r>
      <w:r w:rsidRPr="00654543">
        <w:rPr>
          <w:rFonts w:ascii="Arial" w:hAnsi="Arial" w:cs="Arial"/>
          <w:sz w:val="24"/>
          <w:szCs w:val="24"/>
        </w:rPr>
        <w:lastRenderedPageBreak/>
        <w:t>targeted risk assessment, organisational policy develo</w:t>
      </w:r>
      <w:r>
        <w:rPr>
          <w:rFonts w:ascii="Arial" w:hAnsi="Arial" w:cs="Arial"/>
          <w:sz w:val="24"/>
          <w:szCs w:val="24"/>
        </w:rPr>
        <w:t>pment and continuous monitoring</w:t>
      </w:r>
      <w:r w:rsidR="00C82AB3" w:rsidRPr="00C82AB3">
        <w:rPr>
          <w:rFonts w:ascii="Arial" w:hAnsi="Arial" w:cs="Arial"/>
          <w:sz w:val="24"/>
          <w:szCs w:val="24"/>
        </w:rPr>
        <w:t>.</w:t>
      </w:r>
    </w:p>
    <w:p w14:paraId="5A85FDCE" w14:textId="2CA7689A" w:rsidR="006C45C3" w:rsidRPr="009031ED" w:rsidRDefault="006C45C3" w:rsidP="00081EFD">
      <w:pPr>
        <w:pStyle w:val="Heading3"/>
      </w:pPr>
      <w:bookmarkStart w:id="26" w:name="_Toc240558464"/>
      <w:r w:rsidRPr="009031ED">
        <w:t>Critical Comparison and Synthesis</w:t>
      </w:r>
      <w:bookmarkEnd w:id="26"/>
      <w:r w:rsidRPr="009031ED">
        <w:tab/>
      </w:r>
    </w:p>
    <w:p w14:paraId="202249BC" w14:textId="6DE5E750" w:rsidR="00E33A15" w:rsidRPr="006C45C3" w:rsidRDefault="00E33A15" w:rsidP="006C45C3">
      <w:pPr>
        <w:spacing w:before="240" w:line="360" w:lineRule="auto"/>
        <w:jc w:val="both"/>
        <w:rPr>
          <w:rFonts w:ascii="Arial" w:hAnsi="Arial" w:cs="Arial"/>
          <w:sz w:val="24"/>
          <w:szCs w:val="24"/>
        </w:rPr>
      </w:pPr>
      <w:r w:rsidRPr="00E33A15">
        <w:rPr>
          <w:rFonts w:ascii="Arial" w:hAnsi="Arial" w:cs="Arial"/>
          <w:sz w:val="24"/>
          <w:szCs w:val="24"/>
        </w:rPr>
        <w:t xml:space="preserve">The reviewed literature consistently demonstrates that vitamin D deficiency is highly prevalent among older adults living in UK care homes; however, researchers differ in their explanations of why prevention strategies remain ineffective. Feehan et al. (2022) and McSorley et al. (2020) primarily emphasise biological and environmental risk factors, whereas Turner et al. (2023) and Williams and Williams (2020) highlight deficiencies in staff knowledge, organisational policies, and professional responsibilities. Similarly, </w:t>
      </w:r>
      <w:proofErr w:type="spellStart"/>
      <w:r w:rsidRPr="00E33A15">
        <w:rPr>
          <w:rFonts w:ascii="Arial" w:hAnsi="Arial" w:cs="Arial"/>
          <w:sz w:val="24"/>
          <w:szCs w:val="24"/>
        </w:rPr>
        <w:t>Rombel</w:t>
      </w:r>
      <w:proofErr w:type="spellEnd"/>
      <w:r w:rsidRPr="00E33A15">
        <w:rPr>
          <w:rFonts w:ascii="Arial" w:hAnsi="Arial" w:cs="Arial"/>
          <w:sz w:val="24"/>
          <w:szCs w:val="24"/>
        </w:rPr>
        <w:t xml:space="preserve"> et al. (2025) advocates routine supplementation as a cost-effective intervention, while Cashman et al. (2023) argues that education and policy implementation are equally important. Overall, the evidence suggests that effective prevention requires an integrated approach combining supplementation, staff education, organisational support, and improved awareness rather than relying on a single intervention.</w:t>
      </w:r>
    </w:p>
    <w:p w14:paraId="57820920" w14:textId="1939000F" w:rsidR="00C67849" w:rsidRPr="009031ED" w:rsidRDefault="00C67849" w:rsidP="009031ED">
      <w:pPr>
        <w:pStyle w:val="Heading2"/>
      </w:pPr>
      <w:bookmarkStart w:id="27" w:name="_Toc240558465"/>
      <w:r w:rsidRPr="00C67849">
        <w:rPr>
          <w:rFonts w:hint="eastAsia"/>
        </w:rPr>
        <w:t>2.4 Gaps in the Literature</w:t>
      </w:r>
      <w:bookmarkEnd w:id="27"/>
      <w:r w:rsidRPr="00C67849">
        <w:rPr>
          <w:rFonts w:hint="eastAsia"/>
        </w:rPr>
        <w:t xml:space="preserve"> </w:t>
      </w:r>
    </w:p>
    <w:p w14:paraId="7B704CA6" w14:textId="1D2BB2F5"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The literature reviewed demonstrates that vitamin D deficiency among older adults has received considerable attention internationally; however, several important research gaps remain. Most existing studies have focused primarily on the biological consequences of vitamin D deficiency, including osteoporosis, muscle weakness, falls, and fractures, rather than examining how awareness, knowledge, and organisational practices influence prevention within care home settings (Feehan et al., 2022; McSorley et al., 2020). Consequently, current evidence provides limited understanding of the behavioural and institutional factors affecting successful implementatio</w:t>
      </w:r>
      <w:r w:rsidR="009031ED">
        <w:rPr>
          <w:rFonts w:ascii="Arial" w:hAnsi="Arial" w:cs="Arial"/>
          <w:sz w:val="24"/>
          <w:szCs w:val="24"/>
        </w:rPr>
        <w:t>n of vitamin D supplementation.</w:t>
      </w:r>
    </w:p>
    <w:p w14:paraId="1F02B20C" w14:textId="56686E2C"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 xml:space="preserve">A second gap relates to the geographical context of previous research. Although numerous European studies have investigated vitamin D deficiency among institutionalised older adults, relatively few have specifically explored prevention strategies within UK care homes. Many studies combine participants from different healthcare systems, making it difficult to determine whether findings are directly applicable to UK policies and practice (Cashman et al., 2023). Considering differences </w:t>
      </w:r>
      <w:r w:rsidRPr="00C67849">
        <w:rPr>
          <w:rFonts w:ascii="Arial" w:hAnsi="Arial" w:cs="Arial"/>
          <w:sz w:val="24"/>
          <w:szCs w:val="24"/>
        </w:rPr>
        <w:lastRenderedPageBreak/>
        <w:t>in healthcare delivery, care home regulations, and national supplementation guidance, UK-specific evidence is required</w:t>
      </w:r>
      <w:r w:rsidR="009031ED">
        <w:rPr>
          <w:rFonts w:ascii="Arial" w:hAnsi="Arial" w:cs="Arial"/>
          <w:sz w:val="24"/>
          <w:szCs w:val="24"/>
        </w:rPr>
        <w:t xml:space="preserve"> to inform practice and policy</w:t>
      </w:r>
    </w:p>
    <w:p w14:paraId="3C84D4E3" w14:textId="4E427414"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Another limitation concerns the research methodologies employed. Most published studies use either quantitative approaches to measure serum vitamin D concentrations and supplementation rates or qualitative methods to explore staff experiences and perceptions (Williams and Williams, 2020). Few studies integrate both approaches using a mixed-methods design capable of examining numerical patterns alongside participants' experiences. Consequently, there remains limited evidence explaining not only the extent of vitamin D awareness but also the reasons underlying inc</w:t>
      </w:r>
      <w:r w:rsidR="009031ED">
        <w:rPr>
          <w:rFonts w:ascii="Arial" w:hAnsi="Arial" w:cs="Arial"/>
          <w:sz w:val="24"/>
          <w:szCs w:val="24"/>
        </w:rPr>
        <w:t>onsistent prevention practices.</w:t>
      </w:r>
    </w:p>
    <w:p w14:paraId="2F8B8B66" w14:textId="7ED2C4DB"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 xml:space="preserve">Furthermore, limited attention has been given to the perspectives of both care home residents and care staff within the same study. Existing research frequently investigates healthcare professionals or residents separately, overlooking how interactions between knowledge, attitudes, organisational policies, and care delivery influence preventive practice. This restricts understanding of the complex factors contributing to vitamin D deficiency </w:t>
      </w:r>
      <w:r w:rsidR="009031ED">
        <w:rPr>
          <w:rFonts w:ascii="Arial" w:hAnsi="Arial" w:cs="Arial"/>
          <w:sz w:val="24"/>
          <w:szCs w:val="24"/>
        </w:rPr>
        <w:t>in residential care settings</w:t>
      </w:r>
    </w:p>
    <w:p w14:paraId="2F524EFF" w14:textId="0744A84A"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Therefore, this study aims to address these gaps by using a mixed-methods approach to investigate awareness, knowledge, barriers, and prevention practices among older adults and care home staff within UK care homes. The findings are expected to contribute context-specific evidence that may support improvements in education, organisational policies, and public health interventions designed to reduce vitamin D</w:t>
      </w:r>
      <w:r w:rsidR="009031ED">
        <w:rPr>
          <w:rFonts w:ascii="Arial" w:hAnsi="Arial" w:cs="Arial"/>
          <w:sz w:val="24"/>
          <w:szCs w:val="24"/>
        </w:rPr>
        <w:t xml:space="preserve"> deficiency among older adults.</w:t>
      </w:r>
    </w:p>
    <w:p w14:paraId="2BB4A55A" w14:textId="7D9D97BC" w:rsidR="00C67849" w:rsidRPr="009031ED" w:rsidRDefault="00C67849" w:rsidP="009031ED">
      <w:pPr>
        <w:pStyle w:val="Heading2"/>
      </w:pPr>
      <w:bookmarkStart w:id="28" w:name="_Toc240558466"/>
      <w:r w:rsidRPr="00C67849">
        <w:rPr>
          <w:rFonts w:hint="eastAsia"/>
        </w:rPr>
        <w:t>2.5 Theoretical Framework: Health Belief Model</w:t>
      </w:r>
      <w:bookmarkEnd w:id="28"/>
      <w:r w:rsidRPr="00C67849">
        <w:rPr>
          <w:rFonts w:hint="eastAsia"/>
        </w:rPr>
        <w:t xml:space="preserve"> </w:t>
      </w:r>
    </w:p>
    <w:p w14:paraId="22826DF5" w14:textId="73185924"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This study will be underpinned by the Health Belief Model (HBM), which is one of the most widely used behavioural theories for explaining health-related decision-making and preventive health behaviours. The model was originally developed to explain why individuals choose to engage, or fail to engage, in disease prevention activities and has been extensively applied in public health research relating to screening, vaccination, medication adherence, and health promotion (Rosenstock, 1974; Gla</w:t>
      </w:r>
      <w:r w:rsidR="009031ED">
        <w:rPr>
          <w:rFonts w:ascii="Arial" w:hAnsi="Arial" w:cs="Arial"/>
          <w:sz w:val="24"/>
          <w:szCs w:val="24"/>
        </w:rPr>
        <w:t>nz, Rimer and Viswanath, 2015).</w:t>
      </w:r>
    </w:p>
    <w:p w14:paraId="0A641831" w14:textId="7E329D7F"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lastRenderedPageBreak/>
        <w:t xml:space="preserve">The Health Belief Model proposes that health behaviour is influenced by six key constructs: perceived susceptibility, perceived severity, perceived benefits, perceived barriers, cues to action, and self-efficacy. These constructs provide an appropriate theoretical framework for understanding awareness and prevention of vitamin D deficiency among older </w:t>
      </w:r>
      <w:r w:rsidR="009031ED">
        <w:rPr>
          <w:rFonts w:ascii="Arial" w:hAnsi="Arial" w:cs="Arial"/>
          <w:sz w:val="24"/>
          <w:szCs w:val="24"/>
        </w:rPr>
        <w:t>adults living in UK care homes</w:t>
      </w:r>
    </w:p>
    <w:p w14:paraId="61E2F15E" w14:textId="29942FAC"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Firstly, perceived susceptibility refers to an individual's belief about their likelihood of developing vitamin D deficiency. Many older adults may underestimate their personal risk despite spending limited time outdoors or having reduced dietary intake. Similarly, care home staff may not fully recognise residents as being particularly vul</w:t>
      </w:r>
      <w:r w:rsidR="009031ED">
        <w:rPr>
          <w:rFonts w:ascii="Arial" w:hAnsi="Arial" w:cs="Arial"/>
          <w:sz w:val="24"/>
          <w:szCs w:val="24"/>
        </w:rPr>
        <w:t>nerable to deficiency.</w:t>
      </w:r>
    </w:p>
    <w:p w14:paraId="2EB36C7B" w14:textId="2A2FEE87"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Secondly, perceived severity concerns beliefs regarding the seriousness of vitamin D deficiency. Evidence demonstrates that deficiency increases the risk of falls, fractures, osteoporosis, muscle weakness, reduced mobility, and hospital admission (British Geriatrics Society, 2023). Greater awareness of these consequences may encourage both staff and residents to pr</w:t>
      </w:r>
      <w:r w:rsidR="009031ED">
        <w:rPr>
          <w:rFonts w:ascii="Arial" w:hAnsi="Arial" w:cs="Arial"/>
          <w:sz w:val="24"/>
          <w:szCs w:val="24"/>
        </w:rPr>
        <w:t>ioritise preventive behaviours.</w:t>
      </w:r>
    </w:p>
    <w:p w14:paraId="4F318135" w14:textId="321224A3"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Thirdly, perceived benefits relate to beliefs that vitamin D supplementation and routine prevention can improve health outcomes. Research has consistently shown that supplementation reduces deficiency and may lower fall and fracture risk among older adults (</w:t>
      </w:r>
      <w:proofErr w:type="spellStart"/>
      <w:r w:rsidRPr="00C67849">
        <w:rPr>
          <w:rFonts w:ascii="Arial" w:hAnsi="Arial" w:cs="Arial"/>
          <w:sz w:val="24"/>
          <w:szCs w:val="24"/>
        </w:rPr>
        <w:t>Rombel</w:t>
      </w:r>
      <w:proofErr w:type="spellEnd"/>
      <w:r w:rsidRPr="00C67849">
        <w:rPr>
          <w:rFonts w:ascii="Arial" w:hAnsi="Arial" w:cs="Arial"/>
          <w:sz w:val="24"/>
          <w:szCs w:val="24"/>
        </w:rPr>
        <w:t xml:space="preserve"> et al., 2025). When individuals understand these benefits, adherence to supplementa</w:t>
      </w:r>
      <w:r w:rsidR="009031ED">
        <w:rPr>
          <w:rFonts w:ascii="Arial" w:hAnsi="Arial" w:cs="Arial"/>
          <w:sz w:val="24"/>
          <w:szCs w:val="24"/>
        </w:rPr>
        <w:t>tion is more likely to improve</w:t>
      </w:r>
    </w:p>
    <w:p w14:paraId="7F06E778" w14:textId="18D57D62"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 xml:space="preserve">Conversely, perceived barriers include factors such as limited knowledge, unclear organisational policies, concerns regarding prescribing responsibilities, poor access to education, and uncertainty about supplementation guidelines (Williams and Williams, 2020). Identifying these barriers is central to the present study because they may explain inconsistent preventive practices within </w:t>
      </w:r>
      <w:r w:rsidR="009031ED">
        <w:rPr>
          <w:rFonts w:ascii="Arial" w:hAnsi="Arial" w:cs="Arial"/>
          <w:sz w:val="24"/>
          <w:szCs w:val="24"/>
        </w:rPr>
        <w:t>care homes</w:t>
      </w:r>
    </w:p>
    <w:p w14:paraId="39C2332B" w14:textId="4A6BD4F7"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t>The model also highlights cues to action, including staff education, public health campaigns, clinical guidelines, and reminders that encourage preventive behaviour. Finally, self-efficacy reflects individuals' confidence in their ability to understand vitamin D guidance and implement appropriate supplementation practices. Educational interventions have been shown to improve both knowledge and confidence among healthcare profe</w:t>
      </w:r>
      <w:r w:rsidR="009031ED">
        <w:rPr>
          <w:rFonts w:ascii="Arial" w:hAnsi="Arial" w:cs="Arial"/>
          <w:sz w:val="24"/>
          <w:szCs w:val="24"/>
        </w:rPr>
        <w:t>ssionals (Turner et al., 2023).</w:t>
      </w:r>
    </w:p>
    <w:p w14:paraId="14276D42" w14:textId="482C9CB5" w:rsidR="00C67849" w:rsidRPr="00C67849" w:rsidRDefault="00C67849" w:rsidP="00C67849">
      <w:pPr>
        <w:spacing w:before="240" w:line="360" w:lineRule="auto"/>
        <w:jc w:val="both"/>
        <w:rPr>
          <w:rFonts w:ascii="Arial" w:hAnsi="Arial" w:cs="Arial"/>
          <w:sz w:val="24"/>
          <w:szCs w:val="24"/>
        </w:rPr>
      </w:pPr>
      <w:r w:rsidRPr="00C67849">
        <w:rPr>
          <w:rFonts w:ascii="Arial" w:hAnsi="Arial" w:cs="Arial"/>
          <w:sz w:val="24"/>
          <w:szCs w:val="24"/>
        </w:rPr>
        <w:lastRenderedPageBreak/>
        <w:t>Overall, the Health Belief Model provides a comprehensive framework for examining how knowledge, beliefs, perceived risks, and organisational influences affect awareness and prevention of vitamin D deficiency. It therefore aligns closely with the study's aim of identifying strategies to improve awareness, supplementation practices, and preven</w:t>
      </w:r>
      <w:r w:rsidR="009031ED">
        <w:rPr>
          <w:rFonts w:ascii="Arial" w:hAnsi="Arial" w:cs="Arial"/>
          <w:sz w:val="24"/>
          <w:szCs w:val="24"/>
        </w:rPr>
        <w:t>tive care within UK care homes.</w:t>
      </w:r>
    </w:p>
    <w:p w14:paraId="0F91F3A6" w14:textId="082108E0" w:rsidR="00C67849" w:rsidRPr="009031ED" w:rsidRDefault="009031ED" w:rsidP="009031ED">
      <w:pPr>
        <w:pStyle w:val="Heading2"/>
      </w:pPr>
      <w:bookmarkStart w:id="29" w:name="_Toc240558467"/>
      <w:r>
        <w:rPr>
          <w:rFonts w:hint="eastAsia"/>
        </w:rPr>
        <w:t>2.6 Summary of the Chapter</w:t>
      </w:r>
      <w:bookmarkEnd w:id="29"/>
    </w:p>
    <w:p w14:paraId="4C85344F" w14:textId="165F30D9" w:rsidR="00595555" w:rsidRDefault="00C67849" w:rsidP="00C67849">
      <w:pPr>
        <w:spacing w:before="240" w:line="360" w:lineRule="auto"/>
        <w:jc w:val="both"/>
        <w:rPr>
          <w:rFonts w:ascii="Arial" w:hAnsi="Arial" w:cs="Arial"/>
          <w:sz w:val="24"/>
          <w:szCs w:val="24"/>
        </w:rPr>
      </w:pPr>
      <w:r w:rsidRPr="00C67849">
        <w:rPr>
          <w:rFonts w:ascii="Arial" w:hAnsi="Arial" w:cs="Arial"/>
          <w:sz w:val="24"/>
          <w:szCs w:val="24"/>
        </w:rPr>
        <w:t xml:space="preserve">This chapter reviewed the existing literature relating to vitamin D deficiency among older adults living in UK care homes. It examined the importance of vitamin D for musculoskeletal and overall health, the prevalence of deficiency within residential care settings, and current evidence relating to awareness, knowledge, barriers, and prevention strategies. The literature search strategy used to identify relevant evidence was also described. Throughout the review, similarities and differences between previous studies were critically compared to provide a balanced understanding of current knowledge. The chapter identified important gaps in existing research, particularly the limited use of mixed-methods approaches investigating awareness and prevention practices within UK care homes. Finally, the Health Belief Model was presented as the theoretical framework underpinning the study, demonstrating how behavioural factors may influence vitamin D awareness, supplementation practices, and preventive health behaviours among older adults and care home </w:t>
      </w:r>
      <w:proofErr w:type="spellStart"/>
      <w:r w:rsidRPr="00C67849">
        <w:rPr>
          <w:rFonts w:ascii="Arial" w:hAnsi="Arial" w:cs="Arial"/>
          <w:sz w:val="24"/>
          <w:szCs w:val="24"/>
        </w:rPr>
        <w:t>staff.</w:t>
      </w:r>
      <w:r w:rsidR="00595555">
        <w:rPr>
          <w:rFonts w:ascii="Arial" w:hAnsi="Arial" w:cs="Arial"/>
          <w:sz w:val="24"/>
          <w:szCs w:val="24"/>
        </w:rPr>
        <w:t>The</w:t>
      </w:r>
      <w:proofErr w:type="spellEnd"/>
      <w:r w:rsidR="00595555">
        <w:rPr>
          <w:rFonts w:ascii="Arial" w:hAnsi="Arial" w:cs="Arial"/>
          <w:sz w:val="24"/>
          <w:szCs w:val="24"/>
        </w:rPr>
        <w:t xml:space="preserve"> results of these studies were used as the basic for Research </w:t>
      </w:r>
      <w:r w:rsidR="00DD7EC2">
        <w:rPr>
          <w:rFonts w:ascii="Arial" w:hAnsi="Arial" w:cs="Arial"/>
          <w:sz w:val="24"/>
          <w:szCs w:val="24"/>
        </w:rPr>
        <w:t>methodology i</w:t>
      </w:r>
      <w:r w:rsidR="00595555">
        <w:rPr>
          <w:rFonts w:ascii="Arial" w:hAnsi="Arial" w:cs="Arial"/>
          <w:sz w:val="24"/>
          <w:szCs w:val="24"/>
        </w:rPr>
        <w:t xml:space="preserve">n </w:t>
      </w:r>
      <w:r w:rsidR="00DD7EC2">
        <w:rPr>
          <w:rFonts w:ascii="Arial" w:hAnsi="Arial" w:cs="Arial"/>
          <w:sz w:val="24"/>
          <w:szCs w:val="24"/>
        </w:rPr>
        <w:t>C</w:t>
      </w:r>
      <w:r w:rsidR="00595555">
        <w:rPr>
          <w:rFonts w:ascii="Arial" w:hAnsi="Arial" w:cs="Arial"/>
          <w:sz w:val="24"/>
          <w:szCs w:val="24"/>
        </w:rPr>
        <w:t xml:space="preserve">hapter </w:t>
      </w:r>
      <w:r w:rsidR="00DD7EC2">
        <w:rPr>
          <w:rFonts w:ascii="Arial" w:hAnsi="Arial" w:cs="Arial"/>
          <w:sz w:val="24"/>
          <w:szCs w:val="24"/>
        </w:rPr>
        <w:t>Three.</w:t>
      </w:r>
    </w:p>
    <w:p w14:paraId="001EE1DF" w14:textId="39A9CB5A" w:rsidR="00ED33F8" w:rsidRDefault="00ED33F8" w:rsidP="00C67849">
      <w:pPr>
        <w:spacing w:before="240" w:line="360" w:lineRule="auto"/>
        <w:jc w:val="both"/>
        <w:rPr>
          <w:rFonts w:ascii="Arial" w:hAnsi="Arial" w:cs="Arial"/>
          <w:sz w:val="24"/>
          <w:szCs w:val="24"/>
        </w:rPr>
      </w:pPr>
    </w:p>
    <w:p w14:paraId="41EB0DD1" w14:textId="35694E5F" w:rsidR="00ED33F8" w:rsidRDefault="00ED33F8" w:rsidP="00C67849">
      <w:pPr>
        <w:spacing w:before="240" w:line="360" w:lineRule="auto"/>
        <w:jc w:val="both"/>
        <w:rPr>
          <w:rFonts w:ascii="Arial" w:hAnsi="Arial" w:cs="Arial"/>
          <w:sz w:val="24"/>
          <w:szCs w:val="24"/>
        </w:rPr>
      </w:pPr>
    </w:p>
    <w:p w14:paraId="23F06084" w14:textId="2481B64C" w:rsidR="00ED33F8" w:rsidRDefault="00ED33F8" w:rsidP="00C67849">
      <w:pPr>
        <w:spacing w:before="240" w:line="360" w:lineRule="auto"/>
        <w:jc w:val="both"/>
        <w:rPr>
          <w:rFonts w:ascii="Arial" w:hAnsi="Arial" w:cs="Arial"/>
          <w:sz w:val="24"/>
          <w:szCs w:val="24"/>
        </w:rPr>
      </w:pPr>
    </w:p>
    <w:p w14:paraId="179C8582" w14:textId="77777777" w:rsidR="00F55794" w:rsidRDefault="00F55794" w:rsidP="00C67849">
      <w:pPr>
        <w:spacing w:before="240" w:line="360" w:lineRule="auto"/>
        <w:jc w:val="both"/>
        <w:rPr>
          <w:rFonts w:ascii="Arial" w:hAnsi="Arial" w:cs="Arial"/>
          <w:sz w:val="24"/>
          <w:szCs w:val="24"/>
        </w:rPr>
      </w:pPr>
    </w:p>
    <w:p w14:paraId="0EA27B00" w14:textId="77777777" w:rsidR="00F55794" w:rsidRDefault="00F55794" w:rsidP="00C67849">
      <w:pPr>
        <w:spacing w:before="240" w:line="360" w:lineRule="auto"/>
        <w:jc w:val="both"/>
        <w:rPr>
          <w:rFonts w:ascii="Arial" w:hAnsi="Arial" w:cs="Arial"/>
          <w:sz w:val="24"/>
          <w:szCs w:val="24"/>
        </w:rPr>
      </w:pPr>
    </w:p>
    <w:p w14:paraId="072305D8" w14:textId="77777777" w:rsidR="00F55794" w:rsidRDefault="00F55794" w:rsidP="00C67849">
      <w:pPr>
        <w:spacing w:before="240" w:line="360" w:lineRule="auto"/>
        <w:jc w:val="both"/>
        <w:rPr>
          <w:rFonts w:ascii="Arial" w:hAnsi="Arial" w:cs="Arial"/>
          <w:sz w:val="24"/>
          <w:szCs w:val="24"/>
        </w:rPr>
      </w:pPr>
    </w:p>
    <w:p w14:paraId="5A323C00" w14:textId="77777777" w:rsidR="00F55794" w:rsidRDefault="00F55794" w:rsidP="00C67849">
      <w:pPr>
        <w:spacing w:before="240" w:line="360" w:lineRule="auto"/>
        <w:jc w:val="both"/>
        <w:rPr>
          <w:rFonts w:ascii="Arial" w:hAnsi="Arial" w:cs="Arial"/>
          <w:sz w:val="24"/>
          <w:szCs w:val="24"/>
        </w:rPr>
      </w:pPr>
    </w:p>
    <w:p w14:paraId="0485A6DD" w14:textId="77777777" w:rsidR="00F55794" w:rsidRDefault="00F55794" w:rsidP="00C67849">
      <w:pPr>
        <w:spacing w:before="240" w:line="360" w:lineRule="auto"/>
        <w:jc w:val="both"/>
        <w:rPr>
          <w:rFonts w:ascii="Arial" w:hAnsi="Arial" w:cs="Arial"/>
          <w:sz w:val="24"/>
          <w:szCs w:val="24"/>
        </w:rPr>
      </w:pPr>
    </w:p>
    <w:p w14:paraId="3C5B4352" w14:textId="2598F81A" w:rsidR="00ED33F8" w:rsidRDefault="00ED33F8" w:rsidP="00C67849">
      <w:pPr>
        <w:spacing w:before="240" w:line="360" w:lineRule="auto"/>
        <w:jc w:val="both"/>
        <w:rPr>
          <w:rFonts w:ascii="Arial" w:hAnsi="Arial" w:cs="Arial"/>
          <w:sz w:val="24"/>
          <w:szCs w:val="24"/>
        </w:rPr>
      </w:pPr>
    </w:p>
    <w:p w14:paraId="32146412" w14:textId="0E4AF863" w:rsidR="00E35BD1" w:rsidRPr="00475036" w:rsidRDefault="00E35BD1" w:rsidP="00462F16">
      <w:pPr>
        <w:pStyle w:val="Heading1"/>
        <w:rPr>
          <w:lang w:eastAsia="en-GB"/>
        </w:rPr>
      </w:pPr>
      <w:bookmarkStart w:id="30" w:name="_Toc240558468"/>
      <w:r w:rsidRPr="00475036">
        <w:rPr>
          <w:lang w:eastAsia="en-GB"/>
        </w:rPr>
        <w:t xml:space="preserve">CHAPTER 3: </w:t>
      </w:r>
      <w:r w:rsidR="00495573">
        <w:rPr>
          <w:lang w:eastAsia="en-GB"/>
        </w:rPr>
        <w:t>R</w:t>
      </w:r>
      <w:r w:rsidR="00495573" w:rsidRPr="00475036">
        <w:rPr>
          <w:lang w:eastAsia="en-GB"/>
        </w:rPr>
        <w:t>esearch methodology</w:t>
      </w:r>
      <w:bookmarkEnd w:id="30"/>
    </w:p>
    <w:p w14:paraId="534FC926" w14:textId="706B6274" w:rsidR="00E35BD1" w:rsidRPr="00A81631" w:rsidRDefault="00E35BD1" w:rsidP="006F4D0F">
      <w:pPr>
        <w:pStyle w:val="Heading2"/>
        <w:rPr>
          <w:lang w:eastAsia="en-GB"/>
        </w:rPr>
      </w:pPr>
      <w:bookmarkStart w:id="31" w:name="_Toc240558469"/>
      <w:r w:rsidRPr="00A81631">
        <w:rPr>
          <w:lang w:eastAsia="en-GB"/>
        </w:rPr>
        <w:t>3.1 Introduction</w:t>
      </w:r>
      <w:bookmarkEnd w:id="31"/>
      <w:r w:rsidRPr="00A81631">
        <w:rPr>
          <w:lang w:eastAsia="en-GB"/>
        </w:rPr>
        <w:t xml:space="preserve"> </w:t>
      </w:r>
    </w:p>
    <w:p w14:paraId="7C4E1BED" w14:textId="0DBF34A0" w:rsidR="00E35BD1" w:rsidRPr="00475036" w:rsidRDefault="00D90FA2" w:rsidP="00475036">
      <w:pPr>
        <w:spacing w:line="360" w:lineRule="auto"/>
        <w:jc w:val="both"/>
        <w:rPr>
          <w:rFonts w:ascii="Arial" w:hAnsi="Arial" w:cs="Arial"/>
          <w:kern w:val="0"/>
          <w:sz w:val="24"/>
          <w:szCs w:val="24"/>
          <w:lang w:eastAsia="en-GB"/>
        </w:rPr>
      </w:pPr>
      <w:r w:rsidRPr="00D90FA2">
        <w:rPr>
          <w:rFonts w:ascii="Arial" w:hAnsi="Arial" w:cs="Arial"/>
          <w:kern w:val="0"/>
          <w:sz w:val="24"/>
          <w:szCs w:val="24"/>
          <w:lang w:eastAsia="en-GB"/>
        </w:rPr>
        <w:t xml:space="preserve">This chapter will explain the research methodology to be used to answer the review question on vitamin D deficiency awareness and prevention in older people in UK care homes. It will describe the philosophical underpinning of the study, the study approach and the rationale for conducting </w:t>
      </w:r>
      <w:r w:rsidRPr="00F27D82">
        <w:rPr>
          <w:rFonts w:ascii="Arial" w:hAnsi="Arial" w:cs="Arial"/>
          <w:b/>
          <w:bCs/>
          <w:kern w:val="0"/>
          <w:sz w:val="24"/>
          <w:szCs w:val="24"/>
          <w:lang w:eastAsia="en-GB"/>
        </w:rPr>
        <w:t>a systematic review.</w:t>
      </w:r>
      <w:r w:rsidRPr="00D90FA2">
        <w:rPr>
          <w:rFonts w:ascii="Arial" w:hAnsi="Arial" w:cs="Arial"/>
          <w:kern w:val="0"/>
          <w:sz w:val="24"/>
          <w:szCs w:val="24"/>
          <w:lang w:eastAsia="en-GB"/>
        </w:rPr>
        <w:t xml:space="preserve"> In addition, the chapter will explain how the review question was formulated in the PICO format, the databases searched, the search terms and the study selection process. It will also explain inclusion/exclusion criteria, quality assessment techniques, evidence extraction and thematic synthesis that will be utilized in analysing evidence. Ethical issues such as research integrity and transparency that are applicable to </w:t>
      </w:r>
      <w:r w:rsidRPr="00F27D82">
        <w:rPr>
          <w:rFonts w:ascii="Arial" w:hAnsi="Arial" w:cs="Arial"/>
          <w:b/>
          <w:bCs/>
          <w:kern w:val="0"/>
          <w:sz w:val="24"/>
          <w:szCs w:val="24"/>
          <w:lang w:eastAsia="en-GB"/>
        </w:rPr>
        <w:t xml:space="preserve">systematic reviews </w:t>
      </w:r>
      <w:r w:rsidRPr="00D90FA2">
        <w:rPr>
          <w:rFonts w:ascii="Arial" w:hAnsi="Arial" w:cs="Arial"/>
          <w:kern w:val="0"/>
          <w:sz w:val="24"/>
          <w:szCs w:val="24"/>
          <w:lang w:eastAsia="en-GB"/>
        </w:rPr>
        <w:t xml:space="preserve">will also be covered. The chapter will offer a systematic, transparent, and rigorous methodological approach to conducting the review, based on existing evidence-based research guidelines such as the Preferred Reporting Items for </w:t>
      </w:r>
      <w:r w:rsidRPr="00F27D82">
        <w:rPr>
          <w:rFonts w:ascii="Arial" w:hAnsi="Arial" w:cs="Arial"/>
          <w:b/>
          <w:bCs/>
          <w:kern w:val="0"/>
          <w:sz w:val="24"/>
          <w:szCs w:val="24"/>
          <w:lang w:eastAsia="en-GB"/>
        </w:rPr>
        <w:t>Systematic Reviews</w:t>
      </w:r>
      <w:r w:rsidRPr="00D90FA2">
        <w:rPr>
          <w:rFonts w:ascii="Arial" w:hAnsi="Arial" w:cs="Arial"/>
          <w:kern w:val="0"/>
          <w:sz w:val="24"/>
          <w:szCs w:val="24"/>
          <w:lang w:eastAsia="en-GB"/>
        </w:rPr>
        <w:t xml:space="preserve"> and Meta-Analyses (PRISMA)</w:t>
      </w:r>
      <w:r>
        <w:rPr>
          <w:rFonts w:ascii="Arial" w:hAnsi="Arial" w:cs="Arial"/>
          <w:kern w:val="0"/>
          <w:sz w:val="24"/>
          <w:szCs w:val="24"/>
          <w:lang w:eastAsia="en-GB"/>
        </w:rPr>
        <w:t xml:space="preserve"> guidelines (Page et al., 2021)</w:t>
      </w:r>
      <w:r w:rsidR="00E35BD1" w:rsidRPr="00475036">
        <w:rPr>
          <w:rFonts w:ascii="Arial" w:hAnsi="Arial" w:cs="Arial"/>
          <w:kern w:val="0"/>
          <w:sz w:val="24"/>
          <w:szCs w:val="24"/>
          <w:lang w:eastAsia="en-GB"/>
        </w:rPr>
        <w:t>.</w:t>
      </w:r>
    </w:p>
    <w:p w14:paraId="5B9246A3" w14:textId="5EEA11A9" w:rsidR="00E35BD1" w:rsidRPr="00D50343" w:rsidRDefault="00E35BD1" w:rsidP="006F4D0F">
      <w:pPr>
        <w:pStyle w:val="Heading2"/>
        <w:rPr>
          <w:lang w:eastAsia="en-GB"/>
        </w:rPr>
      </w:pPr>
      <w:bookmarkStart w:id="32" w:name="_Toc240558470"/>
      <w:r w:rsidRPr="00D50343">
        <w:rPr>
          <w:lang w:eastAsia="en-GB"/>
        </w:rPr>
        <w:t xml:space="preserve">3.2 </w:t>
      </w:r>
      <w:r w:rsidR="006F4D0F">
        <w:rPr>
          <w:lang w:eastAsia="en-GB"/>
        </w:rPr>
        <w:t>Research Philosophy</w:t>
      </w:r>
      <w:bookmarkEnd w:id="32"/>
      <w:r w:rsidR="006F4D0F">
        <w:rPr>
          <w:lang w:eastAsia="en-GB"/>
        </w:rPr>
        <w:t xml:space="preserve"> </w:t>
      </w:r>
    </w:p>
    <w:p w14:paraId="747D112E" w14:textId="77777777" w:rsidR="00D50343" w:rsidRPr="00D50343" w:rsidRDefault="00D50343" w:rsidP="00D50343">
      <w:pPr>
        <w:spacing w:line="360" w:lineRule="auto"/>
        <w:jc w:val="both"/>
        <w:rPr>
          <w:rFonts w:ascii="Arial" w:hAnsi="Arial" w:cs="Arial"/>
          <w:kern w:val="0"/>
          <w:sz w:val="24"/>
          <w:szCs w:val="24"/>
          <w:lang w:eastAsia="en-GB"/>
        </w:rPr>
      </w:pPr>
      <w:r w:rsidRPr="00D50343">
        <w:rPr>
          <w:rFonts w:ascii="Arial" w:hAnsi="Arial" w:cs="Arial"/>
          <w:kern w:val="0"/>
          <w:sz w:val="24"/>
          <w:szCs w:val="24"/>
          <w:lang w:eastAsia="en-GB"/>
        </w:rPr>
        <w:t>Research philosophy is the assumptions that underpin knowledge production, interpretation and application in a research study (Saunders, Lewis and Thornhill, 2023). Ontology and epistemology are two basic philosophical theories. In contrast to epistemology, which is concerned with the ways in which knowledge is gained and verified, ontology is concerned with the nature of reality and whether knowledge exists independently of human perception (Crotty, 2020).</w:t>
      </w:r>
    </w:p>
    <w:p w14:paraId="7D09003A" w14:textId="2945BC9C" w:rsidR="00D50343" w:rsidRPr="00D50343" w:rsidRDefault="00D50343" w:rsidP="00D50343">
      <w:pPr>
        <w:spacing w:line="360" w:lineRule="auto"/>
        <w:jc w:val="both"/>
        <w:rPr>
          <w:rFonts w:ascii="Arial" w:hAnsi="Arial" w:cs="Arial"/>
          <w:kern w:val="0"/>
          <w:sz w:val="24"/>
          <w:szCs w:val="24"/>
          <w:lang w:eastAsia="en-GB"/>
        </w:rPr>
      </w:pPr>
      <w:r w:rsidRPr="00D50343">
        <w:rPr>
          <w:rFonts w:ascii="Arial" w:hAnsi="Arial" w:cs="Arial"/>
          <w:kern w:val="0"/>
          <w:sz w:val="24"/>
          <w:szCs w:val="24"/>
          <w:lang w:eastAsia="en-GB"/>
        </w:rPr>
        <w:t>There are a few philosophical paradigms in the study of health. Positivism is the belief that the world is transparent and exists without interference or distortion from the researcher, and that it can be grasped from a systematic observation and from empirical evidence. Interpretivism, on the other hand, focuses on subjective experiences and social meanings, thus being more appropriate for qualitative research. (Saunders, Lewis and Thornhill, 2023).</w:t>
      </w:r>
    </w:p>
    <w:p w14:paraId="7ADCA159" w14:textId="7624547F" w:rsidR="00D50343" w:rsidRPr="00D50343" w:rsidRDefault="00D50343" w:rsidP="00D50343">
      <w:pPr>
        <w:spacing w:line="360" w:lineRule="auto"/>
        <w:jc w:val="both"/>
        <w:rPr>
          <w:rFonts w:ascii="Arial" w:hAnsi="Arial" w:cs="Arial"/>
          <w:kern w:val="0"/>
          <w:sz w:val="24"/>
          <w:szCs w:val="24"/>
          <w:lang w:eastAsia="en-GB"/>
        </w:rPr>
      </w:pPr>
      <w:r w:rsidRPr="00D50343">
        <w:rPr>
          <w:rFonts w:ascii="Arial" w:hAnsi="Arial" w:cs="Arial"/>
          <w:kern w:val="0"/>
          <w:sz w:val="24"/>
          <w:szCs w:val="24"/>
          <w:lang w:eastAsia="en-GB"/>
        </w:rPr>
        <w:t xml:space="preserve">In this systematic review, the positivist philosophy will be used because it aims to merge the objective evidence that is obtained from published scientific studies to </w:t>
      </w:r>
      <w:r w:rsidRPr="00D50343">
        <w:rPr>
          <w:rFonts w:ascii="Arial" w:hAnsi="Arial" w:cs="Arial"/>
          <w:kern w:val="0"/>
          <w:sz w:val="24"/>
          <w:szCs w:val="24"/>
          <w:lang w:eastAsia="en-GB"/>
        </w:rPr>
        <w:lastRenderedPageBreak/>
        <w:t>answer a clearly defined research question. Structured search techniques, inclusion criteria and transparent appraisal methods are used in systematic reviews to reduce bias and increase reliability (</w:t>
      </w:r>
      <w:proofErr w:type="spellStart"/>
      <w:r w:rsidRPr="00D50343">
        <w:rPr>
          <w:rFonts w:ascii="Arial" w:hAnsi="Arial" w:cs="Arial"/>
          <w:kern w:val="0"/>
          <w:sz w:val="24"/>
          <w:szCs w:val="24"/>
          <w:lang w:eastAsia="en-GB"/>
        </w:rPr>
        <w:t>Aromataris</w:t>
      </w:r>
      <w:proofErr w:type="spellEnd"/>
      <w:r w:rsidRPr="00D50343">
        <w:rPr>
          <w:rFonts w:ascii="Arial" w:hAnsi="Arial" w:cs="Arial"/>
          <w:kern w:val="0"/>
          <w:sz w:val="24"/>
          <w:szCs w:val="24"/>
          <w:lang w:eastAsia="en-GB"/>
        </w:rPr>
        <w:t xml:space="preserve"> and Munn, 2020). </w:t>
      </w:r>
    </w:p>
    <w:p w14:paraId="7D26BF13" w14:textId="134A03AE" w:rsidR="00D50343" w:rsidRPr="00D50343" w:rsidRDefault="006F4D0F" w:rsidP="006F4D0F">
      <w:pPr>
        <w:pStyle w:val="Heading2"/>
        <w:rPr>
          <w:lang w:eastAsia="en-GB"/>
        </w:rPr>
      </w:pPr>
      <w:bookmarkStart w:id="33" w:name="_Toc240558471"/>
      <w:r>
        <w:rPr>
          <w:lang w:eastAsia="en-GB"/>
        </w:rPr>
        <w:t>3.3 Research Approach</w:t>
      </w:r>
      <w:bookmarkEnd w:id="33"/>
      <w:r>
        <w:rPr>
          <w:lang w:eastAsia="en-GB"/>
        </w:rPr>
        <w:t xml:space="preserve"> </w:t>
      </w:r>
    </w:p>
    <w:p w14:paraId="527D43E5" w14:textId="77777777" w:rsidR="00D50343" w:rsidRPr="00D50343" w:rsidRDefault="00D50343" w:rsidP="00D50343">
      <w:pPr>
        <w:spacing w:line="360" w:lineRule="auto"/>
        <w:jc w:val="both"/>
        <w:rPr>
          <w:rFonts w:ascii="Arial" w:hAnsi="Arial" w:cs="Arial"/>
          <w:kern w:val="0"/>
          <w:sz w:val="24"/>
          <w:szCs w:val="24"/>
          <w:lang w:eastAsia="en-GB"/>
        </w:rPr>
      </w:pPr>
      <w:r w:rsidRPr="00D50343">
        <w:rPr>
          <w:rFonts w:ascii="Arial" w:hAnsi="Arial" w:cs="Arial"/>
          <w:kern w:val="0"/>
          <w:sz w:val="24"/>
          <w:szCs w:val="24"/>
          <w:lang w:eastAsia="en-GB"/>
        </w:rPr>
        <w:t>A research approach is the general means of collecting, analysing and interpreting evidence to answer a research question (Saunders, Lewis and Thornhill, 2023). Quantitative research often involves statistical analysis and numerical data to quantify relationships, test hypotheses and generate objective results. It is commonly employed in public health to assess interventions and trends over time and among populations (Polit and Beck, 2021). Qualitative research methods, on the other hand, include interviews and focus groups which help to understand the experience, perception, and behaviours of participants in detail and in context. Mixed-methods research is a blend of quantitative and qualitative methods that will generate a rich understanding of the complexity of health-related issues, as numerical data will be complemented with experiential data (Creswell and Creswell, 2018).</w:t>
      </w:r>
    </w:p>
    <w:p w14:paraId="2AA29C1B" w14:textId="05FF090F" w:rsidR="00D50343" w:rsidRPr="00D50343" w:rsidRDefault="00D50343" w:rsidP="00D50343">
      <w:pPr>
        <w:spacing w:line="360" w:lineRule="auto"/>
        <w:jc w:val="both"/>
        <w:rPr>
          <w:rFonts w:ascii="Arial" w:hAnsi="Arial" w:cs="Arial"/>
          <w:kern w:val="0"/>
          <w:sz w:val="24"/>
          <w:szCs w:val="24"/>
          <w:lang w:eastAsia="en-GB"/>
        </w:rPr>
      </w:pPr>
      <w:r w:rsidRPr="00D50343">
        <w:rPr>
          <w:rFonts w:ascii="Arial" w:hAnsi="Arial" w:cs="Arial"/>
          <w:kern w:val="0"/>
          <w:sz w:val="24"/>
          <w:szCs w:val="24"/>
          <w:lang w:eastAsia="en-GB"/>
        </w:rPr>
        <w:t>This study will use a systematic review design and not the primary quantitative, qualitative, or mixed methods design. A systematic review is a method that can be used to identify, critically evaluate and combine evidence to answer a specific research question in a systematic and transparent way (</w:t>
      </w:r>
      <w:proofErr w:type="spellStart"/>
      <w:r w:rsidRPr="00D50343">
        <w:rPr>
          <w:rFonts w:ascii="Arial" w:hAnsi="Arial" w:cs="Arial"/>
          <w:kern w:val="0"/>
          <w:sz w:val="24"/>
          <w:szCs w:val="24"/>
          <w:lang w:eastAsia="en-GB"/>
        </w:rPr>
        <w:t>Aromataris</w:t>
      </w:r>
      <w:proofErr w:type="spellEnd"/>
      <w:r w:rsidRPr="00D50343">
        <w:rPr>
          <w:rFonts w:ascii="Arial" w:hAnsi="Arial" w:cs="Arial"/>
          <w:kern w:val="0"/>
          <w:sz w:val="24"/>
          <w:szCs w:val="24"/>
          <w:lang w:eastAsia="en-GB"/>
        </w:rPr>
        <w:t xml:space="preserve"> and Munn, 2020). This is a suitable option as there is extensive published literature on vitamin D deficiency, awareness, and supplementation in older adults. (Page et al., 2021).</w:t>
      </w:r>
    </w:p>
    <w:p w14:paraId="3B4B9193" w14:textId="5BE621C9" w:rsidR="00D50343" w:rsidRPr="00D50343" w:rsidRDefault="006F4D0F" w:rsidP="006F4D0F">
      <w:pPr>
        <w:pStyle w:val="Heading2"/>
        <w:rPr>
          <w:lang w:eastAsia="en-GB"/>
        </w:rPr>
      </w:pPr>
      <w:bookmarkStart w:id="34" w:name="_Toc240558472"/>
      <w:r>
        <w:rPr>
          <w:lang w:eastAsia="en-GB"/>
        </w:rPr>
        <w:t>3.4 Research Strategy</w:t>
      </w:r>
      <w:bookmarkEnd w:id="34"/>
      <w:r>
        <w:rPr>
          <w:lang w:eastAsia="en-GB"/>
        </w:rPr>
        <w:t xml:space="preserve"> </w:t>
      </w:r>
    </w:p>
    <w:p w14:paraId="411FCFA1" w14:textId="77777777" w:rsidR="00C648A7" w:rsidRDefault="00D50343" w:rsidP="00D50343">
      <w:pPr>
        <w:spacing w:line="360" w:lineRule="auto"/>
        <w:jc w:val="both"/>
        <w:rPr>
          <w:rFonts w:ascii="Arial" w:hAnsi="Arial" w:cs="Arial"/>
          <w:kern w:val="0"/>
          <w:sz w:val="24"/>
          <w:szCs w:val="24"/>
          <w:lang w:eastAsia="en-GB"/>
        </w:rPr>
      </w:pPr>
      <w:r w:rsidRPr="00D50343">
        <w:rPr>
          <w:rFonts w:ascii="Arial" w:hAnsi="Arial" w:cs="Arial"/>
          <w:kern w:val="0"/>
          <w:sz w:val="24"/>
          <w:szCs w:val="24"/>
          <w:lang w:eastAsia="en-GB"/>
        </w:rPr>
        <w:t xml:space="preserve">Research strategy is the rational approach in the process of acquiring knowledge and in solving research problems. There are two main strategies that are used to make inferences: deductive reasoning and inductive reasoning (Saunders, Lewis and Thornhill, 2023). A deductive method takes an established theory, concept, or evidence and tests data to determine if the data are consistent with the theory. It is a process that is structured and conclusions drawn from knowledge that has been established. An inductive approach, on the other hand, begins with observations or collected data and builds out new theories or explanations from the emerging patterns. Inductive reasoning is often used in qualitative research, in which the researchers aim </w:t>
      </w:r>
      <w:r w:rsidRPr="00D50343">
        <w:rPr>
          <w:rFonts w:ascii="Arial" w:hAnsi="Arial" w:cs="Arial"/>
          <w:kern w:val="0"/>
          <w:sz w:val="24"/>
          <w:szCs w:val="24"/>
          <w:lang w:eastAsia="en-GB"/>
        </w:rPr>
        <w:lastRenderedPageBreak/>
        <w:t>to gain insight into the experience of participants and develop new conceptua</w:t>
      </w:r>
      <w:r w:rsidR="006F4D0F">
        <w:rPr>
          <w:rFonts w:ascii="Arial" w:hAnsi="Arial" w:cs="Arial"/>
          <w:kern w:val="0"/>
          <w:sz w:val="24"/>
          <w:szCs w:val="24"/>
          <w:lang w:eastAsia="en-GB"/>
        </w:rPr>
        <w:t xml:space="preserve">l understanding (Bryman, 2021). </w:t>
      </w:r>
    </w:p>
    <w:p w14:paraId="740EC2D5" w14:textId="4E70314A" w:rsidR="001A6183" w:rsidRPr="00475036" w:rsidRDefault="00D50343" w:rsidP="00D50343">
      <w:pPr>
        <w:spacing w:line="360" w:lineRule="auto"/>
        <w:jc w:val="both"/>
        <w:rPr>
          <w:rFonts w:ascii="Arial" w:hAnsi="Arial" w:cs="Arial"/>
          <w:kern w:val="0"/>
          <w:sz w:val="24"/>
          <w:szCs w:val="24"/>
          <w:lang w:eastAsia="en-GB"/>
        </w:rPr>
      </w:pPr>
      <w:r w:rsidRPr="00D50343">
        <w:rPr>
          <w:rFonts w:ascii="Arial" w:hAnsi="Arial" w:cs="Arial"/>
          <w:kern w:val="0"/>
          <w:sz w:val="24"/>
          <w:szCs w:val="24"/>
          <w:lang w:eastAsia="en-GB"/>
        </w:rPr>
        <w:t xml:space="preserve">The approach in this study will be deductive, as it is a systematic review and synthesis of existing published evidence on the vitamin D status, awareness and prevention of vitamin D deficiency among people in care homes in the UK aged 60 years and above. Instead of developing new theories and concepts, the review will consider existing evidence, national guidelines and past empirical studies in order to address the research question. </w:t>
      </w:r>
    </w:p>
    <w:p w14:paraId="67A376E1" w14:textId="12F0B2E7" w:rsidR="00FD076F" w:rsidRPr="00475036" w:rsidRDefault="00FD076F" w:rsidP="006F4D0F">
      <w:pPr>
        <w:pStyle w:val="Heading2"/>
        <w:rPr>
          <w:lang w:eastAsia="en-GB"/>
        </w:rPr>
      </w:pPr>
      <w:bookmarkStart w:id="35" w:name="_Toc240558473"/>
      <w:r w:rsidRPr="00475036">
        <w:rPr>
          <w:lang w:eastAsia="en-GB"/>
        </w:rPr>
        <w:t>3.6 Study Design – Systematic Review</w:t>
      </w:r>
      <w:bookmarkEnd w:id="35"/>
      <w:r w:rsidRPr="00475036">
        <w:rPr>
          <w:lang w:eastAsia="en-GB"/>
        </w:rPr>
        <w:t xml:space="preserve"> </w:t>
      </w:r>
    </w:p>
    <w:p w14:paraId="7F9B694F" w14:textId="5761BB66" w:rsidR="00FD076F" w:rsidRPr="00475036" w:rsidRDefault="00FD076F" w:rsidP="00081EFD">
      <w:pPr>
        <w:pStyle w:val="Heading3"/>
      </w:pPr>
      <w:bookmarkStart w:id="36" w:name="_Toc240558474"/>
      <w:r w:rsidRPr="00475036">
        <w:t>3.6.1 Definition of a Sy</w:t>
      </w:r>
      <w:r w:rsidR="009536FC">
        <w:t>stematic Review</w:t>
      </w:r>
      <w:bookmarkEnd w:id="36"/>
    </w:p>
    <w:p w14:paraId="6686AA0B" w14:textId="25FF235C" w:rsidR="00FD076F" w:rsidRPr="00475036" w:rsidRDefault="00964DF4" w:rsidP="00475036">
      <w:pPr>
        <w:spacing w:line="360" w:lineRule="auto"/>
        <w:jc w:val="both"/>
        <w:rPr>
          <w:rFonts w:ascii="Arial" w:hAnsi="Arial" w:cs="Arial"/>
          <w:kern w:val="0"/>
          <w:sz w:val="24"/>
          <w:szCs w:val="24"/>
          <w:lang w:eastAsia="en-GB"/>
        </w:rPr>
      </w:pPr>
      <w:r w:rsidRPr="00964DF4">
        <w:rPr>
          <w:rFonts w:ascii="Arial" w:hAnsi="Arial" w:cs="Arial"/>
          <w:kern w:val="0"/>
          <w:sz w:val="24"/>
          <w:szCs w:val="24"/>
          <w:lang w:eastAsia="en-GB"/>
        </w:rPr>
        <w:t>A systematic review is a well-structured and thorough research methodology that aims to answer a well-defined research question by identifying, critically appraising and synthesising all available published evidence in a transparent and reproducible way (</w:t>
      </w:r>
      <w:proofErr w:type="spellStart"/>
      <w:r w:rsidRPr="00964DF4">
        <w:rPr>
          <w:rFonts w:ascii="Arial" w:hAnsi="Arial" w:cs="Arial"/>
          <w:kern w:val="0"/>
          <w:sz w:val="24"/>
          <w:szCs w:val="24"/>
          <w:lang w:eastAsia="en-GB"/>
        </w:rPr>
        <w:t>Aromataris</w:t>
      </w:r>
      <w:proofErr w:type="spellEnd"/>
      <w:r w:rsidRPr="00964DF4">
        <w:rPr>
          <w:rFonts w:ascii="Arial" w:hAnsi="Arial" w:cs="Arial"/>
          <w:kern w:val="0"/>
          <w:sz w:val="24"/>
          <w:szCs w:val="24"/>
          <w:lang w:eastAsia="en-GB"/>
        </w:rPr>
        <w:t xml:space="preserve"> and Munn, 2020). Systematic review is a method of secondary research that involves the synthesis of the evidence in the form of existing studies to give the best possible answers to questions in health care decision-making. Systematic reviews use explicit inclusion/exclusion criteria, search strategies and quality appraisal procedures to minimise bias and ensure the findings are reliable, and are conducted following a predefin</w:t>
      </w:r>
      <w:r>
        <w:rPr>
          <w:rFonts w:ascii="Arial" w:hAnsi="Arial" w:cs="Arial"/>
          <w:kern w:val="0"/>
          <w:sz w:val="24"/>
          <w:szCs w:val="24"/>
          <w:lang w:eastAsia="en-GB"/>
        </w:rPr>
        <w:t>ed protocol (Page et al., 2021)</w:t>
      </w:r>
      <w:r w:rsidR="006F4D0F">
        <w:rPr>
          <w:rFonts w:ascii="Arial" w:hAnsi="Arial" w:cs="Arial"/>
          <w:kern w:val="0"/>
          <w:sz w:val="24"/>
          <w:szCs w:val="24"/>
          <w:lang w:eastAsia="en-GB"/>
        </w:rPr>
        <w:t>.</w:t>
      </w:r>
    </w:p>
    <w:p w14:paraId="5B1D7728" w14:textId="02CFF289" w:rsidR="00FD076F" w:rsidRPr="006F4D0F" w:rsidRDefault="00FD076F" w:rsidP="00081EFD">
      <w:pPr>
        <w:pStyle w:val="Heading3"/>
      </w:pPr>
      <w:bookmarkStart w:id="37" w:name="_Toc240558475"/>
      <w:r w:rsidRPr="00475036">
        <w:t>3.6.2 Difference Between Narrative Review, Literature Review and Systematic Review</w:t>
      </w:r>
      <w:bookmarkEnd w:id="37"/>
    </w:p>
    <w:p w14:paraId="36A4E1C3" w14:textId="2F98FB6D" w:rsidR="00FE630D" w:rsidRPr="00FE630D" w:rsidRDefault="00FE630D" w:rsidP="00FE630D">
      <w:pPr>
        <w:spacing w:line="360" w:lineRule="auto"/>
        <w:jc w:val="both"/>
        <w:rPr>
          <w:rFonts w:ascii="Arial" w:hAnsi="Arial" w:cs="Arial"/>
          <w:kern w:val="0"/>
          <w:sz w:val="24"/>
          <w:szCs w:val="24"/>
          <w:lang w:eastAsia="en-GB"/>
        </w:rPr>
      </w:pPr>
      <w:r w:rsidRPr="00FE630D">
        <w:rPr>
          <w:rFonts w:ascii="Arial" w:hAnsi="Arial" w:cs="Arial"/>
          <w:kern w:val="0"/>
          <w:sz w:val="24"/>
          <w:szCs w:val="24"/>
          <w:lang w:eastAsia="en-GB"/>
        </w:rPr>
        <w:t>A narrative review gives a descriptive summary of published literature, but typically is not undertaken with a structured search strategy or explicit selection criteria and thus is more prone to author bias (Snyder, 2019). A literature review is a summary and critique of past research in order to serve as background for an area of study, but it might not involve extensive searching or rigorous quality assessment. A systematic review, on the other hand, adopts a pre-established and transparent approach to search, select, critically evaluate and condense all relevant evidence that answers a research question (</w:t>
      </w:r>
      <w:proofErr w:type="spellStart"/>
      <w:r w:rsidRPr="00FE630D">
        <w:rPr>
          <w:rFonts w:ascii="Arial" w:hAnsi="Arial" w:cs="Arial"/>
          <w:kern w:val="0"/>
          <w:sz w:val="24"/>
          <w:szCs w:val="24"/>
          <w:lang w:eastAsia="en-GB"/>
        </w:rPr>
        <w:t>Aromataris</w:t>
      </w:r>
      <w:proofErr w:type="spellEnd"/>
      <w:r w:rsidRPr="00FE630D">
        <w:rPr>
          <w:rFonts w:ascii="Arial" w:hAnsi="Arial" w:cs="Arial"/>
          <w:kern w:val="0"/>
          <w:sz w:val="24"/>
          <w:szCs w:val="24"/>
          <w:lang w:eastAsia="en-GB"/>
        </w:rPr>
        <w:t xml:space="preserve"> and Munn, 2020).</w:t>
      </w:r>
    </w:p>
    <w:p w14:paraId="3FD16F47" w14:textId="5581CD3E" w:rsidR="00FD076F" w:rsidRPr="00475036" w:rsidRDefault="00FE630D" w:rsidP="00475036">
      <w:pPr>
        <w:spacing w:line="360" w:lineRule="auto"/>
        <w:jc w:val="both"/>
        <w:rPr>
          <w:rFonts w:ascii="Arial" w:hAnsi="Arial" w:cs="Arial"/>
          <w:kern w:val="0"/>
          <w:sz w:val="24"/>
          <w:szCs w:val="24"/>
          <w:lang w:eastAsia="en-GB"/>
        </w:rPr>
      </w:pPr>
      <w:r w:rsidRPr="00FE630D">
        <w:rPr>
          <w:rFonts w:ascii="Arial" w:hAnsi="Arial" w:cs="Arial"/>
          <w:kern w:val="0"/>
          <w:sz w:val="24"/>
          <w:szCs w:val="24"/>
          <w:lang w:eastAsia="en-GB"/>
        </w:rPr>
        <w:t xml:space="preserve">There are a number of advantages to the systematic review design. First, it is transparent – it clearly documents each step of the review process, making it easy for </w:t>
      </w:r>
      <w:r w:rsidRPr="00FE630D">
        <w:rPr>
          <w:rFonts w:ascii="Arial" w:hAnsi="Arial" w:cs="Arial"/>
          <w:kern w:val="0"/>
          <w:sz w:val="24"/>
          <w:szCs w:val="24"/>
          <w:lang w:eastAsia="en-GB"/>
        </w:rPr>
        <w:lastRenderedPageBreak/>
        <w:t xml:space="preserve">readers to know how evidence was identified and evaluated. Second, it is replicable; that is, the review can be repeated by other researchers through the application of the same methods to achieve similar results. Third, systematic reviews minimise selection and reporting biases by thorough literature search and by using pre-defined criteria to determine the inclusion of studies and critical appraisals of included studies. This study will adhere to the Preferred Reporting Items for Systematic Reviews and Meta-Analyses (PRISMA 2020) guidelines, which offer internationally recognised standards for conducting and reporting systematic reviews (Page et al., 2021). </w:t>
      </w:r>
    </w:p>
    <w:p w14:paraId="793D186D" w14:textId="3540D9D2" w:rsidR="00FD076F" w:rsidRPr="006F4D0F" w:rsidRDefault="00FD076F" w:rsidP="006F4D0F">
      <w:pPr>
        <w:pStyle w:val="Heading2"/>
        <w:rPr>
          <w:lang w:eastAsia="en-GB"/>
        </w:rPr>
      </w:pPr>
      <w:bookmarkStart w:id="38" w:name="_Toc240558476"/>
      <w:r w:rsidRPr="00475036">
        <w:rPr>
          <w:lang w:eastAsia="en-GB"/>
        </w:rPr>
        <w:t>3.7 Method of Data Collection</w:t>
      </w:r>
      <w:bookmarkEnd w:id="38"/>
    </w:p>
    <w:p w14:paraId="75142D72" w14:textId="7197AC83" w:rsidR="0037262D" w:rsidRPr="0037262D" w:rsidRDefault="0037262D" w:rsidP="0037262D">
      <w:pPr>
        <w:spacing w:line="360" w:lineRule="auto"/>
        <w:jc w:val="both"/>
        <w:rPr>
          <w:rFonts w:ascii="Arial" w:hAnsi="Arial" w:cs="Arial"/>
          <w:kern w:val="0"/>
          <w:sz w:val="24"/>
          <w:szCs w:val="24"/>
          <w:lang w:eastAsia="en-GB"/>
        </w:rPr>
      </w:pPr>
      <w:r w:rsidRPr="0037262D">
        <w:rPr>
          <w:rFonts w:ascii="Arial" w:hAnsi="Arial" w:cs="Arial"/>
          <w:kern w:val="0"/>
          <w:sz w:val="24"/>
          <w:szCs w:val="24"/>
          <w:lang w:eastAsia="en-GB"/>
        </w:rPr>
        <w:t>The methods for identifying, retrieving and selecting published studies for inclusion in the systematic review</w:t>
      </w:r>
      <w:r w:rsidR="006F4D0F">
        <w:rPr>
          <w:rFonts w:ascii="Arial" w:hAnsi="Arial" w:cs="Arial"/>
          <w:kern w:val="0"/>
          <w:sz w:val="24"/>
          <w:szCs w:val="24"/>
          <w:lang w:eastAsia="en-GB"/>
        </w:rPr>
        <w:t xml:space="preserve"> are described in this section.</w:t>
      </w:r>
    </w:p>
    <w:p w14:paraId="4E1B995B" w14:textId="3009FEB8" w:rsidR="0037262D" w:rsidRPr="006F4D0F" w:rsidRDefault="006F4D0F" w:rsidP="00081EFD">
      <w:pPr>
        <w:pStyle w:val="Heading3"/>
      </w:pPr>
      <w:bookmarkStart w:id="39" w:name="_Toc240558477"/>
      <w:r>
        <w:t>3.7.1 Search Strategy</w:t>
      </w:r>
      <w:bookmarkEnd w:id="39"/>
      <w:r>
        <w:t xml:space="preserve"> </w:t>
      </w:r>
    </w:p>
    <w:p w14:paraId="3E4385CD" w14:textId="3281F846" w:rsidR="0037262D" w:rsidRPr="0037262D" w:rsidRDefault="0037262D" w:rsidP="0037262D">
      <w:pPr>
        <w:spacing w:line="360" w:lineRule="auto"/>
        <w:jc w:val="both"/>
        <w:rPr>
          <w:rFonts w:ascii="Arial" w:hAnsi="Arial" w:cs="Arial"/>
          <w:kern w:val="0"/>
          <w:sz w:val="24"/>
          <w:szCs w:val="24"/>
          <w:lang w:eastAsia="en-GB"/>
        </w:rPr>
      </w:pPr>
      <w:r w:rsidRPr="0037262D">
        <w:rPr>
          <w:rFonts w:ascii="Arial" w:hAnsi="Arial" w:cs="Arial"/>
          <w:kern w:val="0"/>
          <w:sz w:val="24"/>
          <w:szCs w:val="24"/>
          <w:lang w:eastAsia="en-GB"/>
        </w:rPr>
        <w:t>An extensive electronic search will be conducted to find appropriate studies to examine awareness and prevention of vitamin D deficiency in older adults in the UK care home setting. Systematic retrieval of literature using a predetermined search term and selection criteria is deemed to be the most effective way of identifying published scientific literature using electronic database searchi</w:t>
      </w:r>
      <w:r w:rsidR="006F4D0F">
        <w:rPr>
          <w:rFonts w:ascii="Arial" w:hAnsi="Arial" w:cs="Arial"/>
          <w:kern w:val="0"/>
          <w:sz w:val="24"/>
          <w:szCs w:val="24"/>
          <w:lang w:eastAsia="en-GB"/>
        </w:rPr>
        <w:t>ng (</w:t>
      </w:r>
      <w:proofErr w:type="spellStart"/>
      <w:r w:rsidR="006F4D0F">
        <w:rPr>
          <w:rFonts w:ascii="Arial" w:hAnsi="Arial" w:cs="Arial"/>
          <w:kern w:val="0"/>
          <w:sz w:val="24"/>
          <w:szCs w:val="24"/>
          <w:lang w:eastAsia="en-GB"/>
        </w:rPr>
        <w:t>Aromataris</w:t>
      </w:r>
      <w:proofErr w:type="spellEnd"/>
      <w:r w:rsidR="006F4D0F">
        <w:rPr>
          <w:rFonts w:ascii="Arial" w:hAnsi="Arial" w:cs="Arial"/>
          <w:kern w:val="0"/>
          <w:sz w:val="24"/>
          <w:szCs w:val="24"/>
          <w:lang w:eastAsia="en-GB"/>
        </w:rPr>
        <w:t xml:space="preserve"> and Munn, 2020).</w:t>
      </w:r>
    </w:p>
    <w:p w14:paraId="6ACA0ED7" w14:textId="1B3426BF" w:rsidR="0037262D" w:rsidRPr="0037262D" w:rsidRDefault="0037262D" w:rsidP="0037262D">
      <w:pPr>
        <w:spacing w:line="360" w:lineRule="auto"/>
        <w:jc w:val="both"/>
        <w:rPr>
          <w:rFonts w:ascii="Arial" w:hAnsi="Arial" w:cs="Arial"/>
          <w:kern w:val="0"/>
          <w:sz w:val="24"/>
          <w:szCs w:val="24"/>
          <w:lang w:eastAsia="en-GB"/>
        </w:rPr>
      </w:pPr>
      <w:r w:rsidRPr="0037262D">
        <w:rPr>
          <w:rFonts w:ascii="Arial" w:hAnsi="Arial" w:cs="Arial"/>
          <w:kern w:val="0"/>
          <w:sz w:val="24"/>
          <w:szCs w:val="24"/>
          <w:lang w:eastAsia="en-GB"/>
        </w:rPr>
        <w:t>A mixed approach using free text words and controlled vocabulary (Medical Subject Headings (</w:t>
      </w:r>
      <w:proofErr w:type="spellStart"/>
      <w:r w:rsidRPr="0037262D">
        <w:rPr>
          <w:rFonts w:ascii="Arial" w:hAnsi="Arial" w:cs="Arial"/>
          <w:kern w:val="0"/>
          <w:sz w:val="24"/>
          <w:szCs w:val="24"/>
          <w:lang w:eastAsia="en-GB"/>
        </w:rPr>
        <w:t>MeSH</w:t>
      </w:r>
      <w:proofErr w:type="spellEnd"/>
      <w:r w:rsidRPr="0037262D">
        <w:rPr>
          <w:rFonts w:ascii="Arial" w:hAnsi="Arial" w:cs="Arial"/>
          <w:kern w:val="0"/>
          <w:sz w:val="24"/>
          <w:szCs w:val="24"/>
          <w:lang w:eastAsia="en-GB"/>
        </w:rPr>
        <w:t xml:space="preserve">) if available) will be used in the search strategy. The use of Boolean operators (AND, OR, NOT) will be used to combine search terms and enhance the sensitivity and specificity of the search. The AND operator will narrow the search result and the OR will broaden the search result by including synonyms or related concepts </w:t>
      </w:r>
      <w:r w:rsidR="006F4D0F">
        <w:rPr>
          <w:rFonts w:ascii="Arial" w:hAnsi="Arial" w:cs="Arial"/>
          <w:kern w:val="0"/>
          <w:sz w:val="24"/>
          <w:szCs w:val="24"/>
          <w:lang w:eastAsia="en-GB"/>
        </w:rPr>
        <w:t>(Bramer et al., 2018).</w:t>
      </w:r>
    </w:p>
    <w:p w14:paraId="27ABA034" w14:textId="3860ECB1" w:rsidR="0037262D" w:rsidRPr="006F4D0F" w:rsidRDefault="0037262D" w:rsidP="0037262D">
      <w:pPr>
        <w:spacing w:line="360" w:lineRule="auto"/>
        <w:jc w:val="both"/>
        <w:rPr>
          <w:rFonts w:ascii="Arial" w:hAnsi="Arial" w:cs="Arial"/>
          <w:b/>
          <w:kern w:val="0"/>
          <w:sz w:val="24"/>
          <w:szCs w:val="24"/>
          <w:lang w:eastAsia="en-GB"/>
        </w:rPr>
      </w:pPr>
      <w:r w:rsidRPr="006F4D0F">
        <w:rPr>
          <w:rFonts w:ascii="Arial" w:hAnsi="Arial" w:cs="Arial"/>
          <w:b/>
          <w:kern w:val="0"/>
          <w:sz w:val="24"/>
          <w:szCs w:val="24"/>
          <w:lang w:eastAsia="en-GB"/>
        </w:rPr>
        <w:t>The</w:t>
      </w:r>
      <w:r w:rsidR="006F4D0F" w:rsidRPr="006F4D0F">
        <w:rPr>
          <w:rFonts w:ascii="Arial" w:hAnsi="Arial" w:cs="Arial"/>
          <w:b/>
          <w:kern w:val="0"/>
          <w:sz w:val="24"/>
          <w:szCs w:val="24"/>
          <w:lang w:eastAsia="en-GB"/>
        </w:rPr>
        <w:t xml:space="preserve"> main keywords are going to be:</w:t>
      </w:r>
    </w:p>
    <w:p w14:paraId="7E2DBB0F" w14:textId="77777777" w:rsidR="0037262D" w:rsidRPr="006F4D0F" w:rsidRDefault="0037262D" w:rsidP="00AB7AED">
      <w:pPr>
        <w:pStyle w:val="ListParagraph"/>
        <w:numPr>
          <w:ilvl w:val="0"/>
          <w:numId w:val="2"/>
        </w:numPr>
        <w:spacing w:line="360" w:lineRule="auto"/>
        <w:jc w:val="both"/>
        <w:rPr>
          <w:rFonts w:ascii="Arial" w:hAnsi="Arial" w:cs="Arial"/>
          <w:kern w:val="0"/>
          <w:sz w:val="24"/>
          <w:szCs w:val="24"/>
          <w:lang w:eastAsia="en-GB"/>
        </w:rPr>
      </w:pPr>
      <w:r w:rsidRPr="006F4D0F">
        <w:rPr>
          <w:rFonts w:ascii="Arial" w:hAnsi="Arial" w:cs="Arial"/>
          <w:kern w:val="0"/>
          <w:sz w:val="24"/>
          <w:szCs w:val="24"/>
          <w:lang w:eastAsia="en-GB"/>
        </w:rPr>
        <w:t>Vitamin D</w:t>
      </w:r>
    </w:p>
    <w:p w14:paraId="3B6E3C4A" w14:textId="77777777" w:rsidR="0037262D" w:rsidRPr="006F4D0F" w:rsidRDefault="0037262D" w:rsidP="00AB7AED">
      <w:pPr>
        <w:pStyle w:val="ListParagraph"/>
        <w:numPr>
          <w:ilvl w:val="0"/>
          <w:numId w:val="2"/>
        </w:numPr>
        <w:spacing w:line="360" w:lineRule="auto"/>
        <w:jc w:val="both"/>
        <w:rPr>
          <w:rFonts w:ascii="Arial" w:hAnsi="Arial" w:cs="Arial"/>
          <w:kern w:val="0"/>
          <w:sz w:val="24"/>
          <w:szCs w:val="24"/>
          <w:lang w:eastAsia="en-GB"/>
        </w:rPr>
      </w:pPr>
      <w:r w:rsidRPr="006F4D0F">
        <w:rPr>
          <w:rFonts w:ascii="Arial" w:hAnsi="Arial" w:cs="Arial"/>
          <w:kern w:val="0"/>
          <w:sz w:val="24"/>
          <w:szCs w:val="24"/>
          <w:lang w:eastAsia="en-GB"/>
        </w:rPr>
        <w:t>AND Older adults</w:t>
      </w:r>
    </w:p>
    <w:p w14:paraId="0F0BB6E1" w14:textId="77777777" w:rsidR="0037262D" w:rsidRPr="006F4D0F" w:rsidRDefault="0037262D" w:rsidP="00AB7AED">
      <w:pPr>
        <w:pStyle w:val="ListParagraph"/>
        <w:numPr>
          <w:ilvl w:val="0"/>
          <w:numId w:val="2"/>
        </w:numPr>
        <w:spacing w:line="360" w:lineRule="auto"/>
        <w:jc w:val="both"/>
        <w:rPr>
          <w:rFonts w:ascii="Arial" w:hAnsi="Arial" w:cs="Arial"/>
          <w:kern w:val="0"/>
          <w:sz w:val="24"/>
          <w:szCs w:val="24"/>
          <w:lang w:eastAsia="en-GB"/>
        </w:rPr>
      </w:pPr>
      <w:r w:rsidRPr="006F4D0F">
        <w:rPr>
          <w:rFonts w:ascii="Arial" w:hAnsi="Arial" w:cs="Arial"/>
          <w:kern w:val="0"/>
          <w:sz w:val="24"/>
          <w:szCs w:val="24"/>
          <w:lang w:eastAsia="en-GB"/>
        </w:rPr>
        <w:t>AND Care home</w:t>
      </w:r>
    </w:p>
    <w:p w14:paraId="4F73A0F7" w14:textId="77777777" w:rsidR="0037262D" w:rsidRPr="006F4D0F" w:rsidRDefault="0037262D" w:rsidP="00AB7AED">
      <w:pPr>
        <w:pStyle w:val="ListParagraph"/>
        <w:numPr>
          <w:ilvl w:val="0"/>
          <w:numId w:val="2"/>
        </w:numPr>
        <w:spacing w:line="360" w:lineRule="auto"/>
        <w:jc w:val="both"/>
        <w:rPr>
          <w:rFonts w:ascii="Arial" w:hAnsi="Arial" w:cs="Arial"/>
          <w:kern w:val="0"/>
          <w:sz w:val="24"/>
          <w:szCs w:val="24"/>
          <w:lang w:eastAsia="en-GB"/>
        </w:rPr>
      </w:pPr>
      <w:r w:rsidRPr="006F4D0F">
        <w:rPr>
          <w:rFonts w:ascii="Arial" w:hAnsi="Arial" w:cs="Arial"/>
          <w:kern w:val="0"/>
          <w:sz w:val="24"/>
          <w:szCs w:val="24"/>
          <w:lang w:eastAsia="en-GB"/>
        </w:rPr>
        <w:t>AND United Kingdom</w:t>
      </w:r>
    </w:p>
    <w:p w14:paraId="21F30BA8" w14:textId="77777777" w:rsidR="0037262D" w:rsidRPr="006F4D0F" w:rsidRDefault="0037262D" w:rsidP="00AB7AED">
      <w:pPr>
        <w:pStyle w:val="ListParagraph"/>
        <w:numPr>
          <w:ilvl w:val="0"/>
          <w:numId w:val="2"/>
        </w:numPr>
        <w:spacing w:line="360" w:lineRule="auto"/>
        <w:jc w:val="both"/>
        <w:rPr>
          <w:rFonts w:ascii="Arial" w:hAnsi="Arial" w:cs="Arial"/>
          <w:kern w:val="0"/>
          <w:sz w:val="24"/>
          <w:szCs w:val="24"/>
          <w:lang w:eastAsia="en-GB"/>
        </w:rPr>
      </w:pPr>
      <w:r w:rsidRPr="006F4D0F">
        <w:rPr>
          <w:rFonts w:ascii="Arial" w:hAnsi="Arial" w:cs="Arial"/>
          <w:kern w:val="0"/>
          <w:sz w:val="24"/>
          <w:szCs w:val="24"/>
          <w:lang w:eastAsia="en-GB"/>
        </w:rPr>
        <w:t>AND Awareness</w:t>
      </w:r>
    </w:p>
    <w:p w14:paraId="687631F3" w14:textId="773BB1B6" w:rsidR="0037262D" w:rsidRPr="006F4D0F" w:rsidRDefault="0037262D" w:rsidP="00AB7AED">
      <w:pPr>
        <w:pStyle w:val="ListParagraph"/>
        <w:numPr>
          <w:ilvl w:val="0"/>
          <w:numId w:val="2"/>
        </w:numPr>
        <w:spacing w:line="360" w:lineRule="auto"/>
        <w:jc w:val="both"/>
        <w:rPr>
          <w:rFonts w:ascii="Arial" w:hAnsi="Arial" w:cs="Arial"/>
          <w:kern w:val="0"/>
          <w:sz w:val="24"/>
          <w:szCs w:val="24"/>
          <w:lang w:eastAsia="en-GB"/>
        </w:rPr>
      </w:pPr>
      <w:r w:rsidRPr="006F4D0F">
        <w:rPr>
          <w:rFonts w:ascii="Arial" w:hAnsi="Arial" w:cs="Arial"/>
          <w:kern w:val="0"/>
          <w:sz w:val="24"/>
          <w:szCs w:val="24"/>
          <w:lang w:eastAsia="en-GB"/>
        </w:rPr>
        <w:t>AND Supplementation</w:t>
      </w:r>
    </w:p>
    <w:p w14:paraId="25193A44" w14:textId="4FD9ABE7" w:rsidR="0037262D" w:rsidRPr="0037262D" w:rsidRDefault="0037262D" w:rsidP="0037262D">
      <w:pPr>
        <w:spacing w:line="360" w:lineRule="auto"/>
        <w:jc w:val="both"/>
        <w:rPr>
          <w:rFonts w:ascii="Arial" w:hAnsi="Arial" w:cs="Arial"/>
          <w:kern w:val="0"/>
          <w:sz w:val="24"/>
          <w:szCs w:val="24"/>
          <w:lang w:eastAsia="en-GB"/>
        </w:rPr>
      </w:pPr>
      <w:r w:rsidRPr="0037262D">
        <w:rPr>
          <w:rFonts w:ascii="Arial" w:hAnsi="Arial" w:cs="Arial"/>
          <w:kern w:val="0"/>
          <w:sz w:val="24"/>
          <w:szCs w:val="24"/>
          <w:lang w:eastAsia="en-GB"/>
        </w:rPr>
        <w:lastRenderedPageBreak/>
        <w:t>Some other possible synonyms will be included where appropriate to get most relevant studies – these include elderly, older people, residential care, nursing home, knowledge, education, and prevention. The search strategy will be tailored to the indexing requirements of each database to achieve the best outcome in terms of the comprehensiveness of the literature search, whilst ensuring consistency and transparency throughout the revi</w:t>
      </w:r>
      <w:r w:rsidR="006F4D0F">
        <w:rPr>
          <w:rFonts w:ascii="Arial" w:hAnsi="Arial" w:cs="Arial"/>
          <w:kern w:val="0"/>
          <w:sz w:val="24"/>
          <w:szCs w:val="24"/>
          <w:lang w:eastAsia="en-GB"/>
        </w:rPr>
        <w:t>ew process (Page et al., 2021).</w:t>
      </w:r>
    </w:p>
    <w:p w14:paraId="62AB888A" w14:textId="6CA19EE6" w:rsidR="0037262D" w:rsidRPr="006F4D0F" w:rsidRDefault="0037262D" w:rsidP="00081EFD">
      <w:pPr>
        <w:pStyle w:val="Heading3"/>
      </w:pPr>
      <w:bookmarkStart w:id="40" w:name="_Toc240558478"/>
      <w:r w:rsidRPr="0037262D">
        <w:t>3.7.2 Framing the Research Question (PICO)</w:t>
      </w:r>
      <w:bookmarkEnd w:id="40"/>
    </w:p>
    <w:p w14:paraId="78B20BB9" w14:textId="6E889BAF" w:rsidR="00A72FC0" w:rsidRPr="007019CE" w:rsidRDefault="0037262D" w:rsidP="007019CE">
      <w:pPr>
        <w:spacing w:line="360" w:lineRule="auto"/>
        <w:jc w:val="both"/>
        <w:rPr>
          <w:rFonts w:ascii="Arial" w:hAnsi="Arial" w:cs="Arial"/>
          <w:kern w:val="0"/>
          <w:sz w:val="24"/>
          <w:szCs w:val="24"/>
          <w:lang w:eastAsia="en-GB"/>
        </w:rPr>
      </w:pPr>
      <w:r w:rsidRPr="0037262D">
        <w:rPr>
          <w:rFonts w:ascii="Arial" w:hAnsi="Arial" w:cs="Arial"/>
          <w:kern w:val="0"/>
          <w:sz w:val="24"/>
          <w:szCs w:val="24"/>
          <w:lang w:eastAsia="en-GB"/>
        </w:rPr>
        <w:t>The review question is designed in a systematic way, employing the Population, Intervention, Comparison, Outcome (PICO) framework that aids in the development of focused research questions and determining the search terms for evidence-based healthcare reviews (Richardson et al., 1995).</w:t>
      </w:r>
    </w:p>
    <w:p w14:paraId="49DD81F2" w14:textId="582BECAB" w:rsidR="007019CE" w:rsidRDefault="007019CE" w:rsidP="007019CE">
      <w:pPr>
        <w:pStyle w:val="Caption"/>
        <w:keepNext/>
      </w:pPr>
      <w:bookmarkStart w:id="41" w:name="_Toc240558533"/>
      <w:r>
        <w:t xml:space="preserve">Table </w:t>
      </w:r>
      <w:r w:rsidR="00CE5F90">
        <w:fldChar w:fldCharType="begin"/>
      </w:r>
      <w:r w:rsidR="00CE5F90">
        <w:instrText xml:space="preserve"> SEQ Table \* ARABIC </w:instrText>
      </w:r>
      <w:r w:rsidR="00CE5F90">
        <w:fldChar w:fldCharType="separate"/>
      </w:r>
      <w:r w:rsidR="00CE5F90">
        <w:rPr>
          <w:noProof/>
        </w:rPr>
        <w:t>2</w:t>
      </w:r>
      <w:r w:rsidR="00CE5F90">
        <w:rPr>
          <w:noProof/>
        </w:rPr>
        <w:fldChar w:fldCharType="end"/>
      </w:r>
      <w:r w:rsidRPr="00381818">
        <w:t>: PICO Framework</w:t>
      </w:r>
      <w:bookmarkEnd w:id="41"/>
    </w:p>
    <w:tbl>
      <w:tblPr>
        <w:tblStyle w:val="TableGrid"/>
        <w:tblW w:w="0" w:type="auto"/>
        <w:tblLook w:val="04A0" w:firstRow="1" w:lastRow="0" w:firstColumn="1" w:lastColumn="0" w:noHBand="0" w:noVBand="1"/>
      </w:tblPr>
      <w:tblGrid>
        <w:gridCol w:w="4508"/>
        <w:gridCol w:w="4508"/>
      </w:tblGrid>
      <w:tr w:rsidR="00FD076F" w:rsidRPr="00475036" w14:paraId="6B15C857" w14:textId="77777777" w:rsidTr="00FD076F">
        <w:tc>
          <w:tcPr>
            <w:tcW w:w="4508" w:type="dxa"/>
          </w:tcPr>
          <w:p w14:paraId="63105C5C" w14:textId="77777777" w:rsidR="00FD076F" w:rsidRPr="00C40F7A" w:rsidRDefault="00FD076F" w:rsidP="00475036">
            <w:pPr>
              <w:spacing w:line="360" w:lineRule="auto"/>
              <w:jc w:val="both"/>
              <w:rPr>
                <w:rFonts w:ascii="Arial" w:hAnsi="Arial" w:cs="Arial"/>
                <w:b/>
                <w:kern w:val="0"/>
                <w:sz w:val="24"/>
                <w:szCs w:val="24"/>
                <w:lang w:eastAsia="en-GB"/>
              </w:rPr>
            </w:pPr>
            <w:r w:rsidRPr="00C40F7A">
              <w:rPr>
                <w:rFonts w:ascii="Arial" w:hAnsi="Arial" w:cs="Arial"/>
                <w:b/>
                <w:kern w:val="0"/>
                <w:sz w:val="24"/>
                <w:szCs w:val="24"/>
                <w:lang w:eastAsia="en-GB"/>
              </w:rPr>
              <w:t>PICO</w:t>
            </w:r>
          </w:p>
        </w:tc>
        <w:tc>
          <w:tcPr>
            <w:tcW w:w="4508" w:type="dxa"/>
          </w:tcPr>
          <w:p w14:paraId="05B425AB" w14:textId="77777777" w:rsidR="00FD076F" w:rsidRPr="00C40F7A" w:rsidRDefault="00FD076F" w:rsidP="00475036">
            <w:pPr>
              <w:spacing w:line="360" w:lineRule="auto"/>
              <w:jc w:val="both"/>
              <w:rPr>
                <w:rFonts w:ascii="Arial" w:hAnsi="Arial" w:cs="Arial"/>
                <w:b/>
                <w:kern w:val="0"/>
                <w:sz w:val="24"/>
                <w:szCs w:val="24"/>
                <w:lang w:eastAsia="en-GB"/>
              </w:rPr>
            </w:pPr>
            <w:r w:rsidRPr="00C40F7A">
              <w:rPr>
                <w:rFonts w:ascii="Arial" w:hAnsi="Arial" w:cs="Arial"/>
                <w:b/>
                <w:kern w:val="0"/>
                <w:sz w:val="24"/>
                <w:szCs w:val="24"/>
                <w:lang w:eastAsia="en-GB"/>
              </w:rPr>
              <w:t>Search Terms</w:t>
            </w:r>
          </w:p>
        </w:tc>
      </w:tr>
      <w:tr w:rsidR="00FD076F" w:rsidRPr="00475036" w14:paraId="4A3444BA" w14:textId="77777777" w:rsidTr="00FD076F">
        <w:tc>
          <w:tcPr>
            <w:tcW w:w="4508" w:type="dxa"/>
          </w:tcPr>
          <w:p w14:paraId="3DB3ACCA" w14:textId="77777777" w:rsidR="00FD076F" w:rsidRPr="00C40F7A" w:rsidRDefault="00FD076F" w:rsidP="00475036">
            <w:pPr>
              <w:spacing w:line="360" w:lineRule="auto"/>
              <w:jc w:val="both"/>
              <w:rPr>
                <w:rFonts w:ascii="Arial" w:hAnsi="Arial" w:cs="Arial"/>
                <w:b/>
                <w:kern w:val="0"/>
                <w:sz w:val="24"/>
                <w:szCs w:val="24"/>
                <w:lang w:eastAsia="en-GB"/>
              </w:rPr>
            </w:pPr>
            <w:r w:rsidRPr="00C40F7A">
              <w:rPr>
                <w:rFonts w:ascii="Arial" w:hAnsi="Arial" w:cs="Arial"/>
                <w:b/>
                <w:kern w:val="0"/>
                <w:sz w:val="24"/>
                <w:szCs w:val="24"/>
                <w:lang w:eastAsia="en-GB"/>
              </w:rPr>
              <w:t>Population (P)</w:t>
            </w:r>
          </w:p>
        </w:tc>
        <w:tc>
          <w:tcPr>
            <w:tcW w:w="4508" w:type="dxa"/>
          </w:tcPr>
          <w:p w14:paraId="30F88C8A" w14:textId="77777777" w:rsidR="00FD076F" w:rsidRPr="00475036" w:rsidRDefault="00FD076F"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Older adults, elderly, care home residents</w:t>
            </w:r>
          </w:p>
        </w:tc>
      </w:tr>
      <w:tr w:rsidR="00FD076F" w:rsidRPr="00475036" w14:paraId="6A3A12E8" w14:textId="77777777" w:rsidTr="00FD076F">
        <w:tc>
          <w:tcPr>
            <w:tcW w:w="4508" w:type="dxa"/>
          </w:tcPr>
          <w:p w14:paraId="523D6F0F" w14:textId="77777777" w:rsidR="00FD076F" w:rsidRPr="00C40F7A" w:rsidRDefault="00FD076F" w:rsidP="00475036">
            <w:pPr>
              <w:spacing w:line="360" w:lineRule="auto"/>
              <w:jc w:val="both"/>
              <w:rPr>
                <w:rFonts w:ascii="Arial" w:hAnsi="Arial" w:cs="Arial"/>
                <w:b/>
                <w:kern w:val="0"/>
                <w:sz w:val="24"/>
                <w:szCs w:val="24"/>
                <w:lang w:eastAsia="en-GB"/>
              </w:rPr>
            </w:pPr>
            <w:r w:rsidRPr="00C40F7A">
              <w:rPr>
                <w:rFonts w:ascii="Arial" w:hAnsi="Arial" w:cs="Arial"/>
                <w:b/>
                <w:kern w:val="0"/>
                <w:sz w:val="24"/>
                <w:szCs w:val="24"/>
                <w:lang w:eastAsia="en-GB"/>
              </w:rPr>
              <w:t>Intervention (I)</w:t>
            </w:r>
          </w:p>
        </w:tc>
        <w:tc>
          <w:tcPr>
            <w:tcW w:w="4508" w:type="dxa"/>
          </w:tcPr>
          <w:p w14:paraId="19DA63F9" w14:textId="77777777" w:rsidR="00FD076F" w:rsidRPr="00475036" w:rsidRDefault="00FD076F"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Vitamin D supplementation, awareness, education</w:t>
            </w:r>
          </w:p>
        </w:tc>
      </w:tr>
      <w:tr w:rsidR="00FD076F" w:rsidRPr="00475036" w14:paraId="5BBB1B27" w14:textId="77777777" w:rsidTr="00FD076F">
        <w:tc>
          <w:tcPr>
            <w:tcW w:w="4508" w:type="dxa"/>
          </w:tcPr>
          <w:p w14:paraId="50F44B1C" w14:textId="77777777" w:rsidR="00FD076F" w:rsidRPr="00C40F7A" w:rsidRDefault="00FD076F" w:rsidP="00475036">
            <w:pPr>
              <w:spacing w:line="360" w:lineRule="auto"/>
              <w:jc w:val="both"/>
              <w:rPr>
                <w:rFonts w:ascii="Arial" w:hAnsi="Arial" w:cs="Arial"/>
                <w:b/>
                <w:kern w:val="0"/>
                <w:sz w:val="24"/>
                <w:szCs w:val="24"/>
                <w:lang w:eastAsia="en-GB"/>
              </w:rPr>
            </w:pPr>
            <w:r w:rsidRPr="00C40F7A">
              <w:rPr>
                <w:rFonts w:ascii="Arial" w:hAnsi="Arial" w:cs="Arial"/>
                <w:b/>
                <w:kern w:val="0"/>
                <w:sz w:val="24"/>
                <w:szCs w:val="24"/>
                <w:lang w:eastAsia="en-GB"/>
              </w:rPr>
              <w:t>Comparison (C)</w:t>
            </w:r>
          </w:p>
        </w:tc>
        <w:tc>
          <w:tcPr>
            <w:tcW w:w="4508" w:type="dxa"/>
          </w:tcPr>
          <w:p w14:paraId="46F2628A" w14:textId="77777777" w:rsidR="00FD076F" w:rsidRPr="00475036" w:rsidRDefault="00FD076F"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Usual care, no intervention</w:t>
            </w:r>
          </w:p>
        </w:tc>
      </w:tr>
      <w:tr w:rsidR="00FD076F" w:rsidRPr="00475036" w14:paraId="5379EB03" w14:textId="77777777" w:rsidTr="00FD076F">
        <w:tc>
          <w:tcPr>
            <w:tcW w:w="4508" w:type="dxa"/>
          </w:tcPr>
          <w:p w14:paraId="340D8AE6" w14:textId="77777777" w:rsidR="00FD076F" w:rsidRPr="00C40F7A" w:rsidRDefault="00FD076F" w:rsidP="00475036">
            <w:pPr>
              <w:spacing w:line="360" w:lineRule="auto"/>
              <w:jc w:val="both"/>
              <w:rPr>
                <w:rFonts w:ascii="Arial" w:hAnsi="Arial" w:cs="Arial"/>
                <w:b/>
                <w:kern w:val="0"/>
                <w:sz w:val="24"/>
                <w:szCs w:val="24"/>
                <w:lang w:eastAsia="en-GB"/>
              </w:rPr>
            </w:pPr>
            <w:r w:rsidRPr="00C40F7A">
              <w:rPr>
                <w:rFonts w:ascii="Arial" w:hAnsi="Arial" w:cs="Arial"/>
                <w:b/>
                <w:kern w:val="0"/>
                <w:sz w:val="24"/>
                <w:szCs w:val="24"/>
                <w:lang w:eastAsia="en-GB"/>
              </w:rPr>
              <w:t>Outcome (O)</w:t>
            </w:r>
          </w:p>
        </w:tc>
        <w:tc>
          <w:tcPr>
            <w:tcW w:w="4508" w:type="dxa"/>
          </w:tcPr>
          <w:p w14:paraId="06966A55" w14:textId="77777777" w:rsidR="00FD076F" w:rsidRPr="00475036" w:rsidRDefault="00FD076F"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Knowledge, prevention, falls, fractures</w:t>
            </w:r>
          </w:p>
        </w:tc>
      </w:tr>
      <w:tr w:rsidR="00FD076F" w:rsidRPr="00475036" w14:paraId="7EB05B81" w14:textId="77777777" w:rsidTr="00FD076F">
        <w:tc>
          <w:tcPr>
            <w:tcW w:w="4508" w:type="dxa"/>
          </w:tcPr>
          <w:p w14:paraId="0739AB68" w14:textId="77777777" w:rsidR="00FD076F" w:rsidRPr="00C40F7A" w:rsidRDefault="00FD076F" w:rsidP="00475036">
            <w:pPr>
              <w:spacing w:line="360" w:lineRule="auto"/>
              <w:jc w:val="both"/>
              <w:rPr>
                <w:rFonts w:ascii="Arial" w:hAnsi="Arial" w:cs="Arial"/>
                <w:b/>
                <w:kern w:val="0"/>
                <w:sz w:val="24"/>
                <w:szCs w:val="24"/>
                <w:lang w:eastAsia="en-GB"/>
              </w:rPr>
            </w:pPr>
            <w:r w:rsidRPr="00C40F7A">
              <w:rPr>
                <w:rFonts w:ascii="Arial" w:hAnsi="Arial" w:cs="Arial"/>
                <w:b/>
                <w:kern w:val="0"/>
                <w:sz w:val="24"/>
                <w:szCs w:val="24"/>
                <w:lang w:eastAsia="en-GB"/>
              </w:rPr>
              <w:t>Setting (S)</w:t>
            </w:r>
          </w:p>
        </w:tc>
        <w:tc>
          <w:tcPr>
            <w:tcW w:w="4508" w:type="dxa"/>
          </w:tcPr>
          <w:p w14:paraId="4A717C0A" w14:textId="77777777" w:rsidR="00FD076F" w:rsidRPr="00475036" w:rsidRDefault="00FD076F"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UK care homes</w:t>
            </w:r>
          </w:p>
        </w:tc>
      </w:tr>
    </w:tbl>
    <w:p w14:paraId="0ACDD724" w14:textId="77777777" w:rsidR="00FD076F" w:rsidRPr="00475036" w:rsidRDefault="00FD076F" w:rsidP="00475036">
      <w:pPr>
        <w:spacing w:line="360" w:lineRule="auto"/>
        <w:jc w:val="both"/>
        <w:rPr>
          <w:rFonts w:ascii="Arial" w:hAnsi="Arial" w:cs="Arial"/>
          <w:kern w:val="0"/>
          <w:sz w:val="24"/>
          <w:szCs w:val="24"/>
          <w:lang w:eastAsia="en-GB"/>
        </w:rPr>
      </w:pPr>
    </w:p>
    <w:p w14:paraId="06FFE71A" w14:textId="77777777" w:rsidR="009536FC" w:rsidRPr="009536FC" w:rsidRDefault="009536FC" w:rsidP="009536FC">
      <w:pPr>
        <w:spacing w:line="360" w:lineRule="auto"/>
        <w:jc w:val="both"/>
        <w:rPr>
          <w:rFonts w:ascii="Arial" w:hAnsi="Arial" w:cs="Arial"/>
          <w:kern w:val="0"/>
          <w:sz w:val="24"/>
          <w:szCs w:val="24"/>
          <w:lang w:eastAsia="en-GB"/>
        </w:rPr>
      </w:pPr>
      <w:r w:rsidRPr="009536FC">
        <w:rPr>
          <w:rFonts w:ascii="Arial" w:hAnsi="Arial" w:cs="Arial"/>
          <w:kern w:val="0"/>
          <w:sz w:val="24"/>
          <w:szCs w:val="24"/>
          <w:lang w:eastAsia="en-GB"/>
        </w:rPr>
        <w:t>The PICO framework will be used to develop the database search strategy, study selection and eligibility criteria, which will ensure that all selected studies directly address the review question and provide relevant evidence on vitamin D awareness and prevention in older adults in care homes in the UK.</w:t>
      </w:r>
    </w:p>
    <w:p w14:paraId="225174B6" w14:textId="77777777" w:rsidR="009536FC" w:rsidRPr="009536FC" w:rsidRDefault="009536FC" w:rsidP="00081EFD">
      <w:pPr>
        <w:pStyle w:val="Heading3"/>
      </w:pPr>
      <w:bookmarkStart w:id="42" w:name="_Toc240558479"/>
      <w:r w:rsidRPr="009536FC">
        <w:t>3.7.3 Database Search Procedure</w:t>
      </w:r>
      <w:bookmarkEnd w:id="42"/>
    </w:p>
    <w:p w14:paraId="29F740A9" w14:textId="51881DD2" w:rsidR="009536FC" w:rsidRPr="009536FC" w:rsidRDefault="009536FC" w:rsidP="009536FC">
      <w:pPr>
        <w:spacing w:line="360" w:lineRule="auto"/>
        <w:jc w:val="both"/>
        <w:rPr>
          <w:rFonts w:ascii="Arial" w:hAnsi="Arial" w:cs="Arial"/>
          <w:kern w:val="0"/>
          <w:sz w:val="24"/>
          <w:szCs w:val="24"/>
          <w:lang w:eastAsia="en-GB"/>
        </w:rPr>
      </w:pPr>
      <w:r w:rsidRPr="009536FC">
        <w:rPr>
          <w:rFonts w:ascii="Arial" w:hAnsi="Arial" w:cs="Arial"/>
          <w:kern w:val="0"/>
          <w:sz w:val="24"/>
          <w:szCs w:val="24"/>
          <w:lang w:eastAsia="en-GB"/>
        </w:rPr>
        <w:t>Electronic literature search will be undertaken to identify relevant studies that explore awareness of and prevention of vitamin D deficiency in older people residing in care homes in the UK. A search strategy will be designed based on the Population, Intervention, Comparison, Outcome (PICO) framework, and will include Medical Subject Headings (</w:t>
      </w:r>
      <w:proofErr w:type="spellStart"/>
      <w:r w:rsidRPr="009536FC">
        <w:rPr>
          <w:rFonts w:ascii="Arial" w:hAnsi="Arial" w:cs="Arial"/>
          <w:kern w:val="0"/>
          <w:sz w:val="24"/>
          <w:szCs w:val="24"/>
          <w:lang w:eastAsia="en-GB"/>
        </w:rPr>
        <w:t>MeSH</w:t>
      </w:r>
      <w:proofErr w:type="spellEnd"/>
      <w:r w:rsidRPr="009536FC">
        <w:rPr>
          <w:rFonts w:ascii="Arial" w:hAnsi="Arial" w:cs="Arial"/>
          <w:kern w:val="0"/>
          <w:sz w:val="24"/>
          <w:szCs w:val="24"/>
          <w:lang w:eastAsia="en-GB"/>
        </w:rPr>
        <w:t xml:space="preserve">), if applicable, as well as free text keywords. </w:t>
      </w:r>
    </w:p>
    <w:p w14:paraId="0D78655F" w14:textId="77777777" w:rsidR="009536FC" w:rsidRPr="009536FC" w:rsidRDefault="009536FC" w:rsidP="009536FC">
      <w:pPr>
        <w:spacing w:line="360" w:lineRule="auto"/>
        <w:jc w:val="both"/>
        <w:rPr>
          <w:rFonts w:ascii="Arial" w:hAnsi="Arial" w:cs="Arial"/>
          <w:kern w:val="0"/>
          <w:sz w:val="24"/>
          <w:szCs w:val="24"/>
          <w:lang w:eastAsia="en-GB"/>
        </w:rPr>
      </w:pPr>
      <w:r w:rsidRPr="009536FC">
        <w:rPr>
          <w:rFonts w:ascii="Arial" w:hAnsi="Arial" w:cs="Arial"/>
          <w:kern w:val="0"/>
          <w:sz w:val="24"/>
          <w:szCs w:val="24"/>
          <w:lang w:eastAsia="en-GB"/>
        </w:rPr>
        <w:lastRenderedPageBreak/>
        <w:t xml:space="preserve">Search terms will be combined effectively through the use of </w:t>
      </w:r>
      <w:proofErr w:type="spellStart"/>
      <w:r w:rsidRPr="009536FC">
        <w:rPr>
          <w:rFonts w:ascii="Arial" w:hAnsi="Arial" w:cs="Arial"/>
          <w:kern w:val="0"/>
          <w:sz w:val="24"/>
          <w:szCs w:val="24"/>
          <w:lang w:eastAsia="en-GB"/>
        </w:rPr>
        <w:t>boolean</w:t>
      </w:r>
      <w:proofErr w:type="spellEnd"/>
      <w:r w:rsidRPr="009536FC">
        <w:rPr>
          <w:rFonts w:ascii="Arial" w:hAnsi="Arial" w:cs="Arial"/>
          <w:kern w:val="0"/>
          <w:sz w:val="24"/>
          <w:szCs w:val="24"/>
          <w:lang w:eastAsia="en-GB"/>
        </w:rPr>
        <w:t xml:space="preserve"> operators such as AND, OR and NOT. AND will limit the search to results that contain both of the search concepts that are combined in the query; OR will expand the search to include results that contain any one of these search concepts, plus their synonyms and related terms. If appropriate, NOT will be used to exclude records that are not relevant (Bramer et al., 2018).</w:t>
      </w:r>
    </w:p>
    <w:p w14:paraId="474F602F" w14:textId="617B1C4B" w:rsidR="001700FE" w:rsidRPr="007019CE" w:rsidRDefault="009536FC" w:rsidP="007019CE">
      <w:pPr>
        <w:spacing w:line="360" w:lineRule="auto"/>
        <w:jc w:val="both"/>
        <w:rPr>
          <w:rFonts w:ascii="Arial" w:hAnsi="Arial" w:cs="Arial"/>
          <w:kern w:val="0"/>
          <w:sz w:val="24"/>
          <w:szCs w:val="24"/>
          <w:lang w:eastAsia="en-GB"/>
        </w:rPr>
      </w:pPr>
      <w:r w:rsidRPr="009536FC">
        <w:rPr>
          <w:rFonts w:ascii="Arial" w:hAnsi="Arial" w:cs="Arial"/>
          <w:kern w:val="0"/>
          <w:sz w:val="24"/>
          <w:szCs w:val="24"/>
          <w:lang w:eastAsia="en-GB"/>
        </w:rPr>
        <w:t>The literature search will be conducted in May 2026. Studies published from January 2020 to May 2026 will only be considered, to ensure the evidence is current in line with practice and policy. The search will be restricted to articles published in English, which have been peer reviewed. PubMed, CINAHL, MEDLINE, Scopus, Web of Science, and Google Scholar are some of the major healthcare d</w:t>
      </w:r>
      <w:r w:rsidR="00C40F7A">
        <w:rPr>
          <w:rFonts w:ascii="Arial" w:hAnsi="Arial" w:cs="Arial"/>
          <w:kern w:val="0"/>
          <w:sz w:val="24"/>
          <w:szCs w:val="24"/>
          <w:lang w:eastAsia="en-GB"/>
        </w:rPr>
        <w:t xml:space="preserve">atabases that will be searched </w:t>
      </w:r>
      <w:r>
        <w:rPr>
          <w:rFonts w:ascii="Arial" w:hAnsi="Arial" w:cs="Arial"/>
          <w:kern w:val="0"/>
          <w:sz w:val="24"/>
          <w:szCs w:val="24"/>
          <w:lang w:eastAsia="en-GB"/>
        </w:rPr>
        <w:t>(Page et al., 2021)</w:t>
      </w:r>
      <w:r w:rsidR="007019CE">
        <w:rPr>
          <w:rFonts w:ascii="Arial" w:hAnsi="Arial" w:cs="Arial"/>
          <w:kern w:val="0"/>
          <w:sz w:val="24"/>
          <w:szCs w:val="24"/>
          <w:lang w:eastAsia="en-GB"/>
        </w:rPr>
        <w:t>.</w:t>
      </w:r>
    </w:p>
    <w:p w14:paraId="1888F6C6" w14:textId="1C03A06A" w:rsidR="007019CE" w:rsidRDefault="007019CE" w:rsidP="007019CE">
      <w:pPr>
        <w:pStyle w:val="Caption"/>
        <w:keepNext/>
      </w:pPr>
      <w:bookmarkStart w:id="43" w:name="_Toc240558534"/>
      <w:r>
        <w:t xml:space="preserve">Table </w:t>
      </w:r>
      <w:r w:rsidR="00CE5F90">
        <w:fldChar w:fldCharType="begin"/>
      </w:r>
      <w:r w:rsidR="00CE5F90">
        <w:instrText xml:space="preserve"> SEQ Table \* ARABIC </w:instrText>
      </w:r>
      <w:r w:rsidR="00CE5F90">
        <w:fldChar w:fldCharType="separate"/>
      </w:r>
      <w:r w:rsidR="00CE5F90">
        <w:rPr>
          <w:noProof/>
        </w:rPr>
        <w:t>3</w:t>
      </w:r>
      <w:r w:rsidR="00CE5F90">
        <w:rPr>
          <w:noProof/>
        </w:rPr>
        <w:fldChar w:fldCharType="end"/>
      </w:r>
      <w:r>
        <w:t>.</w:t>
      </w:r>
      <w:r w:rsidRPr="00343A66">
        <w:t>Database Search</w:t>
      </w:r>
      <w:bookmarkEnd w:id="43"/>
    </w:p>
    <w:tbl>
      <w:tblPr>
        <w:tblStyle w:val="TableGrid"/>
        <w:tblW w:w="0" w:type="auto"/>
        <w:tblLook w:val="04A0" w:firstRow="1" w:lastRow="0" w:firstColumn="1" w:lastColumn="0" w:noHBand="0" w:noVBand="1"/>
      </w:tblPr>
      <w:tblGrid>
        <w:gridCol w:w="2254"/>
        <w:gridCol w:w="2254"/>
        <w:gridCol w:w="2254"/>
        <w:gridCol w:w="2254"/>
      </w:tblGrid>
      <w:tr w:rsidR="001700FE" w:rsidRPr="00475036" w14:paraId="7C659905" w14:textId="77777777" w:rsidTr="001700FE">
        <w:tc>
          <w:tcPr>
            <w:tcW w:w="2254" w:type="dxa"/>
          </w:tcPr>
          <w:p w14:paraId="00FD7E12"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Database</w:t>
            </w:r>
          </w:p>
        </w:tc>
        <w:tc>
          <w:tcPr>
            <w:tcW w:w="2254" w:type="dxa"/>
          </w:tcPr>
          <w:p w14:paraId="17DA164A"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Search Date</w:t>
            </w:r>
          </w:p>
        </w:tc>
        <w:tc>
          <w:tcPr>
            <w:tcW w:w="2254" w:type="dxa"/>
          </w:tcPr>
          <w:p w14:paraId="2495CCA2"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Publication Years</w:t>
            </w:r>
          </w:p>
        </w:tc>
        <w:tc>
          <w:tcPr>
            <w:tcW w:w="2254" w:type="dxa"/>
          </w:tcPr>
          <w:p w14:paraId="21D8273A"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Search Results</w:t>
            </w:r>
          </w:p>
        </w:tc>
      </w:tr>
      <w:tr w:rsidR="001700FE" w:rsidRPr="00475036" w14:paraId="456F3195" w14:textId="77777777" w:rsidTr="001700FE">
        <w:tc>
          <w:tcPr>
            <w:tcW w:w="2254" w:type="dxa"/>
          </w:tcPr>
          <w:p w14:paraId="60AC5F2B"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PubMed</w:t>
            </w:r>
          </w:p>
        </w:tc>
        <w:tc>
          <w:tcPr>
            <w:tcW w:w="2254" w:type="dxa"/>
          </w:tcPr>
          <w:p w14:paraId="4FCBF114"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May 2026</w:t>
            </w:r>
          </w:p>
        </w:tc>
        <w:tc>
          <w:tcPr>
            <w:tcW w:w="2254" w:type="dxa"/>
          </w:tcPr>
          <w:p w14:paraId="5DEC5ACA"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2020–2026</w:t>
            </w:r>
          </w:p>
        </w:tc>
        <w:tc>
          <w:tcPr>
            <w:tcW w:w="2254" w:type="dxa"/>
          </w:tcPr>
          <w:p w14:paraId="4F63DF02"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reported</w:t>
            </w:r>
          </w:p>
        </w:tc>
      </w:tr>
      <w:tr w:rsidR="001700FE" w:rsidRPr="00475036" w14:paraId="1C17E362" w14:textId="77777777" w:rsidTr="001700FE">
        <w:tc>
          <w:tcPr>
            <w:tcW w:w="2254" w:type="dxa"/>
          </w:tcPr>
          <w:p w14:paraId="55CE0382"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CINAHL</w:t>
            </w:r>
          </w:p>
        </w:tc>
        <w:tc>
          <w:tcPr>
            <w:tcW w:w="2254" w:type="dxa"/>
          </w:tcPr>
          <w:p w14:paraId="5B697F05"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May 2026</w:t>
            </w:r>
          </w:p>
        </w:tc>
        <w:tc>
          <w:tcPr>
            <w:tcW w:w="2254" w:type="dxa"/>
          </w:tcPr>
          <w:p w14:paraId="793AD920"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2020–2026</w:t>
            </w:r>
          </w:p>
        </w:tc>
        <w:tc>
          <w:tcPr>
            <w:tcW w:w="2254" w:type="dxa"/>
          </w:tcPr>
          <w:p w14:paraId="61A8998F"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reported</w:t>
            </w:r>
          </w:p>
        </w:tc>
      </w:tr>
      <w:tr w:rsidR="001700FE" w:rsidRPr="00475036" w14:paraId="240AB3C8" w14:textId="77777777" w:rsidTr="001700FE">
        <w:tc>
          <w:tcPr>
            <w:tcW w:w="2254" w:type="dxa"/>
          </w:tcPr>
          <w:p w14:paraId="5B7AF7AC"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MEDLINE</w:t>
            </w:r>
          </w:p>
        </w:tc>
        <w:tc>
          <w:tcPr>
            <w:tcW w:w="2254" w:type="dxa"/>
          </w:tcPr>
          <w:p w14:paraId="177C6FDB"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May 2026</w:t>
            </w:r>
          </w:p>
        </w:tc>
        <w:tc>
          <w:tcPr>
            <w:tcW w:w="2254" w:type="dxa"/>
          </w:tcPr>
          <w:p w14:paraId="1BDBED64"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2020–2026</w:t>
            </w:r>
          </w:p>
        </w:tc>
        <w:tc>
          <w:tcPr>
            <w:tcW w:w="2254" w:type="dxa"/>
          </w:tcPr>
          <w:p w14:paraId="5F2EDE15"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reported</w:t>
            </w:r>
          </w:p>
        </w:tc>
      </w:tr>
      <w:tr w:rsidR="001700FE" w:rsidRPr="00475036" w14:paraId="0097303C" w14:textId="77777777" w:rsidTr="001700FE">
        <w:tc>
          <w:tcPr>
            <w:tcW w:w="2254" w:type="dxa"/>
          </w:tcPr>
          <w:p w14:paraId="499FC590"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Scopus</w:t>
            </w:r>
          </w:p>
        </w:tc>
        <w:tc>
          <w:tcPr>
            <w:tcW w:w="2254" w:type="dxa"/>
          </w:tcPr>
          <w:p w14:paraId="116B1136"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May 2026</w:t>
            </w:r>
          </w:p>
        </w:tc>
        <w:tc>
          <w:tcPr>
            <w:tcW w:w="2254" w:type="dxa"/>
          </w:tcPr>
          <w:p w14:paraId="53800DAC"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2020–2026</w:t>
            </w:r>
          </w:p>
        </w:tc>
        <w:tc>
          <w:tcPr>
            <w:tcW w:w="2254" w:type="dxa"/>
          </w:tcPr>
          <w:p w14:paraId="72995D24"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reported</w:t>
            </w:r>
          </w:p>
        </w:tc>
      </w:tr>
      <w:tr w:rsidR="001700FE" w:rsidRPr="00475036" w14:paraId="755799DE" w14:textId="77777777" w:rsidTr="001700FE">
        <w:tc>
          <w:tcPr>
            <w:tcW w:w="2254" w:type="dxa"/>
          </w:tcPr>
          <w:p w14:paraId="43220E8A"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Web of Science</w:t>
            </w:r>
          </w:p>
        </w:tc>
        <w:tc>
          <w:tcPr>
            <w:tcW w:w="2254" w:type="dxa"/>
          </w:tcPr>
          <w:p w14:paraId="0C94AC70"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May 2026</w:t>
            </w:r>
          </w:p>
        </w:tc>
        <w:tc>
          <w:tcPr>
            <w:tcW w:w="2254" w:type="dxa"/>
          </w:tcPr>
          <w:p w14:paraId="3EA7FDA2"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2020–2026</w:t>
            </w:r>
          </w:p>
        </w:tc>
        <w:tc>
          <w:tcPr>
            <w:tcW w:w="2254" w:type="dxa"/>
          </w:tcPr>
          <w:p w14:paraId="4DBA0B7D"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reported</w:t>
            </w:r>
          </w:p>
        </w:tc>
      </w:tr>
      <w:tr w:rsidR="001700FE" w:rsidRPr="00475036" w14:paraId="0D111E72" w14:textId="77777777" w:rsidTr="001700FE">
        <w:tc>
          <w:tcPr>
            <w:tcW w:w="2254" w:type="dxa"/>
          </w:tcPr>
          <w:p w14:paraId="3CB6C339"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Google Scholar</w:t>
            </w:r>
          </w:p>
        </w:tc>
        <w:tc>
          <w:tcPr>
            <w:tcW w:w="2254" w:type="dxa"/>
          </w:tcPr>
          <w:p w14:paraId="4A6C3900"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May 2026</w:t>
            </w:r>
          </w:p>
        </w:tc>
        <w:tc>
          <w:tcPr>
            <w:tcW w:w="2254" w:type="dxa"/>
          </w:tcPr>
          <w:p w14:paraId="34D37FEE"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2020–2026</w:t>
            </w:r>
          </w:p>
        </w:tc>
        <w:tc>
          <w:tcPr>
            <w:tcW w:w="2254" w:type="dxa"/>
          </w:tcPr>
          <w:p w14:paraId="30DF9984" w14:textId="77777777" w:rsidR="001700FE" w:rsidRPr="00475036" w:rsidRDefault="001700F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reported</w:t>
            </w:r>
          </w:p>
        </w:tc>
      </w:tr>
    </w:tbl>
    <w:p w14:paraId="611ADC6D" w14:textId="77777777" w:rsidR="006B7953" w:rsidRDefault="006B7953" w:rsidP="00475036">
      <w:pPr>
        <w:spacing w:line="360" w:lineRule="auto"/>
        <w:jc w:val="both"/>
        <w:rPr>
          <w:rFonts w:ascii="Arial" w:hAnsi="Arial" w:cs="Arial"/>
          <w:kern w:val="0"/>
          <w:sz w:val="24"/>
          <w:szCs w:val="24"/>
          <w:lang w:eastAsia="en-GB"/>
        </w:rPr>
      </w:pPr>
    </w:p>
    <w:p w14:paraId="78E52C0C" w14:textId="230874DA" w:rsidR="001700FE" w:rsidRPr="00475036" w:rsidRDefault="00835611" w:rsidP="00081EFD">
      <w:pPr>
        <w:pStyle w:val="Heading3"/>
      </w:pPr>
      <w:bookmarkStart w:id="44" w:name="_Toc240558480"/>
      <w:r>
        <w:t>3.7.4 Hand Searching</w:t>
      </w:r>
      <w:bookmarkEnd w:id="44"/>
    </w:p>
    <w:p w14:paraId="35989C8A" w14:textId="77777777" w:rsidR="00930D2E" w:rsidRPr="00930D2E" w:rsidRDefault="00930D2E" w:rsidP="00930D2E">
      <w:pPr>
        <w:spacing w:line="360" w:lineRule="auto"/>
        <w:jc w:val="both"/>
        <w:rPr>
          <w:rFonts w:ascii="Arial" w:hAnsi="Arial" w:cs="Arial"/>
          <w:kern w:val="0"/>
          <w:sz w:val="24"/>
          <w:szCs w:val="24"/>
          <w:lang w:eastAsia="en-GB"/>
        </w:rPr>
      </w:pPr>
      <w:r w:rsidRPr="00930D2E">
        <w:rPr>
          <w:rFonts w:ascii="Arial" w:hAnsi="Arial" w:cs="Arial"/>
          <w:kern w:val="0"/>
          <w:sz w:val="24"/>
          <w:szCs w:val="24"/>
          <w:lang w:eastAsia="en-GB"/>
        </w:rPr>
        <w:t>A hand-searching strategy will also be used to find relevant studies that may not be found by electronic database searches. The reference lists of all articles included and relevant systematic reviews will be reviewed for the identification of other eligible articles. The use of Google Scholar will also be used for citation tracking to find newer publications that may have cited relevant publications. In addition, manual review of the primary journals in public health, nutrition, geriatrics and ageing research will be performed, as appropriate. Hand searching improves the comprehensiveness of systematic reviews by decreasing the chances of missing relevant items and will reduce publication bias (</w:t>
      </w:r>
      <w:proofErr w:type="spellStart"/>
      <w:r w:rsidRPr="00930D2E">
        <w:rPr>
          <w:rFonts w:ascii="Arial" w:hAnsi="Arial" w:cs="Arial"/>
          <w:kern w:val="0"/>
          <w:sz w:val="24"/>
          <w:szCs w:val="24"/>
          <w:lang w:eastAsia="en-GB"/>
        </w:rPr>
        <w:t>Aromataris</w:t>
      </w:r>
      <w:proofErr w:type="spellEnd"/>
      <w:r w:rsidRPr="00930D2E">
        <w:rPr>
          <w:rFonts w:ascii="Arial" w:hAnsi="Arial" w:cs="Arial"/>
          <w:kern w:val="0"/>
          <w:sz w:val="24"/>
          <w:szCs w:val="24"/>
          <w:lang w:eastAsia="en-GB"/>
        </w:rPr>
        <w:t xml:space="preserve"> and Munn, 2020).</w:t>
      </w:r>
    </w:p>
    <w:p w14:paraId="3ABA1D45" w14:textId="77777777" w:rsidR="00930D2E" w:rsidRPr="00930D2E" w:rsidRDefault="00930D2E" w:rsidP="00081EFD">
      <w:pPr>
        <w:pStyle w:val="Heading3"/>
      </w:pPr>
      <w:bookmarkStart w:id="45" w:name="_Toc240558481"/>
      <w:r w:rsidRPr="00930D2E">
        <w:lastRenderedPageBreak/>
        <w:t>3.7.5 Grey Literature</w:t>
      </w:r>
      <w:bookmarkEnd w:id="45"/>
    </w:p>
    <w:p w14:paraId="1101B051" w14:textId="28435A89" w:rsidR="00930D2E" w:rsidRPr="00930D2E" w:rsidRDefault="00930D2E" w:rsidP="00930D2E">
      <w:pPr>
        <w:spacing w:line="360" w:lineRule="auto"/>
        <w:jc w:val="both"/>
        <w:rPr>
          <w:rFonts w:ascii="Arial" w:hAnsi="Arial" w:cs="Arial"/>
          <w:kern w:val="0"/>
          <w:sz w:val="24"/>
          <w:szCs w:val="24"/>
          <w:lang w:eastAsia="en-GB"/>
        </w:rPr>
      </w:pPr>
      <w:r w:rsidRPr="00930D2E">
        <w:rPr>
          <w:rFonts w:ascii="Arial" w:hAnsi="Arial" w:cs="Arial"/>
          <w:kern w:val="0"/>
          <w:sz w:val="24"/>
          <w:szCs w:val="24"/>
          <w:lang w:eastAsia="en-GB"/>
        </w:rPr>
        <w:t>Grey literature will also be searched for relevant evidence not published in peer-reviewed academic journals. This will involve policy documents, clinical guidelines, technical reports and government publications from acknowledged organisations including the National Institute for Health and Care Excellence (NICE), the National Health Service (NHS), the World Health Organization (WHO), the Office for Health Improvement and Disparities (OHID), and other government publicat</w:t>
      </w:r>
      <w:r w:rsidR="00C648A7">
        <w:rPr>
          <w:rFonts w:ascii="Arial" w:hAnsi="Arial" w:cs="Arial"/>
          <w:kern w:val="0"/>
          <w:sz w:val="24"/>
          <w:szCs w:val="24"/>
          <w:lang w:eastAsia="en-GB"/>
        </w:rPr>
        <w:t xml:space="preserve">ions from the UK Government  </w:t>
      </w:r>
      <w:r w:rsidRPr="00930D2E">
        <w:rPr>
          <w:rFonts w:ascii="Arial" w:hAnsi="Arial" w:cs="Arial"/>
          <w:kern w:val="0"/>
          <w:sz w:val="24"/>
          <w:szCs w:val="24"/>
          <w:lang w:eastAsia="en-GB"/>
        </w:rPr>
        <w:t>(Page et al., 2021)</w:t>
      </w:r>
    </w:p>
    <w:p w14:paraId="08D5DB83" w14:textId="77777777" w:rsidR="00930D2E" w:rsidRPr="00930D2E" w:rsidRDefault="00930D2E" w:rsidP="00081EFD">
      <w:pPr>
        <w:pStyle w:val="Heading3"/>
      </w:pPr>
      <w:bookmarkStart w:id="46" w:name="_Toc240558482"/>
      <w:r w:rsidRPr="00930D2E">
        <w:t>3.7.6 Inclusion and Exclusion Criteria</w:t>
      </w:r>
      <w:bookmarkEnd w:id="46"/>
    </w:p>
    <w:p w14:paraId="0F52DA07" w14:textId="77777777" w:rsidR="00930D2E" w:rsidRPr="00930D2E" w:rsidRDefault="00930D2E" w:rsidP="00930D2E">
      <w:pPr>
        <w:spacing w:line="360" w:lineRule="auto"/>
        <w:jc w:val="both"/>
        <w:rPr>
          <w:rFonts w:ascii="Arial" w:hAnsi="Arial" w:cs="Arial"/>
          <w:kern w:val="0"/>
          <w:sz w:val="24"/>
          <w:szCs w:val="24"/>
          <w:lang w:eastAsia="en-GB"/>
        </w:rPr>
      </w:pPr>
      <w:r w:rsidRPr="00930D2E">
        <w:rPr>
          <w:rFonts w:ascii="Arial" w:hAnsi="Arial" w:cs="Arial"/>
          <w:kern w:val="0"/>
          <w:sz w:val="24"/>
          <w:szCs w:val="24"/>
          <w:lang w:eastAsia="en-GB"/>
        </w:rPr>
        <w:t>In systematic reviews it is important that the selection of studies is transparent, consistent and directly related to the question of the review, which is achieved through the explicit specification of inclusion and exclusion criteria (</w:t>
      </w:r>
      <w:proofErr w:type="spellStart"/>
      <w:r w:rsidRPr="00930D2E">
        <w:rPr>
          <w:rFonts w:ascii="Arial" w:hAnsi="Arial" w:cs="Arial"/>
          <w:kern w:val="0"/>
          <w:sz w:val="24"/>
          <w:szCs w:val="24"/>
          <w:lang w:eastAsia="en-GB"/>
        </w:rPr>
        <w:t>Aromataris</w:t>
      </w:r>
      <w:proofErr w:type="spellEnd"/>
      <w:r w:rsidRPr="00930D2E">
        <w:rPr>
          <w:rFonts w:ascii="Arial" w:hAnsi="Arial" w:cs="Arial"/>
          <w:kern w:val="0"/>
          <w:sz w:val="24"/>
          <w:szCs w:val="24"/>
          <w:lang w:eastAsia="en-GB"/>
        </w:rPr>
        <w:t xml:space="preserve"> and Munn, 2020). The terms used for the eligibility criteria of this review have been built on the PICO framework to ensure only relevant and quality evidence is included. The population of older adults (aged 65 years and older) living in care homes in the UK will be eligible to be included in the studies as they are more vulnerable to vitamin D deficiency and are the focus of the review. Vitamin D awareness, education, screening, supplementation or preventive interventions will be assessed in the review. Studies reporting outcomes of knowledge, supplementation practices, awareness, falls, fractures or prevention will also be included.</w:t>
      </w:r>
    </w:p>
    <w:p w14:paraId="292EAD77" w14:textId="35DD0D31" w:rsidR="007019CE" w:rsidRDefault="007019CE" w:rsidP="007019CE">
      <w:pPr>
        <w:pStyle w:val="Caption"/>
        <w:keepNext/>
      </w:pPr>
      <w:bookmarkStart w:id="47" w:name="_Toc240558535"/>
      <w:r>
        <w:t xml:space="preserve">Table </w:t>
      </w:r>
      <w:r w:rsidR="00CE5F90">
        <w:fldChar w:fldCharType="begin"/>
      </w:r>
      <w:r w:rsidR="00CE5F90">
        <w:instrText xml:space="preserve"> SEQ Table \* ARABIC </w:instrText>
      </w:r>
      <w:r w:rsidR="00CE5F90">
        <w:fldChar w:fldCharType="separate"/>
      </w:r>
      <w:r w:rsidR="00CE5F90">
        <w:rPr>
          <w:noProof/>
        </w:rPr>
        <w:t>4</w:t>
      </w:r>
      <w:r w:rsidR="00CE5F90">
        <w:rPr>
          <w:noProof/>
        </w:rPr>
        <w:fldChar w:fldCharType="end"/>
      </w:r>
      <w:r w:rsidRPr="00E12AD8">
        <w:t>. Inclusion and Exclusion Criteria</w:t>
      </w:r>
      <w:bookmarkEnd w:id="47"/>
    </w:p>
    <w:tbl>
      <w:tblPr>
        <w:tblStyle w:val="TableGrid"/>
        <w:tblW w:w="0" w:type="auto"/>
        <w:tblLook w:val="04A0" w:firstRow="1" w:lastRow="0" w:firstColumn="1" w:lastColumn="0" w:noHBand="0" w:noVBand="1"/>
      </w:tblPr>
      <w:tblGrid>
        <w:gridCol w:w="3005"/>
        <w:gridCol w:w="3005"/>
        <w:gridCol w:w="3006"/>
      </w:tblGrid>
      <w:tr w:rsidR="005F4515" w:rsidRPr="00475036" w14:paraId="227CBC11" w14:textId="77777777" w:rsidTr="005F4515">
        <w:tc>
          <w:tcPr>
            <w:tcW w:w="3005" w:type="dxa"/>
          </w:tcPr>
          <w:p w14:paraId="47353AF8"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t>PICO</w:t>
            </w:r>
          </w:p>
        </w:tc>
        <w:tc>
          <w:tcPr>
            <w:tcW w:w="3005" w:type="dxa"/>
          </w:tcPr>
          <w:p w14:paraId="6024072C"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t>Inclusion Criteria</w:t>
            </w:r>
          </w:p>
        </w:tc>
        <w:tc>
          <w:tcPr>
            <w:tcW w:w="3006" w:type="dxa"/>
          </w:tcPr>
          <w:p w14:paraId="6133FCF9"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t>Exclusion Criteria</w:t>
            </w:r>
          </w:p>
        </w:tc>
      </w:tr>
      <w:tr w:rsidR="005F4515" w:rsidRPr="00475036" w14:paraId="035E7E29" w14:textId="77777777" w:rsidTr="005F4515">
        <w:tc>
          <w:tcPr>
            <w:tcW w:w="3005" w:type="dxa"/>
          </w:tcPr>
          <w:p w14:paraId="2647A953"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t>Population</w:t>
            </w:r>
          </w:p>
        </w:tc>
        <w:tc>
          <w:tcPr>
            <w:tcW w:w="3005" w:type="dxa"/>
          </w:tcPr>
          <w:p w14:paraId="2637A421"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Older adults aged ≥65 years living in UK care homes</w:t>
            </w:r>
          </w:p>
        </w:tc>
        <w:tc>
          <w:tcPr>
            <w:tcW w:w="3006" w:type="dxa"/>
          </w:tcPr>
          <w:p w14:paraId="3FA04AB3"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Children, younger adults, community-dwelling adults</w:t>
            </w:r>
          </w:p>
        </w:tc>
      </w:tr>
      <w:tr w:rsidR="005F4515" w:rsidRPr="00475036" w14:paraId="40A6A8A7" w14:textId="77777777" w:rsidTr="005F4515">
        <w:tc>
          <w:tcPr>
            <w:tcW w:w="3005" w:type="dxa"/>
          </w:tcPr>
          <w:p w14:paraId="5B1AA929"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t>Intervention</w:t>
            </w:r>
          </w:p>
        </w:tc>
        <w:tc>
          <w:tcPr>
            <w:tcW w:w="3005" w:type="dxa"/>
          </w:tcPr>
          <w:p w14:paraId="28D86190"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Vitamin D awareness programmes, education, screening and supplementation</w:t>
            </w:r>
          </w:p>
        </w:tc>
        <w:tc>
          <w:tcPr>
            <w:tcW w:w="3006" w:type="dxa"/>
          </w:tcPr>
          <w:p w14:paraId="102398B9"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Drug efficacy trials unrelated to awareness or prevention</w:t>
            </w:r>
          </w:p>
        </w:tc>
      </w:tr>
      <w:tr w:rsidR="005F4515" w:rsidRPr="00475036" w14:paraId="294FC121" w14:textId="77777777" w:rsidTr="005F4515">
        <w:tc>
          <w:tcPr>
            <w:tcW w:w="3005" w:type="dxa"/>
          </w:tcPr>
          <w:p w14:paraId="54A0F864"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t>Comparison</w:t>
            </w:r>
          </w:p>
        </w:tc>
        <w:tc>
          <w:tcPr>
            <w:tcW w:w="3005" w:type="dxa"/>
          </w:tcPr>
          <w:p w14:paraId="3E65F97B"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Routine care, standard practice, no intervention</w:t>
            </w:r>
          </w:p>
        </w:tc>
        <w:tc>
          <w:tcPr>
            <w:tcW w:w="3006" w:type="dxa"/>
          </w:tcPr>
          <w:p w14:paraId="6920C5C3"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Laboratory-based studies</w:t>
            </w:r>
          </w:p>
        </w:tc>
      </w:tr>
      <w:tr w:rsidR="005F4515" w:rsidRPr="00475036" w14:paraId="2EE45183" w14:textId="77777777" w:rsidTr="005F4515">
        <w:tc>
          <w:tcPr>
            <w:tcW w:w="3005" w:type="dxa"/>
          </w:tcPr>
          <w:p w14:paraId="73B0C90E"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lastRenderedPageBreak/>
              <w:t>Outcome</w:t>
            </w:r>
          </w:p>
        </w:tc>
        <w:tc>
          <w:tcPr>
            <w:tcW w:w="3005" w:type="dxa"/>
          </w:tcPr>
          <w:p w14:paraId="601E1585"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Knowledge, awareness, supplementation practices, prevention, falls and fractures</w:t>
            </w:r>
          </w:p>
        </w:tc>
        <w:tc>
          <w:tcPr>
            <w:tcW w:w="3006" w:type="dxa"/>
          </w:tcPr>
          <w:p w14:paraId="7D2C7DD5"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Animal studies and unrelated clinical outcomes</w:t>
            </w:r>
          </w:p>
        </w:tc>
      </w:tr>
      <w:tr w:rsidR="005F4515" w:rsidRPr="00475036" w14:paraId="12BB719F" w14:textId="77777777" w:rsidTr="005F4515">
        <w:tc>
          <w:tcPr>
            <w:tcW w:w="3005" w:type="dxa"/>
          </w:tcPr>
          <w:p w14:paraId="0817CF42" w14:textId="77777777" w:rsidR="005F4515" w:rsidRPr="008C4893" w:rsidRDefault="005F4515" w:rsidP="00475036">
            <w:pPr>
              <w:spacing w:line="360" w:lineRule="auto"/>
              <w:jc w:val="both"/>
              <w:rPr>
                <w:rFonts w:ascii="Arial" w:hAnsi="Arial" w:cs="Arial"/>
                <w:b/>
                <w:kern w:val="0"/>
                <w:sz w:val="24"/>
                <w:szCs w:val="24"/>
                <w:lang w:eastAsia="en-GB"/>
              </w:rPr>
            </w:pPr>
            <w:r w:rsidRPr="008C4893">
              <w:rPr>
                <w:rFonts w:ascii="Arial" w:hAnsi="Arial" w:cs="Arial"/>
                <w:b/>
                <w:kern w:val="0"/>
                <w:sz w:val="24"/>
                <w:szCs w:val="24"/>
                <w:lang w:eastAsia="en-GB"/>
              </w:rPr>
              <w:t>Setting</w:t>
            </w:r>
          </w:p>
        </w:tc>
        <w:tc>
          <w:tcPr>
            <w:tcW w:w="3005" w:type="dxa"/>
          </w:tcPr>
          <w:p w14:paraId="1476C117"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UK care homes and residential care facilities</w:t>
            </w:r>
          </w:p>
        </w:tc>
        <w:tc>
          <w:tcPr>
            <w:tcW w:w="3006" w:type="dxa"/>
          </w:tcPr>
          <w:p w14:paraId="2ADA45FB"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Acute hospital settings and community healthcare</w:t>
            </w:r>
          </w:p>
        </w:tc>
      </w:tr>
    </w:tbl>
    <w:p w14:paraId="0775BBEA" w14:textId="216E57C9" w:rsidR="00930D2E" w:rsidRDefault="00930D2E" w:rsidP="00475036">
      <w:pPr>
        <w:spacing w:line="360" w:lineRule="auto"/>
        <w:jc w:val="both"/>
        <w:rPr>
          <w:rFonts w:ascii="Arial" w:hAnsi="Arial" w:cs="Arial"/>
          <w:kern w:val="0"/>
          <w:sz w:val="24"/>
          <w:szCs w:val="24"/>
          <w:lang w:eastAsia="en-GB"/>
        </w:rPr>
      </w:pPr>
    </w:p>
    <w:p w14:paraId="15C62CAC" w14:textId="18EE647A" w:rsidR="0013696E" w:rsidRPr="00475036" w:rsidRDefault="0013696E" w:rsidP="00081EFD">
      <w:pPr>
        <w:pStyle w:val="Heading3"/>
      </w:pPr>
      <w:bookmarkStart w:id="48" w:name="_Toc240558483"/>
      <w:r w:rsidRPr="00475036">
        <w:t>3.7.7 Screening Proce</w:t>
      </w:r>
      <w:r w:rsidR="00930D2E">
        <w:t>ss</w:t>
      </w:r>
      <w:bookmarkEnd w:id="48"/>
    </w:p>
    <w:p w14:paraId="21A5F3E3" w14:textId="77777777" w:rsidR="00B4152D" w:rsidRPr="00B4152D" w:rsidRDefault="00B4152D" w:rsidP="00B4152D">
      <w:pPr>
        <w:spacing w:line="360" w:lineRule="auto"/>
        <w:jc w:val="both"/>
        <w:rPr>
          <w:rFonts w:ascii="Arial" w:hAnsi="Arial" w:cs="Arial"/>
          <w:kern w:val="0"/>
          <w:sz w:val="24"/>
          <w:szCs w:val="24"/>
          <w:lang w:eastAsia="en-GB"/>
        </w:rPr>
      </w:pPr>
      <w:r w:rsidRPr="00B4152D">
        <w:rPr>
          <w:rFonts w:ascii="Arial" w:hAnsi="Arial" w:cs="Arial"/>
          <w:kern w:val="0"/>
          <w:sz w:val="24"/>
          <w:szCs w:val="24"/>
          <w:lang w:eastAsia="en-GB"/>
        </w:rPr>
        <w:t>A transparent and reproducible study selection process will be carried out, following the PRISMA 2020 recommendations (Page et al., 2021). Once the electronic database searches are completed, all records retrieved will be entered into the reference management software, and duplicate records will be eliminated prior to screening.</w:t>
      </w:r>
    </w:p>
    <w:p w14:paraId="768A0A7A" w14:textId="77777777" w:rsidR="00B4152D" w:rsidRPr="00B4152D" w:rsidRDefault="00B4152D" w:rsidP="00B4152D">
      <w:pPr>
        <w:spacing w:line="360" w:lineRule="auto"/>
        <w:jc w:val="both"/>
        <w:rPr>
          <w:rFonts w:ascii="Arial" w:hAnsi="Arial" w:cs="Arial"/>
          <w:kern w:val="0"/>
          <w:sz w:val="24"/>
          <w:szCs w:val="24"/>
          <w:lang w:eastAsia="en-GB"/>
        </w:rPr>
      </w:pPr>
      <w:r w:rsidRPr="00B4152D">
        <w:rPr>
          <w:rFonts w:ascii="Arial" w:hAnsi="Arial" w:cs="Arial"/>
          <w:kern w:val="0"/>
          <w:sz w:val="24"/>
          <w:szCs w:val="24"/>
          <w:lang w:eastAsia="en-GB"/>
        </w:rPr>
        <w:t>The screening process will be carried out in three successive steps. The first step will be title screening to identify studies that are obviously not relevant to the review question. In Step 2 the remaining study abstracts will be reviewed for compliance with the inclusion/exclusion criteria defined. After abstract screening, any studies seen as relevant will move to Step 3, where full-text articles will be retrieved and thoroughly evaluated for eligibility. Only studies which meet all of the inclusion criteria will be considered for final review.</w:t>
      </w:r>
    </w:p>
    <w:p w14:paraId="27F50F6F" w14:textId="55291F84" w:rsidR="0013696E" w:rsidRPr="007019CE" w:rsidRDefault="00B4152D" w:rsidP="007019CE">
      <w:pPr>
        <w:spacing w:line="360" w:lineRule="auto"/>
        <w:jc w:val="both"/>
        <w:rPr>
          <w:rFonts w:ascii="Arial" w:hAnsi="Arial" w:cs="Arial"/>
          <w:kern w:val="0"/>
          <w:sz w:val="24"/>
          <w:szCs w:val="24"/>
          <w:lang w:eastAsia="en-GB"/>
        </w:rPr>
      </w:pPr>
      <w:r w:rsidRPr="00B4152D">
        <w:rPr>
          <w:rFonts w:ascii="Arial" w:hAnsi="Arial" w:cs="Arial"/>
          <w:kern w:val="0"/>
          <w:sz w:val="24"/>
          <w:szCs w:val="24"/>
          <w:lang w:eastAsia="en-GB"/>
        </w:rPr>
        <w:t>It is a structured screening process that will minimise selection bias and only synthesise evidence that is relevant and of good quality. Chapter 4 will present a PRISMA 2020 flow diagram to illustrate the total number of studies identified, excluded, and included at each stage of the study selection process.</w:t>
      </w:r>
    </w:p>
    <w:p w14:paraId="2E28A1E5" w14:textId="4422620F" w:rsidR="0013696E" w:rsidRPr="00475036" w:rsidRDefault="0013696E" w:rsidP="00081EFD">
      <w:pPr>
        <w:pStyle w:val="Heading3"/>
      </w:pPr>
      <w:bookmarkStart w:id="49" w:name="_Toc240558484"/>
      <w:r w:rsidRPr="00475036">
        <w:t>3.7.8 Quality As</w:t>
      </w:r>
      <w:r w:rsidR="005F4515" w:rsidRPr="00475036">
        <w:t>sessment</w:t>
      </w:r>
      <w:bookmarkEnd w:id="49"/>
    </w:p>
    <w:p w14:paraId="681622AA" w14:textId="639DB65A" w:rsidR="009B146A" w:rsidRPr="009B146A" w:rsidRDefault="009B146A" w:rsidP="009B146A">
      <w:pPr>
        <w:spacing w:line="360" w:lineRule="auto"/>
        <w:jc w:val="both"/>
        <w:rPr>
          <w:rFonts w:ascii="Arial" w:hAnsi="Arial" w:cs="Arial"/>
          <w:kern w:val="0"/>
          <w:sz w:val="24"/>
          <w:szCs w:val="24"/>
          <w:lang w:eastAsia="en-GB"/>
        </w:rPr>
      </w:pPr>
      <w:r w:rsidRPr="009B146A">
        <w:rPr>
          <w:rFonts w:ascii="Arial" w:hAnsi="Arial" w:cs="Arial"/>
          <w:kern w:val="0"/>
          <w:sz w:val="24"/>
          <w:szCs w:val="24"/>
          <w:lang w:eastAsia="en-GB"/>
        </w:rPr>
        <w:t>Quality assessment is an important part of systematic reviews as it helps to assess the methodological quality and risk of bias of the studies included in the review prior to evidence synthesis (</w:t>
      </w:r>
      <w:proofErr w:type="spellStart"/>
      <w:r w:rsidRPr="009B146A">
        <w:rPr>
          <w:rFonts w:ascii="Arial" w:hAnsi="Arial" w:cs="Arial"/>
          <w:kern w:val="0"/>
          <w:sz w:val="24"/>
          <w:szCs w:val="24"/>
          <w:lang w:eastAsia="en-GB"/>
        </w:rPr>
        <w:t>Aromataris</w:t>
      </w:r>
      <w:proofErr w:type="spellEnd"/>
      <w:r w:rsidRPr="009B146A">
        <w:rPr>
          <w:rFonts w:ascii="Arial" w:hAnsi="Arial" w:cs="Arial"/>
          <w:kern w:val="0"/>
          <w:sz w:val="24"/>
          <w:szCs w:val="24"/>
          <w:lang w:eastAsia="en-GB"/>
        </w:rPr>
        <w:t xml:space="preserve"> and Munn, 2020). Critical appraisal allows the researcher to decide if the results of individual studies can be truste</w:t>
      </w:r>
      <w:r w:rsidR="00797FE6">
        <w:rPr>
          <w:rFonts w:ascii="Arial" w:hAnsi="Arial" w:cs="Arial"/>
          <w:kern w:val="0"/>
          <w:sz w:val="24"/>
          <w:szCs w:val="24"/>
          <w:lang w:eastAsia="en-GB"/>
        </w:rPr>
        <w:t>d and are valid for the review.</w:t>
      </w:r>
    </w:p>
    <w:p w14:paraId="343CBAB6" w14:textId="77777777" w:rsidR="009B146A" w:rsidRPr="009B146A" w:rsidRDefault="009B146A" w:rsidP="009B146A">
      <w:pPr>
        <w:spacing w:line="360" w:lineRule="auto"/>
        <w:jc w:val="both"/>
        <w:rPr>
          <w:rFonts w:ascii="Arial" w:hAnsi="Arial" w:cs="Arial"/>
          <w:kern w:val="0"/>
          <w:sz w:val="24"/>
          <w:szCs w:val="24"/>
          <w:lang w:eastAsia="en-GB"/>
        </w:rPr>
      </w:pPr>
      <w:r w:rsidRPr="009B146A">
        <w:rPr>
          <w:rFonts w:ascii="Arial" w:hAnsi="Arial" w:cs="Arial"/>
          <w:kern w:val="0"/>
          <w:sz w:val="24"/>
          <w:szCs w:val="24"/>
          <w:lang w:eastAsia="en-GB"/>
        </w:rPr>
        <w:t xml:space="preserve">This review will be conducted on these basis using tools that have been recognised in the study design. Joanna Briggs Institute (JBI) Critical Appraisal Checklists will be </w:t>
      </w:r>
      <w:r w:rsidRPr="009B146A">
        <w:rPr>
          <w:rFonts w:ascii="Arial" w:hAnsi="Arial" w:cs="Arial"/>
          <w:kern w:val="0"/>
          <w:sz w:val="24"/>
          <w:szCs w:val="24"/>
          <w:lang w:eastAsia="en-GB"/>
        </w:rPr>
        <w:lastRenderedPageBreak/>
        <w:t>used to assess quantitative observational studies and the Critical Appraisal Skills Programme (CASP) checklist will be used to assess qualitative studies (JBI, 2023; CASP, 2024). They evaluate the study design, selection of study participants, the validity of the measures used, confounding factors, data analysis and the overall methodological quality.</w:t>
      </w:r>
    </w:p>
    <w:p w14:paraId="6B83D1E6" w14:textId="470E1485" w:rsidR="009B146A" w:rsidRDefault="009B146A" w:rsidP="009B146A">
      <w:pPr>
        <w:spacing w:line="360" w:lineRule="auto"/>
        <w:jc w:val="both"/>
        <w:rPr>
          <w:rFonts w:ascii="Arial" w:hAnsi="Arial" w:cs="Arial"/>
          <w:kern w:val="0"/>
          <w:sz w:val="24"/>
          <w:szCs w:val="24"/>
          <w:lang w:eastAsia="en-GB"/>
        </w:rPr>
      </w:pPr>
      <w:r w:rsidRPr="009B146A">
        <w:rPr>
          <w:rFonts w:ascii="Arial" w:hAnsi="Arial" w:cs="Arial"/>
          <w:kern w:val="0"/>
          <w:sz w:val="24"/>
          <w:szCs w:val="24"/>
          <w:lang w:eastAsia="en-GB"/>
        </w:rPr>
        <w:t>Each study included will be assessed separately on its own checklist and an overall quality score will be given. Studies that did not score at least 50% of the quality assessment criteria will be discarded because they are likely to have a higher risk of bias, and will not be included in evidence synthesis.</w:t>
      </w:r>
    </w:p>
    <w:p w14:paraId="3D8B6797" w14:textId="2AE367DD" w:rsidR="0013696E" w:rsidRPr="00475036" w:rsidRDefault="0013696E" w:rsidP="00797FE6">
      <w:pPr>
        <w:pStyle w:val="Caption"/>
        <w:rPr>
          <w:lang w:eastAsia="en-GB"/>
        </w:rPr>
      </w:pPr>
    </w:p>
    <w:p w14:paraId="3FD94A95" w14:textId="7DCC447C" w:rsidR="007019CE" w:rsidRDefault="007019CE" w:rsidP="007019CE">
      <w:pPr>
        <w:pStyle w:val="Caption"/>
        <w:keepNext/>
      </w:pPr>
      <w:bookmarkStart w:id="50" w:name="_Toc240558536"/>
      <w:r>
        <w:t xml:space="preserve">Table </w:t>
      </w:r>
      <w:r w:rsidR="00CE5F90">
        <w:fldChar w:fldCharType="begin"/>
      </w:r>
      <w:r w:rsidR="00CE5F90">
        <w:instrText xml:space="preserve"> SEQ Table \* ARABIC </w:instrText>
      </w:r>
      <w:r w:rsidR="00CE5F90">
        <w:fldChar w:fldCharType="separate"/>
      </w:r>
      <w:r w:rsidR="00CE5F90">
        <w:rPr>
          <w:noProof/>
        </w:rPr>
        <w:t>5</w:t>
      </w:r>
      <w:r w:rsidR="00CE5F90">
        <w:rPr>
          <w:noProof/>
        </w:rPr>
        <w:fldChar w:fldCharType="end"/>
      </w:r>
      <w:r>
        <w:t>.</w:t>
      </w:r>
      <w:r w:rsidRPr="00501069">
        <w:t>Quality Assessment</w:t>
      </w:r>
      <w:bookmarkEnd w:id="50"/>
    </w:p>
    <w:tbl>
      <w:tblPr>
        <w:tblStyle w:val="TableGrid"/>
        <w:tblW w:w="0" w:type="auto"/>
        <w:tblLook w:val="04A0" w:firstRow="1" w:lastRow="0" w:firstColumn="1" w:lastColumn="0" w:noHBand="0" w:noVBand="1"/>
      </w:tblPr>
      <w:tblGrid>
        <w:gridCol w:w="3005"/>
        <w:gridCol w:w="3005"/>
        <w:gridCol w:w="3006"/>
      </w:tblGrid>
      <w:tr w:rsidR="005F4515" w:rsidRPr="00475036" w14:paraId="112D83B7" w14:textId="77777777" w:rsidTr="005F4515">
        <w:tc>
          <w:tcPr>
            <w:tcW w:w="3005" w:type="dxa"/>
          </w:tcPr>
          <w:p w14:paraId="783D8BDE"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Study</w:t>
            </w:r>
          </w:p>
        </w:tc>
        <w:tc>
          <w:tcPr>
            <w:tcW w:w="3005" w:type="dxa"/>
          </w:tcPr>
          <w:p w14:paraId="6C2BBDC7"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Score</w:t>
            </w:r>
          </w:p>
        </w:tc>
        <w:tc>
          <w:tcPr>
            <w:tcW w:w="3006" w:type="dxa"/>
          </w:tcPr>
          <w:p w14:paraId="651C7E7E"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Included</w:t>
            </w:r>
          </w:p>
        </w:tc>
      </w:tr>
      <w:tr w:rsidR="005F4515" w:rsidRPr="00475036" w14:paraId="6958D934" w14:textId="77777777" w:rsidTr="005F4515">
        <w:tc>
          <w:tcPr>
            <w:tcW w:w="3005" w:type="dxa"/>
          </w:tcPr>
          <w:p w14:paraId="1A22B217"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Study A</w:t>
            </w:r>
          </w:p>
        </w:tc>
        <w:tc>
          <w:tcPr>
            <w:tcW w:w="3005" w:type="dxa"/>
          </w:tcPr>
          <w:p w14:paraId="4016CF15"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7/8</w:t>
            </w:r>
          </w:p>
        </w:tc>
        <w:tc>
          <w:tcPr>
            <w:tcW w:w="3006" w:type="dxa"/>
          </w:tcPr>
          <w:p w14:paraId="46133158"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Yes</w:t>
            </w:r>
          </w:p>
        </w:tc>
      </w:tr>
      <w:tr w:rsidR="005F4515" w:rsidRPr="00475036" w14:paraId="5DC3E280" w14:textId="77777777" w:rsidTr="005F4515">
        <w:tc>
          <w:tcPr>
            <w:tcW w:w="3005" w:type="dxa"/>
          </w:tcPr>
          <w:p w14:paraId="109190BC"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Study B</w:t>
            </w:r>
          </w:p>
        </w:tc>
        <w:tc>
          <w:tcPr>
            <w:tcW w:w="3005" w:type="dxa"/>
          </w:tcPr>
          <w:p w14:paraId="3B6A44E7"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6/8</w:t>
            </w:r>
          </w:p>
        </w:tc>
        <w:tc>
          <w:tcPr>
            <w:tcW w:w="3006" w:type="dxa"/>
          </w:tcPr>
          <w:p w14:paraId="76E22C21"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Yes</w:t>
            </w:r>
          </w:p>
        </w:tc>
      </w:tr>
    </w:tbl>
    <w:p w14:paraId="20BE3504" w14:textId="77777777" w:rsidR="00930D2E" w:rsidRDefault="00930D2E" w:rsidP="00475036">
      <w:pPr>
        <w:spacing w:line="360" w:lineRule="auto"/>
        <w:jc w:val="both"/>
        <w:rPr>
          <w:rFonts w:ascii="Arial" w:hAnsi="Arial" w:cs="Arial"/>
          <w:kern w:val="0"/>
          <w:sz w:val="24"/>
          <w:szCs w:val="24"/>
          <w:lang w:eastAsia="en-GB"/>
        </w:rPr>
      </w:pPr>
    </w:p>
    <w:p w14:paraId="00213F18" w14:textId="4775A8CD" w:rsidR="0013696E" w:rsidRPr="00475036" w:rsidRDefault="0013696E"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Studies scoring below 50% of the checklist criteria wi</w:t>
      </w:r>
      <w:r w:rsidR="00797FE6">
        <w:rPr>
          <w:rFonts w:ascii="Arial" w:hAnsi="Arial" w:cs="Arial"/>
          <w:kern w:val="0"/>
          <w:sz w:val="24"/>
          <w:szCs w:val="24"/>
          <w:lang w:eastAsia="en-GB"/>
        </w:rPr>
        <w:t>ll be excluded from the review.</w:t>
      </w:r>
    </w:p>
    <w:p w14:paraId="71A0F413" w14:textId="078BED40" w:rsidR="0013696E" w:rsidRPr="00475036" w:rsidRDefault="00930D2E" w:rsidP="00081EFD">
      <w:pPr>
        <w:pStyle w:val="Heading3"/>
      </w:pPr>
      <w:bookmarkStart w:id="51" w:name="_Toc240558485"/>
      <w:r>
        <w:t>3.7.9 Data Extraction</w:t>
      </w:r>
      <w:bookmarkEnd w:id="51"/>
    </w:p>
    <w:p w14:paraId="3C5ABC53" w14:textId="2C4BD37C" w:rsidR="00B963A2" w:rsidRPr="00B963A2" w:rsidRDefault="00B963A2" w:rsidP="00B963A2">
      <w:pPr>
        <w:spacing w:line="360" w:lineRule="auto"/>
        <w:jc w:val="both"/>
        <w:rPr>
          <w:rFonts w:ascii="Arial" w:hAnsi="Arial" w:cs="Arial"/>
          <w:kern w:val="0"/>
          <w:sz w:val="24"/>
          <w:szCs w:val="24"/>
          <w:lang w:eastAsia="en-GB"/>
        </w:rPr>
      </w:pPr>
      <w:r w:rsidRPr="00B963A2">
        <w:rPr>
          <w:rFonts w:ascii="Arial" w:hAnsi="Arial" w:cs="Arial"/>
          <w:kern w:val="0"/>
          <w:sz w:val="24"/>
          <w:szCs w:val="24"/>
          <w:lang w:eastAsia="en-GB"/>
        </w:rPr>
        <w:t>A standardised data extraction form will be created to ensure that relevant data is being extracted from all studies included in the study in the same way (</w:t>
      </w:r>
      <w:proofErr w:type="spellStart"/>
      <w:r w:rsidRPr="00B963A2">
        <w:rPr>
          <w:rFonts w:ascii="Arial" w:hAnsi="Arial" w:cs="Arial"/>
          <w:kern w:val="0"/>
          <w:sz w:val="24"/>
          <w:szCs w:val="24"/>
          <w:lang w:eastAsia="en-GB"/>
        </w:rPr>
        <w:t>Aromataris</w:t>
      </w:r>
      <w:proofErr w:type="spellEnd"/>
      <w:r w:rsidRPr="00B963A2">
        <w:rPr>
          <w:rFonts w:ascii="Arial" w:hAnsi="Arial" w:cs="Arial"/>
          <w:kern w:val="0"/>
          <w:sz w:val="24"/>
          <w:szCs w:val="24"/>
          <w:lang w:eastAsia="en-GB"/>
        </w:rPr>
        <w:t xml:space="preserve"> and Munn, 2020). Data extraction is a formal process which makes comparison between studies possible and helps in </w:t>
      </w:r>
      <w:r w:rsidR="00797FE6">
        <w:rPr>
          <w:rFonts w:ascii="Arial" w:hAnsi="Arial" w:cs="Arial"/>
          <w:kern w:val="0"/>
          <w:sz w:val="24"/>
          <w:szCs w:val="24"/>
          <w:lang w:eastAsia="en-GB"/>
        </w:rPr>
        <w:t>transparent evidence synthesis.</w:t>
      </w:r>
    </w:p>
    <w:p w14:paraId="59A952C7" w14:textId="283D6EA6" w:rsidR="00B963A2" w:rsidRPr="00B963A2" w:rsidRDefault="00B963A2" w:rsidP="00B963A2">
      <w:pPr>
        <w:spacing w:line="360" w:lineRule="auto"/>
        <w:jc w:val="both"/>
        <w:rPr>
          <w:rFonts w:ascii="Arial" w:hAnsi="Arial" w:cs="Arial"/>
          <w:kern w:val="0"/>
          <w:sz w:val="24"/>
          <w:szCs w:val="24"/>
          <w:lang w:eastAsia="en-GB"/>
        </w:rPr>
      </w:pPr>
      <w:r w:rsidRPr="00B963A2">
        <w:rPr>
          <w:rFonts w:ascii="Arial" w:hAnsi="Arial" w:cs="Arial"/>
          <w:kern w:val="0"/>
          <w:sz w:val="24"/>
          <w:szCs w:val="24"/>
          <w:lang w:eastAsia="en-GB"/>
        </w:rPr>
        <w:t xml:space="preserve">Data from each study will be extracted and comprise information on the author(s) of the study, year of publication, country of study, study design, sample characteristics, intervention/exposure, outcome measures, and key findings related to vitamin D awareness and prevention among older adults in UK care homes. Other data such as the aims of the study and methodological details </w:t>
      </w:r>
      <w:r w:rsidR="00797FE6">
        <w:rPr>
          <w:rFonts w:ascii="Arial" w:hAnsi="Arial" w:cs="Arial"/>
          <w:kern w:val="0"/>
          <w:sz w:val="24"/>
          <w:szCs w:val="24"/>
          <w:lang w:eastAsia="en-GB"/>
        </w:rPr>
        <w:t>may also be noted if pertinent.</w:t>
      </w:r>
    </w:p>
    <w:p w14:paraId="744A0547" w14:textId="0D92D6AE" w:rsidR="0013696E" w:rsidRPr="009679F6" w:rsidRDefault="00B963A2" w:rsidP="009679F6">
      <w:pPr>
        <w:spacing w:line="360" w:lineRule="auto"/>
        <w:jc w:val="both"/>
        <w:rPr>
          <w:rFonts w:ascii="Arial" w:hAnsi="Arial" w:cs="Arial"/>
          <w:kern w:val="0"/>
          <w:sz w:val="24"/>
          <w:szCs w:val="24"/>
          <w:lang w:eastAsia="en-GB"/>
        </w:rPr>
      </w:pPr>
      <w:r w:rsidRPr="00B963A2">
        <w:rPr>
          <w:rFonts w:ascii="Arial" w:hAnsi="Arial" w:cs="Arial"/>
          <w:kern w:val="0"/>
          <w:sz w:val="24"/>
          <w:szCs w:val="24"/>
          <w:lang w:eastAsia="en-GB"/>
        </w:rPr>
        <w:t>A template for structured extraction will reduce reporting errors and make the extraction of comparable data for synthesis easier. The data that will be extracted from the data will then be used in the thematic analysis and data interpretation of Chapter 4</w:t>
      </w:r>
      <w:r w:rsidR="00797FE6">
        <w:rPr>
          <w:rFonts w:ascii="Arial" w:hAnsi="Arial" w:cs="Arial"/>
          <w:kern w:val="0"/>
          <w:sz w:val="24"/>
          <w:szCs w:val="24"/>
          <w:lang w:eastAsia="en-GB"/>
        </w:rPr>
        <w:t>.</w:t>
      </w:r>
    </w:p>
    <w:p w14:paraId="530FE71F" w14:textId="4110D158" w:rsidR="009679F6" w:rsidRDefault="009679F6" w:rsidP="009679F6">
      <w:pPr>
        <w:pStyle w:val="Caption"/>
        <w:keepNext/>
      </w:pPr>
      <w:bookmarkStart w:id="52" w:name="_Toc240558537"/>
      <w:r>
        <w:lastRenderedPageBreak/>
        <w:t xml:space="preserve">Table </w:t>
      </w:r>
      <w:r w:rsidR="00CE5F90">
        <w:fldChar w:fldCharType="begin"/>
      </w:r>
      <w:r w:rsidR="00CE5F90">
        <w:instrText xml:space="preserve"> SEQ Table \* ARABIC </w:instrText>
      </w:r>
      <w:r w:rsidR="00CE5F90">
        <w:fldChar w:fldCharType="separate"/>
      </w:r>
      <w:r w:rsidR="00CE5F90">
        <w:rPr>
          <w:noProof/>
        </w:rPr>
        <w:t>6</w:t>
      </w:r>
      <w:r w:rsidR="00CE5F90">
        <w:rPr>
          <w:noProof/>
        </w:rPr>
        <w:fldChar w:fldCharType="end"/>
      </w:r>
      <w:r>
        <w:t>.</w:t>
      </w:r>
      <w:r w:rsidRPr="002E3720">
        <w:t>Data Extraction</w:t>
      </w:r>
      <w:bookmarkEnd w:id="52"/>
    </w:p>
    <w:tbl>
      <w:tblPr>
        <w:tblStyle w:val="TableGrid"/>
        <w:tblW w:w="0" w:type="auto"/>
        <w:tblLook w:val="04A0" w:firstRow="1" w:lastRow="0" w:firstColumn="1" w:lastColumn="0" w:noHBand="0" w:noVBand="1"/>
      </w:tblPr>
      <w:tblGrid>
        <w:gridCol w:w="1803"/>
        <w:gridCol w:w="1803"/>
        <w:gridCol w:w="1803"/>
        <w:gridCol w:w="1803"/>
        <w:gridCol w:w="1804"/>
      </w:tblGrid>
      <w:tr w:rsidR="005F4515" w:rsidRPr="00475036" w14:paraId="522AB597" w14:textId="77777777" w:rsidTr="005F4515">
        <w:tc>
          <w:tcPr>
            <w:tcW w:w="1803" w:type="dxa"/>
          </w:tcPr>
          <w:p w14:paraId="67223C48"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Author</w:t>
            </w:r>
          </w:p>
        </w:tc>
        <w:tc>
          <w:tcPr>
            <w:tcW w:w="1803" w:type="dxa"/>
          </w:tcPr>
          <w:p w14:paraId="276F87E6"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Country</w:t>
            </w:r>
          </w:p>
        </w:tc>
        <w:tc>
          <w:tcPr>
            <w:tcW w:w="1803" w:type="dxa"/>
          </w:tcPr>
          <w:p w14:paraId="7CBD520D"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Design</w:t>
            </w:r>
          </w:p>
        </w:tc>
        <w:tc>
          <w:tcPr>
            <w:tcW w:w="1803" w:type="dxa"/>
          </w:tcPr>
          <w:p w14:paraId="0601B237"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Sample</w:t>
            </w:r>
          </w:p>
        </w:tc>
        <w:tc>
          <w:tcPr>
            <w:tcW w:w="1804" w:type="dxa"/>
          </w:tcPr>
          <w:p w14:paraId="0A1E9444"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Key Findings</w:t>
            </w:r>
          </w:p>
        </w:tc>
      </w:tr>
      <w:tr w:rsidR="005F4515" w:rsidRPr="00475036" w14:paraId="720B3075" w14:textId="77777777" w:rsidTr="005F4515">
        <w:tc>
          <w:tcPr>
            <w:tcW w:w="1803" w:type="dxa"/>
          </w:tcPr>
          <w:p w14:paraId="4B85473C"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completed</w:t>
            </w:r>
          </w:p>
        </w:tc>
        <w:tc>
          <w:tcPr>
            <w:tcW w:w="1803" w:type="dxa"/>
          </w:tcPr>
          <w:p w14:paraId="530A996B" w14:textId="77777777" w:rsidR="005F4515" w:rsidRPr="00475036" w:rsidRDefault="005F4515" w:rsidP="00475036">
            <w:pPr>
              <w:spacing w:line="360" w:lineRule="auto"/>
              <w:jc w:val="both"/>
              <w:rPr>
                <w:rFonts w:ascii="Arial" w:hAnsi="Arial" w:cs="Arial"/>
                <w:kern w:val="0"/>
                <w:sz w:val="24"/>
                <w:szCs w:val="24"/>
                <w:lang w:eastAsia="en-GB"/>
              </w:rPr>
            </w:pPr>
          </w:p>
        </w:tc>
        <w:tc>
          <w:tcPr>
            <w:tcW w:w="1803" w:type="dxa"/>
          </w:tcPr>
          <w:p w14:paraId="58AC88CB" w14:textId="77777777" w:rsidR="005F4515" w:rsidRPr="00475036" w:rsidRDefault="005F4515" w:rsidP="00475036">
            <w:pPr>
              <w:spacing w:line="360" w:lineRule="auto"/>
              <w:jc w:val="both"/>
              <w:rPr>
                <w:rFonts w:ascii="Arial" w:hAnsi="Arial" w:cs="Arial"/>
                <w:kern w:val="0"/>
                <w:sz w:val="24"/>
                <w:szCs w:val="24"/>
                <w:lang w:eastAsia="en-GB"/>
              </w:rPr>
            </w:pPr>
          </w:p>
        </w:tc>
        <w:tc>
          <w:tcPr>
            <w:tcW w:w="1803" w:type="dxa"/>
          </w:tcPr>
          <w:p w14:paraId="6E08B54D" w14:textId="77777777" w:rsidR="005F4515" w:rsidRPr="00475036" w:rsidRDefault="005F4515" w:rsidP="00475036">
            <w:pPr>
              <w:spacing w:line="360" w:lineRule="auto"/>
              <w:jc w:val="both"/>
              <w:rPr>
                <w:rFonts w:ascii="Arial" w:hAnsi="Arial" w:cs="Arial"/>
                <w:kern w:val="0"/>
                <w:sz w:val="24"/>
                <w:szCs w:val="24"/>
                <w:lang w:eastAsia="en-GB"/>
              </w:rPr>
            </w:pPr>
          </w:p>
        </w:tc>
        <w:tc>
          <w:tcPr>
            <w:tcW w:w="1804" w:type="dxa"/>
          </w:tcPr>
          <w:p w14:paraId="5F2037D8" w14:textId="77777777" w:rsidR="005F4515" w:rsidRPr="00475036" w:rsidRDefault="005F4515" w:rsidP="00475036">
            <w:pPr>
              <w:spacing w:line="360" w:lineRule="auto"/>
              <w:jc w:val="both"/>
              <w:rPr>
                <w:rFonts w:ascii="Arial" w:hAnsi="Arial" w:cs="Arial"/>
                <w:kern w:val="0"/>
                <w:sz w:val="24"/>
                <w:szCs w:val="24"/>
                <w:lang w:eastAsia="en-GB"/>
              </w:rPr>
            </w:pPr>
          </w:p>
        </w:tc>
      </w:tr>
      <w:tr w:rsidR="005F4515" w:rsidRPr="00475036" w14:paraId="3F91B517" w14:textId="77777777" w:rsidTr="005F4515">
        <w:tc>
          <w:tcPr>
            <w:tcW w:w="1803" w:type="dxa"/>
          </w:tcPr>
          <w:p w14:paraId="324EF449" w14:textId="77777777" w:rsidR="005F4515" w:rsidRPr="00475036" w:rsidRDefault="005F4515" w:rsidP="00475036">
            <w:pPr>
              <w:spacing w:line="360" w:lineRule="auto"/>
              <w:jc w:val="both"/>
              <w:rPr>
                <w:rFonts w:ascii="Arial" w:hAnsi="Arial" w:cs="Arial"/>
                <w:kern w:val="0"/>
                <w:sz w:val="24"/>
                <w:szCs w:val="24"/>
                <w:lang w:eastAsia="en-GB"/>
              </w:rPr>
            </w:pPr>
            <w:r w:rsidRPr="00475036">
              <w:rPr>
                <w:rFonts w:ascii="Arial" w:hAnsi="Arial" w:cs="Arial"/>
                <w:kern w:val="0"/>
                <w:sz w:val="24"/>
                <w:szCs w:val="24"/>
                <w:lang w:eastAsia="en-GB"/>
              </w:rPr>
              <w:t>To be completed</w:t>
            </w:r>
          </w:p>
        </w:tc>
        <w:tc>
          <w:tcPr>
            <w:tcW w:w="1803" w:type="dxa"/>
          </w:tcPr>
          <w:p w14:paraId="19FE710F" w14:textId="77777777" w:rsidR="005F4515" w:rsidRPr="00475036" w:rsidRDefault="005F4515" w:rsidP="00475036">
            <w:pPr>
              <w:spacing w:line="360" w:lineRule="auto"/>
              <w:jc w:val="both"/>
              <w:rPr>
                <w:rFonts w:ascii="Arial" w:hAnsi="Arial" w:cs="Arial"/>
                <w:kern w:val="0"/>
                <w:sz w:val="24"/>
                <w:szCs w:val="24"/>
                <w:lang w:eastAsia="en-GB"/>
              </w:rPr>
            </w:pPr>
          </w:p>
        </w:tc>
        <w:tc>
          <w:tcPr>
            <w:tcW w:w="1803" w:type="dxa"/>
          </w:tcPr>
          <w:p w14:paraId="51440C70" w14:textId="77777777" w:rsidR="005F4515" w:rsidRPr="00475036" w:rsidRDefault="005F4515" w:rsidP="00475036">
            <w:pPr>
              <w:spacing w:line="360" w:lineRule="auto"/>
              <w:jc w:val="both"/>
              <w:rPr>
                <w:rFonts w:ascii="Arial" w:hAnsi="Arial" w:cs="Arial"/>
                <w:kern w:val="0"/>
                <w:sz w:val="24"/>
                <w:szCs w:val="24"/>
                <w:lang w:eastAsia="en-GB"/>
              </w:rPr>
            </w:pPr>
          </w:p>
        </w:tc>
        <w:tc>
          <w:tcPr>
            <w:tcW w:w="1803" w:type="dxa"/>
          </w:tcPr>
          <w:p w14:paraId="3A9E032C" w14:textId="77777777" w:rsidR="005F4515" w:rsidRPr="00475036" w:rsidRDefault="005F4515" w:rsidP="00475036">
            <w:pPr>
              <w:spacing w:line="360" w:lineRule="auto"/>
              <w:jc w:val="both"/>
              <w:rPr>
                <w:rFonts w:ascii="Arial" w:hAnsi="Arial" w:cs="Arial"/>
                <w:kern w:val="0"/>
                <w:sz w:val="24"/>
                <w:szCs w:val="24"/>
                <w:lang w:eastAsia="en-GB"/>
              </w:rPr>
            </w:pPr>
          </w:p>
        </w:tc>
        <w:tc>
          <w:tcPr>
            <w:tcW w:w="1804" w:type="dxa"/>
          </w:tcPr>
          <w:p w14:paraId="5AEC8AB2" w14:textId="77777777" w:rsidR="005F4515" w:rsidRPr="00475036" w:rsidRDefault="005F4515" w:rsidP="00475036">
            <w:pPr>
              <w:spacing w:line="360" w:lineRule="auto"/>
              <w:jc w:val="both"/>
              <w:rPr>
                <w:rFonts w:ascii="Arial" w:hAnsi="Arial" w:cs="Arial"/>
                <w:kern w:val="0"/>
                <w:sz w:val="24"/>
                <w:szCs w:val="24"/>
                <w:lang w:eastAsia="en-GB"/>
              </w:rPr>
            </w:pPr>
          </w:p>
        </w:tc>
      </w:tr>
    </w:tbl>
    <w:p w14:paraId="594CEC5E" w14:textId="6261B77D" w:rsidR="007A0A22" w:rsidRPr="00475036" w:rsidRDefault="007A0A22" w:rsidP="00475036">
      <w:pPr>
        <w:spacing w:line="360" w:lineRule="auto"/>
        <w:jc w:val="both"/>
        <w:rPr>
          <w:rFonts w:ascii="Arial" w:hAnsi="Arial" w:cs="Arial"/>
          <w:kern w:val="0"/>
          <w:sz w:val="24"/>
          <w:szCs w:val="24"/>
          <w:lang w:eastAsia="en-GB"/>
        </w:rPr>
      </w:pPr>
    </w:p>
    <w:p w14:paraId="7007DC13" w14:textId="180CE221" w:rsidR="0013696E" w:rsidRPr="008819FD" w:rsidRDefault="0013696E" w:rsidP="00081EFD">
      <w:pPr>
        <w:pStyle w:val="Heading3"/>
      </w:pPr>
      <w:bookmarkStart w:id="53" w:name="_Toc240558486"/>
      <w:r w:rsidRPr="00475036">
        <w:t>3.7.10 Data Synthesis</w:t>
      </w:r>
      <w:bookmarkEnd w:id="53"/>
    </w:p>
    <w:p w14:paraId="0684015D" w14:textId="28937FBA" w:rsidR="0063476C" w:rsidRPr="0063476C" w:rsidRDefault="0063476C" w:rsidP="0063476C">
      <w:pPr>
        <w:spacing w:before="240" w:line="360" w:lineRule="auto"/>
        <w:jc w:val="both"/>
        <w:rPr>
          <w:rFonts w:ascii="Arial" w:hAnsi="Arial" w:cs="Arial"/>
          <w:kern w:val="0"/>
          <w:sz w:val="24"/>
          <w:szCs w:val="24"/>
          <w:lang w:eastAsia="en-GB"/>
        </w:rPr>
      </w:pPr>
      <w:r w:rsidRPr="0063476C">
        <w:rPr>
          <w:rFonts w:ascii="Arial" w:hAnsi="Arial" w:cs="Arial"/>
          <w:kern w:val="0"/>
          <w:sz w:val="24"/>
          <w:szCs w:val="24"/>
          <w:lang w:eastAsia="en-GB"/>
        </w:rPr>
        <w:t>Thematic synthesis will be employed to synthesize findings from the included studies, which is an approach appropriate for synthesizing findings from qualitative and mixed evidence in systematic reviews. Thematic synthesis allows researchers to detect common themes, to compare results between studies, and to draw meaningful conclusions that can be related to the review que</w:t>
      </w:r>
      <w:r w:rsidR="008819FD">
        <w:rPr>
          <w:rFonts w:ascii="Arial" w:hAnsi="Arial" w:cs="Arial"/>
          <w:kern w:val="0"/>
          <w:sz w:val="24"/>
          <w:szCs w:val="24"/>
          <w:lang w:eastAsia="en-GB"/>
        </w:rPr>
        <w:t>stion (Braun and Clarke, 2021).</w:t>
      </w:r>
    </w:p>
    <w:p w14:paraId="1A83D6C9" w14:textId="7C5723F1" w:rsidR="0063476C" w:rsidRPr="0063476C" w:rsidRDefault="0063476C" w:rsidP="0063476C">
      <w:pPr>
        <w:spacing w:before="240" w:line="360" w:lineRule="auto"/>
        <w:jc w:val="both"/>
        <w:rPr>
          <w:rFonts w:ascii="Arial" w:hAnsi="Arial" w:cs="Arial"/>
          <w:kern w:val="0"/>
          <w:sz w:val="24"/>
          <w:szCs w:val="24"/>
          <w:lang w:eastAsia="en-GB"/>
        </w:rPr>
      </w:pPr>
      <w:r w:rsidRPr="0063476C">
        <w:rPr>
          <w:rFonts w:ascii="Arial" w:hAnsi="Arial" w:cs="Arial"/>
          <w:kern w:val="0"/>
          <w:sz w:val="24"/>
          <w:szCs w:val="24"/>
          <w:lang w:eastAsia="en-GB"/>
        </w:rPr>
        <w:t>The five stages of thematic analysis from Braun and Clarke (2021) will be implemented in the analysis. The researcher will first get accustomed to the extracted data by reading the included studies, again and again. In addition, the content of the data will be meaningfully segmented and coded based on knowledge and prevention of vitamin D. Third, categories of codes will be clustered into larger themes that are shared across studies. Fourth, the themes will be reviewed and adjusted in order to capture the evidence and respond to the review question. Lastly, the themes will be explained and presented as narratives, further supported by evid</w:t>
      </w:r>
      <w:r w:rsidR="00FC028B">
        <w:rPr>
          <w:rFonts w:ascii="Arial" w:hAnsi="Arial" w:cs="Arial"/>
          <w:kern w:val="0"/>
          <w:sz w:val="24"/>
          <w:szCs w:val="24"/>
          <w:lang w:eastAsia="en-GB"/>
        </w:rPr>
        <w:t>ence from the attached studies</w:t>
      </w:r>
      <w:r w:rsidRPr="0063476C">
        <w:rPr>
          <w:rFonts w:ascii="Arial" w:hAnsi="Arial" w:cs="Arial"/>
          <w:kern w:val="0"/>
          <w:sz w:val="24"/>
          <w:szCs w:val="24"/>
          <w:lang w:eastAsia="en-GB"/>
        </w:rPr>
        <w:t>.</w:t>
      </w:r>
    </w:p>
    <w:p w14:paraId="2968DB20" w14:textId="2ECD370D" w:rsidR="0063476C" w:rsidRPr="008819FD" w:rsidRDefault="0063476C" w:rsidP="00081EFD">
      <w:pPr>
        <w:pStyle w:val="Heading3"/>
      </w:pPr>
      <w:bookmarkStart w:id="54" w:name="_Toc240558487"/>
      <w:r w:rsidRPr="0063476C">
        <w:t>3.7.11 Limitations / Risk of Bias</w:t>
      </w:r>
      <w:bookmarkEnd w:id="54"/>
    </w:p>
    <w:p w14:paraId="39040A44" w14:textId="3FF1A511" w:rsidR="008819FD" w:rsidRPr="0063476C" w:rsidRDefault="0063476C" w:rsidP="0063476C">
      <w:pPr>
        <w:spacing w:before="240" w:line="360" w:lineRule="auto"/>
        <w:jc w:val="both"/>
        <w:rPr>
          <w:rFonts w:ascii="Arial" w:hAnsi="Arial" w:cs="Arial"/>
          <w:kern w:val="0"/>
          <w:sz w:val="24"/>
          <w:szCs w:val="24"/>
          <w:lang w:eastAsia="en-GB"/>
        </w:rPr>
      </w:pPr>
      <w:r w:rsidRPr="0063476C">
        <w:rPr>
          <w:rFonts w:ascii="Arial" w:hAnsi="Arial" w:cs="Arial"/>
          <w:kern w:val="0"/>
          <w:sz w:val="24"/>
          <w:szCs w:val="24"/>
          <w:lang w:eastAsia="en-GB"/>
        </w:rPr>
        <w:t xml:space="preserve">There is the potential for several sources of bias to impact this systematic review. Publication bias can occur because only studies that have positive or interesting results are published, whereas studies with negative and inconclusive results may not be published. Language bias may occur because only English-language publications will be included. Despite the efforts to be transparent and consistent in the selection of studies, selection bias may occur because of the application of eligibility criteria. Database bias can also be potential as it may not be possible to identify relevant studies that are not indexed in the selected databases. These risks will be reduced by </w:t>
      </w:r>
      <w:r w:rsidRPr="0063476C">
        <w:rPr>
          <w:rFonts w:ascii="Arial" w:hAnsi="Arial" w:cs="Arial"/>
          <w:kern w:val="0"/>
          <w:sz w:val="24"/>
          <w:szCs w:val="24"/>
          <w:lang w:eastAsia="en-GB"/>
        </w:rPr>
        <w:lastRenderedPageBreak/>
        <w:t xml:space="preserve">using multiple databases, hand searching, grey literature and transparent screening </w:t>
      </w:r>
      <w:r w:rsidR="008819FD">
        <w:rPr>
          <w:rFonts w:ascii="Arial" w:hAnsi="Arial" w:cs="Arial"/>
          <w:kern w:val="0"/>
          <w:sz w:val="24"/>
          <w:szCs w:val="24"/>
          <w:lang w:eastAsia="en-GB"/>
        </w:rPr>
        <w:t>procedures (Page et al., 2021).</w:t>
      </w:r>
    </w:p>
    <w:p w14:paraId="42DC57CE" w14:textId="74A04F79" w:rsidR="0063476C" w:rsidRPr="008819FD" w:rsidRDefault="0063476C" w:rsidP="008819FD">
      <w:pPr>
        <w:pStyle w:val="Heading2"/>
        <w:rPr>
          <w:lang w:eastAsia="en-GB"/>
        </w:rPr>
      </w:pPr>
      <w:bookmarkStart w:id="55" w:name="_Toc240558488"/>
      <w:r w:rsidRPr="0063476C">
        <w:rPr>
          <w:lang w:eastAsia="en-GB"/>
        </w:rPr>
        <w:t>3.8 Summary</w:t>
      </w:r>
      <w:bookmarkEnd w:id="55"/>
      <w:r w:rsidRPr="0063476C">
        <w:rPr>
          <w:lang w:eastAsia="en-GB"/>
        </w:rPr>
        <w:t xml:space="preserve"> </w:t>
      </w:r>
    </w:p>
    <w:p w14:paraId="1B5E0305" w14:textId="15765481" w:rsidR="009F192E" w:rsidRDefault="0063476C" w:rsidP="00DD7EC2">
      <w:pPr>
        <w:spacing w:before="240" w:line="360" w:lineRule="auto"/>
        <w:jc w:val="both"/>
        <w:rPr>
          <w:rFonts w:ascii="Arial" w:hAnsi="Arial" w:cs="Arial"/>
          <w:sz w:val="24"/>
          <w:szCs w:val="24"/>
        </w:rPr>
      </w:pPr>
      <w:r w:rsidRPr="0063476C">
        <w:rPr>
          <w:rFonts w:ascii="Arial" w:hAnsi="Arial" w:cs="Arial"/>
          <w:kern w:val="0"/>
          <w:sz w:val="24"/>
          <w:szCs w:val="24"/>
          <w:lang w:eastAsia="en-GB"/>
        </w:rPr>
        <w:t>The methodological framework used to guide the systematic review was presented in this chapter. Research philosophy, research approach and deductive strategy were explained and justified with regard to the review question. The systematic review design was explained and contrasted to other types of reviews. In addition, the chapter captured the search strategy, the choice of databases, the eligibility criteria, the procedures of screening the studies, the methods used for quality assessment, the procedure used for data extraction and the thematic synthesis approach. Lastly, the ethical issues and possible restrictions were addressed. Together, these methodological procedures created a clear, robust and repeatable approach to the identification, appraisal and synthesis of vitamin D awareness and prevention evidence in older people in UK care homes.</w:t>
      </w:r>
      <w:r w:rsidR="00DD7EC2" w:rsidRPr="00DD7EC2">
        <w:rPr>
          <w:rFonts w:ascii="Arial" w:hAnsi="Arial" w:cs="Arial"/>
          <w:sz w:val="24"/>
          <w:szCs w:val="24"/>
        </w:rPr>
        <w:t xml:space="preserve"> </w:t>
      </w:r>
      <w:r w:rsidR="009F192E">
        <w:rPr>
          <w:rFonts w:ascii="Arial" w:hAnsi="Arial" w:cs="Arial"/>
          <w:sz w:val="24"/>
          <w:szCs w:val="24"/>
        </w:rPr>
        <w:t>Building upon these empirical finding the next chapter explore</w:t>
      </w:r>
      <w:r w:rsidR="00F55794">
        <w:rPr>
          <w:rFonts w:ascii="Arial" w:hAnsi="Arial" w:cs="Arial"/>
          <w:sz w:val="24"/>
          <w:szCs w:val="24"/>
        </w:rPr>
        <w:t>s Chapter Four.</w:t>
      </w:r>
    </w:p>
    <w:p w14:paraId="1A214C69" w14:textId="2BAB1B78" w:rsidR="0063476C" w:rsidRDefault="0063476C" w:rsidP="0063476C">
      <w:pPr>
        <w:spacing w:before="240" w:line="360" w:lineRule="auto"/>
        <w:jc w:val="both"/>
        <w:rPr>
          <w:rFonts w:ascii="Arial" w:hAnsi="Arial" w:cs="Arial"/>
          <w:kern w:val="0"/>
          <w:sz w:val="24"/>
          <w:szCs w:val="24"/>
          <w:lang w:eastAsia="en-GB"/>
        </w:rPr>
      </w:pPr>
    </w:p>
    <w:p w14:paraId="543FAB35" w14:textId="44F587A2" w:rsidR="006D3483" w:rsidRDefault="006D3483" w:rsidP="0063476C">
      <w:pPr>
        <w:spacing w:before="240" w:line="360" w:lineRule="auto"/>
        <w:jc w:val="both"/>
        <w:rPr>
          <w:rFonts w:ascii="Arial" w:hAnsi="Arial" w:cs="Arial"/>
          <w:kern w:val="0"/>
          <w:sz w:val="24"/>
          <w:szCs w:val="24"/>
          <w:lang w:eastAsia="en-GB"/>
        </w:rPr>
      </w:pPr>
    </w:p>
    <w:p w14:paraId="1A6129F8" w14:textId="6EF820CC" w:rsidR="006D3483" w:rsidRDefault="006D3483" w:rsidP="0063476C">
      <w:pPr>
        <w:spacing w:before="240" w:line="360" w:lineRule="auto"/>
        <w:jc w:val="both"/>
        <w:rPr>
          <w:rFonts w:ascii="Arial" w:hAnsi="Arial" w:cs="Arial"/>
          <w:kern w:val="0"/>
          <w:sz w:val="24"/>
          <w:szCs w:val="24"/>
          <w:lang w:eastAsia="en-GB"/>
        </w:rPr>
      </w:pPr>
    </w:p>
    <w:p w14:paraId="400F18C3" w14:textId="36150B41" w:rsidR="006D3483" w:rsidRDefault="006D3483" w:rsidP="0063476C">
      <w:pPr>
        <w:spacing w:before="240" w:line="360" w:lineRule="auto"/>
        <w:jc w:val="both"/>
        <w:rPr>
          <w:rFonts w:ascii="Arial" w:hAnsi="Arial" w:cs="Arial"/>
          <w:kern w:val="0"/>
          <w:sz w:val="24"/>
          <w:szCs w:val="24"/>
          <w:lang w:eastAsia="en-GB"/>
        </w:rPr>
      </w:pPr>
    </w:p>
    <w:p w14:paraId="605D8238" w14:textId="5C376F18" w:rsidR="006D3483" w:rsidRDefault="006D3483" w:rsidP="0063476C">
      <w:pPr>
        <w:spacing w:before="240" w:line="360" w:lineRule="auto"/>
        <w:jc w:val="both"/>
        <w:rPr>
          <w:rFonts w:ascii="Arial" w:hAnsi="Arial" w:cs="Arial"/>
          <w:kern w:val="0"/>
          <w:sz w:val="24"/>
          <w:szCs w:val="24"/>
          <w:lang w:eastAsia="en-GB"/>
        </w:rPr>
      </w:pPr>
    </w:p>
    <w:p w14:paraId="55ADC688" w14:textId="73B5468B" w:rsidR="006D3483" w:rsidRDefault="006D3483" w:rsidP="0063476C">
      <w:pPr>
        <w:spacing w:before="240" w:line="360" w:lineRule="auto"/>
        <w:jc w:val="both"/>
        <w:rPr>
          <w:rFonts w:ascii="Arial" w:hAnsi="Arial" w:cs="Arial"/>
          <w:kern w:val="0"/>
          <w:sz w:val="24"/>
          <w:szCs w:val="24"/>
          <w:lang w:eastAsia="en-GB"/>
        </w:rPr>
      </w:pPr>
    </w:p>
    <w:p w14:paraId="0C602960" w14:textId="2ADD595B" w:rsidR="006D3483" w:rsidRDefault="006D3483" w:rsidP="0063476C">
      <w:pPr>
        <w:spacing w:before="240" w:line="360" w:lineRule="auto"/>
        <w:jc w:val="both"/>
        <w:rPr>
          <w:rFonts w:ascii="Arial" w:hAnsi="Arial" w:cs="Arial"/>
          <w:kern w:val="0"/>
          <w:sz w:val="24"/>
          <w:szCs w:val="24"/>
          <w:lang w:eastAsia="en-GB"/>
        </w:rPr>
      </w:pPr>
    </w:p>
    <w:p w14:paraId="08B9AF96" w14:textId="12D209DE" w:rsidR="006D3483" w:rsidRDefault="006D3483" w:rsidP="0063476C">
      <w:pPr>
        <w:spacing w:before="240" w:line="360" w:lineRule="auto"/>
        <w:jc w:val="both"/>
        <w:rPr>
          <w:rFonts w:ascii="Arial" w:hAnsi="Arial" w:cs="Arial"/>
          <w:kern w:val="0"/>
          <w:sz w:val="24"/>
          <w:szCs w:val="24"/>
          <w:lang w:eastAsia="en-GB"/>
        </w:rPr>
      </w:pPr>
    </w:p>
    <w:p w14:paraId="1ED14BAA" w14:textId="35871A2F" w:rsidR="006D3483" w:rsidRDefault="006D3483" w:rsidP="0063476C">
      <w:pPr>
        <w:spacing w:before="240" w:line="360" w:lineRule="auto"/>
        <w:jc w:val="both"/>
        <w:rPr>
          <w:rFonts w:ascii="Arial" w:hAnsi="Arial" w:cs="Arial"/>
          <w:kern w:val="0"/>
          <w:sz w:val="24"/>
          <w:szCs w:val="24"/>
          <w:lang w:eastAsia="en-GB"/>
        </w:rPr>
      </w:pPr>
    </w:p>
    <w:p w14:paraId="1B043C17" w14:textId="5AF66159" w:rsidR="006D3483" w:rsidRDefault="006D3483" w:rsidP="0063476C">
      <w:pPr>
        <w:spacing w:before="240" w:line="360" w:lineRule="auto"/>
        <w:jc w:val="both"/>
        <w:rPr>
          <w:rFonts w:ascii="Arial" w:hAnsi="Arial" w:cs="Arial"/>
          <w:kern w:val="0"/>
          <w:sz w:val="24"/>
          <w:szCs w:val="24"/>
          <w:lang w:eastAsia="en-GB"/>
        </w:rPr>
      </w:pPr>
    </w:p>
    <w:p w14:paraId="4F164F61" w14:textId="396666EC" w:rsidR="006D3483" w:rsidRPr="0063476C" w:rsidRDefault="006D3483" w:rsidP="0063476C">
      <w:pPr>
        <w:spacing w:before="240" w:line="360" w:lineRule="auto"/>
        <w:jc w:val="both"/>
        <w:rPr>
          <w:rFonts w:ascii="Arial" w:hAnsi="Arial" w:cs="Arial"/>
          <w:kern w:val="0"/>
          <w:sz w:val="24"/>
          <w:szCs w:val="24"/>
          <w:lang w:eastAsia="en-GB"/>
        </w:rPr>
      </w:pPr>
    </w:p>
    <w:p w14:paraId="0A7D1211" w14:textId="77777777" w:rsidR="0063476C" w:rsidRPr="0063476C" w:rsidRDefault="0063476C" w:rsidP="00462F16">
      <w:pPr>
        <w:pStyle w:val="Heading1"/>
        <w:rPr>
          <w:lang w:eastAsia="en-GB"/>
        </w:rPr>
      </w:pPr>
      <w:bookmarkStart w:id="56" w:name="_Toc240558489"/>
      <w:r w:rsidRPr="0063476C">
        <w:rPr>
          <w:lang w:eastAsia="en-GB"/>
        </w:rPr>
        <w:lastRenderedPageBreak/>
        <w:t>Chapter 4: Results</w:t>
      </w:r>
      <w:bookmarkEnd w:id="56"/>
      <w:r w:rsidRPr="0063476C">
        <w:rPr>
          <w:lang w:eastAsia="en-GB"/>
        </w:rPr>
        <w:t xml:space="preserve"> </w:t>
      </w:r>
    </w:p>
    <w:p w14:paraId="7B2AD94F" w14:textId="77777777" w:rsidR="0063476C" w:rsidRPr="0063476C" w:rsidRDefault="0063476C" w:rsidP="00DA7A7A">
      <w:pPr>
        <w:pStyle w:val="Heading2"/>
        <w:rPr>
          <w:lang w:eastAsia="en-GB"/>
        </w:rPr>
      </w:pPr>
      <w:bookmarkStart w:id="57" w:name="_Toc240558490"/>
      <w:r w:rsidRPr="0063476C">
        <w:rPr>
          <w:lang w:eastAsia="en-GB"/>
        </w:rPr>
        <w:t>4.1 Introduction</w:t>
      </w:r>
      <w:bookmarkEnd w:id="57"/>
      <w:r w:rsidRPr="0063476C">
        <w:rPr>
          <w:lang w:eastAsia="en-GB"/>
        </w:rPr>
        <w:t xml:space="preserve"> </w:t>
      </w:r>
    </w:p>
    <w:p w14:paraId="5F629F38" w14:textId="554794B1" w:rsidR="0063476C" w:rsidRPr="0063476C" w:rsidRDefault="0063476C" w:rsidP="0063476C">
      <w:pPr>
        <w:spacing w:before="240" w:line="360" w:lineRule="auto"/>
        <w:jc w:val="both"/>
        <w:rPr>
          <w:rFonts w:ascii="Arial" w:hAnsi="Arial" w:cs="Arial"/>
          <w:kern w:val="0"/>
          <w:sz w:val="24"/>
          <w:szCs w:val="24"/>
          <w:lang w:eastAsia="en-GB"/>
        </w:rPr>
      </w:pPr>
      <w:r w:rsidRPr="0063476C">
        <w:rPr>
          <w:rFonts w:ascii="Arial" w:hAnsi="Arial" w:cs="Arial"/>
          <w:kern w:val="0"/>
          <w:sz w:val="24"/>
          <w:szCs w:val="24"/>
          <w:lang w:eastAsia="en-GB"/>
        </w:rPr>
        <w:t>This chapter will share the results of the systematic review conducted to explore the evidence about awareness and prevention of vitamin D deficiency in older adults residing in care homes in the UK. The chapter will start with a summary of the outcomes of the systematic search of the databases (number of studies found, screened, excluded and included according to the pre-defined inclusion and exclusion criteria). The process of selecting the studies will be then explained with the PRISMA 2020 flow diagram. Next, the features of the studies included will be described along with the results of the quality assessment and data extraction. Lastly, information from the chosen studies will be consolidated into themes th</w:t>
      </w:r>
      <w:r w:rsidR="00FC028B">
        <w:rPr>
          <w:rFonts w:ascii="Arial" w:hAnsi="Arial" w:cs="Arial"/>
          <w:kern w:val="0"/>
          <w:sz w:val="24"/>
          <w:szCs w:val="24"/>
          <w:lang w:eastAsia="en-GB"/>
        </w:rPr>
        <w:t>at relate to the research goals</w:t>
      </w:r>
      <w:r w:rsidR="00DA7A7A">
        <w:rPr>
          <w:rFonts w:ascii="Arial" w:hAnsi="Arial" w:cs="Arial"/>
          <w:kern w:val="0"/>
          <w:sz w:val="24"/>
          <w:szCs w:val="24"/>
          <w:lang w:eastAsia="en-GB"/>
        </w:rPr>
        <w:t>.</w:t>
      </w:r>
    </w:p>
    <w:p w14:paraId="6D5B5F0C" w14:textId="64FABFFE" w:rsidR="0063476C" w:rsidRPr="00DA7A7A" w:rsidRDefault="0063476C" w:rsidP="00DA7A7A">
      <w:pPr>
        <w:pStyle w:val="Heading2"/>
        <w:rPr>
          <w:lang w:eastAsia="en-GB"/>
        </w:rPr>
      </w:pPr>
      <w:bookmarkStart w:id="58" w:name="_Toc240558491"/>
      <w:r w:rsidRPr="0063476C">
        <w:rPr>
          <w:lang w:eastAsia="en-GB"/>
        </w:rPr>
        <w:t>4.2 Systematic Search Results</w:t>
      </w:r>
      <w:bookmarkEnd w:id="58"/>
      <w:r w:rsidRPr="0063476C">
        <w:rPr>
          <w:lang w:eastAsia="en-GB"/>
        </w:rPr>
        <w:t xml:space="preserve"> </w:t>
      </w:r>
    </w:p>
    <w:p w14:paraId="512D2134" w14:textId="0326A62F" w:rsidR="0063476C" w:rsidRPr="0063476C" w:rsidRDefault="0063476C" w:rsidP="0063476C">
      <w:pPr>
        <w:spacing w:before="240" w:line="360" w:lineRule="auto"/>
        <w:jc w:val="both"/>
        <w:rPr>
          <w:rFonts w:ascii="Arial" w:hAnsi="Arial" w:cs="Arial"/>
          <w:kern w:val="0"/>
          <w:sz w:val="24"/>
          <w:szCs w:val="24"/>
          <w:lang w:eastAsia="en-GB"/>
        </w:rPr>
      </w:pPr>
      <w:r w:rsidRPr="0063476C">
        <w:rPr>
          <w:rFonts w:ascii="Arial" w:hAnsi="Arial" w:cs="Arial"/>
          <w:kern w:val="0"/>
          <w:sz w:val="24"/>
          <w:szCs w:val="24"/>
          <w:lang w:eastAsia="en-GB"/>
        </w:rPr>
        <w:t>The following systematic search was conducted to identify studies relevant to the review question using six electronic databases as well as hand searching. PubMed, CINAHL, MEDLINE, Scopus, Web of Science and Google Scholar databases were searched. To reduce publication bias, and enhance retrieval of relevant evidence, additional studies were selected by hand searching the refere</w:t>
      </w:r>
      <w:r w:rsidR="00DA7A7A">
        <w:rPr>
          <w:rFonts w:ascii="Arial" w:hAnsi="Arial" w:cs="Arial"/>
          <w:kern w:val="0"/>
          <w:sz w:val="24"/>
          <w:szCs w:val="24"/>
          <w:lang w:eastAsia="en-GB"/>
        </w:rPr>
        <w:t>nce lists of eligible articles.</w:t>
      </w:r>
    </w:p>
    <w:p w14:paraId="3113DA5B" w14:textId="2340F1CB" w:rsidR="0063476C" w:rsidRPr="0063476C" w:rsidRDefault="0063476C" w:rsidP="0063476C">
      <w:pPr>
        <w:spacing w:before="240" w:line="360" w:lineRule="auto"/>
        <w:jc w:val="both"/>
        <w:rPr>
          <w:rFonts w:ascii="Arial" w:hAnsi="Arial" w:cs="Arial"/>
          <w:kern w:val="0"/>
          <w:sz w:val="24"/>
          <w:szCs w:val="24"/>
          <w:lang w:eastAsia="en-GB"/>
        </w:rPr>
      </w:pPr>
      <w:r w:rsidRPr="0063476C">
        <w:rPr>
          <w:rFonts w:ascii="Arial" w:hAnsi="Arial" w:cs="Arial"/>
          <w:kern w:val="0"/>
          <w:sz w:val="24"/>
          <w:szCs w:val="24"/>
          <w:lang w:eastAsia="en-GB"/>
        </w:rPr>
        <w:t>The first search found 2,238 records, from all sources. After checking for duplicate studies, 2018 studies were unique and were then subjected to title and abstract screening. Studies that were not related to vitamin D awareness, vitamin D supplementation, vitamin D prevention strategies, older adults or UK care home settings were excluded through the screening process using the pre-defined eligibility criteria. A full-text assessment was then performed of potentially relevant articles, to assess their suitability for inclusion in the review. Following all inclusion/exclusion criteria, 25 studies were eligible for incl</w:t>
      </w:r>
      <w:r w:rsidR="00FC028B">
        <w:rPr>
          <w:rFonts w:ascii="Arial" w:hAnsi="Arial" w:cs="Arial"/>
          <w:kern w:val="0"/>
          <w:sz w:val="24"/>
          <w:szCs w:val="24"/>
          <w:lang w:eastAsia="en-GB"/>
        </w:rPr>
        <w:t>usion in the systematic review.</w:t>
      </w:r>
    </w:p>
    <w:p w14:paraId="42569045" w14:textId="0E0C6C99" w:rsidR="00B97FEE" w:rsidRPr="00DA7A7A" w:rsidRDefault="0063476C" w:rsidP="00DA7A7A">
      <w:pPr>
        <w:spacing w:before="240" w:line="360" w:lineRule="auto"/>
        <w:jc w:val="both"/>
        <w:rPr>
          <w:lang w:eastAsia="en-GB"/>
        </w:rPr>
      </w:pPr>
      <w:r w:rsidRPr="0063476C">
        <w:rPr>
          <w:rFonts w:ascii="Arial" w:hAnsi="Arial" w:cs="Arial"/>
          <w:kern w:val="0"/>
          <w:sz w:val="24"/>
          <w:szCs w:val="24"/>
          <w:lang w:eastAsia="en-GB"/>
        </w:rPr>
        <w:t xml:space="preserve">The studies selected included studies of diverse research designs, such as cross-sectional surveys, qualitative interviews, cohort studies, systematic reviews, and mixed methods. All the studies together gave extensive evidence of vitamin D deficiency, awareness among older adults in care homes, vitamin D supplementation practices, organisational challenges and interventions. </w:t>
      </w:r>
    </w:p>
    <w:p w14:paraId="5BB949A8" w14:textId="17724E96" w:rsidR="00DA7A7A" w:rsidRDefault="00DA7A7A" w:rsidP="00DA7A7A">
      <w:pPr>
        <w:pStyle w:val="Caption"/>
        <w:keepNext/>
      </w:pPr>
      <w:bookmarkStart w:id="59" w:name="_Toc240558538"/>
      <w:r>
        <w:lastRenderedPageBreak/>
        <w:t xml:space="preserve">Table </w:t>
      </w:r>
      <w:r w:rsidR="00CE5F90">
        <w:fldChar w:fldCharType="begin"/>
      </w:r>
      <w:r w:rsidR="00CE5F90">
        <w:instrText xml:space="preserve"> SEQ Table \* ARABIC </w:instrText>
      </w:r>
      <w:r w:rsidR="00CE5F90">
        <w:fldChar w:fldCharType="separate"/>
      </w:r>
      <w:r w:rsidR="00CE5F90">
        <w:rPr>
          <w:noProof/>
        </w:rPr>
        <w:t>7</w:t>
      </w:r>
      <w:r w:rsidR="00CE5F90">
        <w:rPr>
          <w:noProof/>
        </w:rPr>
        <w:fldChar w:fldCharType="end"/>
      </w:r>
      <w:r>
        <w:t>.</w:t>
      </w:r>
      <w:r w:rsidRPr="008D41C8">
        <w:t>Systematic Search Results</w:t>
      </w:r>
      <w:bookmarkEnd w:id="59"/>
    </w:p>
    <w:tbl>
      <w:tblPr>
        <w:tblStyle w:val="TableGrid"/>
        <w:tblW w:w="0" w:type="auto"/>
        <w:tblLook w:val="04A0" w:firstRow="1" w:lastRow="0" w:firstColumn="1" w:lastColumn="0" w:noHBand="0" w:noVBand="1"/>
      </w:tblPr>
      <w:tblGrid>
        <w:gridCol w:w="2254"/>
        <w:gridCol w:w="2254"/>
        <w:gridCol w:w="2254"/>
        <w:gridCol w:w="2254"/>
      </w:tblGrid>
      <w:tr w:rsidR="00B97FEE" w:rsidRPr="006E479F" w14:paraId="644ED0A9" w14:textId="77777777" w:rsidTr="00B97FEE">
        <w:tc>
          <w:tcPr>
            <w:tcW w:w="2254" w:type="dxa"/>
          </w:tcPr>
          <w:p w14:paraId="3E1D61B5"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Database</w:t>
            </w:r>
          </w:p>
        </w:tc>
        <w:tc>
          <w:tcPr>
            <w:tcW w:w="2254" w:type="dxa"/>
          </w:tcPr>
          <w:p w14:paraId="083A43EF"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Articles Retrieved</w:t>
            </w:r>
          </w:p>
        </w:tc>
        <w:tc>
          <w:tcPr>
            <w:tcW w:w="2254" w:type="dxa"/>
          </w:tcPr>
          <w:p w14:paraId="3E4CDFDF"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After Duplicates</w:t>
            </w:r>
          </w:p>
        </w:tc>
        <w:tc>
          <w:tcPr>
            <w:tcW w:w="2254" w:type="dxa"/>
          </w:tcPr>
          <w:p w14:paraId="263542C2"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Included Studies</w:t>
            </w:r>
          </w:p>
        </w:tc>
      </w:tr>
      <w:tr w:rsidR="00B97FEE" w:rsidRPr="006E479F" w14:paraId="0C272209" w14:textId="77777777" w:rsidTr="00B97FEE">
        <w:tc>
          <w:tcPr>
            <w:tcW w:w="2254" w:type="dxa"/>
          </w:tcPr>
          <w:p w14:paraId="3EA7C879"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PubMed</w:t>
            </w:r>
          </w:p>
        </w:tc>
        <w:tc>
          <w:tcPr>
            <w:tcW w:w="2254" w:type="dxa"/>
          </w:tcPr>
          <w:p w14:paraId="45C2A512"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420</w:t>
            </w:r>
          </w:p>
        </w:tc>
        <w:tc>
          <w:tcPr>
            <w:tcW w:w="2254" w:type="dxa"/>
          </w:tcPr>
          <w:p w14:paraId="57437895"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390</w:t>
            </w:r>
          </w:p>
        </w:tc>
        <w:tc>
          <w:tcPr>
            <w:tcW w:w="2254" w:type="dxa"/>
          </w:tcPr>
          <w:p w14:paraId="5275CC30"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12</w:t>
            </w:r>
          </w:p>
        </w:tc>
      </w:tr>
      <w:tr w:rsidR="00B97FEE" w:rsidRPr="006E479F" w14:paraId="4BBF2A5C" w14:textId="77777777" w:rsidTr="00B97FEE">
        <w:tc>
          <w:tcPr>
            <w:tcW w:w="2254" w:type="dxa"/>
          </w:tcPr>
          <w:p w14:paraId="54516984"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CINAHL</w:t>
            </w:r>
          </w:p>
        </w:tc>
        <w:tc>
          <w:tcPr>
            <w:tcW w:w="2254" w:type="dxa"/>
          </w:tcPr>
          <w:p w14:paraId="5249DA46"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280</w:t>
            </w:r>
          </w:p>
        </w:tc>
        <w:tc>
          <w:tcPr>
            <w:tcW w:w="2254" w:type="dxa"/>
          </w:tcPr>
          <w:p w14:paraId="764789CA"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250</w:t>
            </w:r>
          </w:p>
        </w:tc>
        <w:tc>
          <w:tcPr>
            <w:tcW w:w="2254" w:type="dxa"/>
          </w:tcPr>
          <w:p w14:paraId="317E0CD6"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8</w:t>
            </w:r>
          </w:p>
        </w:tc>
      </w:tr>
      <w:tr w:rsidR="00B97FEE" w:rsidRPr="006E479F" w14:paraId="14C52254" w14:textId="77777777" w:rsidTr="00B97FEE">
        <w:tc>
          <w:tcPr>
            <w:tcW w:w="2254" w:type="dxa"/>
          </w:tcPr>
          <w:p w14:paraId="7FC8E33C"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MEDLINE</w:t>
            </w:r>
          </w:p>
        </w:tc>
        <w:tc>
          <w:tcPr>
            <w:tcW w:w="2254" w:type="dxa"/>
          </w:tcPr>
          <w:p w14:paraId="58C27081"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350</w:t>
            </w:r>
          </w:p>
        </w:tc>
        <w:tc>
          <w:tcPr>
            <w:tcW w:w="2254" w:type="dxa"/>
          </w:tcPr>
          <w:p w14:paraId="3662DA82"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320</w:t>
            </w:r>
          </w:p>
        </w:tc>
        <w:tc>
          <w:tcPr>
            <w:tcW w:w="2254" w:type="dxa"/>
          </w:tcPr>
          <w:p w14:paraId="0965784F"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10</w:t>
            </w:r>
          </w:p>
        </w:tc>
      </w:tr>
      <w:tr w:rsidR="00B97FEE" w:rsidRPr="006E479F" w14:paraId="155DEA39" w14:textId="77777777" w:rsidTr="00B97FEE">
        <w:tc>
          <w:tcPr>
            <w:tcW w:w="2254" w:type="dxa"/>
          </w:tcPr>
          <w:p w14:paraId="69C2A9C2"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Scopus</w:t>
            </w:r>
          </w:p>
        </w:tc>
        <w:tc>
          <w:tcPr>
            <w:tcW w:w="2254" w:type="dxa"/>
          </w:tcPr>
          <w:p w14:paraId="6BF76EFC"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390</w:t>
            </w:r>
          </w:p>
        </w:tc>
        <w:tc>
          <w:tcPr>
            <w:tcW w:w="2254" w:type="dxa"/>
          </w:tcPr>
          <w:p w14:paraId="0E69AEE3"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350</w:t>
            </w:r>
          </w:p>
        </w:tc>
        <w:tc>
          <w:tcPr>
            <w:tcW w:w="2254" w:type="dxa"/>
          </w:tcPr>
          <w:p w14:paraId="0766FF54"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9</w:t>
            </w:r>
          </w:p>
        </w:tc>
      </w:tr>
      <w:tr w:rsidR="00B97FEE" w:rsidRPr="006E479F" w14:paraId="3B37389E" w14:textId="77777777" w:rsidTr="00B97FEE">
        <w:tc>
          <w:tcPr>
            <w:tcW w:w="2254" w:type="dxa"/>
          </w:tcPr>
          <w:p w14:paraId="4EEF42BB"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Web of Science</w:t>
            </w:r>
          </w:p>
        </w:tc>
        <w:tc>
          <w:tcPr>
            <w:tcW w:w="2254" w:type="dxa"/>
          </w:tcPr>
          <w:p w14:paraId="4BDFD859"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260</w:t>
            </w:r>
          </w:p>
        </w:tc>
        <w:tc>
          <w:tcPr>
            <w:tcW w:w="2254" w:type="dxa"/>
          </w:tcPr>
          <w:p w14:paraId="657BB50F"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240</w:t>
            </w:r>
          </w:p>
        </w:tc>
        <w:tc>
          <w:tcPr>
            <w:tcW w:w="2254" w:type="dxa"/>
          </w:tcPr>
          <w:p w14:paraId="55DDDB69"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7</w:t>
            </w:r>
          </w:p>
        </w:tc>
      </w:tr>
      <w:tr w:rsidR="00B97FEE" w:rsidRPr="006E479F" w14:paraId="6682BBC9" w14:textId="77777777" w:rsidTr="00B97FEE">
        <w:tc>
          <w:tcPr>
            <w:tcW w:w="2254" w:type="dxa"/>
          </w:tcPr>
          <w:p w14:paraId="5083C756"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Google Scholar</w:t>
            </w:r>
          </w:p>
        </w:tc>
        <w:tc>
          <w:tcPr>
            <w:tcW w:w="2254" w:type="dxa"/>
          </w:tcPr>
          <w:p w14:paraId="6A830216"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520</w:t>
            </w:r>
          </w:p>
        </w:tc>
        <w:tc>
          <w:tcPr>
            <w:tcW w:w="2254" w:type="dxa"/>
          </w:tcPr>
          <w:p w14:paraId="3EF3E9A6"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450</w:t>
            </w:r>
          </w:p>
        </w:tc>
        <w:tc>
          <w:tcPr>
            <w:tcW w:w="2254" w:type="dxa"/>
          </w:tcPr>
          <w:p w14:paraId="2E574F1C"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6</w:t>
            </w:r>
          </w:p>
        </w:tc>
      </w:tr>
      <w:tr w:rsidR="00B97FEE" w:rsidRPr="006E479F" w14:paraId="3689C1CF" w14:textId="77777777" w:rsidTr="00B97FEE">
        <w:tc>
          <w:tcPr>
            <w:tcW w:w="2254" w:type="dxa"/>
          </w:tcPr>
          <w:p w14:paraId="406B0D53"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Hand Search</w:t>
            </w:r>
          </w:p>
        </w:tc>
        <w:tc>
          <w:tcPr>
            <w:tcW w:w="2254" w:type="dxa"/>
          </w:tcPr>
          <w:p w14:paraId="65EAF3EE"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18</w:t>
            </w:r>
          </w:p>
        </w:tc>
        <w:tc>
          <w:tcPr>
            <w:tcW w:w="2254" w:type="dxa"/>
          </w:tcPr>
          <w:p w14:paraId="019CD5F2"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18</w:t>
            </w:r>
          </w:p>
        </w:tc>
        <w:tc>
          <w:tcPr>
            <w:tcW w:w="2254" w:type="dxa"/>
          </w:tcPr>
          <w:p w14:paraId="78C84847"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3</w:t>
            </w:r>
          </w:p>
        </w:tc>
      </w:tr>
      <w:tr w:rsidR="00B97FEE" w:rsidRPr="006E479F" w14:paraId="0020CEDF" w14:textId="77777777" w:rsidTr="00B97FEE">
        <w:tc>
          <w:tcPr>
            <w:tcW w:w="2254" w:type="dxa"/>
          </w:tcPr>
          <w:p w14:paraId="5DDCE482"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Total</w:t>
            </w:r>
          </w:p>
        </w:tc>
        <w:tc>
          <w:tcPr>
            <w:tcW w:w="2254" w:type="dxa"/>
          </w:tcPr>
          <w:p w14:paraId="7E3745E9"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2,238</w:t>
            </w:r>
          </w:p>
        </w:tc>
        <w:tc>
          <w:tcPr>
            <w:tcW w:w="2254" w:type="dxa"/>
          </w:tcPr>
          <w:p w14:paraId="2981F10F"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2,018</w:t>
            </w:r>
          </w:p>
        </w:tc>
        <w:tc>
          <w:tcPr>
            <w:tcW w:w="2254" w:type="dxa"/>
          </w:tcPr>
          <w:p w14:paraId="79099833" w14:textId="77777777" w:rsidR="00B97FEE" w:rsidRPr="006E479F" w:rsidRDefault="00B97FEE" w:rsidP="006E479F">
            <w:pPr>
              <w:spacing w:line="360" w:lineRule="auto"/>
              <w:jc w:val="both"/>
              <w:rPr>
                <w:rFonts w:ascii="Arial" w:hAnsi="Arial" w:cs="Arial"/>
                <w:sz w:val="24"/>
                <w:lang w:eastAsia="en-GB"/>
              </w:rPr>
            </w:pPr>
            <w:r w:rsidRPr="006E479F">
              <w:rPr>
                <w:rFonts w:ascii="Arial" w:hAnsi="Arial" w:cs="Arial"/>
                <w:sz w:val="24"/>
                <w:lang w:eastAsia="en-GB"/>
              </w:rPr>
              <w:t>25</w:t>
            </w:r>
          </w:p>
        </w:tc>
      </w:tr>
    </w:tbl>
    <w:p w14:paraId="7A5BAB03" w14:textId="77777777" w:rsidR="00B97FEE" w:rsidRPr="006E479F" w:rsidRDefault="00B97FEE" w:rsidP="006E479F">
      <w:pPr>
        <w:spacing w:line="360" w:lineRule="auto"/>
        <w:jc w:val="both"/>
        <w:rPr>
          <w:rFonts w:ascii="Arial" w:hAnsi="Arial" w:cs="Arial"/>
          <w:sz w:val="24"/>
          <w:lang w:eastAsia="en-GB"/>
        </w:rPr>
      </w:pPr>
    </w:p>
    <w:p w14:paraId="6069FC86" w14:textId="2C05E6F6" w:rsidR="00D75659" w:rsidRPr="00FC028B" w:rsidRDefault="00D75659" w:rsidP="009A6425">
      <w:pPr>
        <w:spacing w:before="240" w:line="360" w:lineRule="auto"/>
        <w:jc w:val="both"/>
        <w:rPr>
          <w:rFonts w:ascii="Arial" w:hAnsi="Arial" w:cs="Arial"/>
          <w:sz w:val="24"/>
          <w:szCs w:val="24"/>
          <w:lang w:eastAsia="en-GB"/>
        </w:rPr>
      </w:pPr>
      <w:r w:rsidRPr="00FC028B">
        <w:rPr>
          <w:rFonts w:ascii="Arial" w:hAnsi="Arial" w:cs="Arial"/>
          <w:sz w:val="24"/>
          <w:szCs w:val="24"/>
          <w:lang w:eastAsia="en-GB"/>
        </w:rPr>
        <w:t xml:space="preserve">The steps taken in the systematic search process are summarised in Table 4.1 for each of the hand searched and electronic databases. Google Scholar had the most number of records retrieved (520), followed by PubMed (420) and Scopus (390). Following duplicate removal, 2018 unique studies were left for screening. 25 studies were included in the final systematic review after the application of pre-defined inclusion and exclusion criteria. </w:t>
      </w:r>
    </w:p>
    <w:p w14:paraId="51C799CE" w14:textId="6E71B4B1" w:rsidR="00D75659" w:rsidRPr="00FC028B" w:rsidRDefault="00D75659" w:rsidP="00DA7A7A">
      <w:pPr>
        <w:pStyle w:val="Heading2"/>
        <w:rPr>
          <w:sz w:val="24"/>
          <w:szCs w:val="24"/>
          <w:lang w:eastAsia="en-GB"/>
        </w:rPr>
      </w:pPr>
      <w:bookmarkStart w:id="60" w:name="_Toc240558492"/>
      <w:r w:rsidRPr="00FC028B">
        <w:rPr>
          <w:sz w:val="24"/>
          <w:szCs w:val="24"/>
          <w:lang w:eastAsia="en-GB"/>
        </w:rPr>
        <w:t>4.3 PRISMA Flow Diagram</w:t>
      </w:r>
      <w:bookmarkEnd w:id="60"/>
    </w:p>
    <w:p w14:paraId="4EFE1F9D" w14:textId="73B27F48" w:rsidR="003C020E" w:rsidRDefault="00D75659" w:rsidP="009A6425">
      <w:pPr>
        <w:spacing w:before="240" w:line="360" w:lineRule="auto"/>
        <w:jc w:val="both"/>
        <w:rPr>
          <w:rFonts w:ascii="Arial" w:hAnsi="Arial" w:cs="Arial"/>
          <w:sz w:val="24"/>
          <w:szCs w:val="24"/>
          <w:lang w:eastAsia="en-GB"/>
        </w:rPr>
      </w:pPr>
      <w:r w:rsidRPr="00FC028B">
        <w:rPr>
          <w:rFonts w:ascii="Arial" w:hAnsi="Arial" w:cs="Arial"/>
          <w:sz w:val="24"/>
          <w:szCs w:val="24"/>
          <w:lang w:eastAsia="en-GB"/>
        </w:rPr>
        <w:t xml:space="preserve">The study selection process was conducted, following the Preferred Reporting Items for Systematic Reviews and Meta-Analyses (PRISMA) 2020 guidelines, to ensure a transparent and reproducible approach in the identification, screening, assessment and inclusion of relevant studies. An initial electronic database search was carried out and a total of 2238 records were retrieved from six bibliographic databases and hand searching. After deduping, 2,018 unique articles were left for screening of title and abstract. During the review process, articles that did not address the review question or did not fit the inclusion criteria were excluded. The other studies were then assessed for inclusion by full-text review. </w:t>
      </w:r>
    </w:p>
    <w:p w14:paraId="21C9D7C8" w14:textId="77777777" w:rsidR="00FC028B" w:rsidRDefault="00FC028B" w:rsidP="009A6425">
      <w:pPr>
        <w:spacing w:before="240" w:line="360" w:lineRule="auto"/>
        <w:jc w:val="both"/>
        <w:rPr>
          <w:rFonts w:ascii="Arial" w:hAnsi="Arial" w:cs="Arial"/>
          <w:sz w:val="24"/>
          <w:szCs w:val="24"/>
          <w:lang w:eastAsia="en-GB"/>
        </w:rPr>
      </w:pPr>
    </w:p>
    <w:p w14:paraId="357B2B66" w14:textId="77777777" w:rsidR="007F6B71" w:rsidRDefault="007F6B71" w:rsidP="009A6425">
      <w:pPr>
        <w:spacing w:before="240" w:line="360" w:lineRule="auto"/>
        <w:jc w:val="both"/>
        <w:rPr>
          <w:rFonts w:ascii="Arial" w:hAnsi="Arial" w:cs="Arial"/>
          <w:sz w:val="24"/>
          <w:szCs w:val="24"/>
          <w:lang w:eastAsia="en-GB"/>
        </w:rPr>
      </w:pPr>
    </w:p>
    <w:p w14:paraId="22DEA041" w14:textId="77777777" w:rsidR="007F6B71" w:rsidRPr="00FC028B" w:rsidRDefault="007F6B71" w:rsidP="009A6425">
      <w:pPr>
        <w:spacing w:before="240" w:line="360" w:lineRule="auto"/>
        <w:jc w:val="both"/>
        <w:rPr>
          <w:rFonts w:ascii="Arial" w:hAnsi="Arial" w:cs="Arial"/>
          <w:sz w:val="24"/>
          <w:szCs w:val="24"/>
          <w:lang w:eastAsia="en-GB"/>
        </w:rPr>
      </w:pPr>
    </w:p>
    <w:p w14:paraId="060F9D82" w14:textId="77777777" w:rsidR="003C020E" w:rsidRPr="00DA7A7A" w:rsidRDefault="003C020E" w:rsidP="009A6425">
      <w:pPr>
        <w:spacing w:before="240" w:line="360" w:lineRule="auto"/>
        <w:jc w:val="both"/>
        <w:rPr>
          <w:rFonts w:ascii="Arial" w:hAnsi="Arial" w:cs="Arial"/>
          <w:b/>
          <w:sz w:val="24"/>
          <w:lang w:eastAsia="en-GB"/>
        </w:rPr>
      </w:pPr>
      <w:r w:rsidRPr="00DA7A7A">
        <w:rPr>
          <w:rFonts w:ascii="Arial" w:hAnsi="Arial" w:cs="Arial"/>
          <w:b/>
          <w:sz w:val="24"/>
          <w:lang w:eastAsia="en-GB"/>
        </w:rPr>
        <w:lastRenderedPageBreak/>
        <w:t>Figure 4.1 PRISMA 2020 Flow Diagram</w:t>
      </w:r>
    </w:p>
    <w:p w14:paraId="201A450B" w14:textId="77777777" w:rsidR="003C020E" w:rsidRPr="00636DA1" w:rsidRDefault="003C020E" w:rsidP="002847A0">
      <w:pPr>
        <w:spacing w:after="0" w:line="240" w:lineRule="auto"/>
        <w:jc w:val="both"/>
        <w:rPr>
          <w:rFonts w:ascii="Arial" w:hAnsi="Arial" w:cs="Arial"/>
          <w:sz w:val="24"/>
          <w:lang w:eastAsia="en-GB"/>
        </w:rPr>
      </w:pPr>
    </w:p>
    <w:p w14:paraId="56FA223B" w14:textId="77777777" w:rsidR="000A7E52" w:rsidRPr="00636DA1" w:rsidRDefault="000A7E52" w:rsidP="002847A0">
      <w:pPr>
        <w:spacing w:after="0" w:line="240" w:lineRule="auto"/>
        <w:jc w:val="both"/>
        <w:rPr>
          <w:rFonts w:ascii="Arial" w:eastAsiaTheme="majorEastAsia" w:hAnsi="Arial" w:cs="Arial"/>
          <w:color w:val="000000" w:themeColor="text1"/>
          <w:sz w:val="24"/>
          <w:lang w:val="en-US" w:eastAsia="en-US"/>
        </w:rPr>
      </w:pPr>
      <w:r w:rsidRPr="00636DA1">
        <w:rPr>
          <w:rFonts w:ascii="Arial" w:eastAsiaTheme="majorEastAsia" w:hAnsi="Arial" w:cs="Arial"/>
          <w:color w:val="000000" w:themeColor="text1"/>
          <w:sz w:val="24"/>
          <w:lang w:val="en-US" w:eastAsia="en-US"/>
        </w:rPr>
        <w:t xml:space="preserve">PRISMA flow chart  </w:t>
      </w:r>
    </w:p>
    <w:p w14:paraId="550007C0"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59264" behindDoc="0" locked="0" layoutInCell="1" allowOverlap="1" wp14:anchorId="478F897F" wp14:editId="689AB2AA">
                <wp:simplePos x="0" y="0"/>
                <wp:positionH relativeFrom="column">
                  <wp:posOffset>590550</wp:posOffset>
                </wp:positionH>
                <wp:positionV relativeFrom="paragraph">
                  <wp:posOffset>134620</wp:posOffset>
                </wp:positionV>
                <wp:extent cx="2476500" cy="1457325"/>
                <wp:effectExtent l="0" t="0" r="19050" b="28575"/>
                <wp:wrapNone/>
                <wp:docPr id="146210791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0" cy="1457325"/>
                        </a:xfrm>
                        <a:prstGeom prst="rect">
                          <a:avLst/>
                        </a:prstGeom>
                        <a:noFill/>
                        <a:ln w="12700" cap="flat" cmpd="sng" algn="ctr">
                          <a:solidFill>
                            <a:sysClr val="windowText" lastClr="000000"/>
                          </a:solidFill>
                          <a:prstDash val="solid"/>
                          <a:miter lim="800000"/>
                        </a:ln>
                        <a:effectLst/>
                      </wps:spPr>
                      <wps:txbx>
                        <w:txbxContent>
                          <w:p w14:paraId="0E282A31"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Records identified through database searching: (n = 2220)</w:t>
                            </w:r>
                          </w:p>
                          <w:p w14:paraId="35E75991"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Records identified through hand searching: (n = 18)</w:t>
                            </w:r>
                          </w:p>
                          <w:p w14:paraId="0763D942"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Total records identified: (n = 2238)</w:t>
                            </w:r>
                          </w:p>
                          <w:p w14:paraId="1C927AB1"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Records after duplicates removed: (n =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F897F" id="Rectangle 16" o:spid="_x0000_s1026" style="position:absolute;left:0;text-align:left;margin-left:46.5pt;margin-top:10.6pt;width:195pt;height:11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" filled="f" strokecolor="windowText" strokeweight="1pt">
                <v:path arrowok="t"/>
                <v:textbox>
                  <w:txbxContent>
                    <w:p w14:paraId="0E282A31"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Records identified through database searching: (n = 2220)</w:t>
                      </w:r>
                    </w:p>
                    <w:p w14:paraId="35E75991"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Records identified through hand searching: (n = 18)</w:t>
                      </w:r>
                    </w:p>
                    <w:p w14:paraId="0763D942"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Total records identified: (n = 2238)</w:t>
                      </w:r>
                    </w:p>
                    <w:p w14:paraId="1C927AB1" w14:textId="77777777" w:rsidR="00B018DD" w:rsidRPr="00DC389B" w:rsidRDefault="00B018DD" w:rsidP="000A7E52">
                      <w:pPr>
                        <w:spacing w:after="0"/>
                        <w:rPr>
                          <w:rFonts w:ascii="Arial" w:hAnsi="Arial" w:cs="Arial"/>
                          <w:color w:val="000000" w:themeColor="text1"/>
                          <w:sz w:val="24"/>
                          <w:szCs w:val="24"/>
                        </w:rPr>
                      </w:pPr>
                      <w:r w:rsidRPr="00DC389B">
                        <w:rPr>
                          <w:rFonts w:ascii="Arial" w:hAnsi="Arial" w:cs="Arial"/>
                          <w:color w:val="000000" w:themeColor="text1"/>
                          <w:sz w:val="24"/>
                          <w:szCs w:val="24"/>
                        </w:rPr>
                        <w:t>Records after duplicates removed: (n = 2018)</w:t>
                      </w:r>
                    </w:p>
                  </w:txbxContent>
                </v:textbox>
              </v:rect>
            </w:pict>
          </mc:Fallback>
        </mc:AlternateContent>
      </w:r>
      <w:r w:rsidRPr="00636DA1">
        <w:rPr>
          <w:rFonts w:ascii="Arial" w:eastAsiaTheme="minorHAnsi" w:hAnsi="Arial" w:cs="Arial"/>
          <w:noProof/>
          <w:sz w:val="24"/>
          <w:lang w:eastAsia="en-GB"/>
        </w:rPr>
        <mc:AlternateContent>
          <mc:Choice Requires="wps">
            <w:drawing>
              <wp:anchor distT="0" distB="0" distL="114300" distR="114300" simplePos="0" relativeHeight="251660288" behindDoc="0" locked="0" layoutInCell="1" allowOverlap="1" wp14:anchorId="11C50252" wp14:editId="4DF6C01B">
                <wp:simplePos x="0" y="0"/>
                <wp:positionH relativeFrom="column">
                  <wp:posOffset>3695699</wp:posOffset>
                </wp:positionH>
                <wp:positionV relativeFrom="paragraph">
                  <wp:posOffset>77470</wp:posOffset>
                </wp:positionV>
                <wp:extent cx="2028825" cy="1242695"/>
                <wp:effectExtent l="0" t="0" r="28575" b="14605"/>
                <wp:wrapNone/>
                <wp:docPr id="125459107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8825" cy="1242695"/>
                        </a:xfrm>
                        <a:prstGeom prst="rect">
                          <a:avLst/>
                        </a:prstGeom>
                        <a:noFill/>
                        <a:ln w="12700" cap="flat" cmpd="sng" algn="ctr">
                          <a:solidFill>
                            <a:sysClr val="windowText" lastClr="000000"/>
                          </a:solidFill>
                          <a:prstDash val="solid"/>
                          <a:miter lim="800000"/>
                        </a:ln>
                        <a:effectLst/>
                      </wps:spPr>
                      <wps:txbx>
                        <w:txbxContent>
                          <w:p w14:paraId="65ABEF2D" w14:textId="77777777" w:rsidR="00B018DD" w:rsidRPr="00DC389B" w:rsidRDefault="00B018DD" w:rsidP="000A7E52">
                            <w:pPr>
                              <w:spacing w:after="0" w:line="240" w:lineRule="auto"/>
                              <w:rPr>
                                <w:rFonts w:ascii="Arial" w:hAnsi="Arial" w:cs="Arial"/>
                                <w:color w:val="000000" w:themeColor="text1"/>
                                <w:sz w:val="24"/>
                                <w:szCs w:val="24"/>
                              </w:rPr>
                            </w:pPr>
                            <w:r w:rsidRPr="00DC389B">
                              <w:rPr>
                                <w:rFonts w:ascii="Arial" w:hAnsi="Arial" w:cs="Arial"/>
                                <w:color w:val="000000" w:themeColor="text1"/>
                                <w:sz w:val="24"/>
                                <w:szCs w:val="24"/>
                              </w:rPr>
                              <w:t>Records removed before screening:</w:t>
                            </w:r>
                          </w:p>
                          <w:p w14:paraId="10038065" w14:textId="77777777" w:rsidR="00B018DD" w:rsidRPr="00DC389B" w:rsidRDefault="00B018DD" w:rsidP="000A7E52">
                            <w:pPr>
                              <w:spacing w:after="0" w:line="240" w:lineRule="auto"/>
                              <w:ind w:left="284"/>
                              <w:rPr>
                                <w:rFonts w:ascii="Arial" w:hAnsi="Arial" w:cs="Arial"/>
                                <w:color w:val="000000" w:themeColor="text1"/>
                                <w:sz w:val="24"/>
                                <w:szCs w:val="24"/>
                              </w:rPr>
                            </w:pPr>
                            <w:r w:rsidRPr="00DC389B">
                              <w:rPr>
                                <w:rFonts w:ascii="Arial" w:hAnsi="Arial" w:cs="Arial"/>
                                <w:color w:val="000000" w:themeColor="text1"/>
                                <w:sz w:val="24"/>
                                <w:szCs w:val="24"/>
                              </w:rPr>
                              <w:t>Duplicate records removed: (n = 220)</w:t>
                            </w:r>
                          </w:p>
                          <w:p w14:paraId="71615D82" w14:textId="77777777" w:rsidR="00B018DD" w:rsidRPr="00560609" w:rsidRDefault="00B018DD" w:rsidP="000A7E52">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50252" id="Rectangle 15" o:spid="_x0000_s1027" style="position:absolute;left:0;text-align:left;margin-left:291pt;margin-top:6.1pt;width:159.75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" filled="f" strokecolor="windowText" strokeweight="1pt">
                <v:path arrowok="t"/>
                <v:textbox>
                  <w:txbxContent>
                    <w:p w14:paraId="65ABEF2D" w14:textId="77777777" w:rsidR="00B018DD" w:rsidRPr="00DC389B" w:rsidRDefault="00B018DD" w:rsidP="000A7E52">
                      <w:pPr>
                        <w:spacing w:after="0" w:line="240" w:lineRule="auto"/>
                        <w:rPr>
                          <w:rFonts w:ascii="Arial" w:hAnsi="Arial" w:cs="Arial"/>
                          <w:color w:val="000000" w:themeColor="text1"/>
                          <w:sz w:val="24"/>
                          <w:szCs w:val="24"/>
                        </w:rPr>
                      </w:pPr>
                      <w:r w:rsidRPr="00DC389B">
                        <w:rPr>
                          <w:rFonts w:ascii="Arial" w:hAnsi="Arial" w:cs="Arial"/>
                          <w:color w:val="000000" w:themeColor="text1"/>
                          <w:sz w:val="24"/>
                          <w:szCs w:val="24"/>
                        </w:rPr>
                        <w:t>Records removed before screening:</w:t>
                      </w:r>
                    </w:p>
                    <w:p w14:paraId="10038065" w14:textId="77777777" w:rsidR="00B018DD" w:rsidRPr="00DC389B" w:rsidRDefault="00B018DD" w:rsidP="000A7E52">
                      <w:pPr>
                        <w:spacing w:after="0" w:line="240" w:lineRule="auto"/>
                        <w:ind w:left="284"/>
                        <w:rPr>
                          <w:rFonts w:ascii="Arial" w:hAnsi="Arial" w:cs="Arial"/>
                          <w:color w:val="000000" w:themeColor="text1"/>
                          <w:sz w:val="24"/>
                          <w:szCs w:val="24"/>
                        </w:rPr>
                      </w:pPr>
                      <w:r w:rsidRPr="00DC389B">
                        <w:rPr>
                          <w:rFonts w:ascii="Arial" w:hAnsi="Arial" w:cs="Arial"/>
                          <w:color w:val="000000" w:themeColor="text1"/>
                          <w:sz w:val="24"/>
                          <w:szCs w:val="24"/>
                        </w:rPr>
                        <w:t>Duplicate records removed: (n = 220)</w:t>
                      </w:r>
                    </w:p>
                    <w:p w14:paraId="71615D82" w14:textId="77777777" w:rsidR="00B018DD" w:rsidRPr="00560609" w:rsidRDefault="00B018DD" w:rsidP="000A7E52">
                      <w:pPr>
                        <w:spacing w:after="0" w:line="240" w:lineRule="auto"/>
                        <w:ind w:left="284"/>
                        <w:rPr>
                          <w:rFonts w:ascii="Arial" w:hAnsi="Arial" w:cs="Arial"/>
                          <w:color w:val="000000" w:themeColor="text1"/>
                          <w:sz w:val="18"/>
                          <w:szCs w:val="20"/>
                        </w:rPr>
                      </w:pPr>
                    </w:p>
                  </w:txbxContent>
                </v:textbox>
              </v:rect>
            </w:pict>
          </mc:Fallback>
        </mc:AlternateContent>
      </w:r>
    </w:p>
    <w:p w14:paraId="7D36342D"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237CA3FA"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69504" behindDoc="0" locked="0" layoutInCell="1" allowOverlap="1" wp14:anchorId="0E34AE1E" wp14:editId="1608745E">
                <wp:simplePos x="0" y="0"/>
                <wp:positionH relativeFrom="column">
                  <wp:posOffset>-403860</wp:posOffset>
                </wp:positionH>
                <wp:positionV relativeFrom="paragraph">
                  <wp:posOffset>222250</wp:posOffset>
                </wp:positionV>
                <wp:extent cx="1276985" cy="262890"/>
                <wp:effectExtent l="0" t="514350" r="0" b="499110"/>
                <wp:wrapNone/>
                <wp:docPr id="820741832" name="Flowchart: Alternate Proces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0FE87CEC" w14:textId="77777777" w:rsidR="00B018DD" w:rsidRPr="001502CF" w:rsidRDefault="00B018DD" w:rsidP="000A7E5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4AE1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4" o:spid="_x0000_s1028" type="#_x0000_t176" style="position:absolute;left:0;text-align:left;margin-left:-31.8pt;margin-top:17.5pt;width:100.55pt;height:20.7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" fillcolor="#9dc3e6" strokecolor="windowText" strokeweight="1pt">
                <v:path arrowok="t"/>
                <v:textbox>
                  <w:txbxContent>
                    <w:p w14:paraId="0FE87CEC" w14:textId="77777777" w:rsidR="00B018DD" w:rsidRPr="001502CF" w:rsidRDefault="00B018DD" w:rsidP="000A7E5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7FAB6A95"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6E24E23E"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4294967295" distB="4294967295" distL="114300" distR="114300" simplePos="0" relativeHeight="251666432" behindDoc="0" locked="0" layoutInCell="1" allowOverlap="1" wp14:anchorId="5D64E7DA" wp14:editId="031F8EC2">
                <wp:simplePos x="0" y="0"/>
                <wp:positionH relativeFrom="column">
                  <wp:posOffset>3082925</wp:posOffset>
                </wp:positionH>
                <wp:positionV relativeFrom="paragraph">
                  <wp:posOffset>27940</wp:posOffset>
                </wp:positionV>
                <wp:extent cx="563245" cy="0"/>
                <wp:effectExtent l="0" t="76200" r="8255" b="76200"/>
                <wp:wrapNone/>
                <wp:docPr id="1008904791"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2483CCD9" id="_x0000_t32" coordsize="21600,21600" o:spt="32" o:oned="t" path="m,l21600,21600e" filled="f">
                <v:path arrowok="t" fillok="f" o:connecttype="none"/>
                <o:lock v:ext="edit" shapetype="t"/>
              </v:shapetype>
              <v:shape id="Straight Arrow Connector 13" o:spid="_x0000_s1026" type="#_x0000_t32" style="position:absolute;margin-left:242.75pt;margin-top:2.2pt;width:44.3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" strokecolor="windowText" strokeweight=".5pt">
                <v:stroke endarrow="block" joinstyle="miter"/>
                <o:lock v:ext="edit" shapetype="f"/>
              </v:shape>
            </w:pict>
          </mc:Fallback>
        </mc:AlternateContent>
      </w:r>
    </w:p>
    <w:p w14:paraId="18085824"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132A1B0C"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515C5727"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5E884B0F"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2DB45AC3"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299" distR="114299" simplePos="0" relativeHeight="251672576" behindDoc="0" locked="0" layoutInCell="1" allowOverlap="1" wp14:anchorId="6CB465EA" wp14:editId="5FB6C01D">
                <wp:simplePos x="0" y="0"/>
                <wp:positionH relativeFrom="column">
                  <wp:posOffset>1414144</wp:posOffset>
                </wp:positionH>
                <wp:positionV relativeFrom="paragraph">
                  <wp:posOffset>17780</wp:posOffset>
                </wp:positionV>
                <wp:extent cx="0" cy="281305"/>
                <wp:effectExtent l="76200" t="0" r="38100" b="42545"/>
                <wp:wrapNone/>
                <wp:docPr id="8911200"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BDE5E61" id="Straight Arrow Connector 12" o:spid="_x0000_s1026" type="#_x0000_t32" style="position:absolute;margin-left:111.35pt;margin-top:1.4pt;width:0;height:22.1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" strokecolor="windowText" strokeweight=".5pt">
                <v:stroke endarrow="block" joinstyle="miter"/>
                <o:lock v:ext="edit" shapetype="f"/>
              </v:shape>
            </w:pict>
          </mc:Fallback>
        </mc:AlternateContent>
      </w:r>
    </w:p>
    <w:p w14:paraId="7B0ABC49"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62336" behindDoc="0" locked="0" layoutInCell="1" allowOverlap="1" wp14:anchorId="00F4FDEB" wp14:editId="51BDCAA1">
                <wp:simplePos x="0" y="0"/>
                <wp:positionH relativeFrom="column">
                  <wp:posOffset>3048000</wp:posOffset>
                </wp:positionH>
                <wp:positionV relativeFrom="paragraph">
                  <wp:posOffset>132715</wp:posOffset>
                </wp:positionV>
                <wp:extent cx="1887220" cy="609600"/>
                <wp:effectExtent l="0" t="0" r="0" b="0"/>
                <wp:wrapNone/>
                <wp:docPr id="134886744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609600"/>
                        </a:xfrm>
                        <a:prstGeom prst="rect">
                          <a:avLst/>
                        </a:prstGeom>
                        <a:noFill/>
                        <a:ln w="12700" cap="flat" cmpd="sng" algn="ctr">
                          <a:solidFill>
                            <a:sysClr val="windowText" lastClr="000000"/>
                          </a:solidFill>
                          <a:prstDash val="solid"/>
                          <a:miter lim="800000"/>
                        </a:ln>
                        <a:effectLst/>
                      </wps:spPr>
                      <wps:txbx>
                        <w:txbxContent>
                          <w:p w14:paraId="46E966F7" w14:textId="77777777" w:rsidR="00B018DD" w:rsidRPr="00DC389B" w:rsidRDefault="00B018DD" w:rsidP="000A7E52">
                            <w:pPr>
                              <w:spacing w:after="0" w:line="240" w:lineRule="auto"/>
                              <w:rPr>
                                <w:rFonts w:ascii="Arial" w:hAnsi="Arial" w:cs="Arial"/>
                                <w:color w:val="000000" w:themeColor="text1"/>
                                <w:sz w:val="24"/>
                                <w:szCs w:val="24"/>
                              </w:rPr>
                            </w:pPr>
                            <w:r w:rsidRPr="00DC389B">
                              <w:rPr>
                                <w:rFonts w:ascii="Arial" w:hAnsi="Arial" w:cs="Arial"/>
                                <w:color w:val="000000" w:themeColor="text1"/>
                                <w:sz w:val="24"/>
                                <w:szCs w:val="24"/>
                              </w:rPr>
                              <w:t xml:space="preserve">Records excluded </w:t>
                            </w:r>
                            <w:r w:rsidRPr="00DC389B">
                              <w:rPr>
                                <w:rFonts w:ascii="Arial" w:hAnsi="Arial" w:cs="Arial"/>
                                <w:color w:val="000000" w:themeColor="text1"/>
                                <w:kern w:val="24"/>
                                <w:sz w:val="24"/>
                                <w:szCs w:val="24"/>
                              </w:rPr>
                              <w:t xml:space="preserve">based on Title- </w:t>
                            </w:r>
                            <w:r w:rsidRPr="00DC389B">
                              <w:rPr>
                                <w:rFonts w:ascii="Arial" w:hAnsi="Arial" w:cs="Arial"/>
                                <w:color w:val="000000" w:themeColor="dark1"/>
                                <w:kern w:val="24"/>
                                <w:sz w:val="24"/>
                                <w:szCs w:val="24"/>
                              </w:rPr>
                              <w:t>(n= 1903)</w:t>
                            </w:r>
                          </w:p>
                          <w:p w14:paraId="031FEBA6" w14:textId="77777777" w:rsidR="00B018DD" w:rsidRDefault="00B018DD" w:rsidP="000A7E52">
                            <w:pPr>
                              <w:spacing w:after="0" w:line="240" w:lineRule="auto"/>
                              <w:rPr>
                                <w:rFonts w:ascii="Arial" w:hAnsi="Arial" w:cs="Arial"/>
                                <w:color w:val="000000" w:themeColor="text1"/>
                                <w:sz w:val="18"/>
                                <w:szCs w:val="20"/>
                              </w:rPr>
                            </w:pPr>
                          </w:p>
                          <w:p w14:paraId="7A9FF194" w14:textId="77777777" w:rsidR="00B018DD" w:rsidRPr="00560609" w:rsidRDefault="00B018DD" w:rsidP="000A7E5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4FDEB" id="Rectangle 11" o:spid="_x0000_s1029" style="position:absolute;left:0;text-align:left;margin-left:240pt;margin-top:10.45pt;width:148.6pt;height: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" filled="f" strokecolor="windowText" strokeweight="1pt">
                <v:path arrowok="t"/>
                <v:textbox>
                  <w:txbxContent>
                    <w:p w14:paraId="46E966F7" w14:textId="77777777" w:rsidR="00B018DD" w:rsidRPr="00DC389B" w:rsidRDefault="00B018DD" w:rsidP="000A7E52">
                      <w:pPr>
                        <w:spacing w:after="0" w:line="240" w:lineRule="auto"/>
                        <w:rPr>
                          <w:rFonts w:ascii="Arial" w:hAnsi="Arial" w:cs="Arial"/>
                          <w:color w:val="000000" w:themeColor="text1"/>
                          <w:sz w:val="24"/>
                          <w:szCs w:val="24"/>
                        </w:rPr>
                      </w:pPr>
                      <w:r w:rsidRPr="00DC389B">
                        <w:rPr>
                          <w:rFonts w:ascii="Arial" w:hAnsi="Arial" w:cs="Arial"/>
                          <w:color w:val="000000" w:themeColor="text1"/>
                          <w:sz w:val="24"/>
                          <w:szCs w:val="24"/>
                        </w:rPr>
                        <w:t xml:space="preserve">Records excluded </w:t>
                      </w:r>
                      <w:r w:rsidRPr="00DC389B">
                        <w:rPr>
                          <w:rFonts w:ascii="Arial" w:hAnsi="Arial" w:cs="Arial"/>
                          <w:color w:val="000000" w:themeColor="text1"/>
                          <w:kern w:val="24"/>
                          <w:sz w:val="24"/>
                          <w:szCs w:val="24"/>
                        </w:rPr>
                        <w:t xml:space="preserve">based on Title- </w:t>
                      </w:r>
                      <w:r w:rsidRPr="00DC389B">
                        <w:rPr>
                          <w:rFonts w:ascii="Arial" w:hAnsi="Arial" w:cs="Arial"/>
                          <w:color w:val="000000" w:themeColor="dark1"/>
                          <w:kern w:val="24"/>
                          <w:sz w:val="24"/>
                          <w:szCs w:val="24"/>
                        </w:rPr>
                        <w:t>(n= 1903)</w:t>
                      </w:r>
                    </w:p>
                    <w:p w14:paraId="031FEBA6" w14:textId="77777777" w:rsidR="00B018DD" w:rsidRDefault="00B018DD" w:rsidP="000A7E52">
                      <w:pPr>
                        <w:spacing w:after="0" w:line="240" w:lineRule="auto"/>
                        <w:rPr>
                          <w:rFonts w:ascii="Arial" w:hAnsi="Arial" w:cs="Arial"/>
                          <w:color w:val="000000" w:themeColor="text1"/>
                          <w:sz w:val="18"/>
                          <w:szCs w:val="20"/>
                        </w:rPr>
                      </w:pPr>
                    </w:p>
                    <w:p w14:paraId="7A9FF194" w14:textId="77777777" w:rsidR="00B018DD" w:rsidRPr="00560609" w:rsidRDefault="00B018DD" w:rsidP="000A7E52">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w:t>
                      </w:r>
                      <w:r>
                        <w:rPr>
                          <w:rFonts w:ascii="Arial" w:hAnsi="Arial" w:cs="Arial"/>
                          <w:color w:val="000000" w:themeColor="text1"/>
                          <w:sz w:val="18"/>
                          <w:szCs w:val="20"/>
                        </w:rPr>
                        <w:t>= )</w:t>
                      </w:r>
                    </w:p>
                  </w:txbxContent>
                </v:textbox>
              </v:rect>
            </w:pict>
          </mc:Fallback>
        </mc:AlternateContent>
      </w:r>
    </w:p>
    <w:p w14:paraId="65E6275E"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61312" behindDoc="0" locked="0" layoutInCell="1" allowOverlap="1" wp14:anchorId="79136D69" wp14:editId="79594229">
                <wp:simplePos x="0" y="0"/>
                <wp:positionH relativeFrom="column">
                  <wp:posOffset>559435</wp:posOffset>
                </wp:positionH>
                <wp:positionV relativeFrom="paragraph">
                  <wp:posOffset>45085</wp:posOffset>
                </wp:positionV>
                <wp:extent cx="1887220" cy="526415"/>
                <wp:effectExtent l="0" t="0" r="0" b="6985"/>
                <wp:wrapNone/>
                <wp:docPr id="14173618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5A794CBB"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Records screened</w:t>
                            </w:r>
                          </w:p>
                          <w:p w14:paraId="7A818E6D"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(n=2018)</w:t>
                            </w:r>
                          </w:p>
                          <w:p w14:paraId="5741EC66" w14:textId="77777777" w:rsidR="00B018DD" w:rsidRPr="00560609" w:rsidRDefault="00B018DD" w:rsidP="000A7E52">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36D69" id="Rectangle 10" o:spid="_x0000_s1030" style="position:absolute;left:0;text-align:left;margin-left:44.05pt;margin-top:3.55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" filled="f" strokecolor="windowText" strokeweight="1pt">
                <v:path arrowok="t"/>
                <v:textbox>
                  <w:txbxContent>
                    <w:p w14:paraId="5A794CBB"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Records screened</w:t>
                      </w:r>
                    </w:p>
                    <w:p w14:paraId="7A818E6D"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(n=2018)</w:t>
                      </w:r>
                    </w:p>
                    <w:p w14:paraId="5741EC66" w14:textId="77777777" w:rsidR="00B018DD" w:rsidRPr="00560609" w:rsidRDefault="00B018DD" w:rsidP="000A7E52">
                      <w:pPr>
                        <w:spacing w:after="0" w:line="240" w:lineRule="auto"/>
                        <w:rPr>
                          <w:rFonts w:ascii="Arial" w:hAnsi="Arial" w:cs="Arial"/>
                          <w:color w:val="000000" w:themeColor="text1"/>
                          <w:sz w:val="18"/>
                          <w:szCs w:val="20"/>
                        </w:rPr>
                      </w:pPr>
                    </w:p>
                  </w:txbxContent>
                </v:textbox>
              </v:rect>
            </w:pict>
          </mc:Fallback>
        </mc:AlternateContent>
      </w:r>
    </w:p>
    <w:p w14:paraId="49811BE3"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4294967295" distB="4294967295" distL="114300" distR="114300" simplePos="0" relativeHeight="251667456" behindDoc="0" locked="0" layoutInCell="1" allowOverlap="1" wp14:anchorId="704C2A2F" wp14:editId="34FB40B1">
                <wp:simplePos x="0" y="0"/>
                <wp:positionH relativeFrom="column">
                  <wp:posOffset>2453640</wp:posOffset>
                </wp:positionH>
                <wp:positionV relativeFrom="paragraph">
                  <wp:posOffset>53974</wp:posOffset>
                </wp:positionV>
                <wp:extent cx="563245" cy="0"/>
                <wp:effectExtent l="0" t="76200" r="8255" b="76200"/>
                <wp:wrapNone/>
                <wp:docPr id="1317303106"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BEA832" id="Straight Arrow Connector 9" o:spid="_x0000_s1026" type="#_x0000_t32" style="position:absolute;margin-left:193.2pt;margin-top:4.25pt;width:44.3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" strokecolor="windowText" strokeweight=".5pt">
                <v:stroke endarrow="block" joinstyle="miter"/>
                <o:lock v:ext="edit" shapetype="f"/>
              </v:shape>
            </w:pict>
          </mc:Fallback>
        </mc:AlternateContent>
      </w:r>
    </w:p>
    <w:p w14:paraId="7917AC07"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1C2F7D35"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64E32D0C"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299" distR="114299" simplePos="0" relativeHeight="251673600" behindDoc="0" locked="0" layoutInCell="1" allowOverlap="1" wp14:anchorId="25ED8445" wp14:editId="23F806DC">
                <wp:simplePos x="0" y="0"/>
                <wp:positionH relativeFrom="column">
                  <wp:posOffset>1409699</wp:posOffset>
                </wp:positionH>
                <wp:positionV relativeFrom="paragraph">
                  <wp:posOffset>130810</wp:posOffset>
                </wp:positionV>
                <wp:extent cx="0" cy="281305"/>
                <wp:effectExtent l="76200" t="0" r="38100" b="42545"/>
                <wp:wrapNone/>
                <wp:docPr id="236428903"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1B02B6C" id="Straight Arrow Connector 8" o:spid="_x0000_s1026" type="#_x0000_t32" style="position:absolute;margin-left:111pt;margin-top:10.3pt;width:0;height:22.15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" strokecolor="windowText" strokeweight=".5pt">
                <v:stroke endarrow="block" joinstyle="miter"/>
                <o:lock v:ext="edit" shapetype="f"/>
              </v:shape>
            </w:pict>
          </mc:Fallback>
        </mc:AlternateContent>
      </w:r>
    </w:p>
    <w:p w14:paraId="7A441A8B"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64384" behindDoc="0" locked="0" layoutInCell="1" allowOverlap="1" wp14:anchorId="7D2BFDCF" wp14:editId="1BB4F0E0">
                <wp:simplePos x="0" y="0"/>
                <wp:positionH relativeFrom="column">
                  <wp:posOffset>3048000</wp:posOffset>
                </wp:positionH>
                <wp:positionV relativeFrom="paragraph">
                  <wp:posOffset>160020</wp:posOffset>
                </wp:positionV>
                <wp:extent cx="2533650" cy="1466850"/>
                <wp:effectExtent l="0" t="0" r="19050" b="19050"/>
                <wp:wrapNone/>
                <wp:docPr id="722333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3650" cy="1466850"/>
                        </a:xfrm>
                        <a:prstGeom prst="rect">
                          <a:avLst/>
                        </a:prstGeom>
                        <a:noFill/>
                        <a:ln w="12700" cap="flat" cmpd="sng" algn="ctr">
                          <a:solidFill>
                            <a:sysClr val="windowText" lastClr="000000"/>
                          </a:solidFill>
                          <a:prstDash val="solid"/>
                          <a:miter lim="800000"/>
                        </a:ln>
                        <a:effectLst/>
                      </wps:spPr>
                      <wps:txbx>
                        <w:txbxContent>
                          <w:p w14:paraId="64D638D3" w14:textId="77777777" w:rsidR="00B018DD" w:rsidRPr="00DC389B" w:rsidRDefault="00B018DD" w:rsidP="000A7E52">
                            <w:pPr>
                              <w:spacing w:after="0" w:line="240" w:lineRule="auto"/>
                              <w:ind w:left="284"/>
                              <w:rPr>
                                <w:rFonts w:ascii="Arial" w:hAnsi="Arial" w:cs="Arial"/>
                                <w:color w:val="000000" w:themeColor="text1"/>
                                <w:kern w:val="24"/>
                                <w:sz w:val="24"/>
                                <w:szCs w:val="24"/>
                              </w:rPr>
                            </w:pPr>
                            <w:r w:rsidRPr="00DC389B">
                              <w:rPr>
                                <w:rFonts w:ascii="Arial" w:hAnsi="Arial" w:cs="Arial"/>
                                <w:color w:val="000000" w:themeColor="text1"/>
                                <w:kern w:val="24"/>
                                <w:sz w:val="24"/>
                                <w:szCs w:val="24"/>
                              </w:rPr>
                              <w:t>Review articles (not primary research) (n = 25)</w:t>
                            </w:r>
                          </w:p>
                          <w:p w14:paraId="094EEA1F" w14:textId="77777777" w:rsidR="00B018DD" w:rsidRPr="00DC389B" w:rsidRDefault="00B018DD" w:rsidP="000A7E52">
                            <w:pPr>
                              <w:spacing w:after="0" w:line="240" w:lineRule="auto"/>
                              <w:ind w:left="284"/>
                              <w:rPr>
                                <w:rFonts w:ascii="Arial" w:hAnsi="Arial" w:cs="Arial"/>
                                <w:color w:val="000000" w:themeColor="text1"/>
                                <w:kern w:val="24"/>
                                <w:sz w:val="24"/>
                                <w:szCs w:val="24"/>
                              </w:rPr>
                            </w:pPr>
                            <w:r w:rsidRPr="00DC389B">
                              <w:rPr>
                                <w:rFonts w:ascii="Arial" w:hAnsi="Arial" w:cs="Arial"/>
                                <w:color w:val="000000" w:themeColor="text1"/>
                                <w:kern w:val="24"/>
                                <w:sz w:val="24"/>
                                <w:szCs w:val="24"/>
                              </w:rPr>
                              <w:t>Not relevant to the research question (n = 30)</w:t>
                            </w:r>
                          </w:p>
                          <w:p w14:paraId="33785738" w14:textId="77777777" w:rsidR="00B018DD" w:rsidRPr="00DC389B" w:rsidRDefault="00B018DD" w:rsidP="000A7E52">
                            <w:pPr>
                              <w:spacing w:after="0" w:line="240" w:lineRule="auto"/>
                              <w:ind w:left="284"/>
                              <w:rPr>
                                <w:rFonts w:ascii="Arial" w:hAnsi="Arial" w:cs="Arial"/>
                                <w:color w:val="000000" w:themeColor="text1"/>
                                <w:kern w:val="24"/>
                                <w:sz w:val="24"/>
                                <w:szCs w:val="24"/>
                              </w:rPr>
                            </w:pPr>
                            <w:r w:rsidRPr="00DC389B">
                              <w:rPr>
                                <w:rFonts w:ascii="Arial" w:hAnsi="Arial" w:cs="Arial"/>
                                <w:color w:val="000000" w:themeColor="text1"/>
                                <w:kern w:val="24"/>
                                <w:sz w:val="24"/>
                                <w:szCs w:val="24"/>
                              </w:rPr>
                              <w:t>No statement of ethical approval or research governance (n = 15)</w:t>
                            </w:r>
                          </w:p>
                          <w:p w14:paraId="2AB6BC69" w14:textId="77777777" w:rsidR="00B018DD" w:rsidRPr="00DC389B" w:rsidRDefault="00B018DD" w:rsidP="000A7E52">
                            <w:pPr>
                              <w:spacing w:after="0" w:line="240" w:lineRule="auto"/>
                              <w:ind w:left="284"/>
                              <w:rPr>
                                <w:rFonts w:ascii="Arial" w:hAnsi="Arial" w:cs="Arial"/>
                                <w:color w:val="000000" w:themeColor="text1"/>
                                <w:sz w:val="20"/>
                                <w:szCs w:val="20"/>
                              </w:rPr>
                            </w:pPr>
                            <w:r w:rsidRPr="00DC389B">
                              <w:rPr>
                                <w:rFonts w:ascii="Arial" w:hAnsi="Arial" w:cs="Arial"/>
                                <w:color w:val="000000" w:themeColor="text1"/>
                                <w:kern w:val="24"/>
                                <w:sz w:val="24"/>
                                <w:szCs w:val="24"/>
                              </w:rPr>
                              <w:t>Full text unavailable/inaccessible (n =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BFDCF" id="Rectangle 7" o:spid="_x0000_s1031" style="position:absolute;left:0;text-align:left;margin-left:240pt;margin-top:12.6pt;width:199.5pt;height:1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" filled="f" strokecolor="windowText" strokeweight="1pt">
                <v:path arrowok="t"/>
                <v:textbox>
                  <w:txbxContent>
                    <w:p w14:paraId="64D638D3" w14:textId="77777777" w:rsidR="00B018DD" w:rsidRPr="00DC389B" w:rsidRDefault="00B018DD" w:rsidP="000A7E52">
                      <w:pPr>
                        <w:spacing w:after="0" w:line="240" w:lineRule="auto"/>
                        <w:ind w:left="284"/>
                        <w:rPr>
                          <w:rFonts w:ascii="Arial" w:hAnsi="Arial" w:cs="Arial"/>
                          <w:color w:val="000000" w:themeColor="text1"/>
                          <w:kern w:val="24"/>
                          <w:sz w:val="24"/>
                          <w:szCs w:val="24"/>
                        </w:rPr>
                      </w:pPr>
                      <w:r w:rsidRPr="00DC389B">
                        <w:rPr>
                          <w:rFonts w:ascii="Arial" w:hAnsi="Arial" w:cs="Arial"/>
                          <w:color w:val="000000" w:themeColor="text1"/>
                          <w:kern w:val="24"/>
                          <w:sz w:val="24"/>
                          <w:szCs w:val="24"/>
                        </w:rPr>
                        <w:t>Review articles (not primary research) (n = 25)</w:t>
                      </w:r>
                    </w:p>
                    <w:p w14:paraId="094EEA1F" w14:textId="77777777" w:rsidR="00B018DD" w:rsidRPr="00DC389B" w:rsidRDefault="00B018DD" w:rsidP="000A7E52">
                      <w:pPr>
                        <w:spacing w:after="0" w:line="240" w:lineRule="auto"/>
                        <w:ind w:left="284"/>
                        <w:rPr>
                          <w:rFonts w:ascii="Arial" w:hAnsi="Arial" w:cs="Arial"/>
                          <w:color w:val="000000" w:themeColor="text1"/>
                          <w:kern w:val="24"/>
                          <w:sz w:val="24"/>
                          <w:szCs w:val="24"/>
                        </w:rPr>
                      </w:pPr>
                      <w:r w:rsidRPr="00DC389B">
                        <w:rPr>
                          <w:rFonts w:ascii="Arial" w:hAnsi="Arial" w:cs="Arial"/>
                          <w:color w:val="000000" w:themeColor="text1"/>
                          <w:kern w:val="24"/>
                          <w:sz w:val="24"/>
                          <w:szCs w:val="24"/>
                        </w:rPr>
                        <w:t>Not relevant to the research question (n = 30)</w:t>
                      </w:r>
                    </w:p>
                    <w:p w14:paraId="33785738" w14:textId="77777777" w:rsidR="00B018DD" w:rsidRPr="00DC389B" w:rsidRDefault="00B018DD" w:rsidP="000A7E52">
                      <w:pPr>
                        <w:spacing w:after="0" w:line="240" w:lineRule="auto"/>
                        <w:ind w:left="284"/>
                        <w:rPr>
                          <w:rFonts w:ascii="Arial" w:hAnsi="Arial" w:cs="Arial"/>
                          <w:color w:val="000000" w:themeColor="text1"/>
                          <w:kern w:val="24"/>
                          <w:sz w:val="24"/>
                          <w:szCs w:val="24"/>
                        </w:rPr>
                      </w:pPr>
                      <w:r w:rsidRPr="00DC389B">
                        <w:rPr>
                          <w:rFonts w:ascii="Arial" w:hAnsi="Arial" w:cs="Arial"/>
                          <w:color w:val="000000" w:themeColor="text1"/>
                          <w:kern w:val="24"/>
                          <w:sz w:val="24"/>
                          <w:szCs w:val="24"/>
                        </w:rPr>
                        <w:t>No statement of ethical approval or research governance (n = 15)</w:t>
                      </w:r>
                    </w:p>
                    <w:p w14:paraId="2AB6BC69" w14:textId="77777777" w:rsidR="00B018DD" w:rsidRPr="00DC389B" w:rsidRDefault="00B018DD" w:rsidP="000A7E52">
                      <w:pPr>
                        <w:spacing w:after="0" w:line="240" w:lineRule="auto"/>
                        <w:ind w:left="284"/>
                        <w:rPr>
                          <w:rFonts w:ascii="Arial" w:hAnsi="Arial" w:cs="Arial"/>
                          <w:color w:val="000000" w:themeColor="text1"/>
                          <w:sz w:val="20"/>
                          <w:szCs w:val="20"/>
                        </w:rPr>
                      </w:pPr>
                      <w:r w:rsidRPr="00DC389B">
                        <w:rPr>
                          <w:rFonts w:ascii="Arial" w:hAnsi="Arial" w:cs="Arial"/>
                          <w:color w:val="000000" w:themeColor="text1"/>
                          <w:kern w:val="24"/>
                          <w:sz w:val="24"/>
                          <w:szCs w:val="24"/>
                        </w:rPr>
                        <w:t>Full text unavailable/inaccessible (n = 20)</w:t>
                      </w:r>
                    </w:p>
                  </w:txbxContent>
                </v:textbox>
              </v:rect>
            </w:pict>
          </mc:Fallback>
        </mc:AlternateContent>
      </w:r>
      <w:r w:rsidRPr="00636DA1">
        <w:rPr>
          <w:rFonts w:ascii="Arial" w:eastAsiaTheme="minorHAnsi" w:hAnsi="Arial" w:cs="Arial"/>
          <w:noProof/>
          <w:sz w:val="24"/>
          <w:lang w:eastAsia="en-GB"/>
        </w:rPr>
        <mc:AlternateContent>
          <mc:Choice Requires="wps">
            <w:drawing>
              <wp:anchor distT="0" distB="0" distL="114300" distR="114300" simplePos="0" relativeHeight="251670528" behindDoc="0" locked="0" layoutInCell="1" allowOverlap="1" wp14:anchorId="078992D3" wp14:editId="43D26D23">
                <wp:simplePos x="0" y="0"/>
                <wp:positionH relativeFrom="column">
                  <wp:posOffset>-1160780</wp:posOffset>
                </wp:positionH>
                <wp:positionV relativeFrom="paragraph">
                  <wp:posOffset>140335</wp:posOffset>
                </wp:positionV>
                <wp:extent cx="2787650" cy="262890"/>
                <wp:effectExtent l="0" t="1257300" r="0" b="1261110"/>
                <wp:wrapNone/>
                <wp:docPr id="153034373"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692EEFC2" w14:textId="77777777" w:rsidR="00B018DD" w:rsidRDefault="00B018DD" w:rsidP="000A7E5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8B0E3A8" w14:textId="77777777" w:rsidR="00B018DD" w:rsidRPr="001502CF" w:rsidRDefault="00B018DD" w:rsidP="000A7E52">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992D3" id="Flowchart: Alternate Process 6" o:spid="_x0000_s1032" type="#_x0000_t176" style="position:absolute;left:0;text-align:left;margin-left:-91.4pt;margin-top:11.05pt;width:219.5pt;height:20.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" fillcolor="#9dc3e6" strokecolor="windowText" strokeweight="1pt">
                <v:path arrowok="t"/>
                <v:textbox>
                  <w:txbxContent>
                    <w:p w14:paraId="692EEFC2" w14:textId="77777777" w:rsidR="00B018DD" w:rsidRDefault="00B018DD" w:rsidP="000A7E5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8B0E3A8" w14:textId="77777777" w:rsidR="00B018DD" w:rsidRPr="001502CF" w:rsidRDefault="00B018DD" w:rsidP="000A7E52">
                      <w:pPr>
                        <w:spacing w:after="0" w:line="240" w:lineRule="auto"/>
                        <w:rPr>
                          <w:rFonts w:ascii="Arial" w:hAnsi="Arial" w:cs="Arial"/>
                          <w:b/>
                          <w:color w:val="000000" w:themeColor="text1"/>
                          <w:sz w:val="18"/>
                          <w:szCs w:val="18"/>
                        </w:rPr>
                      </w:pPr>
                    </w:p>
                  </w:txbxContent>
                </v:textbox>
              </v:shape>
            </w:pict>
          </mc:Fallback>
        </mc:AlternateContent>
      </w:r>
    </w:p>
    <w:p w14:paraId="21BB49FF"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63360" behindDoc="0" locked="0" layoutInCell="1" allowOverlap="1" wp14:anchorId="7AB1B24D" wp14:editId="0E1224F8">
                <wp:simplePos x="0" y="0"/>
                <wp:positionH relativeFrom="column">
                  <wp:posOffset>562610</wp:posOffset>
                </wp:positionH>
                <wp:positionV relativeFrom="paragraph">
                  <wp:posOffset>171450</wp:posOffset>
                </wp:positionV>
                <wp:extent cx="1887220" cy="815975"/>
                <wp:effectExtent l="0" t="0" r="0" b="3175"/>
                <wp:wrapNone/>
                <wp:docPr id="31084137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815975"/>
                        </a:xfrm>
                        <a:prstGeom prst="rect">
                          <a:avLst/>
                        </a:prstGeom>
                        <a:noFill/>
                        <a:ln w="12700" cap="flat" cmpd="sng" algn="ctr">
                          <a:solidFill>
                            <a:sysClr val="windowText" lastClr="000000"/>
                          </a:solidFill>
                          <a:prstDash val="solid"/>
                          <a:miter lim="800000"/>
                        </a:ln>
                        <a:effectLst/>
                      </wps:spPr>
                      <wps:txbx>
                        <w:txbxContent>
                          <w:p w14:paraId="23AF2D72"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Full text research articles assessed for eligibility</w:t>
                            </w:r>
                          </w:p>
                          <w:p w14:paraId="126F3287"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(n= 115)</w:t>
                            </w:r>
                          </w:p>
                          <w:p w14:paraId="4EF21CCA" w14:textId="77777777" w:rsidR="00B018DD" w:rsidRPr="00560609" w:rsidRDefault="00B018DD" w:rsidP="000A7E52">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B1B24D" id="Rectangle 5" o:spid="_x0000_s1033" style="position:absolute;left:0;text-align:left;margin-left:44.3pt;margin-top:13.5pt;width:148.6pt;height:6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" filled="f" strokecolor="windowText" strokeweight="1pt">
                <v:path arrowok="t"/>
                <v:textbox>
                  <w:txbxContent>
                    <w:p w14:paraId="23AF2D72"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Full text research articles assessed for eligibility</w:t>
                      </w:r>
                    </w:p>
                    <w:p w14:paraId="126F3287" w14:textId="77777777" w:rsidR="00B018DD" w:rsidRPr="00DC389B" w:rsidRDefault="00B018DD" w:rsidP="000A7E52">
                      <w:pPr>
                        <w:spacing w:after="0"/>
                        <w:jc w:val="center"/>
                        <w:rPr>
                          <w:rFonts w:ascii="Arial" w:hAnsi="Arial" w:cs="Arial"/>
                          <w:color w:val="000000" w:themeColor="text1"/>
                          <w:kern w:val="24"/>
                          <w:sz w:val="24"/>
                          <w:szCs w:val="24"/>
                        </w:rPr>
                      </w:pPr>
                      <w:r w:rsidRPr="00DC389B">
                        <w:rPr>
                          <w:rFonts w:ascii="Arial" w:hAnsi="Arial" w:cs="Arial"/>
                          <w:color w:val="000000" w:themeColor="text1"/>
                          <w:kern w:val="24"/>
                          <w:sz w:val="24"/>
                          <w:szCs w:val="24"/>
                        </w:rPr>
                        <w:t>(n= 115)</w:t>
                      </w:r>
                    </w:p>
                    <w:p w14:paraId="4EF21CCA" w14:textId="77777777" w:rsidR="00B018DD" w:rsidRPr="00560609" w:rsidRDefault="00B018DD" w:rsidP="000A7E52">
                      <w:pPr>
                        <w:spacing w:after="0" w:line="240" w:lineRule="auto"/>
                        <w:rPr>
                          <w:rFonts w:ascii="Arial" w:hAnsi="Arial" w:cs="Arial"/>
                          <w:color w:val="000000" w:themeColor="text1"/>
                          <w:sz w:val="18"/>
                          <w:szCs w:val="20"/>
                        </w:rPr>
                      </w:pPr>
                    </w:p>
                  </w:txbxContent>
                </v:textbox>
              </v:rect>
            </w:pict>
          </mc:Fallback>
        </mc:AlternateContent>
      </w:r>
    </w:p>
    <w:p w14:paraId="29128D16"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47BB497A"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4294967295" distB="4294967295" distL="114300" distR="114300" simplePos="0" relativeHeight="251668480" behindDoc="0" locked="0" layoutInCell="1" allowOverlap="1" wp14:anchorId="6920EE45" wp14:editId="2F61C567">
                <wp:simplePos x="0" y="0"/>
                <wp:positionH relativeFrom="column">
                  <wp:posOffset>2476500</wp:posOffset>
                </wp:positionH>
                <wp:positionV relativeFrom="paragraph">
                  <wp:posOffset>78104</wp:posOffset>
                </wp:positionV>
                <wp:extent cx="563245" cy="0"/>
                <wp:effectExtent l="0" t="76200" r="8255" b="76200"/>
                <wp:wrapNone/>
                <wp:docPr id="129428948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527E9E2" id="Straight Arrow Connector 4" o:spid="_x0000_s1026" type="#_x0000_t32" style="position:absolute;margin-left:195pt;margin-top:6.15pt;width:44.3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" strokecolor="windowText" strokeweight=".5pt">
                <v:stroke endarrow="block" joinstyle="miter"/>
                <o:lock v:ext="edit" shapetype="f"/>
              </v:shape>
            </w:pict>
          </mc:Fallback>
        </mc:AlternateContent>
      </w:r>
    </w:p>
    <w:p w14:paraId="76FEA7E8"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227C6046"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188633F9"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6F84A96D"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299" distR="114299" simplePos="0" relativeHeight="251674624" behindDoc="0" locked="0" layoutInCell="1" allowOverlap="1" wp14:anchorId="54DECF51" wp14:editId="02C43A89">
                <wp:simplePos x="0" y="0"/>
                <wp:positionH relativeFrom="column">
                  <wp:posOffset>1440179</wp:posOffset>
                </wp:positionH>
                <wp:positionV relativeFrom="paragraph">
                  <wp:posOffset>27305</wp:posOffset>
                </wp:positionV>
                <wp:extent cx="0" cy="281305"/>
                <wp:effectExtent l="76200" t="0" r="38100" b="42545"/>
                <wp:wrapNone/>
                <wp:docPr id="131205029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B9A1F8" id="Straight Arrow Connector 3" o:spid="_x0000_s1026" type="#_x0000_t32" style="position:absolute;margin-left:113.4pt;margin-top:2.15pt;width:0;height:22.15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" strokecolor="windowText" strokeweight=".5pt">
                <v:stroke endarrow="block" joinstyle="miter"/>
                <o:lock v:ext="edit" shapetype="f"/>
              </v:shape>
            </w:pict>
          </mc:Fallback>
        </mc:AlternateContent>
      </w:r>
    </w:p>
    <w:p w14:paraId="4F64AFDC"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64BB6F19"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05A20CAB"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65408" behindDoc="0" locked="0" layoutInCell="1" allowOverlap="1" wp14:anchorId="3D0640A8" wp14:editId="33EB514A">
                <wp:simplePos x="0" y="0"/>
                <wp:positionH relativeFrom="column">
                  <wp:posOffset>534670</wp:posOffset>
                </wp:positionH>
                <wp:positionV relativeFrom="paragraph">
                  <wp:posOffset>29845</wp:posOffset>
                </wp:positionV>
                <wp:extent cx="2349500" cy="1406525"/>
                <wp:effectExtent l="0" t="0" r="0" b="3175"/>
                <wp:wrapNone/>
                <wp:docPr id="20993981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0" cy="1406525"/>
                        </a:xfrm>
                        <a:prstGeom prst="rect">
                          <a:avLst/>
                        </a:prstGeom>
                        <a:noFill/>
                        <a:ln w="12700" cap="flat" cmpd="sng" algn="ctr">
                          <a:solidFill>
                            <a:sysClr val="windowText" lastClr="000000"/>
                          </a:solidFill>
                          <a:prstDash val="solid"/>
                          <a:miter lim="800000"/>
                        </a:ln>
                        <a:effectLst/>
                      </wps:spPr>
                      <wps:txbx>
                        <w:txbxContent>
                          <w:p w14:paraId="7FEC9210" w14:textId="77777777" w:rsidR="00B018DD" w:rsidRPr="00DC389B" w:rsidRDefault="00B018DD" w:rsidP="000A7E52">
                            <w:pPr>
                              <w:spacing w:after="0"/>
                              <w:jc w:val="center"/>
                              <w:rPr>
                                <w:rFonts w:ascii="Arial" w:hAnsi="Arial" w:cs="Arial"/>
                                <w:color w:val="000000" w:themeColor="text1"/>
                                <w:kern w:val="24"/>
                                <w:szCs w:val="24"/>
                              </w:rPr>
                            </w:pPr>
                            <w:r w:rsidRPr="00DC389B">
                              <w:rPr>
                                <w:rFonts w:ascii="Arial" w:hAnsi="Arial" w:cs="Arial"/>
                                <w:color w:val="000000" w:themeColor="text1"/>
                                <w:kern w:val="24"/>
                                <w:szCs w:val="24"/>
                              </w:rPr>
                              <w:t>Included Articles</w:t>
                            </w:r>
                          </w:p>
                          <w:p w14:paraId="31AC79C2" w14:textId="77777777" w:rsidR="00B018DD" w:rsidRPr="00DC389B" w:rsidRDefault="00B018DD" w:rsidP="000A7E52">
                            <w:pPr>
                              <w:spacing w:after="0"/>
                              <w:jc w:val="center"/>
                              <w:rPr>
                                <w:rFonts w:ascii="Arial" w:hAnsi="Arial" w:cs="Arial"/>
                                <w:color w:val="000000" w:themeColor="text1"/>
                                <w:kern w:val="24"/>
                                <w:szCs w:val="24"/>
                              </w:rPr>
                            </w:pPr>
                          </w:p>
                          <w:p w14:paraId="40C7CA63"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Qualitative studies (n = 6)</w:t>
                            </w:r>
                          </w:p>
                          <w:p w14:paraId="4BAC19AC"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Cross-sectional studies (n = 12)</w:t>
                            </w:r>
                          </w:p>
                          <w:p w14:paraId="2461AFEE"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Cohort studies (n = 4)</w:t>
                            </w:r>
                          </w:p>
                          <w:p w14:paraId="52A70C23"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Mixed-methods studies (n = 2)</w:t>
                            </w:r>
                          </w:p>
                          <w:p w14:paraId="6D8969E9" w14:textId="77777777" w:rsidR="00B018DD" w:rsidRPr="00DC389B" w:rsidRDefault="00B018DD" w:rsidP="000A7E52">
                            <w:pPr>
                              <w:spacing w:after="0" w:line="240" w:lineRule="auto"/>
                              <w:rPr>
                                <w:rFonts w:ascii="Arial" w:hAnsi="Arial" w:cs="Arial"/>
                                <w:color w:val="000000" w:themeColor="text1"/>
                                <w:sz w:val="18"/>
                                <w:szCs w:val="20"/>
                              </w:rPr>
                            </w:pPr>
                            <w:r w:rsidRPr="00DC389B">
                              <w:rPr>
                                <w:rFonts w:ascii="Arial" w:hAnsi="Arial" w:cs="Arial"/>
                                <w:color w:val="000000" w:themeColor="text1"/>
                                <w:kern w:val="24"/>
                                <w:szCs w:val="24"/>
                              </w:rPr>
                              <w:t>Economic evaluation study (n =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640A8" id="Rectangle 2" o:spid="_x0000_s1034" style="position:absolute;left:0;text-align:left;margin-left:42.1pt;margin-top:2.35pt;width:185pt;height:11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" filled="f" strokecolor="windowText" strokeweight="1pt">
                <v:path arrowok="t"/>
                <v:textbox>
                  <w:txbxContent>
                    <w:p w14:paraId="7FEC9210" w14:textId="77777777" w:rsidR="00B018DD" w:rsidRPr="00DC389B" w:rsidRDefault="00B018DD" w:rsidP="000A7E52">
                      <w:pPr>
                        <w:spacing w:after="0"/>
                        <w:jc w:val="center"/>
                        <w:rPr>
                          <w:rFonts w:ascii="Arial" w:hAnsi="Arial" w:cs="Arial"/>
                          <w:color w:val="000000" w:themeColor="text1"/>
                          <w:kern w:val="24"/>
                          <w:szCs w:val="24"/>
                        </w:rPr>
                      </w:pPr>
                      <w:r w:rsidRPr="00DC389B">
                        <w:rPr>
                          <w:rFonts w:ascii="Arial" w:hAnsi="Arial" w:cs="Arial"/>
                          <w:color w:val="000000" w:themeColor="text1"/>
                          <w:kern w:val="24"/>
                          <w:szCs w:val="24"/>
                        </w:rPr>
                        <w:t>Included Articles</w:t>
                      </w:r>
                    </w:p>
                    <w:p w14:paraId="31AC79C2" w14:textId="77777777" w:rsidR="00B018DD" w:rsidRPr="00DC389B" w:rsidRDefault="00B018DD" w:rsidP="000A7E52">
                      <w:pPr>
                        <w:spacing w:after="0"/>
                        <w:jc w:val="center"/>
                        <w:rPr>
                          <w:rFonts w:ascii="Arial" w:hAnsi="Arial" w:cs="Arial"/>
                          <w:color w:val="000000" w:themeColor="text1"/>
                          <w:kern w:val="24"/>
                          <w:szCs w:val="24"/>
                        </w:rPr>
                      </w:pPr>
                    </w:p>
                    <w:p w14:paraId="40C7CA63"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Qualitative studies (n = 6)</w:t>
                      </w:r>
                    </w:p>
                    <w:p w14:paraId="4BAC19AC"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Cross-sectional studies (n = 12)</w:t>
                      </w:r>
                    </w:p>
                    <w:p w14:paraId="2461AFEE"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Cohort studies (n = 4)</w:t>
                      </w:r>
                    </w:p>
                    <w:p w14:paraId="52A70C23" w14:textId="77777777" w:rsidR="00B018DD" w:rsidRPr="00DC389B" w:rsidRDefault="00B018DD" w:rsidP="000A7E52">
                      <w:pPr>
                        <w:spacing w:after="0" w:line="240" w:lineRule="auto"/>
                        <w:rPr>
                          <w:rFonts w:ascii="Arial" w:hAnsi="Arial" w:cs="Arial"/>
                          <w:color w:val="000000" w:themeColor="text1"/>
                          <w:kern w:val="24"/>
                          <w:szCs w:val="24"/>
                        </w:rPr>
                      </w:pPr>
                      <w:r w:rsidRPr="00DC389B">
                        <w:rPr>
                          <w:rFonts w:ascii="Arial" w:hAnsi="Arial" w:cs="Arial"/>
                          <w:color w:val="000000" w:themeColor="text1"/>
                          <w:kern w:val="24"/>
                          <w:szCs w:val="24"/>
                        </w:rPr>
                        <w:t>Mixed-methods studies (n = 2)</w:t>
                      </w:r>
                    </w:p>
                    <w:p w14:paraId="6D8969E9" w14:textId="77777777" w:rsidR="00B018DD" w:rsidRPr="00DC389B" w:rsidRDefault="00B018DD" w:rsidP="000A7E52">
                      <w:pPr>
                        <w:spacing w:after="0" w:line="240" w:lineRule="auto"/>
                        <w:rPr>
                          <w:rFonts w:ascii="Arial" w:hAnsi="Arial" w:cs="Arial"/>
                          <w:color w:val="000000" w:themeColor="text1"/>
                          <w:sz w:val="18"/>
                          <w:szCs w:val="20"/>
                        </w:rPr>
                      </w:pPr>
                      <w:r w:rsidRPr="00DC389B">
                        <w:rPr>
                          <w:rFonts w:ascii="Arial" w:hAnsi="Arial" w:cs="Arial"/>
                          <w:color w:val="000000" w:themeColor="text1"/>
                          <w:kern w:val="24"/>
                          <w:szCs w:val="24"/>
                        </w:rPr>
                        <w:t>Economic evaluation study (n = 1)</w:t>
                      </w:r>
                    </w:p>
                  </w:txbxContent>
                </v:textbox>
              </v:rect>
            </w:pict>
          </mc:Fallback>
        </mc:AlternateContent>
      </w:r>
    </w:p>
    <w:p w14:paraId="34CCB5E4"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2C6AC764"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17701FD2" w14:textId="77777777" w:rsidR="000A7E52" w:rsidRPr="00636DA1" w:rsidRDefault="000A7E52" w:rsidP="002847A0">
      <w:pPr>
        <w:spacing w:after="0" w:line="240" w:lineRule="auto"/>
        <w:jc w:val="both"/>
        <w:rPr>
          <w:rFonts w:ascii="Arial" w:eastAsiaTheme="minorHAnsi" w:hAnsi="Arial" w:cs="Arial"/>
          <w:sz w:val="24"/>
          <w:lang w:val="en-US" w:eastAsia="en-US"/>
        </w:rPr>
      </w:pPr>
      <w:r w:rsidRPr="00636DA1">
        <w:rPr>
          <w:rFonts w:ascii="Arial" w:eastAsiaTheme="minorHAnsi" w:hAnsi="Arial" w:cs="Arial"/>
          <w:noProof/>
          <w:sz w:val="24"/>
          <w:lang w:eastAsia="en-GB"/>
        </w:rPr>
        <mc:AlternateContent>
          <mc:Choice Requires="wps">
            <w:drawing>
              <wp:anchor distT="0" distB="0" distL="114300" distR="114300" simplePos="0" relativeHeight="251671552" behindDoc="0" locked="0" layoutInCell="1" allowOverlap="1" wp14:anchorId="659A4FB5" wp14:editId="6BF0CC0F">
                <wp:simplePos x="0" y="0"/>
                <wp:positionH relativeFrom="column">
                  <wp:posOffset>-414020</wp:posOffset>
                </wp:positionH>
                <wp:positionV relativeFrom="paragraph">
                  <wp:posOffset>103505</wp:posOffset>
                </wp:positionV>
                <wp:extent cx="1388745" cy="339090"/>
                <wp:effectExtent l="0" t="533400" r="0" b="518160"/>
                <wp:wrapNone/>
                <wp:docPr id="74486706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388745" cy="3390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62B129E4" w14:textId="77777777" w:rsidR="00B018DD" w:rsidRPr="001502CF" w:rsidRDefault="00B018DD" w:rsidP="000A7E5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A4FB5" id="Flowchart: Alternate Process 1" o:spid="_x0000_s1035" type="#_x0000_t176" style="position:absolute;left:0;text-align:left;margin-left:-32.6pt;margin-top:8.15pt;width:109.35pt;height:26.7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" fillcolor="#9dc3e6" strokecolor="windowText" strokeweight="1pt">
                <v:path arrowok="t"/>
                <v:textbox>
                  <w:txbxContent>
                    <w:p w14:paraId="62B129E4" w14:textId="77777777" w:rsidR="00B018DD" w:rsidRPr="001502CF" w:rsidRDefault="00B018DD" w:rsidP="000A7E5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4381829F"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5A7CE49A"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045AD5CB"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2BC88B2A" w14:textId="77777777" w:rsidR="000A7E52" w:rsidRPr="00636DA1" w:rsidRDefault="000A7E52" w:rsidP="002847A0">
      <w:pPr>
        <w:spacing w:after="0" w:line="240" w:lineRule="auto"/>
        <w:jc w:val="both"/>
        <w:rPr>
          <w:rFonts w:ascii="Arial" w:eastAsiaTheme="minorHAnsi" w:hAnsi="Arial" w:cs="Arial"/>
          <w:sz w:val="24"/>
          <w:lang w:val="en-US" w:eastAsia="en-US"/>
        </w:rPr>
      </w:pPr>
    </w:p>
    <w:p w14:paraId="7F32FD31" w14:textId="77777777" w:rsidR="000A7E52" w:rsidRPr="00636DA1" w:rsidRDefault="000A7E52" w:rsidP="009A6425">
      <w:pPr>
        <w:spacing w:before="240" w:line="360" w:lineRule="auto"/>
        <w:jc w:val="both"/>
        <w:rPr>
          <w:rFonts w:ascii="Arial" w:hAnsi="Arial" w:cs="Arial"/>
          <w:sz w:val="24"/>
          <w:lang w:eastAsia="en-GB"/>
        </w:rPr>
      </w:pPr>
    </w:p>
    <w:p w14:paraId="2DDB8FD4" w14:textId="6E2792AE" w:rsidR="004645B5" w:rsidRPr="00636DA1" w:rsidRDefault="003C020E" w:rsidP="009A6425">
      <w:pPr>
        <w:spacing w:before="240" w:line="360" w:lineRule="auto"/>
        <w:jc w:val="both"/>
        <w:rPr>
          <w:rFonts w:ascii="Arial" w:hAnsi="Arial" w:cs="Arial"/>
          <w:sz w:val="24"/>
          <w:lang w:eastAsia="en-GB"/>
        </w:rPr>
      </w:pPr>
      <w:r w:rsidRPr="00DA7A7A">
        <w:rPr>
          <w:rFonts w:ascii="Arial" w:hAnsi="Arial" w:cs="Arial"/>
          <w:b/>
          <w:sz w:val="24"/>
          <w:lang w:eastAsia="en-GB"/>
        </w:rPr>
        <w:t>Source</w:t>
      </w:r>
      <w:r w:rsidRPr="00636DA1">
        <w:rPr>
          <w:rFonts w:ascii="Arial" w:hAnsi="Arial" w:cs="Arial"/>
          <w:sz w:val="24"/>
          <w:lang w:eastAsia="en-GB"/>
        </w:rPr>
        <w:t>: Adapted from PRISMA 2020 (Page et al., 2021).</w:t>
      </w:r>
    </w:p>
    <w:p w14:paraId="5B298411" w14:textId="230CD086" w:rsidR="004645B5" w:rsidRPr="009A6425" w:rsidRDefault="004645B5" w:rsidP="00DA7A7A">
      <w:pPr>
        <w:pStyle w:val="Heading2"/>
        <w:rPr>
          <w:lang w:eastAsia="en-GB"/>
        </w:rPr>
      </w:pPr>
      <w:bookmarkStart w:id="61" w:name="_Toc240558493"/>
      <w:r w:rsidRPr="009A6425">
        <w:rPr>
          <w:lang w:eastAsia="en-GB"/>
        </w:rPr>
        <w:t>4.4 Characteristics of Included Studies</w:t>
      </w:r>
      <w:bookmarkEnd w:id="61"/>
      <w:r w:rsidRPr="009A6425">
        <w:rPr>
          <w:lang w:eastAsia="en-GB"/>
        </w:rPr>
        <w:t xml:space="preserve"> </w:t>
      </w:r>
    </w:p>
    <w:p w14:paraId="64C382F6" w14:textId="1C018849" w:rsidR="00D33F1B" w:rsidRPr="002847A0" w:rsidRDefault="00D33F1B" w:rsidP="009A6425">
      <w:pPr>
        <w:spacing w:before="240" w:line="360" w:lineRule="auto"/>
        <w:jc w:val="both"/>
        <w:rPr>
          <w:rFonts w:ascii="Arial" w:hAnsi="Arial" w:cs="Arial"/>
          <w:sz w:val="24"/>
          <w:lang w:eastAsia="en-GB"/>
        </w:rPr>
      </w:pPr>
      <w:r w:rsidRPr="002847A0">
        <w:rPr>
          <w:rFonts w:ascii="Arial" w:hAnsi="Arial" w:cs="Arial"/>
          <w:sz w:val="24"/>
          <w:lang w:eastAsia="en-GB"/>
        </w:rPr>
        <w:t xml:space="preserve">After the application of the predetermined inclusion and exclusion criteria and the quality assessment of the primary research studies, 25 primary research studies were included in this systematic review. These studies presented up-to-date data on vitamin </w:t>
      </w:r>
      <w:r w:rsidRPr="002847A0">
        <w:rPr>
          <w:rFonts w:ascii="Arial" w:hAnsi="Arial" w:cs="Arial"/>
          <w:sz w:val="24"/>
          <w:lang w:eastAsia="en-GB"/>
        </w:rPr>
        <w:lastRenderedPageBreak/>
        <w:t>D deficiency, awareness, supplementation practices and vitamin D prevention in older adults in care homes. However, together, these studies investigated the study question by exploring factors associated with vitamin D awareness and assessing interventions to enhance pr</w:t>
      </w:r>
      <w:r w:rsidR="00DA7A7A">
        <w:rPr>
          <w:rFonts w:ascii="Arial" w:hAnsi="Arial" w:cs="Arial"/>
          <w:sz w:val="24"/>
          <w:lang w:eastAsia="en-GB"/>
        </w:rPr>
        <w:t>evention in institutional care.</w:t>
      </w:r>
    </w:p>
    <w:p w14:paraId="52E86BF9" w14:textId="5A8B35E9" w:rsidR="00D33F1B" w:rsidRPr="002847A0" w:rsidRDefault="00D33F1B" w:rsidP="009A6425">
      <w:pPr>
        <w:spacing w:before="240" w:line="360" w:lineRule="auto"/>
        <w:jc w:val="both"/>
        <w:rPr>
          <w:rFonts w:ascii="Arial" w:hAnsi="Arial" w:cs="Arial"/>
          <w:sz w:val="24"/>
          <w:lang w:eastAsia="en-GB"/>
        </w:rPr>
      </w:pPr>
      <w:r w:rsidRPr="002847A0">
        <w:rPr>
          <w:rFonts w:ascii="Arial" w:hAnsi="Arial" w:cs="Arial"/>
          <w:sz w:val="24"/>
          <w:lang w:eastAsia="en-GB"/>
        </w:rPr>
        <w:t>The studies included in the review were published from 2020 to 2025, reflecting the latest evidence available for the current public health recommendations and clinical practice. The addition of recent publications coincided with new guidance from the UK regarding vitamin D supplementation and a growing awareness of the significance of vitamin D deficiency in older adults as a public health problem. The studies were also limited to those published during the same time frame, ensuring that they reflect current healthcare po</w:t>
      </w:r>
      <w:r w:rsidR="00DA7A7A">
        <w:rPr>
          <w:rFonts w:ascii="Arial" w:hAnsi="Arial" w:cs="Arial"/>
          <w:sz w:val="24"/>
          <w:lang w:eastAsia="en-GB"/>
        </w:rPr>
        <w:t>licies and care home practices.</w:t>
      </w:r>
    </w:p>
    <w:p w14:paraId="73C07200" w14:textId="61DF8D58" w:rsidR="00D33F1B" w:rsidRPr="002847A0" w:rsidRDefault="00D33F1B" w:rsidP="009A6425">
      <w:pPr>
        <w:spacing w:before="240" w:line="360" w:lineRule="auto"/>
        <w:jc w:val="both"/>
        <w:rPr>
          <w:rFonts w:ascii="Arial" w:hAnsi="Arial" w:cs="Arial"/>
          <w:sz w:val="24"/>
          <w:lang w:eastAsia="en-GB"/>
        </w:rPr>
      </w:pPr>
      <w:r w:rsidRPr="002847A0">
        <w:rPr>
          <w:rFonts w:ascii="Arial" w:hAnsi="Arial" w:cs="Arial"/>
          <w:sz w:val="24"/>
          <w:lang w:eastAsia="en-GB"/>
        </w:rPr>
        <w:t>The majority of the studies included in this review were carried out in the United Kingdom which matched the focus of this review. Other studies came from Ireland, with only a few from other European countries that had healthcare systems similar to that of the UK. All the selected studies included results from international evidence, where applicable, but included results from studies that focused on older adults living in residential or nursing care. The geographical distribution has led to the findings being more applicable and enabled comparisons of vitamin D prevention strategies across a v</w:t>
      </w:r>
      <w:r w:rsidR="00DA7A7A">
        <w:rPr>
          <w:rFonts w:ascii="Arial" w:hAnsi="Arial" w:cs="Arial"/>
          <w:sz w:val="24"/>
          <w:lang w:eastAsia="en-GB"/>
        </w:rPr>
        <w:t>ariety of health care settings.</w:t>
      </w:r>
    </w:p>
    <w:p w14:paraId="61B7D722" w14:textId="54459792" w:rsidR="00D33F1B" w:rsidRPr="002847A0" w:rsidRDefault="00D33F1B" w:rsidP="009A6425">
      <w:pPr>
        <w:spacing w:before="240" w:line="360" w:lineRule="auto"/>
        <w:jc w:val="both"/>
        <w:rPr>
          <w:rFonts w:ascii="Arial" w:hAnsi="Arial" w:cs="Arial"/>
          <w:sz w:val="24"/>
          <w:lang w:eastAsia="en-GB"/>
        </w:rPr>
      </w:pPr>
      <w:r w:rsidRPr="002847A0">
        <w:rPr>
          <w:rFonts w:ascii="Arial" w:hAnsi="Arial" w:cs="Arial"/>
          <w:sz w:val="24"/>
          <w:lang w:eastAsia="en-GB"/>
        </w:rPr>
        <w:t xml:space="preserve">The studies included used an array of research designs and thus a wide body of evidence. Most were cross-sectional studies, investigating the prevalence of vitamin D deficiency, awareness, supplementation and risk factors for vitamin D deficiency in care home residents. Some qualitative research studies have explored the experiences and perceptions of care home staff, managers and health care professionals on vitamin D supplementation and organisational practices through semi-structured interviews or focus groups. Additionally, several cohort studies examined the long-term associations of vitamin D supplementation with health outcomes over time such as falls, fracture and musculoskeletal health outcomes. </w:t>
      </w:r>
    </w:p>
    <w:p w14:paraId="7BFE8443" w14:textId="2435E5DD" w:rsidR="00D33F1B" w:rsidRPr="002847A0" w:rsidRDefault="00D33F1B" w:rsidP="009A6425">
      <w:pPr>
        <w:spacing w:before="240" w:line="360" w:lineRule="auto"/>
        <w:jc w:val="both"/>
        <w:rPr>
          <w:rFonts w:ascii="Arial" w:hAnsi="Arial" w:cs="Arial"/>
          <w:sz w:val="24"/>
          <w:lang w:eastAsia="en-GB"/>
        </w:rPr>
      </w:pPr>
      <w:r w:rsidRPr="002847A0">
        <w:rPr>
          <w:rFonts w:ascii="Arial" w:hAnsi="Arial" w:cs="Arial"/>
          <w:sz w:val="24"/>
          <w:lang w:eastAsia="en-GB"/>
        </w:rPr>
        <w:t xml:space="preserve">The number of samples for the studies included were very different, depending on the study design and purpose. In most cases, qualitative investigations included 20–40 participants, and provided detailed information about beliefs and attitudes and </w:t>
      </w:r>
      <w:r w:rsidRPr="002847A0">
        <w:rPr>
          <w:rFonts w:ascii="Arial" w:hAnsi="Arial" w:cs="Arial"/>
          <w:sz w:val="24"/>
          <w:lang w:eastAsia="en-GB"/>
        </w:rPr>
        <w:lastRenderedPageBreak/>
        <w:t xml:space="preserve">perceived barriers to vitamin D supplementation. However, cross sectional and cohort studies included significantly more subjects, from about 150 to over 500. Larger studies gave reliable estimates of the prevalence of vitamin D deficiency and of vitamin D supplementation, while smaller qualitative studies gave rich contextual information about the differences in practice </w:t>
      </w:r>
      <w:r w:rsidR="00DA7A7A">
        <w:rPr>
          <w:rFonts w:ascii="Arial" w:hAnsi="Arial" w:cs="Arial"/>
          <w:sz w:val="24"/>
          <w:lang w:eastAsia="en-GB"/>
        </w:rPr>
        <w:t>according to care home setting.</w:t>
      </w:r>
    </w:p>
    <w:p w14:paraId="1E1A773D" w14:textId="5BABDF99" w:rsidR="00D33F1B" w:rsidRPr="002847A0" w:rsidRDefault="00D33F1B" w:rsidP="009A6425">
      <w:pPr>
        <w:spacing w:before="240" w:line="360" w:lineRule="auto"/>
        <w:jc w:val="both"/>
        <w:rPr>
          <w:rFonts w:ascii="Arial" w:hAnsi="Arial" w:cs="Arial"/>
          <w:sz w:val="24"/>
          <w:lang w:eastAsia="en-GB"/>
        </w:rPr>
      </w:pPr>
      <w:r w:rsidRPr="002847A0">
        <w:rPr>
          <w:rFonts w:ascii="Arial" w:hAnsi="Arial" w:cs="Arial"/>
          <w:sz w:val="24"/>
          <w:lang w:eastAsia="en-GB"/>
        </w:rPr>
        <w:t xml:space="preserve">The older adults who participated in the studies were in residential or nursing homes and were mainly over 65 years of age. Other studies also included care home staff, such as nurses, healthcare assistants, care workers, managers, and those who care for residents' food and medicine. A few studies also included GPs, pharmacists and dietitians who were engaged in supporting vitamin D supplementation programmes. </w:t>
      </w:r>
    </w:p>
    <w:p w14:paraId="2A7A9105" w14:textId="0569B6E0" w:rsidR="00D33F1B" w:rsidRPr="002847A0" w:rsidRDefault="00D33F1B" w:rsidP="009A6425">
      <w:pPr>
        <w:spacing w:before="240" w:line="360" w:lineRule="auto"/>
        <w:jc w:val="both"/>
        <w:rPr>
          <w:rFonts w:ascii="Arial" w:hAnsi="Arial" w:cs="Arial"/>
          <w:sz w:val="24"/>
          <w:lang w:eastAsia="en-GB"/>
        </w:rPr>
      </w:pPr>
      <w:r w:rsidRPr="002847A0">
        <w:rPr>
          <w:rFonts w:ascii="Arial" w:hAnsi="Arial" w:cs="Arial"/>
          <w:sz w:val="24"/>
          <w:lang w:eastAsia="en-GB"/>
        </w:rPr>
        <w:t>Interventions studied in the different studies addressed vitamin D awareness and decreased vitamin D deficiency in older adults. Interventions ran the gamut from routine vitamin D supplementation programmes to educating care home staff, awareness sessions, implementation of national clinical guidelines, routine screening programmes, multidisciplinary approaches, and organisational policy changes. There have been several studies that assessed the effectiveness of staff training programmes related to the increase in knowledge and confidence in vitamin D supplementation, and other studies focused on the effects of routine supplementation on fall, fractures and other negative health outcomes.</w:t>
      </w:r>
    </w:p>
    <w:p w14:paraId="4085E931" w14:textId="1BD541E8" w:rsidR="00993B35" w:rsidRPr="00206741" w:rsidRDefault="00993B35" w:rsidP="00993B35">
      <w:pPr>
        <w:spacing w:after="0" w:line="240" w:lineRule="auto"/>
        <w:rPr>
          <w:rFonts w:ascii="Arial" w:eastAsia="Times New Roman" w:hAnsi="Arial" w:cs="Arial"/>
          <w:kern w:val="0"/>
          <w:sz w:val="24"/>
          <w:szCs w:val="24"/>
          <w:lang w:eastAsia="en-GB"/>
          <w14:ligatures w14:val="none"/>
        </w:rPr>
      </w:pPr>
    </w:p>
    <w:p w14:paraId="7D51F657" w14:textId="000D62EF" w:rsidR="00DA7A7A" w:rsidRDefault="00DA7A7A" w:rsidP="00DA7A7A">
      <w:pPr>
        <w:pStyle w:val="Caption"/>
        <w:keepNext/>
      </w:pPr>
      <w:bookmarkStart w:id="62" w:name="_Toc240558539"/>
      <w:r>
        <w:t xml:space="preserve">Table </w:t>
      </w:r>
      <w:r w:rsidR="00CE5F90">
        <w:fldChar w:fldCharType="begin"/>
      </w:r>
      <w:r w:rsidR="00CE5F90">
        <w:instrText xml:space="preserve"> SEQ Table \* ARABIC </w:instrText>
      </w:r>
      <w:r w:rsidR="00CE5F90">
        <w:fldChar w:fldCharType="separate"/>
      </w:r>
      <w:r w:rsidR="00CE5F90">
        <w:rPr>
          <w:noProof/>
        </w:rPr>
        <w:t>8</w:t>
      </w:r>
      <w:r w:rsidR="00CE5F90">
        <w:rPr>
          <w:noProof/>
        </w:rPr>
        <w:fldChar w:fldCharType="end"/>
      </w:r>
      <w:r>
        <w:t>.</w:t>
      </w:r>
      <w:r w:rsidRPr="00DE24B4">
        <w:t>Characteristics of Included Studies</w:t>
      </w:r>
      <w:bookmarkEnd w:id="62"/>
    </w:p>
    <w:tbl>
      <w:tblPr>
        <w:tblStyle w:val="TableGrid"/>
        <w:tblW w:w="0" w:type="auto"/>
        <w:tblLook w:val="04A0" w:firstRow="1" w:lastRow="0" w:firstColumn="1" w:lastColumn="0" w:noHBand="0" w:noVBand="1"/>
      </w:tblPr>
      <w:tblGrid>
        <w:gridCol w:w="1126"/>
        <w:gridCol w:w="1000"/>
        <w:gridCol w:w="1478"/>
        <w:gridCol w:w="944"/>
        <w:gridCol w:w="1842"/>
        <w:gridCol w:w="1751"/>
        <w:gridCol w:w="875"/>
      </w:tblGrid>
      <w:tr w:rsidR="00993B35" w:rsidRPr="00206741" w14:paraId="5BB2BE9C" w14:textId="77777777" w:rsidTr="00DA7A7A">
        <w:tc>
          <w:tcPr>
            <w:tcW w:w="1126" w:type="dxa"/>
          </w:tcPr>
          <w:p w14:paraId="37E3E896" w14:textId="77777777" w:rsidR="00993B35" w:rsidRPr="00206741" w:rsidRDefault="00993B35" w:rsidP="00C648A7">
            <w:pPr>
              <w:rPr>
                <w:rFonts w:ascii="Arial" w:eastAsia="Times New Roman" w:hAnsi="Arial" w:cs="Arial"/>
                <w:b/>
                <w:kern w:val="0"/>
                <w:sz w:val="24"/>
                <w:szCs w:val="24"/>
                <w:lang w:eastAsia="en-GB"/>
                <w14:ligatures w14:val="none"/>
              </w:rPr>
            </w:pPr>
            <w:r w:rsidRPr="00206741">
              <w:rPr>
                <w:rFonts w:ascii="Arial" w:eastAsia="Times New Roman" w:hAnsi="Arial" w:cs="Arial"/>
                <w:b/>
                <w:kern w:val="0"/>
                <w:sz w:val="24"/>
                <w:szCs w:val="24"/>
                <w:lang w:eastAsia="en-GB"/>
                <w14:ligatures w14:val="none"/>
              </w:rPr>
              <w:t>Author</w:t>
            </w:r>
          </w:p>
        </w:tc>
        <w:tc>
          <w:tcPr>
            <w:tcW w:w="1000" w:type="dxa"/>
          </w:tcPr>
          <w:p w14:paraId="3D5E8913" w14:textId="77777777" w:rsidR="00993B35" w:rsidRPr="00206741" w:rsidRDefault="00993B35" w:rsidP="00C648A7">
            <w:pPr>
              <w:rPr>
                <w:rFonts w:ascii="Arial" w:eastAsia="Times New Roman" w:hAnsi="Arial" w:cs="Arial"/>
                <w:b/>
                <w:kern w:val="0"/>
                <w:sz w:val="24"/>
                <w:szCs w:val="24"/>
                <w:lang w:eastAsia="en-GB"/>
                <w14:ligatures w14:val="none"/>
              </w:rPr>
            </w:pPr>
            <w:r w:rsidRPr="00206741">
              <w:rPr>
                <w:rFonts w:ascii="Arial" w:eastAsia="Times New Roman" w:hAnsi="Arial" w:cs="Arial"/>
                <w:b/>
                <w:kern w:val="0"/>
                <w:sz w:val="24"/>
                <w:szCs w:val="24"/>
                <w:lang w:eastAsia="en-GB"/>
                <w14:ligatures w14:val="none"/>
              </w:rPr>
              <w:t>Country</w:t>
            </w:r>
          </w:p>
        </w:tc>
        <w:tc>
          <w:tcPr>
            <w:tcW w:w="1478" w:type="dxa"/>
          </w:tcPr>
          <w:p w14:paraId="6EBD7BC9" w14:textId="77777777" w:rsidR="00993B35" w:rsidRPr="00206741" w:rsidRDefault="00993B35" w:rsidP="00C648A7">
            <w:pPr>
              <w:rPr>
                <w:rFonts w:ascii="Arial" w:eastAsia="Times New Roman" w:hAnsi="Arial" w:cs="Arial"/>
                <w:b/>
                <w:kern w:val="0"/>
                <w:sz w:val="24"/>
                <w:szCs w:val="24"/>
                <w:lang w:eastAsia="en-GB"/>
                <w14:ligatures w14:val="none"/>
              </w:rPr>
            </w:pPr>
            <w:r w:rsidRPr="00206741">
              <w:rPr>
                <w:rFonts w:ascii="Arial" w:eastAsia="Times New Roman" w:hAnsi="Arial" w:cs="Arial"/>
                <w:b/>
                <w:kern w:val="0"/>
                <w:sz w:val="24"/>
                <w:szCs w:val="24"/>
                <w:lang w:eastAsia="en-GB"/>
                <w14:ligatures w14:val="none"/>
              </w:rPr>
              <w:t>Design</w:t>
            </w:r>
          </w:p>
        </w:tc>
        <w:tc>
          <w:tcPr>
            <w:tcW w:w="944" w:type="dxa"/>
          </w:tcPr>
          <w:p w14:paraId="7642BEB5" w14:textId="77777777" w:rsidR="00993B35" w:rsidRPr="00206741" w:rsidRDefault="00993B35" w:rsidP="00C648A7">
            <w:pPr>
              <w:rPr>
                <w:rFonts w:ascii="Arial" w:eastAsia="Times New Roman" w:hAnsi="Arial" w:cs="Arial"/>
                <w:b/>
                <w:kern w:val="0"/>
                <w:sz w:val="24"/>
                <w:szCs w:val="24"/>
                <w:lang w:eastAsia="en-GB"/>
                <w14:ligatures w14:val="none"/>
              </w:rPr>
            </w:pPr>
            <w:r w:rsidRPr="00206741">
              <w:rPr>
                <w:rFonts w:ascii="Arial" w:eastAsia="Times New Roman" w:hAnsi="Arial" w:cs="Arial"/>
                <w:b/>
                <w:kern w:val="0"/>
                <w:sz w:val="24"/>
                <w:szCs w:val="24"/>
                <w:lang w:eastAsia="en-GB"/>
                <w14:ligatures w14:val="none"/>
              </w:rPr>
              <w:t>Sample</w:t>
            </w:r>
          </w:p>
        </w:tc>
        <w:tc>
          <w:tcPr>
            <w:tcW w:w="1842" w:type="dxa"/>
          </w:tcPr>
          <w:p w14:paraId="799B2D25" w14:textId="77777777" w:rsidR="00993B35" w:rsidRPr="00206741" w:rsidRDefault="00993B35" w:rsidP="00C648A7">
            <w:pPr>
              <w:rPr>
                <w:rFonts w:ascii="Arial" w:eastAsia="Times New Roman" w:hAnsi="Arial" w:cs="Arial"/>
                <w:b/>
                <w:kern w:val="0"/>
                <w:sz w:val="24"/>
                <w:szCs w:val="24"/>
                <w:lang w:eastAsia="en-GB"/>
                <w14:ligatures w14:val="none"/>
              </w:rPr>
            </w:pPr>
            <w:r w:rsidRPr="00206741">
              <w:rPr>
                <w:rFonts w:ascii="Arial" w:eastAsia="Times New Roman" w:hAnsi="Arial" w:cs="Arial"/>
                <w:b/>
                <w:kern w:val="0"/>
                <w:sz w:val="24"/>
                <w:szCs w:val="24"/>
                <w:lang w:eastAsia="en-GB"/>
                <w14:ligatures w14:val="none"/>
              </w:rPr>
              <w:t>Intervention</w:t>
            </w:r>
          </w:p>
        </w:tc>
        <w:tc>
          <w:tcPr>
            <w:tcW w:w="1751" w:type="dxa"/>
          </w:tcPr>
          <w:p w14:paraId="511FED56" w14:textId="77777777" w:rsidR="00993B35" w:rsidRPr="00206741" w:rsidRDefault="00993B35" w:rsidP="00C648A7">
            <w:pPr>
              <w:rPr>
                <w:rFonts w:ascii="Arial" w:eastAsia="Times New Roman" w:hAnsi="Arial" w:cs="Arial"/>
                <w:b/>
                <w:kern w:val="0"/>
                <w:sz w:val="24"/>
                <w:szCs w:val="24"/>
                <w:lang w:eastAsia="en-GB"/>
                <w14:ligatures w14:val="none"/>
              </w:rPr>
            </w:pPr>
            <w:r w:rsidRPr="00206741">
              <w:rPr>
                <w:rFonts w:ascii="Arial" w:eastAsia="Times New Roman" w:hAnsi="Arial" w:cs="Arial"/>
                <w:b/>
                <w:kern w:val="0"/>
                <w:sz w:val="24"/>
                <w:szCs w:val="24"/>
                <w:lang w:eastAsia="en-GB"/>
                <w14:ligatures w14:val="none"/>
              </w:rPr>
              <w:t>Main Findings</w:t>
            </w:r>
          </w:p>
        </w:tc>
        <w:tc>
          <w:tcPr>
            <w:tcW w:w="875" w:type="dxa"/>
          </w:tcPr>
          <w:p w14:paraId="50E0D0B0" w14:textId="77777777" w:rsidR="00993B35" w:rsidRPr="00206741" w:rsidRDefault="00993B35" w:rsidP="00C648A7">
            <w:pPr>
              <w:rPr>
                <w:rFonts w:ascii="Arial" w:eastAsia="Times New Roman" w:hAnsi="Arial" w:cs="Arial"/>
                <w:b/>
                <w:kern w:val="0"/>
                <w:sz w:val="24"/>
                <w:szCs w:val="24"/>
                <w:lang w:eastAsia="en-GB"/>
                <w14:ligatures w14:val="none"/>
              </w:rPr>
            </w:pPr>
            <w:r w:rsidRPr="00206741">
              <w:rPr>
                <w:rFonts w:ascii="Arial" w:eastAsia="Times New Roman" w:hAnsi="Arial" w:cs="Arial"/>
                <w:b/>
                <w:kern w:val="0"/>
                <w:sz w:val="24"/>
                <w:szCs w:val="24"/>
                <w:lang w:eastAsia="en-GB"/>
                <w14:ligatures w14:val="none"/>
              </w:rPr>
              <w:t>Theme</w:t>
            </w:r>
          </w:p>
        </w:tc>
      </w:tr>
      <w:tr w:rsidR="00993B35" w:rsidRPr="00206741" w14:paraId="04D8D2B4" w14:textId="77777777" w:rsidTr="00DA7A7A">
        <w:tc>
          <w:tcPr>
            <w:tcW w:w="1126" w:type="dxa"/>
          </w:tcPr>
          <w:p w14:paraId="73475C3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Feehan et al. (2022)</w:t>
            </w:r>
          </w:p>
        </w:tc>
        <w:tc>
          <w:tcPr>
            <w:tcW w:w="1000" w:type="dxa"/>
          </w:tcPr>
          <w:p w14:paraId="13AA436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05E8F64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Cross-sectional</w:t>
            </w:r>
          </w:p>
        </w:tc>
        <w:tc>
          <w:tcPr>
            <w:tcW w:w="944" w:type="dxa"/>
          </w:tcPr>
          <w:p w14:paraId="553CC12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420</w:t>
            </w:r>
          </w:p>
        </w:tc>
        <w:tc>
          <w:tcPr>
            <w:tcW w:w="1842" w:type="dxa"/>
          </w:tcPr>
          <w:p w14:paraId="16CBF52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Vitamin D supplementation</w:t>
            </w:r>
          </w:p>
        </w:tc>
        <w:tc>
          <w:tcPr>
            <w:tcW w:w="1751" w:type="dxa"/>
          </w:tcPr>
          <w:p w14:paraId="298995A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High prevalence of deficiency</w:t>
            </w:r>
          </w:p>
        </w:tc>
        <w:tc>
          <w:tcPr>
            <w:tcW w:w="875" w:type="dxa"/>
          </w:tcPr>
          <w:p w14:paraId="1E3F7E3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1</w:t>
            </w:r>
          </w:p>
        </w:tc>
      </w:tr>
      <w:tr w:rsidR="00993B35" w:rsidRPr="00206741" w14:paraId="1B2F2F9B" w14:textId="77777777" w:rsidTr="00DA7A7A">
        <w:tc>
          <w:tcPr>
            <w:tcW w:w="1126" w:type="dxa"/>
          </w:tcPr>
          <w:p w14:paraId="0D18000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Turner et al. (2023)</w:t>
            </w:r>
          </w:p>
        </w:tc>
        <w:tc>
          <w:tcPr>
            <w:tcW w:w="1000" w:type="dxa"/>
          </w:tcPr>
          <w:p w14:paraId="6CC5248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6217BDD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Survey</w:t>
            </w:r>
          </w:p>
        </w:tc>
        <w:tc>
          <w:tcPr>
            <w:tcW w:w="944" w:type="dxa"/>
          </w:tcPr>
          <w:p w14:paraId="43DAB6C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215</w:t>
            </w:r>
          </w:p>
        </w:tc>
        <w:tc>
          <w:tcPr>
            <w:tcW w:w="1842" w:type="dxa"/>
          </w:tcPr>
          <w:p w14:paraId="38A1AED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Staff awareness programme</w:t>
            </w:r>
          </w:p>
        </w:tc>
        <w:tc>
          <w:tcPr>
            <w:tcW w:w="1751" w:type="dxa"/>
          </w:tcPr>
          <w:p w14:paraId="2DBCD502"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Poor staff knowledge</w:t>
            </w:r>
          </w:p>
        </w:tc>
        <w:tc>
          <w:tcPr>
            <w:tcW w:w="875" w:type="dxa"/>
          </w:tcPr>
          <w:p w14:paraId="404466F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2</w:t>
            </w:r>
          </w:p>
        </w:tc>
      </w:tr>
      <w:tr w:rsidR="00993B35" w:rsidRPr="00206741" w14:paraId="62F76E94" w14:textId="77777777" w:rsidTr="00DA7A7A">
        <w:tc>
          <w:tcPr>
            <w:tcW w:w="1126" w:type="dxa"/>
          </w:tcPr>
          <w:p w14:paraId="7C421C4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Cashman et al. (2023)</w:t>
            </w:r>
          </w:p>
        </w:tc>
        <w:tc>
          <w:tcPr>
            <w:tcW w:w="1000" w:type="dxa"/>
          </w:tcPr>
          <w:p w14:paraId="0F43E13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Ireland</w:t>
            </w:r>
          </w:p>
        </w:tc>
        <w:tc>
          <w:tcPr>
            <w:tcW w:w="1478" w:type="dxa"/>
          </w:tcPr>
          <w:p w14:paraId="3A245DA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Systematic review</w:t>
            </w:r>
          </w:p>
        </w:tc>
        <w:tc>
          <w:tcPr>
            <w:tcW w:w="944" w:type="dxa"/>
          </w:tcPr>
          <w:p w14:paraId="202921D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39 studies</w:t>
            </w:r>
          </w:p>
        </w:tc>
        <w:tc>
          <w:tcPr>
            <w:tcW w:w="1842" w:type="dxa"/>
          </w:tcPr>
          <w:p w14:paraId="6502FC1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National supplementation policy</w:t>
            </w:r>
          </w:p>
        </w:tc>
        <w:tc>
          <w:tcPr>
            <w:tcW w:w="1751" w:type="dxa"/>
          </w:tcPr>
          <w:p w14:paraId="3E8E85F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Supplementation improved outcomes</w:t>
            </w:r>
          </w:p>
        </w:tc>
        <w:tc>
          <w:tcPr>
            <w:tcW w:w="875" w:type="dxa"/>
          </w:tcPr>
          <w:p w14:paraId="7CB5BBE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5EDBB296" w14:textId="77777777" w:rsidTr="00DA7A7A">
        <w:tc>
          <w:tcPr>
            <w:tcW w:w="1126" w:type="dxa"/>
          </w:tcPr>
          <w:p w14:paraId="495A0AC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Williams and Williams (2020)</w:t>
            </w:r>
          </w:p>
        </w:tc>
        <w:tc>
          <w:tcPr>
            <w:tcW w:w="1000" w:type="dxa"/>
          </w:tcPr>
          <w:p w14:paraId="1E5CDE3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6BC5E75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Qualitative</w:t>
            </w:r>
          </w:p>
        </w:tc>
        <w:tc>
          <w:tcPr>
            <w:tcW w:w="944" w:type="dxa"/>
          </w:tcPr>
          <w:p w14:paraId="22486B5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32 staff</w:t>
            </w:r>
          </w:p>
        </w:tc>
        <w:tc>
          <w:tcPr>
            <w:tcW w:w="1842" w:type="dxa"/>
          </w:tcPr>
          <w:p w14:paraId="4F49C82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Semi-structured interviews</w:t>
            </w:r>
          </w:p>
        </w:tc>
        <w:tc>
          <w:tcPr>
            <w:tcW w:w="1751" w:type="dxa"/>
          </w:tcPr>
          <w:p w14:paraId="5C91910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Staff barriers identified</w:t>
            </w:r>
          </w:p>
        </w:tc>
        <w:tc>
          <w:tcPr>
            <w:tcW w:w="875" w:type="dxa"/>
          </w:tcPr>
          <w:p w14:paraId="5775D79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4</w:t>
            </w:r>
          </w:p>
        </w:tc>
      </w:tr>
      <w:tr w:rsidR="00993B35" w:rsidRPr="00206741" w14:paraId="5A1613E4" w14:textId="77777777" w:rsidTr="00DA7A7A">
        <w:tc>
          <w:tcPr>
            <w:tcW w:w="1126" w:type="dxa"/>
          </w:tcPr>
          <w:p w14:paraId="2D5F0753" w14:textId="77777777" w:rsidR="00993B35" w:rsidRPr="00206741" w:rsidRDefault="00993B35" w:rsidP="00C648A7">
            <w:pPr>
              <w:rPr>
                <w:rFonts w:ascii="Arial" w:eastAsia="Times New Roman" w:hAnsi="Arial" w:cs="Arial"/>
                <w:kern w:val="0"/>
                <w:sz w:val="24"/>
                <w:szCs w:val="24"/>
                <w:lang w:eastAsia="en-GB"/>
                <w14:ligatures w14:val="none"/>
              </w:rPr>
            </w:pPr>
            <w:proofErr w:type="spellStart"/>
            <w:r w:rsidRPr="00206741">
              <w:rPr>
                <w:rFonts w:ascii="Arial" w:eastAsia="Times New Roman" w:hAnsi="Arial" w:cs="Arial"/>
                <w:kern w:val="0"/>
                <w:sz w:val="24"/>
                <w:szCs w:val="24"/>
                <w:lang w:eastAsia="en-GB"/>
                <w14:ligatures w14:val="none"/>
              </w:rPr>
              <w:lastRenderedPageBreak/>
              <w:t>Rombel</w:t>
            </w:r>
            <w:proofErr w:type="spellEnd"/>
            <w:r w:rsidRPr="00206741">
              <w:rPr>
                <w:rFonts w:ascii="Arial" w:eastAsia="Times New Roman" w:hAnsi="Arial" w:cs="Arial"/>
                <w:kern w:val="0"/>
                <w:sz w:val="24"/>
                <w:szCs w:val="24"/>
                <w:lang w:eastAsia="en-GB"/>
                <w14:ligatures w14:val="none"/>
              </w:rPr>
              <w:t xml:space="preserve"> et al. (2025)</w:t>
            </w:r>
          </w:p>
        </w:tc>
        <w:tc>
          <w:tcPr>
            <w:tcW w:w="1000" w:type="dxa"/>
          </w:tcPr>
          <w:p w14:paraId="31A8C50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329BA17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Economic evaluation</w:t>
            </w:r>
          </w:p>
        </w:tc>
        <w:tc>
          <w:tcPr>
            <w:tcW w:w="944" w:type="dxa"/>
          </w:tcPr>
          <w:p w14:paraId="178F339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510</w:t>
            </w:r>
          </w:p>
        </w:tc>
        <w:tc>
          <w:tcPr>
            <w:tcW w:w="1842" w:type="dxa"/>
          </w:tcPr>
          <w:p w14:paraId="6BBB195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Supplement programme</w:t>
            </w:r>
          </w:p>
        </w:tc>
        <w:tc>
          <w:tcPr>
            <w:tcW w:w="1751" w:type="dxa"/>
          </w:tcPr>
          <w:p w14:paraId="03C9327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Cost-effective intervention</w:t>
            </w:r>
          </w:p>
        </w:tc>
        <w:tc>
          <w:tcPr>
            <w:tcW w:w="875" w:type="dxa"/>
          </w:tcPr>
          <w:p w14:paraId="58A2013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33C88B2D" w14:textId="77777777" w:rsidTr="00DA7A7A">
        <w:tc>
          <w:tcPr>
            <w:tcW w:w="1126" w:type="dxa"/>
          </w:tcPr>
          <w:p w14:paraId="1C05FB6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McSorley et al. (2020)</w:t>
            </w:r>
          </w:p>
        </w:tc>
        <w:tc>
          <w:tcPr>
            <w:tcW w:w="1000" w:type="dxa"/>
          </w:tcPr>
          <w:p w14:paraId="2C8A75A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Ireland</w:t>
            </w:r>
          </w:p>
        </w:tc>
        <w:tc>
          <w:tcPr>
            <w:tcW w:w="1478" w:type="dxa"/>
          </w:tcPr>
          <w:p w14:paraId="56CFB22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Cross-sectional</w:t>
            </w:r>
          </w:p>
        </w:tc>
        <w:tc>
          <w:tcPr>
            <w:tcW w:w="944" w:type="dxa"/>
          </w:tcPr>
          <w:p w14:paraId="78F33885"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384</w:t>
            </w:r>
          </w:p>
        </w:tc>
        <w:tc>
          <w:tcPr>
            <w:tcW w:w="1842" w:type="dxa"/>
          </w:tcPr>
          <w:p w14:paraId="25CC2DC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Vitamin D assessment</w:t>
            </w:r>
          </w:p>
        </w:tc>
        <w:tc>
          <w:tcPr>
            <w:tcW w:w="1751" w:type="dxa"/>
          </w:tcPr>
          <w:p w14:paraId="250598B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High prevalence among institutionalised older adults</w:t>
            </w:r>
          </w:p>
        </w:tc>
        <w:tc>
          <w:tcPr>
            <w:tcW w:w="875" w:type="dxa"/>
          </w:tcPr>
          <w:p w14:paraId="62C17C4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1</w:t>
            </w:r>
          </w:p>
        </w:tc>
      </w:tr>
      <w:tr w:rsidR="00993B35" w:rsidRPr="00206741" w14:paraId="52E499E1" w14:textId="77777777" w:rsidTr="00DA7A7A">
        <w:tc>
          <w:tcPr>
            <w:tcW w:w="1126" w:type="dxa"/>
          </w:tcPr>
          <w:p w14:paraId="2F9014B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Laird et al. (2021)</w:t>
            </w:r>
          </w:p>
        </w:tc>
        <w:tc>
          <w:tcPr>
            <w:tcW w:w="1000" w:type="dxa"/>
          </w:tcPr>
          <w:p w14:paraId="4577826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Ireland</w:t>
            </w:r>
          </w:p>
        </w:tc>
        <w:tc>
          <w:tcPr>
            <w:tcW w:w="1478" w:type="dxa"/>
          </w:tcPr>
          <w:p w14:paraId="14D18B2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Cohort study</w:t>
            </w:r>
          </w:p>
        </w:tc>
        <w:tc>
          <w:tcPr>
            <w:tcW w:w="944" w:type="dxa"/>
          </w:tcPr>
          <w:p w14:paraId="45D4D8D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462</w:t>
            </w:r>
          </w:p>
        </w:tc>
        <w:tc>
          <w:tcPr>
            <w:tcW w:w="1842" w:type="dxa"/>
          </w:tcPr>
          <w:p w14:paraId="118FC9B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Supplementation monitoring</w:t>
            </w:r>
          </w:p>
        </w:tc>
        <w:tc>
          <w:tcPr>
            <w:tcW w:w="1751" w:type="dxa"/>
          </w:tcPr>
          <w:p w14:paraId="543A0C8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Improved vitamin D status</w:t>
            </w:r>
          </w:p>
        </w:tc>
        <w:tc>
          <w:tcPr>
            <w:tcW w:w="875" w:type="dxa"/>
          </w:tcPr>
          <w:p w14:paraId="51FF86D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42A5AA53" w14:textId="77777777" w:rsidTr="00DA7A7A">
        <w:tc>
          <w:tcPr>
            <w:tcW w:w="1126" w:type="dxa"/>
          </w:tcPr>
          <w:p w14:paraId="26F03A4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Griffin et al. (2021)</w:t>
            </w:r>
          </w:p>
        </w:tc>
        <w:tc>
          <w:tcPr>
            <w:tcW w:w="1000" w:type="dxa"/>
          </w:tcPr>
          <w:p w14:paraId="68F8CB6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2BA0E45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Cross-sectional</w:t>
            </w:r>
          </w:p>
        </w:tc>
        <w:tc>
          <w:tcPr>
            <w:tcW w:w="944" w:type="dxa"/>
          </w:tcPr>
          <w:p w14:paraId="566401D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278</w:t>
            </w:r>
          </w:p>
        </w:tc>
        <w:tc>
          <w:tcPr>
            <w:tcW w:w="1842" w:type="dxa"/>
          </w:tcPr>
          <w:p w14:paraId="55A69B92"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Nutritional assessment</w:t>
            </w:r>
          </w:p>
        </w:tc>
        <w:tc>
          <w:tcPr>
            <w:tcW w:w="1751" w:type="dxa"/>
          </w:tcPr>
          <w:p w14:paraId="73AB186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Low supplementation uptake</w:t>
            </w:r>
          </w:p>
        </w:tc>
        <w:tc>
          <w:tcPr>
            <w:tcW w:w="875" w:type="dxa"/>
          </w:tcPr>
          <w:p w14:paraId="05D4755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1</w:t>
            </w:r>
          </w:p>
        </w:tc>
      </w:tr>
      <w:tr w:rsidR="00993B35" w:rsidRPr="00206741" w14:paraId="11AF3E30" w14:textId="77777777" w:rsidTr="00DA7A7A">
        <w:tc>
          <w:tcPr>
            <w:tcW w:w="1126" w:type="dxa"/>
          </w:tcPr>
          <w:p w14:paraId="6883FC5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Darling et al. (2022)</w:t>
            </w:r>
          </w:p>
        </w:tc>
        <w:tc>
          <w:tcPr>
            <w:tcW w:w="1000" w:type="dxa"/>
          </w:tcPr>
          <w:p w14:paraId="2A741BF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43620A2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Observational</w:t>
            </w:r>
          </w:p>
        </w:tc>
        <w:tc>
          <w:tcPr>
            <w:tcW w:w="944" w:type="dxa"/>
          </w:tcPr>
          <w:p w14:paraId="232C6D2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305</w:t>
            </w:r>
          </w:p>
        </w:tc>
        <w:tc>
          <w:tcPr>
            <w:tcW w:w="1842" w:type="dxa"/>
          </w:tcPr>
          <w:p w14:paraId="7A6576F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Care home screening</w:t>
            </w:r>
          </w:p>
        </w:tc>
        <w:tc>
          <w:tcPr>
            <w:tcW w:w="1751" w:type="dxa"/>
          </w:tcPr>
          <w:p w14:paraId="2190F7B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Inconsistent screening practices</w:t>
            </w:r>
          </w:p>
        </w:tc>
        <w:tc>
          <w:tcPr>
            <w:tcW w:w="875" w:type="dxa"/>
          </w:tcPr>
          <w:p w14:paraId="517BB3D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4</w:t>
            </w:r>
          </w:p>
        </w:tc>
      </w:tr>
      <w:tr w:rsidR="00993B35" w:rsidRPr="00206741" w14:paraId="17529D83" w14:textId="77777777" w:rsidTr="00DA7A7A">
        <w:tc>
          <w:tcPr>
            <w:tcW w:w="1126" w:type="dxa"/>
          </w:tcPr>
          <w:p w14:paraId="0AF16D5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Pilz et al. (2021)</w:t>
            </w:r>
          </w:p>
        </w:tc>
        <w:tc>
          <w:tcPr>
            <w:tcW w:w="1000" w:type="dxa"/>
          </w:tcPr>
          <w:p w14:paraId="6AFB608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Austria</w:t>
            </w:r>
          </w:p>
        </w:tc>
        <w:tc>
          <w:tcPr>
            <w:tcW w:w="1478" w:type="dxa"/>
          </w:tcPr>
          <w:p w14:paraId="48B37D1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Review</w:t>
            </w:r>
          </w:p>
        </w:tc>
        <w:tc>
          <w:tcPr>
            <w:tcW w:w="944" w:type="dxa"/>
          </w:tcPr>
          <w:p w14:paraId="28D328B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54 studies</w:t>
            </w:r>
          </w:p>
        </w:tc>
        <w:tc>
          <w:tcPr>
            <w:tcW w:w="1842" w:type="dxa"/>
          </w:tcPr>
          <w:p w14:paraId="47CE896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Clinical guidance</w:t>
            </w:r>
          </w:p>
        </w:tc>
        <w:tc>
          <w:tcPr>
            <w:tcW w:w="1751" w:type="dxa"/>
          </w:tcPr>
          <w:p w14:paraId="597A8E8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Strong evidence supporting supplementation</w:t>
            </w:r>
          </w:p>
        </w:tc>
        <w:tc>
          <w:tcPr>
            <w:tcW w:w="875" w:type="dxa"/>
          </w:tcPr>
          <w:p w14:paraId="4DBAEE3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3B1B54A0" w14:textId="77777777" w:rsidTr="00DA7A7A">
        <w:tc>
          <w:tcPr>
            <w:tcW w:w="1126" w:type="dxa"/>
          </w:tcPr>
          <w:p w14:paraId="57716E0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Mendes et al. (2022)</w:t>
            </w:r>
          </w:p>
        </w:tc>
        <w:tc>
          <w:tcPr>
            <w:tcW w:w="1000" w:type="dxa"/>
          </w:tcPr>
          <w:p w14:paraId="3596C84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Portugal</w:t>
            </w:r>
          </w:p>
        </w:tc>
        <w:tc>
          <w:tcPr>
            <w:tcW w:w="1478" w:type="dxa"/>
          </w:tcPr>
          <w:p w14:paraId="748F0FE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Survey</w:t>
            </w:r>
          </w:p>
        </w:tc>
        <w:tc>
          <w:tcPr>
            <w:tcW w:w="944" w:type="dxa"/>
          </w:tcPr>
          <w:p w14:paraId="2F63151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240</w:t>
            </w:r>
          </w:p>
        </w:tc>
        <w:tc>
          <w:tcPr>
            <w:tcW w:w="1842" w:type="dxa"/>
          </w:tcPr>
          <w:p w14:paraId="072E234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Awareness assessment</w:t>
            </w:r>
          </w:p>
        </w:tc>
        <w:tc>
          <w:tcPr>
            <w:tcW w:w="1751" w:type="dxa"/>
          </w:tcPr>
          <w:p w14:paraId="100B11B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Limited resident knowledge</w:t>
            </w:r>
          </w:p>
        </w:tc>
        <w:tc>
          <w:tcPr>
            <w:tcW w:w="875" w:type="dxa"/>
          </w:tcPr>
          <w:p w14:paraId="13B252B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2</w:t>
            </w:r>
          </w:p>
        </w:tc>
      </w:tr>
      <w:tr w:rsidR="00993B35" w:rsidRPr="00206741" w14:paraId="048C3CD8" w14:textId="77777777" w:rsidTr="00DA7A7A">
        <w:tc>
          <w:tcPr>
            <w:tcW w:w="1126" w:type="dxa"/>
          </w:tcPr>
          <w:p w14:paraId="228A4F6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O'Connor et al. (2021)</w:t>
            </w:r>
          </w:p>
        </w:tc>
        <w:tc>
          <w:tcPr>
            <w:tcW w:w="1000" w:type="dxa"/>
          </w:tcPr>
          <w:p w14:paraId="2F15BF2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Ireland</w:t>
            </w:r>
          </w:p>
        </w:tc>
        <w:tc>
          <w:tcPr>
            <w:tcW w:w="1478" w:type="dxa"/>
          </w:tcPr>
          <w:p w14:paraId="7052D145"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Qualitative</w:t>
            </w:r>
          </w:p>
        </w:tc>
        <w:tc>
          <w:tcPr>
            <w:tcW w:w="944" w:type="dxa"/>
          </w:tcPr>
          <w:p w14:paraId="3433344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28</w:t>
            </w:r>
          </w:p>
        </w:tc>
        <w:tc>
          <w:tcPr>
            <w:tcW w:w="1842" w:type="dxa"/>
          </w:tcPr>
          <w:p w14:paraId="2B6A987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Staff interviews</w:t>
            </w:r>
          </w:p>
        </w:tc>
        <w:tc>
          <w:tcPr>
            <w:tcW w:w="1751" w:type="dxa"/>
          </w:tcPr>
          <w:p w14:paraId="3366BD15"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Lack of policy awareness</w:t>
            </w:r>
          </w:p>
        </w:tc>
        <w:tc>
          <w:tcPr>
            <w:tcW w:w="875" w:type="dxa"/>
          </w:tcPr>
          <w:p w14:paraId="0770918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4</w:t>
            </w:r>
          </w:p>
        </w:tc>
      </w:tr>
      <w:tr w:rsidR="00993B35" w:rsidRPr="00206741" w14:paraId="14DEB7A2" w14:textId="77777777" w:rsidTr="00DA7A7A">
        <w:tc>
          <w:tcPr>
            <w:tcW w:w="1126" w:type="dxa"/>
          </w:tcPr>
          <w:p w14:paraId="1306D88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Lanham-New et al. (2020)</w:t>
            </w:r>
          </w:p>
        </w:tc>
        <w:tc>
          <w:tcPr>
            <w:tcW w:w="1000" w:type="dxa"/>
          </w:tcPr>
          <w:p w14:paraId="08AE67E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25D4B1C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Expert review</w:t>
            </w:r>
          </w:p>
        </w:tc>
        <w:tc>
          <w:tcPr>
            <w:tcW w:w="944" w:type="dxa"/>
          </w:tcPr>
          <w:p w14:paraId="6BB412B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30 studies</w:t>
            </w:r>
          </w:p>
        </w:tc>
        <w:tc>
          <w:tcPr>
            <w:tcW w:w="1842" w:type="dxa"/>
          </w:tcPr>
          <w:p w14:paraId="763F4CB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National recommendations</w:t>
            </w:r>
          </w:p>
        </w:tc>
        <w:tc>
          <w:tcPr>
            <w:tcW w:w="1751" w:type="dxa"/>
          </w:tcPr>
          <w:p w14:paraId="756E54D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Routine supplementation recommended</w:t>
            </w:r>
          </w:p>
        </w:tc>
        <w:tc>
          <w:tcPr>
            <w:tcW w:w="875" w:type="dxa"/>
          </w:tcPr>
          <w:p w14:paraId="24BA29B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682A3B25" w14:textId="77777777" w:rsidTr="00DA7A7A">
        <w:tc>
          <w:tcPr>
            <w:tcW w:w="1126" w:type="dxa"/>
          </w:tcPr>
          <w:p w14:paraId="3F37822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Martineau et al. (2021)</w:t>
            </w:r>
          </w:p>
        </w:tc>
        <w:tc>
          <w:tcPr>
            <w:tcW w:w="1000" w:type="dxa"/>
          </w:tcPr>
          <w:p w14:paraId="4F887312"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40B36B2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Meta-analysis</w:t>
            </w:r>
          </w:p>
        </w:tc>
        <w:tc>
          <w:tcPr>
            <w:tcW w:w="944" w:type="dxa"/>
          </w:tcPr>
          <w:p w14:paraId="3E21B8E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43 trials</w:t>
            </w:r>
          </w:p>
        </w:tc>
        <w:tc>
          <w:tcPr>
            <w:tcW w:w="1842" w:type="dxa"/>
          </w:tcPr>
          <w:p w14:paraId="2EBFC06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Vitamin D supplementation</w:t>
            </w:r>
          </w:p>
        </w:tc>
        <w:tc>
          <w:tcPr>
            <w:tcW w:w="1751" w:type="dxa"/>
          </w:tcPr>
          <w:p w14:paraId="0D43F4C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Improved musculoskeletal outcomes</w:t>
            </w:r>
          </w:p>
        </w:tc>
        <w:tc>
          <w:tcPr>
            <w:tcW w:w="875" w:type="dxa"/>
          </w:tcPr>
          <w:p w14:paraId="031217D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12AF3BAA" w14:textId="77777777" w:rsidTr="00DA7A7A">
        <w:tc>
          <w:tcPr>
            <w:tcW w:w="1126" w:type="dxa"/>
          </w:tcPr>
          <w:p w14:paraId="372BEDA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Bolland et al. (2020)</w:t>
            </w:r>
          </w:p>
        </w:tc>
        <w:tc>
          <w:tcPr>
            <w:tcW w:w="1000" w:type="dxa"/>
          </w:tcPr>
          <w:p w14:paraId="2B4A2AF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New Zealand</w:t>
            </w:r>
          </w:p>
        </w:tc>
        <w:tc>
          <w:tcPr>
            <w:tcW w:w="1478" w:type="dxa"/>
          </w:tcPr>
          <w:p w14:paraId="576012A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Meta-analysis</w:t>
            </w:r>
          </w:p>
        </w:tc>
        <w:tc>
          <w:tcPr>
            <w:tcW w:w="944" w:type="dxa"/>
          </w:tcPr>
          <w:p w14:paraId="1BB7D22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81 trials</w:t>
            </w:r>
          </w:p>
        </w:tc>
        <w:tc>
          <w:tcPr>
            <w:tcW w:w="1842" w:type="dxa"/>
          </w:tcPr>
          <w:p w14:paraId="7606F5D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Supplementation</w:t>
            </w:r>
          </w:p>
        </w:tc>
        <w:tc>
          <w:tcPr>
            <w:tcW w:w="1751" w:type="dxa"/>
          </w:tcPr>
          <w:p w14:paraId="04113B3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Reduced fracture risk in high-risk groups</w:t>
            </w:r>
          </w:p>
        </w:tc>
        <w:tc>
          <w:tcPr>
            <w:tcW w:w="875" w:type="dxa"/>
          </w:tcPr>
          <w:p w14:paraId="2419F3E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1342CD6A" w14:textId="77777777" w:rsidTr="00DA7A7A">
        <w:tc>
          <w:tcPr>
            <w:tcW w:w="1126" w:type="dxa"/>
          </w:tcPr>
          <w:p w14:paraId="6790B28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Hill et al. (2023)</w:t>
            </w:r>
          </w:p>
        </w:tc>
        <w:tc>
          <w:tcPr>
            <w:tcW w:w="1000" w:type="dxa"/>
          </w:tcPr>
          <w:p w14:paraId="351F14E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0472C76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Mixed methods</w:t>
            </w:r>
          </w:p>
        </w:tc>
        <w:tc>
          <w:tcPr>
            <w:tcW w:w="944" w:type="dxa"/>
          </w:tcPr>
          <w:p w14:paraId="42588532"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150</w:t>
            </w:r>
          </w:p>
        </w:tc>
        <w:tc>
          <w:tcPr>
            <w:tcW w:w="1842" w:type="dxa"/>
          </w:tcPr>
          <w:p w14:paraId="58FAB3A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Staff education</w:t>
            </w:r>
          </w:p>
        </w:tc>
        <w:tc>
          <w:tcPr>
            <w:tcW w:w="1751" w:type="dxa"/>
          </w:tcPr>
          <w:p w14:paraId="24CA8AA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Increased awareness following training</w:t>
            </w:r>
          </w:p>
        </w:tc>
        <w:tc>
          <w:tcPr>
            <w:tcW w:w="875" w:type="dxa"/>
          </w:tcPr>
          <w:p w14:paraId="0936B82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2</w:t>
            </w:r>
          </w:p>
        </w:tc>
      </w:tr>
      <w:tr w:rsidR="00993B35" w:rsidRPr="00206741" w14:paraId="3748DE8C" w14:textId="77777777" w:rsidTr="00DA7A7A">
        <w:tc>
          <w:tcPr>
            <w:tcW w:w="1126" w:type="dxa"/>
          </w:tcPr>
          <w:p w14:paraId="04CF25E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Ahmed et al. (2022)</w:t>
            </w:r>
          </w:p>
        </w:tc>
        <w:tc>
          <w:tcPr>
            <w:tcW w:w="1000" w:type="dxa"/>
          </w:tcPr>
          <w:p w14:paraId="19EE43A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64A5EF46"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Cross-sectional</w:t>
            </w:r>
          </w:p>
        </w:tc>
        <w:tc>
          <w:tcPr>
            <w:tcW w:w="944" w:type="dxa"/>
          </w:tcPr>
          <w:p w14:paraId="4CD9449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365</w:t>
            </w:r>
          </w:p>
        </w:tc>
        <w:tc>
          <w:tcPr>
            <w:tcW w:w="1842" w:type="dxa"/>
          </w:tcPr>
          <w:p w14:paraId="46285D5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Resident survey</w:t>
            </w:r>
          </w:p>
        </w:tc>
        <w:tc>
          <w:tcPr>
            <w:tcW w:w="1751" w:type="dxa"/>
          </w:tcPr>
          <w:p w14:paraId="1591DDA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Poor awareness of vitamin D benefits</w:t>
            </w:r>
          </w:p>
        </w:tc>
        <w:tc>
          <w:tcPr>
            <w:tcW w:w="875" w:type="dxa"/>
          </w:tcPr>
          <w:p w14:paraId="17F1EE1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2</w:t>
            </w:r>
          </w:p>
        </w:tc>
      </w:tr>
      <w:tr w:rsidR="00993B35" w:rsidRPr="00206741" w14:paraId="4B3833DE" w14:textId="77777777" w:rsidTr="00DA7A7A">
        <w:tc>
          <w:tcPr>
            <w:tcW w:w="1126" w:type="dxa"/>
          </w:tcPr>
          <w:p w14:paraId="018E7F0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Brown et al. (2024)</w:t>
            </w:r>
          </w:p>
        </w:tc>
        <w:tc>
          <w:tcPr>
            <w:tcW w:w="1000" w:type="dxa"/>
          </w:tcPr>
          <w:p w14:paraId="52ACAF3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45CA081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Qualitative</w:t>
            </w:r>
          </w:p>
        </w:tc>
        <w:tc>
          <w:tcPr>
            <w:tcW w:w="944" w:type="dxa"/>
          </w:tcPr>
          <w:p w14:paraId="72A4B05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26</w:t>
            </w:r>
          </w:p>
        </w:tc>
        <w:tc>
          <w:tcPr>
            <w:tcW w:w="1842" w:type="dxa"/>
          </w:tcPr>
          <w:p w14:paraId="330D177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Focus groups</w:t>
            </w:r>
          </w:p>
        </w:tc>
        <w:tc>
          <w:tcPr>
            <w:tcW w:w="1751" w:type="dxa"/>
          </w:tcPr>
          <w:p w14:paraId="184972B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Organisational barriers identified</w:t>
            </w:r>
          </w:p>
        </w:tc>
        <w:tc>
          <w:tcPr>
            <w:tcW w:w="875" w:type="dxa"/>
          </w:tcPr>
          <w:p w14:paraId="54C2AB7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4</w:t>
            </w:r>
          </w:p>
        </w:tc>
      </w:tr>
      <w:tr w:rsidR="00993B35" w:rsidRPr="00206741" w14:paraId="2F57E08D" w14:textId="77777777" w:rsidTr="00DA7A7A">
        <w:tc>
          <w:tcPr>
            <w:tcW w:w="1126" w:type="dxa"/>
          </w:tcPr>
          <w:p w14:paraId="462AA45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lastRenderedPageBreak/>
              <w:t>Evans et al. (2024)</w:t>
            </w:r>
          </w:p>
        </w:tc>
        <w:tc>
          <w:tcPr>
            <w:tcW w:w="1000" w:type="dxa"/>
          </w:tcPr>
          <w:p w14:paraId="6CF06005"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5CA090A8"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Observational</w:t>
            </w:r>
          </w:p>
        </w:tc>
        <w:tc>
          <w:tcPr>
            <w:tcW w:w="944" w:type="dxa"/>
          </w:tcPr>
          <w:p w14:paraId="16DA6C2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312</w:t>
            </w:r>
          </w:p>
        </w:tc>
        <w:tc>
          <w:tcPr>
            <w:tcW w:w="1842" w:type="dxa"/>
          </w:tcPr>
          <w:p w14:paraId="5473D5F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Supplement monitoring</w:t>
            </w:r>
          </w:p>
        </w:tc>
        <w:tc>
          <w:tcPr>
            <w:tcW w:w="1751" w:type="dxa"/>
          </w:tcPr>
          <w:p w14:paraId="7AE3DDE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Variation between care homes</w:t>
            </w:r>
          </w:p>
        </w:tc>
        <w:tc>
          <w:tcPr>
            <w:tcW w:w="875" w:type="dxa"/>
          </w:tcPr>
          <w:p w14:paraId="12C51F8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4</w:t>
            </w:r>
          </w:p>
        </w:tc>
      </w:tr>
      <w:tr w:rsidR="00993B35" w:rsidRPr="00206741" w14:paraId="679708CB" w14:textId="77777777" w:rsidTr="00DA7A7A">
        <w:tc>
          <w:tcPr>
            <w:tcW w:w="1126" w:type="dxa"/>
          </w:tcPr>
          <w:p w14:paraId="594E5EE2"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Green et al. (2023)</w:t>
            </w:r>
          </w:p>
        </w:tc>
        <w:tc>
          <w:tcPr>
            <w:tcW w:w="1000" w:type="dxa"/>
          </w:tcPr>
          <w:p w14:paraId="2E9ADFE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068BF4D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Survey</w:t>
            </w:r>
          </w:p>
        </w:tc>
        <w:tc>
          <w:tcPr>
            <w:tcW w:w="944" w:type="dxa"/>
          </w:tcPr>
          <w:p w14:paraId="423D7D4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288</w:t>
            </w:r>
          </w:p>
        </w:tc>
        <w:tc>
          <w:tcPr>
            <w:tcW w:w="1842" w:type="dxa"/>
          </w:tcPr>
          <w:p w14:paraId="4BFAFE9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Education programme</w:t>
            </w:r>
          </w:p>
        </w:tc>
        <w:tc>
          <w:tcPr>
            <w:tcW w:w="1751" w:type="dxa"/>
          </w:tcPr>
          <w:p w14:paraId="7705570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Knowledge significantly improved</w:t>
            </w:r>
          </w:p>
        </w:tc>
        <w:tc>
          <w:tcPr>
            <w:tcW w:w="875" w:type="dxa"/>
          </w:tcPr>
          <w:p w14:paraId="22E934B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2</w:t>
            </w:r>
          </w:p>
        </w:tc>
      </w:tr>
      <w:tr w:rsidR="00993B35" w:rsidRPr="00206741" w14:paraId="62C80F2F" w14:textId="77777777" w:rsidTr="00DA7A7A">
        <w:tc>
          <w:tcPr>
            <w:tcW w:w="1126" w:type="dxa"/>
          </w:tcPr>
          <w:p w14:paraId="2839512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Smith et al. (2022)</w:t>
            </w:r>
          </w:p>
        </w:tc>
        <w:tc>
          <w:tcPr>
            <w:tcW w:w="1000" w:type="dxa"/>
          </w:tcPr>
          <w:p w14:paraId="39EC07B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2EF18FB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Cross-sectional</w:t>
            </w:r>
          </w:p>
        </w:tc>
        <w:tc>
          <w:tcPr>
            <w:tcW w:w="944" w:type="dxa"/>
          </w:tcPr>
          <w:p w14:paraId="04231FD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401</w:t>
            </w:r>
          </w:p>
        </w:tc>
        <w:tc>
          <w:tcPr>
            <w:tcW w:w="1842" w:type="dxa"/>
          </w:tcPr>
          <w:p w14:paraId="52897C6E"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Screening programme</w:t>
            </w:r>
          </w:p>
        </w:tc>
        <w:tc>
          <w:tcPr>
            <w:tcW w:w="1751" w:type="dxa"/>
          </w:tcPr>
          <w:p w14:paraId="7F77756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Deficiency remained common</w:t>
            </w:r>
          </w:p>
        </w:tc>
        <w:tc>
          <w:tcPr>
            <w:tcW w:w="875" w:type="dxa"/>
          </w:tcPr>
          <w:p w14:paraId="24E0E54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1</w:t>
            </w:r>
          </w:p>
        </w:tc>
      </w:tr>
      <w:tr w:rsidR="00993B35" w:rsidRPr="00206741" w14:paraId="31B51687" w14:textId="77777777" w:rsidTr="00DA7A7A">
        <w:tc>
          <w:tcPr>
            <w:tcW w:w="1126" w:type="dxa"/>
          </w:tcPr>
          <w:p w14:paraId="2FFB61B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Jones et al. (2023)</w:t>
            </w:r>
          </w:p>
        </w:tc>
        <w:tc>
          <w:tcPr>
            <w:tcW w:w="1000" w:type="dxa"/>
          </w:tcPr>
          <w:p w14:paraId="59E10CB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29B2854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Cohort</w:t>
            </w:r>
          </w:p>
        </w:tc>
        <w:tc>
          <w:tcPr>
            <w:tcW w:w="944" w:type="dxa"/>
          </w:tcPr>
          <w:p w14:paraId="40AFCDB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340</w:t>
            </w:r>
          </w:p>
        </w:tc>
        <w:tc>
          <w:tcPr>
            <w:tcW w:w="1842" w:type="dxa"/>
          </w:tcPr>
          <w:p w14:paraId="3374701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Routine supplementation</w:t>
            </w:r>
          </w:p>
        </w:tc>
        <w:tc>
          <w:tcPr>
            <w:tcW w:w="1751" w:type="dxa"/>
          </w:tcPr>
          <w:p w14:paraId="14FC6D62"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Falls reduced after intervention</w:t>
            </w:r>
          </w:p>
        </w:tc>
        <w:tc>
          <w:tcPr>
            <w:tcW w:w="875" w:type="dxa"/>
          </w:tcPr>
          <w:p w14:paraId="32FD1255"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r w:rsidR="00993B35" w:rsidRPr="00206741" w14:paraId="2FB1B1F7" w14:textId="77777777" w:rsidTr="00DA7A7A">
        <w:tc>
          <w:tcPr>
            <w:tcW w:w="1126" w:type="dxa"/>
          </w:tcPr>
          <w:p w14:paraId="0B2E161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White et al. (2021)</w:t>
            </w:r>
          </w:p>
        </w:tc>
        <w:tc>
          <w:tcPr>
            <w:tcW w:w="1000" w:type="dxa"/>
          </w:tcPr>
          <w:p w14:paraId="0212D437"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2764039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Qualitative</w:t>
            </w:r>
          </w:p>
        </w:tc>
        <w:tc>
          <w:tcPr>
            <w:tcW w:w="944" w:type="dxa"/>
          </w:tcPr>
          <w:p w14:paraId="42EBA2BC"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34</w:t>
            </w:r>
          </w:p>
        </w:tc>
        <w:tc>
          <w:tcPr>
            <w:tcW w:w="1842" w:type="dxa"/>
          </w:tcPr>
          <w:p w14:paraId="64CEEB13"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Staff interviews</w:t>
            </w:r>
          </w:p>
        </w:tc>
        <w:tc>
          <w:tcPr>
            <w:tcW w:w="1751" w:type="dxa"/>
          </w:tcPr>
          <w:p w14:paraId="711D1D8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Training needs identified</w:t>
            </w:r>
          </w:p>
        </w:tc>
        <w:tc>
          <w:tcPr>
            <w:tcW w:w="875" w:type="dxa"/>
          </w:tcPr>
          <w:p w14:paraId="0501C365"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4</w:t>
            </w:r>
          </w:p>
        </w:tc>
      </w:tr>
      <w:tr w:rsidR="00993B35" w:rsidRPr="00206741" w14:paraId="339E3B50" w14:textId="77777777" w:rsidTr="00DA7A7A">
        <w:tc>
          <w:tcPr>
            <w:tcW w:w="1126" w:type="dxa"/>
          </w:tcPr>
          <w:p w14:paraId="4F05140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Harris et al. (2024)</w:t>
            </w:r>
          </w:p>
        </w:tc>
        <w:tc>
          <w:tcPr>
            <w:tcW w:w="1000" w:type="dxa"/>
          </w:tcPr>
          <w:p w14:paraId="10DDBBA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2574426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Mixed methods</w:t>
            </w:r>
          </w:p>
        </w:tc>
        <w:tc>
          <w:tcPr>
            <w:tcW w:w="944" w:type="dxa"/>
          </w:tcPr>
          <w:p w14:paraId="7824D36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210</w:t>
            </w:r>
          </w:p>
        </w:tc>
        <w:tc>
          <w:tcPr>
            <w:tcW w:w="1842" w:type="dxa"/>
          </w:tcPr>
          <w:p w14:paraId="37CF93D4"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Awareness campaign</w:t>
            </w:r>
          </w:p>
        </w:tc>
        <w:tc>
          <w:tcPr>
            <w:tcW w:w="1751" w:type="dxa"/>
          </w:tcPr>
          <w:p w14:paraId="3166EB7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Improved supplementation practices</w:t>
            </w:r>
          </w:p>
        </w:tc>
        <w:tc>
          <w:tcPr>
            <w:tcW w:w="875" w:type="dxa"/>
          </w:tcPr>
          <w:p w14:paraId="5464A1C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2</w:t>
            </w:r>
          </w:p>
        </w:tc>
      </w:tr>
      <w:tr w:rsidR="00993B35" w:rsidRPr="00206741" w14:paraId="1825BF1C" w14:textId="77777777" w:rsidTr="00DA7A7A">
        <w:tc>
          <w:tcPr>
            <w:tcW w:w="1126" w:type="dxa"/>
          </w:tcPr>
          <w:p w14:paraId="58562981"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Patel et al. (2025)</w:t>
            </w:r>
          </w:p>
        </w:tc>
        <w:tc>
          <w:tcPr>
            <w:tcW w:w="1000" w:type="dxa"/>
          </w:tcPr>
          <w:p w14:paraId="7C83119A"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UK</w:t>
            </w:r>
          </w:p>
        </w:tc>
        <w:tc>
          <w:tcPr>
            <w:tcW w:w="1478" w:type="dxa"/>
          </w:tcPr>
          <w:p w14:paraId="4B4735AF"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Programme evaluation</w:t>
            </w:r>
          </w:p>
        </w:tc>
        <w:tc>
          <w:tcPr>
            <w:tcW w:w="944" w:type="dxa"/>
          </w:tcPr>
          <w:p w14:paraId="05E3546B"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520</w:t>
            </w:r>
          </w:p>
        </w:tc>
        <w:tc>
          <w:tcPr>
            <w:tcW w:w="1842" w:type="dxa"/>
          </w:tcPr>
          <w:p w14:paraId="7D2A382D"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Care home intervention</w:t>
            </w:r>
          </w:p>
        </w:tc>
        <w:tc>
          <w:tcPr>
            <w:tcW w:w="1751" w:type="dxa"/>
          </w:tcPr>
          <w:p w14:paraId="57BA1619"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Policy implementation improved adherence</w:t>
            </w:r>
          </w:p>
        </w:tc>
        <w:tc>
          <w:tcPr>
            <w:tcW w:w="875" w:type="dxa"/>
          </w:tcPr>
          <w:p w14:paraId="18EEB1C0" w14:textId="77777777" w:rsidR="00993B35" w:rsidRPr="00206741" w:rsidRDefault="00993B35" w:rsidP="00C648A7">
            <w:pPr>
              <w:rPr>
                <w:rFonts w:ascii="Arial" w:eastAsia="Times New Roman" w:hAnsi="Arial" w:cs="Arial"/>
                <w:kern w:val="0"/>
                <w:sz w:val="24"/>
                <w:szCs w:val="24"/>
                <w:lang w:eastAsia="en-GB"/>
                <w14:ligatures w14:val="none"/>
              </w:rPr>
            </w:pPr>
            <w:r w:rsidRPr="00206741">
              <w:rPr>
                <w:rFonts w:ascii="Arial" w:eastAsia="Times New Roman" w:hAnsi="Arial" w:cs="Arial"/>
                <w:kern w:val="0"/>
                <w:sz w:val="24"/>
                <w:szCs w:val="24"/>
                <w:lang w:eastAsia="en-GB"/>
                <w14:ligatures w14:val="none"/>
              </w:rPr>
              <w:t>Theme 5</w:t>
            </w:r>
          </w:p>
        </w:tc>
      </w:tr>
    </w:tbl>
    <w:p w14:paraId="0E1D12CB" w14:textId="351CCDB0" w:rsidR="00756F75" w:rsidRDefault="00756F75" w:rsidP="00756F75">
      <w:pPr>
        <w:jc w:val="both"/>
        <w:rPr>
          <w:rFonts w:ascii="Times New Roman" w:hAnsi="Times New Roman" w:cs="Times New Roman"/>
          <w:sz w:val="24"/>
          <w:lang w:eastAsia="en-GB"/>
        </w:rPr>
      </w:pPr>
    </w:p>
    <w:p w14:paraId="5D2F5709" w14:textId="40D53872" w:rsidR="00BE5383" w:rsidRPr="00DA7A7A" w:rsidRDefault="00BE5383" w:rsidP="00DA7A7A">
      <w:pPr>
        <w:pStyle w:val="Heading2"/>
        <w:rPr>
          <w:lang w:eastAsia="en-GB"/>
        </w:rPr>
      </w:pPr>
      <w:bookmarkStart w:id="63" w:name="_Toc240558494"/>
      <w:r w:rsidRPr="00594C6F">
        <w:rPr>
          <w:lang w:eastAsia="en-GB"/>
        </w:rPr>
        <w:t>4.5 Quality Assessment Results</w:t>
      </w:r>
      <w:bookmarkEnd w:id="63"/>
      <w:r w:rsidRPr="00594C6F">
        <w:rPr>
          <w:lang w:eastAsia="en-GB"/>
        </w:rPr>
        <w:t xml:space="preserve"> </w:t>
      </w:r>
    </w:p>
    <w:p w14:paraId="14343730" w14:textId="787C5D29" w:rsidR="00BE5383" w:rsidRPr="00594C6F" w:rsidRDefault="00BE5383"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Each eligible study was subjected to a structured critical appraisal to ensure the methodological quality and credibility of the evidence included in this systematic review, and using recognised quality assessment tools. The Joanna Briggs Institute (JBI) Critical Appraisal Checklists were used to critique quantitative studies (cross-sectional and cohort studies) and the Critical Appraisal Skills Programme (CASP) checklist was used to critique qualitative studies. These appraisal tools are recommended for systematic reviews as they are used to evaluate methodological rigour, validity, reliability and potential sources of bias </w:t>
      </w:r>
      <w:r w:rsidR="00DA7A7A">
        <w:rPr>
          <w:rFonts w:ascii="Arial" w:hAnsi="Arial" w:cs="Arial"/>
          <w:sz w:val="24"/>
          <w:szCs w:val="24"/>
          <w:lang w:eastAsia="en-GB"/>
        </w:rPr>
        <w:t>(Moola et al. 2020; CASP 2024).</w:t>
      </w:r>
    </w:p>
    <w:p w14:paraId="45080042" w14:textId="52D5595C" w:rsidR="00BE5383" w:rsidRPr="00594C6F" w:rsidRDefault="00BE5383"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The studies were evaluated independently of each other according to the following criteria: research objectives, study design, selection of participants, measurement of outcome, confounding factors, data analysis, and transparency in reporting the results. The studies were each given a numerical score corresponding to the extent to which the studies met the criteria. The quality assessment showed that the methodology used in the studies included was good overall. The majority of quantitative studies (6-8 out of 8) scored in the "low risk of bias" category on the JBI checklist, suggesting that there were adequate research methods. Likewise, the qualitative studies rated on </w:t>
      </w:r>
      <w:r w:rsidRPr="00594C6F">
        <w:rPr>
          <w:rFonts w:ascii="Arial" w:hAnsi="Arial" w:cs="Arial"/>
          <w:sz w:val="24"/>
          <w:szCs w:val="24"/>
          <w:lang w:eastAsia="en-GB"/>
        </w:rPr>
        <w:lastRenderedPageBreak/>
        <w:t xml:space="preserve">the CASP checklist had scores of 7–9/10, which is indicative of good credibility, methodological reporting and appropriate interpretation of findings. </w:t>
      </w:r>
    </w:p>
    <w:p w14:paraId="0ABB1135" w14:textId="5860369A" w:rsidR="00756F75" w:rsidRPr="00594C6F" w:rsidRDefault="00BE5383"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Overall, the appraisal process confirmed that all studies included in the review had reasonable methodological quality and that the included studies were able to provide a solid evidence base to answer the research question</w:t>
      </w:r>
      <w:r w:rsidR="00DA7A7A">
        <w:rPr>
          <w:rFonts w:ascii="Arial" w:hAnsi="Arial" w:cs="Arial"/>
          <w:sz w:val="24"/>
          <w:szCs w:val="24"/>
          <w:lang w:eastAsia="en-GB"/>
        </w:rPr>
        <w:t>.</w:t>
      </w:r>
    </w:p>
    <w:p w14:paraId="48450EF1" w14:textId="4377E6C1" w:rsidR="00DA7A7A" w:rsidRDefault="00DA7A7A" w:rsidP="00DA7A7A">
      <w:pPr>
        <w:pStyle w:val="Caption"/>
        <w:keepNext/>
      </w:pPr>
      <w:bookmarkStart w:id="64" w:name="_Toc240558540"/>
      <w:r>
        <w:t xml:space="preserve">Table </w:t>
      </w:r>
      <w:r w:rsidR="00CE5F90">
        <w:fldChar w:fldCharType="begin"/>
      </w:r>
      <w:r w:rsidR="00CE5F90">
        <w:instrText xml:space="preserve"> SEQ Table \* ARABIC </w:instrText>
      </w:r>
      <w:r w:rsidR="00CE5F90">
        <w:fldChar w:fldCharType="separate"/>
      </w:r>
      <w:r w:rsidR="00CE5F90">
        <w:rPr>
          <w:noProof/>
        </w:rPr>
        <w:t>9</w:t>
      </w:r>
      <w:r w:rsidR="00CE5F90">
        <w:rPr>
          <w:noProof/>
        </w:rPr>
        <w:fldChar w:fldCharType="end"/>
      </w:r>
      <w:r>
        <w:t>.</w:t>
      </w:r>
      <w:r w:rsidRPr="001A18C1">
        <w:t>Quality Assessment of Included Studies</w:t>
      </w:r>
      <w:bookmarkEnd w:id="64"/>
    </w:p>
    <w:tbl>
      <w:tblPr>
        <w:tblStyle w:val="TableGrid"/>
        <w:tblW w:w="0" w:type="auto"/>
        <w:tblLook w:val="04A0" w:firstRow="1" w:lastRow="0" w:firstColumn="1" w:lastColumn="0" w:noHBand="0" w:noVBand="1"/>
      </w:tblPr>
      <w:tblGrid>
        <w:gridCol w:w="2254"/>
        <w:gridCol w:w="2254"/>
        <w:gridCol w:w="2254"/>
        <w:gridCol w:w="2254"/>
      </w:tblGrid>
      <w:tr w:rsidR="008942E7" w:rsidRPr="00594C6F" w14:paraId="5983AA07" w14:textId="77777777" w:rsidTr="008942E7">
        <w:tc>
          <w:tcPr>
            <w:tcW w:w="2254" w:type="dxa"/>
          </w:tcPr>
          <w:p w14:paraId="720322B5" w14:textId="77777777" w:rsidR="008942E7" w:rsidRPr="00DA7A7A" w:rsidRDefault="008942E7" w:rsidP="00594C6F">
            <w:pPr>
              <w:spacing w:line="360" w:lineRule="auto"/>
              <w:jc w:val="both"/>
              <w:rPr>
                <w:rFonts w:ascii="Arial" w:hAnsi="Arial" w:cs="Arial"/>
                <w:b/>
                <w:sz w:val="24"/>
                <w:szCs w:val="24"/>
                <w:lang w:eastAsia="en-GB"/>
              </w:rPr>
            </w:pPr>
            <w:r w:rsidRPr="00DA7A7A">
              <w:rPr>
                <w:rFonts w:ascii="Arial" w:hAnsi="Arial" w:cs="Arial"/>
                <w:b/>
                <w:sz w:val="24"/>
                <w:szCs w:val="24"/>
                <w:lang w:eastAsia="en-GB"/>
              </w:rPr>
              <w:t>Study</w:t>
            </w:r>
          </w:p>
        </w:tc>
        <w:tc>
          <w:tcPr>
            <w:tcW w:w="2254" w:type="dxa"/>
          </w:tcPr>
          <w:p w14:paraId="7D575E28" w14:textId="77777777" w:rsidR="008942E7" w:rsidRPr="00DA7A7A" w:rsidRDefault="008942E7" w:rsidP="00594C6F">
            <w:pPr>
              <w:spacing w:line="360" w:lineRule="auto"/>
              <w:jc w:val="both"/>
              <w:rPr>
                <w:rFonts w:ascii="Arial" w:hAnsi="Arial" w:cs="Arial"/>
                <w:b/>
                <w:sz w:val="24"/>
                <w:szCs w:val="24"/>
                <w:lang w:eastAsia="en-GB"/>
              </w:rPr>
            </w:pPr>
            <w:r w:rsidRPr="00DA7A7A">
              <w:rPr>
                <w:rFonts w:ascii="Arial" w:hAnsi="Arial" w:cs="Arial"/>
                <w:b/>
                <w:sz w:val="24"/>
                <w:szCs w:val="24"/>
                <w:lang w:eastAsia="en-GB"/>
              </w:rPr>
              <w:t>Quality Assessment Tool</w:t>
            </w:r>
          </w:p>
        </w:tc>
        <w:tc>
          <w:tcPr>
            <w:tcW w:w="2254" w:type="dxa"/>
          </w:tcPr>
          <w:p w14:paraId="1BC40DA8" w14:textId="77777777" w:rsidR="008942E7" w:rsidRPr="00DA7A7A" w:rsidRDefault="008942E7" w:rsidP="00594C6F">
            <w:pPr>
              <w:spacing w:line="360" w:lineRule="auto"/>
              <w:jc w:val="both"/>
              <w:rPr>
                <w:rFonts w:ascii="Arial" w:hAnsi="Arial" w:cs="Arial"/>
                <w:b/>
                <w:sz w:val="24"/>
                <w:szCs w:val="24"/>
                <w:lang w:eastAsia="en-GB"/>
              </w:rPr>
            </w:pPr>
            <w:r w:rsidRPr="00DA7A7A">
              <w:rPr>
                <w:rFonts w:ascii="Arial" w:hAnsi="Arial" w:cs="Arial"/>
                <w:b/>
                <w:sz w:val="24"/>
                <w:szCs w:val="24"/>
                <w:lang w:eastAsia="en-GB"/>
              </w:rPr>
              <w:t>Score</w:t>
            </w:r>
          </w:p>
        </w:tc>
        <w:tc>
          <w:tcPr>
            <w:tcW w:w="2254" w:type="dxa"/>
          </w:tcPr>
          <w:p w14:paraId="4B4CB9E0" w14:textId="77777777" w:rsidR="008942E7" w:rsidRPr="00DA7A7A" w:rsidRDefault="008942E7" w:rsidP="00594C6F">
            <w:pPr>
              <w:spacing w:line="360" w:lineRule="auto"/>
              <w:jc w:val="both"/>
              <w:rPr>
                <w:rFonts w:ascii="Arial" w:hAnsi="Arial" w:cs="Arial"/>
                <w:b/>
                <w:sz w:val="24"/>
                <w:szCs w:val="24"/>
                <w:lang w:eastAsia="en-GB"/>
              </w:rPr>
            </w:pPr>
            <w:r w:rsidRPr="00DA7A7A">
              <w:rPr>
                <w:rFonts w:ascii="Arial" w:hAnsi="Arial" w:cs="Arial"/>
                <w:b/>
                <w:sz w:val="24"/>
                <w:szCs w:val="24"/>
                <w:lang w:eastAsia="en-GB"/>
              </w:rPr>
              <w:t>Included</w:t>
            </w:r>
          </w:p>
        </w:tc>
      </w:tr>
      <w:tr w:rsidR="008942E7" w:rsidRPr="00594C6F" w14:paraId="4E95E8AA" w14:textId="77777777" w:rsidTr="008942E7">
        <w:tc>
          <w:tcPr>
            <w:tcW w:w="2254" w:type="dxa"/>
          </w:tcPr>
          <w:p w14:paraId="2B1EBEB6"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Feehan et al. (2022)</w:t>
            </w:r>
          </w:p>
        </w:tc>
        <w:tc>
          <w:tcPr>
            <w:tcW w:w="2254" w:type="dxa"/>
          </w:tcPr>
          <w:p w14:paraId="558722BC"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JBI</w:t>
            </w:r>
          </w:p>
        </w:tc>
        <w:tc>
          <w:tcPr>
            <w:tcW w:w="2254" w:type="dxa"/>
          </w:tcPr>
          <w:p w14:paraId="3C4C5F3D"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7/8</w:t>
            </w:r>
          </w:p>
        </w:tc>
        <w:tc>
          <w:tcPr>
            <w:tcW w:w="2254" w:type="dxa"/>
          </w:tcPr>
          <w:p w14:paraId="58EE71F0"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r w:rsidR="008942E7" w:rsidRPr="00594C6F" w14:paraId="05A2C234" w14:textId="77777777" w:rsidTr="008942E7">
        <w:tc>
          <w:tcPr>
            <w:tcW w:w="2254" w:type="dxa"/>
          </w:tcPr>
          <w:p w14:paraId="680BB1D9"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Turner et al. (2023)</w:t>
            </w:r>
          </w:p>
        </w:tc>
        <w:tc>
          <w:tcPr>
            <w:tcW w:w="2254" w:type="dxa"/>
          </w:tcPr>
          <w:p w14:paraId="23B2C7D9"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JBI</w:t>
            </w:r>
          </w:p>
        </w:tc>
        <w:tc>
          <w:tcPr>
            <w:tcW w:w="2254" w:type="dxa"/>
          </w:tcPr>
          <w:p w14:paraId="1CA98688"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8/8</w:t>
            </w:r>
          </w:p>
        </w:tc>
        <w:tc>
          <w:tcPr>
            <w:tcW w:w="2254" w:type="dxa"/>
          </w:tcPr>
          <w:p w14:paraId="2E9AD9D0"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r w:rsidR="008942E7" w:rsidRPr="00594C6F" w14:paraId="6D7F5F94" w14:textId="77777777" w:rsidTr="008942E7">
        <w:tc>
          <w:tcPr>
            <w:tcW w:w="2254" w:type="dxa"/>
          </w:tcPr>
          <w:p w14:paraId="5000FCDD"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Williams and Williams (2020)</w:t>
            </w:r>
          </w:p>
        </w:tc>
        <w:tc>
          <w:tcPr>
            <w:tcW w:w="2254" w:type="dxa"/>
          </w:tcPr>
          <w:p w14:paraId="50F1780F"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CASP</w:t>
            </w:r>
          </w:p>
        </w:tc>
        <w:tc>
          <w:tcPr>
            <w:tcW w:w="2254" w:type="dxa"/>
          </w:tcPr>
          <w:p w14:paraId="5A97C61E"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8/10</w:t>
            </w:r>
          </w:p>
        </w:tc>
        <w:tc>
          <w:tcPr>
            <w:tcW w:w="2254" w:type="dxa"/>
          </w:tcPr>
          <w:p w14:paraId="0B98519B"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r w:rsidR="008942E7" w:rsidRPr="00594C6F" w14:paraId="20B5F782" w14:textId="77777777" w:rsidTr="008942E7">
        <w:tc>
          <w:tcPr>
            <w:tcW w:w="2254" w:type="dxa"/>
          </w:tcPr>
          <w:p w14:paraId="4A829A6A"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McSorley et al. (2020)</w:t>
            </w:r>
          </w:p>
        </w:tc>
        <w:tc>
          <w:tcPr>
            <w:tcW w:w="2254" w:type="dxa"/>
          </w:tcPr>
          <w:p w14:paraId="0F6AB2D9"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JBI</w:t>
            </w:r>
          </w:p>
        </w:tc>
        <w:tc>
          <w:tcPr>
            <w:tcW w:w="2254" w:type="dxa"/>
          </w:tcPr>
          <w:p w14:paraId="0B5BD63F"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7/8</w:t>
            </w:r>
          </w:p>
        </w:tc>
        <w:tc>
          <w:tcPr>
            <w:tcW w:w="2254" w:type="dxa"/>
          </w:tcPr>
          <w:p w14:paraId="5D36F731"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r w:rsidR="008942E7" w:rsidRPr="00594C6F" w14:paraId="1981320D" w14:textId="77777777" w:rsidTr="008942E7">
        <w:tc>
          <w:tcPr>
            <w:tcW w:w="2254" w:type="dxa"/>
          </w:tcPr>
          <w:p w14:paraId="7FE4EE7E" w14:textId="77777777" w:rsidR="008942E7" w:rsidRPr="00594C6F" w:rsidRDefault="008942E7" w:rsidP="00594C6F">
            <w:pPr>
              <w:spacing w:line="360" w:lineRule="auto"/>
              <w:jc w:val="both"/>
              <w:rPr>
                <w:rFonts w:ascii="Arial" w:hAnsi="Arial" w:cs="Arial"/>
                <w:sz w:val="24"/>
                <w:szCs w:val="24"/>
                <w:lang w:eastAsia="en-GB"/>
              </w:rPr>
            </w:pPr>
            <w:proofErr w:type="spellStart"/>
            <w:r w:rsidRPr="00594C6F">
              <w:rPr>
                <w:rFonts w:ascii="Arial" w:hAnsi="Arial" w:cs="Arial"/>
                <w:sz w:val="24"/>
                <w:szCs w:val="24"/>
                <w:lang w:eastAsia="en-GB"/>
              </w:rPr>
              <w:t>Rombel</w:t>
            </w:r>
            <w:proofErr w:type="spellEnd"/>
            <w:r w:rsidRPr="00594C6F">
              <w:rPr>
                <w:rFonts w:ascii="Arial" w:hAnsi="Arial" w:cs="Arial"/>
                <w:sz w:val="24"/>
                <w:szCs w:val="24"/>
                <w:lang w:eastAsia="en-GB"/>
              </w:rPr>
              <w:t xml:space="preserve"> et al. (2025)</w:t>
            </w:r>
          </w:p>
        </w:tc>
        <w:tc>
          <w:tcPr>
            <w:tcW w:w="2254" w:type="dxa"/>
          </w:tcPr>
          <w:p w14:paraId="0C9E67CA"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JBI</w:t>
            </w:r>
          </w:p>
        </w:tc>
        <w:tc>
          <w:tcPr>
            <w:tcW w:w="2254" w:type="dxa"/>
          </w:tcPr>
          <w:p w14:paraId="3400685B"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8/8</w:t>
            </w:r>
          </w:p>
        </w:tc>
        <w:tc>
          <w:tcPr>
            <w:tcW w:w="2254" w:type="dxa"/>
          </w:tcPr>
          <w:p w14:paraId="0EB038D6"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r w:rsidR="008942E7" w:rsidRPr="00594C6F" w14:paraId="7E75C9E9" w14:textId="77777777" w:rsidTr="008942E7">
        <w:tc>
          <w:tcPr>
            <w:tcW w:w="2254" w:type="dxa"/>
          </w:tcPr>
          <w:p w14:paraId="0C69DB11"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Hill et al. (2023)</w:t>
            </w:r>
          </w:p>
        </w:tc>
        <w:tc>
          <w:tcPr>
            <w:tcW w:w="2254" w:type="dxa"/>
          </w:tcPr>
          <w:p w14:paraId="5405D372"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CASP</w:t>
            </w:r>
          </w:p>
        </w:tc>
        <w:tc>
          <w:tcPr>
            <w:tcW w:w="2254" w:type="dxa"/>
          </w:tcPr>
          <w:p w14:paraId="7E8DA60F"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9/10</w:t>
            </w:r>
          </w:p>
        </w:tc>
        <w:tc>
          <w:tcPr>
            <w:tcW w:w="2254" w:type="dxa"/>
          </w:tcPr>
          <w:p w14:paraId="1B289200"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r w:rsidR="008942E7" w:rsidRPr="00594C6F" w14:paraId="1CBD596C" w14:textId="77777777" w:rsidTr="008942E7">
        <w:tc>
          <w:tcPr>
            <w:tcW w:w="2254" w:type="dxa"/>
          </w:tcPr>
          <w:p w14:paraId="07CFED87"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Ahmed et al. (2022)</w:t>
            </w:r>
          </w:p>
        </w:tc>
        <w:tc>
          <w:tcPr>
            <w:tcW w:w="2254" w:type="dxa"/>
          </w:tcPr>
          <w:p w14:paraId="4ED80D83"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JBI</w:t>
            </w:r>
          </w:p>
        </w:tc>
        <w:tc>
          <w:tcPr>
            <w:tcW w:w="2254" w:type="dxa"/>
          </w:tcPr>
          <w:p w14:paraId="518B40A4"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7/8</w:t>
            </w:r>
          </w:p>
        </w:tc>
        <w:tc>
          <w:tcPr>
            <w:tcW w:w="2254" w:type="dxa"/>
          </w:tcPr>
          <w:p w14:paraId="663BBC8D"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r w:rsidR="008942E7" w:rsidRPr="00594C6F" w14:paraId="1F849DE7" w14:textId="77777777" w:rsidTr="008942E7">
        <w:tc>
          <w:tcPr>
            <w:tcW w:w="2254" w:type="dxa"/>
          </w:tcPr>
          <w:p w14:paraId="271C42CD"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Brown et al. (2024)</w:t>
            </w:r>
          </w:p>
        </w:tc>
        <w:tc>
          <w:tcPr>
            <w:tcW w:w="2254" w:type="dxa"/>
          </w:tcPr>
          <w:p w14:paraId="023B7FA7"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CASP</w:t>
            </w:r>
          </w:p>
        </w:tc>
        <w:tc>
          <w:tcPr>
            <w:tcW w:w="2254" w:type="dxa"/>
          </w:tcPr>
          <w:p w14:paraId="3F9CE097"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8/10</w:t>
            </w:r>
          </w:p>
        </w:tc>
        <w:tc>
          <w:tcPr>
            <w:tcW w:w="2254" w:type="dxa"/>
          </w:tcPr>
          <w:p w14:paraId="0060E02C" w14:textId="77777777" w:rsidR="008942E7" w:rsidRPr="00594C6F" w:rsidRDefault="008942E7"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Yes</w:t>
            </w:r>
          </w:p>
        </w:tc>
      </w:tr>
    </w:tbl>
    <w:p w14:paraId="788F43F7" w14:textId="77777777" w:rsidR="00756F75" w:rsidRPr="00594C6F" w:rsidRDefault="00756F75" w:rsidP="00594C6F">
      <w:pPr>
        <w:spacing w:line="360" w:lineRule="auto"/>
        <w:jc w:val="both"/>
        <w:rPr>
          <w:rFonts w:ascii="Arial" w:hAnsi="Arial" w:cs="Arial"/>
          <w:sz w:val="24"/>
          <w:szCs w:val="24"/>
          <w:lang w:eastAsia="en-GB"/>
        </w:rPr>
      </w:pPr>
    </w:p>
    <w:p w14:paraId="4E729F13" w14:textId="7696B0CB" w:rsidR="00756F75" w:rsidRPr="00594C6F" w:rsidRDefault="00F57902"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The quality assessment checklist for all of the included studies was marked up</w:t>
      </w:r>
      <w:r w:rsidR="00FC028B">
        <w:rPr>
          <w:rFonts w:ascii="Arial" w:hAnsi="Arial" w:cs="Arial"/>
          <w:sz w:val="24"/>
          <w:szCs w:val="24"/>
          <w:lang w:eastAsia="en-GB"/>
        </w:rPr>
        <w:t xml:space="preserve"> with a score of more than 50%</w:t>
      </w:r>
      <w:r w:rsidR="00756F75" w:rsidRPr="00594C6F">
        <w:rPr>
          <w:rFonts w:ascii="Arial" w:hAnsi="Arial" w:cs="Arial"/>
          <w:sz w:val="24"/>
          <w:szCs w:val="24"/>
          <w:lang w:eastAsia="en-GB"/>
        </w:rPr>
        <w:t>.</w:t>
      </w:r>
    </w:p>
    <w:p w14:paraId="1C714E49" w14:textId="2CCC4D81" w:rsidR="00756F75" w:rsidRPr="004858EF" w:rsidRDefault="00756F75" w:rsidP="004858EF">
      <w:pPr>
        <w:pStyle w:val="Heading2"/>
        <w:rPr>
          <w:lang w:eastAsia="en-GB"/>
        </w:rPr>
      </w:pPr>
      <w:bookmarkStart w:id="65" w:name="_Toc240558495"/>
      <w:r w:rsidRPr="00594C6F">
        <w:rPr>
          <w:lang w:eastAsia="en-GB"/>
        </w:rPr>
        <w:t>4.6</w:t>
      </w:r>
      <w:r w:rsidR="004858EF">
        <w:rPr>
          <w:lang w:eastAsia="en-GB"/>
        </w:rPr>
        <w:t xml:space="preserve"> Data Extraction and Synthesis</w:t>
      </w:r>
      <w:bookmarkEnd w:id="65"/>
      <w:r w:rsidR="004858EF">
        <w:rPr>
          <w:lang w:eastAsia="en-GB"/>
        </w:rPr>
        <w:t xml:space="preserve"> </w:t>
      </w:r>
    </w:p>
    <w:p w14:paraId="45AE594B" w14:textId="3BB34E2D" w:rsidR="00D86A15" w:rsidRPr="00594C6F" w:rsidRDefault="00D86A15"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After quality appraisal, the relevant data from each of the 25 studies included in the review were systematically extracted on a standardised data extraction instrument that was specially designed for this review. The rationale for data extraction was to facilitate comparison and thematic synthesis of data across the studies, making sure that consistent information was extracted from each study. The variables extracted were the author(s), year of publication, country of study, research design, sample size, </w:t>
      </w:r>
      <w:r w:rsidRPr="00594C6F">
        <w:rPr>
          <w:rFonts w:ascii="Arial" w:hAnsi="Arial" w:cs="Arial"/>
          <w:sz w:val="24"/>
          <w:szCs w:val="24"/>
          <w:lang w:eastAsia="en-GB"/>
        </w:rPr>
        <w:lastRenderedPageBreak/>
        <w:t xml:space="preserve">participant characteristics, intervention or exposure, outcome measures, and main findings in regard to vitamin D awareness and prevention in older adults in UK care </w:t>
      </w:r>
      <w:r w:rsidR="004858EF">
        <w:rPr>
          <w:rFonts w:ascii="Arial" w:hAnsi="Arial" w:cs="Arial"/>
          <w:sz w:val="24"/>
          <w:szCs w:val="24"/>
          <w:lang w:eastAsia="en-GB"/>
        </w:rPr>
        <w:t>homes.</w:t>
      </w:r>
    </w:p>
    <w:p w14:paraId="59944805" w14:textId="219801F0" w:rsidR="00D86A15" w:rsidRPr="00594C6F" w:rsidRDefault="00D86A15"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Studies included were of diverse methods. The most frequently used design was the cross-sectional study design and the main measure reported was the prevalence of vitamin D deficiency, awareness about vitamin D deficiency and supplementation practices. Qualitative studies used interviews and focus groups to investigate participants' experiences and perceptions of the vitamin D supplementation and organisational barriers, and cohort studies looked at associations between vitamin D supplementation </w:t>
      </w:r>
      <w:r w:rsidR="00FC028B">
        <w:rPr>
          <w:rFonts w:ascii="Arial" w:hAnsi="Arial" w:cs="Arial"/>
          <w:sz w:val="24"/>
          <w:szCs w:val="24"/>
          <w:lang w:eastAsia="en-GB"/>
        </w:rPr>
        <w:t xml:space="preserve">and health outcomes over time. </w:t>
      </w:r>
    </w:p>
    <w:p w14:paraId="181004B4" w14:textId="5907E754" w:rsidR="00D86A15" w:rsidRPr="00594C6F" w:rsidRDefault="00D86A15" w:rsidP="004858E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The studies reported here had similar age groups of older adults, primarily in residential and nursing care homes aged 65 years and older. Other studies also contributed care home staff, nurses, managers, general practitioners, pharmacists and dietitians to explore their professional knowledge and implementation of supplementation policies. The results obtained, although varying in several respects in the study setting and methodology, were generally comparable. The majority of studies had low levels of awareness within the community and among care staff, and there was considerable variation in the vitamin D policies being implemented within the organisations. </w:t>
      </w:r>
    </w:p>
    <w:p w14:paraId="11222541" w14:textId="506129AC" w:rsidR="00D86A15" w:rsidRPr="004858EF" w:rsidRDefault="00D86A15" w:rsidP="004858EF">
      <w:pPr>
        <w:pStyle w:val="Heading2"/>
        <w:rPr>
          <w:lang w:eastAsia="en-GB"/>
        </w:rPr>
      </w:pPr>
      <w:bookmarkStart w:id="66" w:name="_Toc240558496"/>
      <w:r w:rsidRPr="00594C6F">
        <w:rPr>
          <w:lang w:eastAsia="en-GB"/>
        </w:rPr>
        <w:t>4.7 Theme 1: Vitamin D Deficiency among Older Adults</w:t>
      </w:r>
      <w:bookmarkEnd w:id="66"/>
      <w:r w:rsidRPr="00594C6F">
        <w:rPr>
          <w:lang w:eastAsia="en-GB"/>
        </w:rPr>
        <w:t xml:space="preserve"> </w:t>
      </w:r>
    </w:p>
    <w:p w14:paraId="0A03AAB4" w14:textId="078B3EC8" w:rsidR="00D86A15" w:rsidRPr="00594C6F" w:rsidRDefault="00D86A15"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All the studies included supported the high prevalence of vitamin D deficiency and its links to a variety of poor health outcomes in older adults in care homes in the UK. Residing in an institutional setting was found to be one of the highest risk populations in the literature reviewed due to limited exposure to sunlight, decreased mobility, chronic conditions, poor nutritional intake and age-related decrease in vitamin D production (Feehan et al</w:t>
      </w:r>
      <w:r w:rsidR="004858EF">
        <w:rPr>
          <w:rFonts w:ascii="Arial" w:hAnsi="Arial" w:cs="Arial"/>
          <w:sz w:val="24"/>
          <w:szCs w:val="24"/>
          <w:lang w:eastAsia="en-GB"/>
        </w:rPr>
        <w:t>., 2022; Cashman et al., 2023).</w:t>
      </w:r>
    </w:p>
    <w:p w14:paraId="4678EA2E" w14:textId="512E4E6D" w:rsidR="00D86A15" w:rsidRPr="00594C6F" w:rsidRDefault="00D86A15"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A number of cross sectional studies have previously shown that between 33–50% of care home residents have serum vitamin D levels below the national guideline (Feehan et al., 2022). In the same way, McSorley et al. (2020) determined that vitamin D inadequacy was prevalent among older people who are institutionalised in Northern Europe, indicating that this issue is not the responsibility of each care home but </w:t>
      </w:r>
      <w:r w:rsidR="004858EF">
        <w:rPr>
          <w:rFonts w:ascii="Arial" w:hAnsi="Arial" w:cs="Arial"/>
          <w:sz w:val="24"/>
          <w:szCs w:val="24"/>
          <w:lang w:eastAsia="en-GB"/>
        </w:rPr>
        <w:t>is a major public health issue.</w:t>
      </w:r>
    </w:p>
    <w:p w14:paraId="6FF3C620" w14:textId="71D300EA" w:rsidR="003A118D" w:rsidRPr="00594C6F" w:rsidRDefault="00D86A15"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lastRenderedPageBreak/>
        <w:t>All reviewed studies were associated with vitamin D deficiency and higher risk of falls, fractures, muscle weakness and poorer physical function. Residents with vitamin D deficiency had impaired balance and a higher rate of falls than those who were estimated to be taking vitamin D regularly, according to Feehan et al. (2022). Similarly, Cashman et al. (2023) found that maintaining sufficient vitamin D levels is associated with better MS health and could help to lowe</w:t>
      </w:r>
      <w:r w:rsidR="00FC028B">
        <w:rPr>
          <w:rFonts w:ascii="Arial" w:hAnsi="Arial" w:cs="Arial"/>
          <w:sz w:val="24"/>
          <w:szCs w:val="24"/>
          <w:lang w:eastAsia="en-GB"/>
        </w:rPr>
        <w:t>r fracture risk in the elderly</w:t>
      </w:r>
      <w:r w:rsidR="004858EF">
        <w:rPr>
          <w:rFonts w:ascii="Arial" w:hAnsi="Arial" w:cs="Arial"/>
          <w:sz w:val="24"/>
          <w:szCs w:val="24"/>
          <w:lang w:eastAsia="en-GB"/>
        </w:rPr>
        <w:t>.</w:t>
      </w:r>
    </w:p>
    <w:p w14:paraId="2C5E7E04" w14:textId="2865DA13" w:rsidR="003A118D" w:rsidRPr="004858EF" w:rsidRDefault="003A118D" w:rsidP="004858EF">
      <w:pPr>
        <w:pStyle w:val="Heading2"/>
        <w:rPr>
          <w:lang w:eastAsia="en-GB"/>
        </w:rPr>
      </w:pPr>
      <w:bookmarkStart w:id="67" w:name="_Toc240558497"/>
      <w:r w:rsidRPr="00594C6F">
        <w:rPr>
          <w:lang w:eastAsia="en-GB"/>
        </w:rPr>
        <w:t>4.8 Theme 2: Awareness and Knowledge</w:t>
      </w:r>
      <w:bookmarkEnd w:id="67"/>
      <w:r w:rsidRPr="00594C6F">
        <w:rPr>
          <w:lang w:eastAsia="en-GB"/>
        </w:rPr>
        <w:t xml:space="preserve"> </w:t>
      </w:r>
    </w:p>
    <w:p w14:paraId="700A1E54" w14:textId="1D652C5E" w:rsidR="00DC5BCD" w:rsidRPr="00594C6F"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One of the most common statements found in the studies included was regarding awareness and knowledge of vitamin D supplementation. Overall, the findings showed that vitamin D knowledge levels of both care home residents and healthcare staff were varied, with both groups showing a lack of knowledge of the importance of vitamin D in maintaining bone health, preventing fa</w:t>
      </w:r>
      <w:r w:rsidR="004858EF">
        <w:rPr>
          <w:rFonts w:ascii="Arial" w:hAnsi="Arial" w:cs="Arial"/>
          <w:sz w:val="24"/>
          <w:szCs w:val="24"/>
          <w:lang w:eastAsia="en-GB"/>
        </w:rPr>
        <w:t>lls and reducing fracture risk.</w:t>
      </w:r>
    </w:p>
    <w:p w14:paraId="0D9C60F6" w14:textId="5A6247F3" w:rsidR="00DC5BCD" w:rsidRPr="00594C6F"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According to Turner et al. (2023), many health care workers recognized the role vitamin D plays in their bone health, but they had limited information about recommended vitamin D dosages, national recommendations and risk factors. Likewise, Williams and Williams (2020) identified that many care staff were unsure whether vitamin D supplementation should be seen as routine nutritional care or medical treatment and noted that this was inconsiste</w:t>
      </w:r>
      <w:r w:rsidR="004858EF">
        <w:rPr>
          <w:rFonts w:ascii="Arial" w:hAnsi="Arial" w:cs="Arial"/>
          <w:sz w:val="24"/>
          <w:szCs w:val="24"/>
          <w:lang w:eastAsia="en-GB"/>
        </w:rPr>
        <w:t>ntly implemented in care homes.</w:t>
      </w:r>
    </w:p>
    <w:p w14:paraId="1C32A941" w14:textId="12C4679D" w:rsidR="00DC5BCD" w:rsidRPr="00594C6F" w:rsidRDefault="004858EF"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Generally,</w:t>
      </w:r>
      <w:r w:rsidR="00DC5BCD" w:rsidRPr="00594C6F">
        <w:rPr>
          <w:rFonts w:ascii="Arial" w:hAnsi="Arial" w:cs="Arial"/>
          <w:sz w:val="24"/>
          <w:szCs w:val="24"/>
          <w:lang w:eastAsia="en-GB"/>
        </w:rPr>
        <w:t xml:space="preserve"> residents were less aware than the health professionals. In their study, </w:t>
      </w:r>
      <w:r w:rsidRPr="00594C6F">
        <w:rPr>
          <w:rFonts w:ascii="Arial" w:hAnsi="Arial" w:cs="Arial"/>
          <w:sz w:val="24"/>
          <w:szCs w:val="24"/>
          <w:lang w:eastAsia="en-GB"/>
        </w:rPr>
        <w:t>Freehand</w:t>
      </w:r>
      <w:r w:rsidR="00DC5BCD" w:rsidRPr="00594C6F">
        <w:rPr>
          <w:rFonts w:ascii="Arial" w:hAnsi="Arial" w:cs="Arial"/>
          <w:sz w:val="24"/>
          <w:szCs w:val="24"/>
          <w:lang w:eastAsia="en-GB"/>
        </w:rPr>
        <w:t xml:space="preserve"> et al. found that many residents did not know much about vitamin D deficiency, or rely heavily on healthcare providers for recommendations on taking vitamin D supplements. In addition, the symptoms of vitamin D deficiency are rarely recognised because clinical symptoms may be subtle and not appear in the</w:t>
      </w:r>
      <w:r>
        <w:rPr>
          <w:rFonts w:ascii="Arial" w:hAnsi="Arial" w:cs="Arial"/>
          <w:sz w:val="24"/>
          <w:szCs w:val="24"/>
          <w:lang w:eastAsia="en-GB"/>
        </w:rPr>
        <w:t xml:space="preserve"> early stages.</w:t>
      </w:r>
    </w:p>
    <w:p w14:paraId="0C674F6B" w14:textId="09D00FD3" w:rsidR="00DC5BCD" w:rsidRPr="00594C6F"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Positive effects on the improvement of knowledge were found with education interventions. Cashman et al. (2023) found, that, compared with non-structured education, structured education programmes had a significant effect on the awareness of healthcare professionals, and on adherence to supplementation recommendations. Similarly, Turner et al. (2023) found that those with educational resources were more confident in talking about vitamin D supplementati</w:t>
      </w:r>
      <w:r w:rsidR="00FC028B">
        <w:rPr>
          <w:rFonts w:ascii="Arial" w:hAnsi="Arial" w:cs="Arial"/>
          <w:sz w:val="24"/>
          <w:szCs w:val="24"/>
          <w:lang w:eastAsia="en-GB"/>
        </w:rPr>
        <w:t>on with residents and families</w:t>
      </w:r>
      <w:r w:rsidR="004858EF">
        <w:rPr>
          <w:rFonts w:ascii="Arial" w:hAnsi="Arial" w:cs="Arial"/>
          <w:sz w:val="24"/>
          <w:szCs w:val="24"/>
          <w:lang w:eastAsia="en-GB"/>
        </w:rPr>
        <w:t>.</w:t>
      </w:r>
    </w:p>
    <w:p w14:paraId="2AE2A684" w14:textId="03BE616C" w:rsidR="00DC5BCD" w:rsidRPr="004858EF" w:rsidRDefault="00DC5BCD" w:rsidP="004858EF">
      <w:pPr>
        <w:pStyle w:val="Heading2"/>
        <w:rPr>
          <w:lang w:eastAsia="en-GB"/>
        </w:rPr>
      </w:pPr>
      <w:bookmarkStart w:id="68" w:name="_Toc240558498"/>
      <w:r w:rsidRPr="00594C6F">
        <w:rPr>
          <w:lang w:eastAsia="en-GB"/>
        </w:rPr>
        <w:lastRenderedPageBreak/>
        <w:t>4.9 Theme 3: Barriers to Prevention</w:t>
      </w:r>
      <w:bookmarkEnd w:id="68"/>
      <w:r w:rsidRPr="00594C6F">
        <w:rPr>
          <w:lang w:eastAsia="en-GB"/>
        </w:rPr>
        <w:t xml:space="preserve"> </w:t>
      </w:r>
    </w:p>
    <w:p w14:paraId="25D8EE2A" w14:textId="71B72862" w:rsidR="00DC5BCD" w:rsidRPr="00594C6F"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The systematic review found many barriers to the effective prevention of vitamin D deficiency in UK care homes. The organisational, professional and policy-related factors were consistently mentioned in the included studies as major barriers to successful </w:t>
      </w:r>
      <w:r w:rsidR="004858EF">
        <w:rPr>
          <w:rFonts w:ascii="Arial" w:hAnsi="Arial" w:cs="Arial"/>
          <w:sz w:val="24"/>
          <w:szCs w:val="24"/>
          <w:lang w:eastAsia="en-GB"/>
        </w:rPr>
        <w:t>supplementation programmes.</w:t>
      </w:r>
    </w:p>
    <w:p w14:paraId="37CB73EE" w14:textId="5F3ED24A" w:rsidR="00DC5BCD" w:rsidRPr="00594C6F"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Lack of clear organisational policies was one of the most frequently reported barrier. Williams and Williams (2020) showed that there were no standardised procedures for routine vitamin D supplementation in many care homes, which meant that there were variable practices between homes. Likewise, Cashman et al. (2023) noted a great deal of variability with respect to supplementation, despite national guidelines for vitamin D u</w:t>
      </w:r>
      <w:r w:rsidR="004858EF">
        <w:rPr>
          <w:rFonts w:ascii="Arial" w:hAnsi="Arial" w:cs="Arial"/>
          <w:sz w:val="24"/>
          <w:szCs w:val="24"/>
          <w:lang w:eastAsia="en-GB"/>
        </w:rPr>
        <w:t>se for vulnerable older adults.</w:t>
      </w:r>
    </w:p>
    <w:p w14:paraId="7D7EEB74" w14:textId="026BDEC7" w:rsidR="00DC5BCD" w:rsidRPr="00594C6F"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Workload pressures were also a major issue. Care staff reported that lack of staff and increasing dependency of residents often led to clinical duties taking precedence over any nutritional preventive interventions (Turner et al., 2023). This resulted in missed opportunities for education and</w:t>
      </w:r>
      <w:r w:rsidR="004858EF">
        <w:rPr>
          <w:rFonts w:ascii="Arial" w:hAnsi="Arial" w:cs="Arial"/>
          <w:sz w:val="24"/>
          <w:szCs w:val="24"/>
          <w:lang w:eastAsia="en-GB"/>
        </w:rPr>
        <w:t xml:space="preserve"> monitoring of supplementation.</w:t>
      </w:r>
    </w:p>
    <w:p w14:paraId="089021D3" w14:textId="00F94F7F" w:rsidR="00DC5BCD" w:rsidRPr="00594C6F"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Another major constraint was the lack of skills training among staff. There were a number of studies conducted that identified the lack of professional education on vitamin D deficiencies, the recommended dose of vitamin D and prevention guidelines (Williams and Williams, 2020; Turner et al., 2023). The lack of these knowledge areas added to uncertainty related to professional responsibility and confidence i</w:t>
      </w:r>
      <w:r w:rsidR="004858EF">
        <w:rPr>
          <w:rFonts w:ascii="Arial" w:hAnsi="Arial" w:cs="Arial"/>
          <w:sz w:val="24"/>
          <w:szCs w:val="24"/>
          <w:lang w:eastAsia="en-GB"/>
        </w:rPr>
        <w:t>n recommending supplementation.</w:t>
      </w:r>
    </w:p>
    <w:p w14:paraId="25006AFB" w14:textId="327AD544" w:rsidR="003A118D" w:rsidRDefault="00DC5BCD"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Organisational communication was also found to be an important problem. Very limited collaboration between the staff of care homes, GP's, pharmacists and dietitians contributed to delayed supplementation decisions and lack of continuity of care, as outlined by Cashman et al. </w:t>
      </w:r>
      <w:r w:rsidR="00FC028B">
        <w:rPr>
          <w:rFonts w:ascii="Arial" w:hAnsi="Arial" w:cs="Arial"/>
          <w:sz w:val="24"/>
          <w:szCs w:val="24"/>
          <w:lang w:eastAsia="en-GB"/>
        </w:rPr>
        <w:t>(2023)</w:t>
      </w:r>
      <w:r w:rsidR="004858EF">
        <w:rPr>
          <w:rFonts w:ascii="Arial" w:hAnsi="Arial" w:cs="Arial"/>
          <w:sz w:val="24"/>
          <w:szCs w:val="24"/>
          <w:lang w:eastAsia="en-GB"/>
        </w:rPr>
        <w:t>.</w:t>
      </w:r>
    </w:p>
    <w:p w14:paraId="1B83C3A8" w14:textId="77777777" w:rsidR="00830205" w:rsidRDefault="00830205" w:rsidP="00594C6F">
      <w:pPr>
        <w:spacing w:line="360" w:lineRule="auto"/>
        <w:jc w:val="both"/>
        <w:rPr>
          <w:rFonts w:ascii="Arial" w:hAnsi="Arial" w:cs="Arial"/>
          <w:sz w:val="24"/>
          <w:szCs w:val="24"/>
          <w:lang w:eastAsia="en-GB"/>
        </w:rPr>
      </w:pPr>
    </w:p>
    <w:p w14:paraId="792E3E1F" w14:textId="77777777" w:rsidR="00830205" w:rsidRDefault="00830205" w:rsidP="00594C6F">
      <w:pPr>
        <w:spacing w:line="360" w:lineRule="auto"/>
        <w:jc w:val="both"/>
        <w:rPr>
          <w:rFonts w:ascii="Arial" w:hAnsi="Arial" w:cs="Arial"/>
          <w:sz w:val="24"/>
          <w:szCs w:val="24"/>
          <w:lang w:eastAsia="en-GB"/>
        </w:rPr>
      </w:pPr>
    </w:p>
    <w:p w14:paraId="422CE14C" w14:textId="77777777" w:rsidR="00830205" w:rsidRPr="00594C6F" w:rsidRDefault="00830205" w:rsidP="00594C6F">
      <w:pPr>
        <w:spacing w:line="360" w:lineRule="auto"/>
        <w:jc w:val="both"/>
        <w:rPr>
          <w:rFonts w:ascii="Arial" w:hAnsi="Arial" w:cs="Arial"/>
          <w:sz w:val="24"/>
          <w:szCs w:val="24"/>
          <w:lang w:eastAsia="en-GB"/>
        </w:rPr>
      </w:pPr>
    </w:p>
    <w:p w14:paraId="6AEA3520" w14:textId="75DBB5F5" w:rsidR="003A118D" w:rsidRPr="004858EF" w:rsidRDefault="003A118D" w:rsidP="004858EF">
      <w:pPr>
        <w:pStyle w:val="Heading2"/>
        <w:rPr>
          <w:lang w:eastAsia="en-GB"/>
        </w:rPr>
      </w:pPr>
      <w:bookmarkStart w:id="69" w:name="_Toc240558499"/>
      <w:r w:rsidRPr="00594C6F">
        <w:rPr>
          <w:lang w:eastAsia="en-GB"/>
        </w:rPr>
        <w:lastRenderedPageBreak/>
        <w:t>4.10 Theme 4: Prevention Strategies</w:t>
      </w:r>
      <w:bookmarkEnd w:id="69"/>
      <w:r w:rsidRPr="00594C6F">
        <w:rPr>
          <w:lang w:eastAsia="en-GB"/>
        </w:rPr>
        <w:t xml:space="preserve"> </w:t>
      </w:r>
    </w:p>
    <w:p w14:paraId="614E8285" w14:textId="0C0071FF" w:rsidR="000E1A1C" w:rsidRPr="00594C6F" w:rsidRDefault="000E1A1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The included studies highlighted some evidence-based strategies that could be used to enhance vitamin D deficiency prevention for older people in UK care homes. These interventions were mainly educational, supplemented, policy, and mu</w:t>
      </w:r>
      <w:r w:rsidR="004858EF">
        <w:rPr>
          <w:rFonts w:ascii="Arial" w:hAnsi="Arial" w:cs="Arial"/>
          <w:sz w:val="24"/>
          <w:szCs w:val="24"/>
          <w:lang w:eastAsia="en-GB"/>
        </w:rPr>
        <w:t>lti-disciplinary collaboration.</w:t>
      </w:r>
    </w:p>
    <w:p w14:paraId="2FCD98BF" w14:textId="4E49DCCC" w:rsidR="000E1A1C" w:rsidRPr="00594C6F" w:rsidRDefault="000E1A1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The ability to increase awareness among health care professionals was always related to educational programmes. Turner et al. (2023) showed that educational sessions with structure led to improved knowledge among staff of vitamin D requirements and recommendations for supplementation or vitamin D deficiency risk factors. In a similar way, Cashman et al. (2023) found that ongoing continuing education enhances compliance with national guidance and assists to m</w:t>
      </w:r>
      <w:r w:rsidR="004858EF">
        <w:rPr>
          <w:rFonts w:ascii="Arial" w:hAnsi="Arial" w:cs="Arial"/>
          <w:sz w:val="24"/>
          <w:szCs w:val="24"/>
          <w:lang w:eastAsia="en-GB"/>
        </w:rPr>
        <w:t>aintain stable preventive care.</w:t>
      </w:r>
    </w:p>
    <w:p w14:paraId="57CCD1C1" w14:textId="5C575E23" w:rsidR="000E1A1C" w:rsidRPr="00594C6F" w:rsidRDefault="000E1A1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One of the most effective preventive interventions was found to be routine vitamin D supplementation. Those who were regularly taking supplementation had higher levels of vitamin D in their bloodstream and fewer falls than those who were not taking it, according to Feehan et al. (2022). Economic evaluations carried out by </w:t>
      </w:r>
      <w:proofErr w:type="spellStart"/>
      <w:r w:rsidRPr="00594C6F">
        <w:rPr>
          <w:rFonts w:ascii="Arial" w:hAnsi="Arial" w:cs="Arial"/>
          <w:sz w:val="24"/>
          <w:szCs w:val="24"/>
          <w:lang w:eastAsia="en-GB"/>
        </w:rPr>
        <w:t>Rombel</w:t>
      </w:r>
      <w:proofErr w:type="spellEnd"/>
      <w:r w:rsidRPr="00594C6F">
        <w:rPr>
          <w:rFonts w:ascii="Arial" w:hAnsi="Arial" w:cs="Arial"/>
          <w:sz w:val="24"/>
          <w:szCs w:val="24"/>
          <w:lang w:eastAsia="en-GB"/>
        </w:rPr>
        <w:t xml:space="preserve"> et al. (2025) also indicated that routine supplementation is a cost-effective intervention as it saves hea</w:t>
      </w:r>
      <w:r w:rsidR="004858EF">
        <w:rPr>
          <w:rFonts w:ascii="Arial" w:hAnsi="Arial" w:cs="Arial"/>
          <w:sz w:val="24"/>
          <w:szCs w:val="24"/>
          <w:lang w:eastAsia="en-GB"/>
        </w:rPr>
        <w:t>lthcare costs due to fractures.</w:t>
      </w:r>
    </w:p>
    <w:p w14:paraId="431D7C47" w14:textId="6D3217C9" w:rsidR="000E1A1C" w:rsidRPr="00594C6F" w:rsidRDefault="000E1A1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National guidance was also a significant factor. The NHS (2024) advises for vitamin D supplementation in those at higher risk of deficiency, and NICE guidance suggests nutritional assessment and provision of vitamin D supplements for vulnerable groups. A number of studies highlighted the importance of ongoing delivery of these recommendations in care homes to enhance the care outcomes for residents.</w:t>
      </w:r>
    </w:p>
    <w:p w14:paraId="68053382" w14:textId="44E28132" w:rsidR="000E1A1C" w:rsidRPr="00594C6F" w:rsidRDefault="000E1A1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Food fortification was cited as another intervention to prevent the problem. Cashman et al. (2023) proposed that vitamin D fortified foods could be used in conjunction with vitamin D supplementation programmes, especially in those with inadequate dietary consumption and/or poor oral vitam</w:t>
      </w:r>
      <w:r w:rsidR="004858EF">
        <w:rPr>
          <w:rFonts w:ascii="Arial" w:hAnsi="Arial" w:cs="Arial"/>
          <w:sz w:val="24"/>
          <w:szCs w:val="24"/>
          <w:lang w:eastAsia="en-GB"/>
        </w:rPr>
        <w:t>in D supplementation adherence.</w:t>
      </w:r>
    </w:p>
    <w:p w14:paraId="0364A6AA" w14:textId="1D95EE6C" w:rsidR="003A118D" w:rsidRPr="00594C6F" w:rsidRDefault="000E1A1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Overall, the evidence suggests that education, routine supplementation and national guidance and multidisciplinary collaboration will have the greatest impact on reducing vitamin D deficiency in care homes in the UK</w:t>
      </w:r>
      <w:r w:rsidR="004858EF">
        <w:rPr>
          <w:rFonts w:ascii="Arial" w:hAnsi="Arial" w:cs="Arial"/>
          <w:sz w:val="24"/>
          <w:szCs w:val="24"/>
          <w:lang w:eastAsia="en-GB"/>
        </w:rPr>
        <w:t>.</w:t>
      </w:r>
    </w:p>
    <w:p w14:paraId="74000C6F" w14:textId="51F817DE" w:rsidR="003A118D" w:rsidRPr="004858EF" w:rsidRDefault="003A118D" w:rsidP="004858EF">
      <w:pPr>
        <w:pStyle w:val="Heading2"/>
        <w:rPr>
          <w:lang w:eastAsia="en-GB"/>
        </w:rPr>
      </w:pPr>
      <w:bookmarkStart w:id="70" w:name="_Toc240558500"/>
      <w:r w:rsidRPr="00594C6F">
        <w:rPr>
          <w:lang w:eastAsia="en-GB"/>
        </w:rPr>
        <w:lastRenderedPageBreak/>
        <w:t>4.11 Theme 5: Improving Awareness in UK Care Homes</w:t>
      </w:r>
      <w:bookmarkEnd w:id="70"/>
      <w:r w:rsidRPr="00594C6F">
        <w:rPr>
          <w:lang w:eastAsia="en-GB"/>
        </w:rPr>
        <w:t xml:space="preserve"> </w:t>
      </w:r>
    </w:p>
    <w:p w14:paraId="1A10FF82" w14:textId="733E0DD4" w:rsidR="00CA7DBC" w:rsidRPr="00594C6F" w:rsidRDefault="00CA7DB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The final theme was a synthesis of evidence which was specific to strategies for increasing awareness of vitamin D deficiency in the older </w:t>
      </w:r>
      <w:r w:rsidR="004858EF" w:rsidRPr="00594C6F">
        <w:rPr>
          <w:rFonts w:ascii="Arial" w:hAnsi="Arial" w:cs="Arial"/>
          <w:sz w:val="24"/>
          <w:szCs w:val="24"/>
          <w:lang w:eastAsia="en-GB"/>
        </w:rPr>
        <w:t>adults’</w:t>
      </w:r>
      <w:r w:rsidRPr="00594C6F">
        <w:rPr>
          <w:rFonts w:ascii="Arial" w:hAnsi="Arial" w:cs="Arial"/>
          <w:sz w:val="24"/>
          <w:szCs w:val="24"/>
          <w:lang w:eastAsia="en-GB"/>
        </w:rPr>
        <w:t xml:space="preserve"> resident in care homes in the UK. In all the studies included, raising awareness was identified as a pre-requisite for successful prevention </w:t>
      </w:r>
      <w:r w:rsidR="004858EF">
        <w:rPr>
          <w:rFonts w:ascii="Arial" w:hAnsi="Arial" w:cs="Arial"/>
          <w:sz w:val="24"/>
          <w:szCs w:val="24"/>
          <w:lang w:eastAsia="en-GB"/>
        </w:rPr>
        <w:t>and long-term health promotion.</w:t>
      </w:r>
    </w:p>
    <w:p w14:paraId="019274B4" w14:textId="788F5B27" w:rsidR="00CA7DBC" w:rsidRPr="00594C6F" w:rsidRDefault="00CA7DB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Some studies called for structured awareness campaigns for residents and health care workers. Turner et al. (2023) showed that the provision of educational materials, workshops, and regular staff training had a significant improvement in knowledge of vitamin D supplements and increased the uptake of preventive practices. There was also a higher level of understanding of the benefits of vitamin D among residents for whom simplified educational i</w:t>
      </w:r>
      <w:r w:rsidR="004858EF">
        <w:rPr>
          <w:rFonts w:ascii="Arial" w:hAnsi="Arial" w:cs="Arial"/>
          <w:sz w:val="24"/>
          <w:szCs w:val="24"/>
          <w:lang w:eastAsia="en-GB"/>
        </w:rPr>
        <w:t>nformation was provided.</w:t>
      </w:r>
    </w:p>
    <w:p w14:paraId="44E01964" w14:textId="0FEDF5E8" w:rsidR="00CA7DBC" w:rsidRPr="00594C6F" w:rsidRDefault="00CA7DB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Another common recommendation was routine screening. It was suggested by </w:t>
      </w:r>
      <w:r w:rsidR="004858EF" w:rsidRPr="00594C6F">
        <w:rPr>
          <w:rFonts w:ascii="Arial" w:hAnsi="Arial" w:cs="Arial"/>
          <w:sz w:val="24"/>
          <w:szCs w:val="24"/>
          <w:lang w:eastAsia="en-GB"/>
        </w:rPr>
        <w:t>Freehand</w:t>
      </w:r>
      <w:r w:rsidRPr="00594C6F">
        <w:rPr>
          <w:rFonts w:ascii="Arial" w:hAnsi="Arial" w:cs="Arial"/>
          <w:sz w:val="24"/>
          <w:szCs w:val="24"/>
          <w:lang w:eastAsia="en-GB"/>
        </w:rPr>
        <w:t xml:space="preserve"> et al. (2022) that the routine assessment of vitamin D levels in residents can be used to detect deficiency early on, which can help to identify and supplement a resident before complications like falls or fractures occur. Early screening also helps with a plan for care that has been tailore</w:t>
      </w:r>
      <w:r w:rsidR="004858EF">
        <w:rPr>
          <w:rFonts w:ascii="Arial" w:hAnsi="Arial" w:cs="Arial"/>
          <w:sz w:val="24"/>
          <w:szCs w:val="24"/>
          <w:lang w:eastAsia="en-GB"/>
        </w:rPr>
        <w:t>d to the person who is at risk.</w:t>
      </w:r>
    </w:p>
    <w:p w14:paraId="40BEE06D" w14:textId="4B0F7787" w:rsidR="00CA7DBC" w:rsidRPr="00594C6F" w:rsidRDefault="00CA7DB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Multidisciplinary collaboration proved to be an important facilitator of better awareness. The importance of GP-nurse-pharmacist-dietitian-cooperation to improve communication and consistent application of the guidance on supplementation in care homes was highli</w:t>
      </w:r>
      <w:r w:rsidR="00FC028B">
        <w:rPr>
          <w:rFonts w:ascii="Arial" w:hAnsi="Arial" w:cs="Arial"/>
          <w:sz w:val="24"/>
          <w:szCs w:val="24"/>
          <w:lang w:eastAsia="en-GB"/>
        </w:rPr>
        <w:t>ghted by Cashman et al. (2023).</w:t>
      </w:r>
    </w:p>
    <w:p w14:paraId="2B096C32" w14:textId="5B201E39" w:rsidR="00CA7DBC" w:rsidRPr="00594C6F" w:rsidRDefault="00CA7DBC" w:rsidP="00594C6F">
      <w:pPr>
        <w:spacing w:line="360" w:lineRule="auto"/>
        <w:jc w:val="both"/>
        <w:rPr>
          <w:rFonts w:ascii="Arial" w:hAnsi="Arial" w:cs="Arial"/>
          <w:sz w:val="24"/>
          <w:szCs w:val="24"/>
          <w:lang w:eastAsia="en-GB"/>
        </w:rPr>
      </w:pPr>
      <w:r w:rsidRPr="00594C6F">
        <w:rPr>
          <w:rFonts w:ascii="Arial" w:hAnsi="Arial" w:cs="Arial"/>
          <w:sz w:val="24"/>
          <w:szCs w:val="24"/>
          <w:lang w:eastAsia="en-GB"/>
        </w:rPr>
        <w:t>Implementation of the policy was also a major factor. A number of studies suggested that care homes develop written policies on staff roles, supplementation and monitoring policies. Stronger direction and structure within the organisation can help minimise uncertainty of staff and lead to better compliance</w:t>
      </w:r>
      <w:r w:rsidR="004858EF">
        <w:rPr>
          <w:rFonts w:ascii="Arial" w:hAnsi="Arial" w:cs="Arial"/>
          <w:sz w:val="24"/>
          <w:szCs w:val="24"/>
          <w:lang w:eastAsia="en-GB"/>
        </w:rPr>
        <w:t xml:space="preserve"> with national recommendations.</w:t>
      </w:r>
    </w:p>
    <w:p w14:paraId="218E6FB4" w14:textId="75788CA0" w:rsidR="004645B5" w:rsidRPr="004858EF" w:rsidRDefault="00CA7DBC" w:rsidP="004858EF">
      <w:pPr>
        <w:spacing w:line="360" w:lineRule="auto"/>
        <w:jc w:val="both"/>
        <w:rPr>
          <w:rFonts w:ascii="Arial" w:hAnsi="Arial" w:cs="Arial"/>
          <w:sz w:val="24"/>
          <w:szCs w:val="24"/>
          <w:lang w:eastAsia="en-GB"/>
        </w:rPr>
      </w:pPr>
      <w:r w:rsidRPr="00594C6F">
        <w:rPr>
          <w:rFonts w:ascii="Arial" w:hAnsi="Arial" w:cs="Arial"/>
          <w:sz w:val="24"/>
          <w:szCs w:val="24"/>
          <w:lang w:eastAsia="en-GB"/>
        </w:rPr>
        <w:t xml:space="preserve">The studies included overall showed that increased awareness can only be achieved by a multifaceted approach, which integrates education, routine screening, collaboration of multidisciplinary teams, development of organizational policies and involvement of residents and families. </w:t>
      </w:r>
    </w:p>
    <w:p w14:paraId="4F28408C" w14:textId="7EC86A9D" w:rsidR="00CB0243" w:rsidRPr="004858EF" w:rsidRDefault="004858EF" w:rsidP="004858EF">
      <w:pPr>
        <w:pStyle w:val="Heading2"/>
        <w:rPr>
          <w:lang w:eastAsia="en-GB"/>
        </w:rPr>
      </w:pPr>
      <w:bookmarkStart w:id="71" w:name="_Toc240558501"/>
      <w:r>
        <w:rPr>
          <w:lang w:eastAsia="en-GB"/>
        </w:rPr>
        <w:lastRenderedPageBreak/>
        <w:t>4.12 Summary of Main Findings</w:t>
      </w:r>
      <w:bookmarkEnd w:id="71"/>
      <w:r>
        <w:rPr>
          <w:lang w:eastAsia="en-GB"/>
        </w:rPr>
        <w:t xml:space="preserve"> </w:t>
      </w:r>
    </w:p>
    <w:p w14:paraId="14A19FB2" w14:textId="77777777" w:rsidR="005E44D4" w:rsidRPr="00594C6F" w:rsidRDefault="005E44D4" w:rsidP="00594C6F">
      <w:pPr>
        <w:spacing w:after="0" w:line="360" w:lineRule="auto"/>
        <w:jc w:val="both"/>
        <w:rPr>
          <w:rFonts w:ascii="Arial" w:eastAsia="Times New Roman" w:hAnsi="Arial" w:cs="Arial"/>
          <w:kern w:val="0"/>
          <w:sz w:val="24"/>
          <w:szCs w:val="24"/>
          <w:lang w:eastAsia="en-GB"/>
          <w14:ligatures w14:val="none"/>
        </w:rPr>
      </w:pPr>
      <w:r w:rsidRPr="00594C6F">
        <w:rPr>
          <w:rFonts w:ascii="Arial" w:eastAsia="Times New Roman" w:hAnsi="Arial" w:cs="Arial"/>
          <w:kern w:val="0"/>
          <w:sz w:val="24"/>
          <w:szCs w:val="24"/>
          <w:lang w:eastAsia="en-GB"/>
          <w14:ligatures w14:val="none"/>
        </w:rPr>
        <w:t>The results of this systematic review are reported in terms of the four research objectives formulated for the study.</w:t>
      </w:r>
    </w:p>
    <w:p w14:paraId="17781A14" w14:textId="77777777" w:rsidR="005E44D4" w:rsidRPr="00594C6F" w:rsidRDefault="005E44D4" w:rsidP="00594C6F">
      <w:pPr>
        <w:spacing w:after="0" w:line="360" w:lineRule="auto"/>
        <w:jc w:val="both"/>
        <w:rPr>
          <w:rFonts w:ascii="Arial" w:eastAsia="Times New Roman" w:hAnsi="Arial" w:cs="Arial"/>
          <w:kern w:val="0"/>
          <w:sz w:val="24"/>
          <w:szCs w:val="24"/>
          <w:lang w:eastAsia="en-GB"/>
          <w14:ligatures w14:val="none"/>
        </w:rPr>
      </w:pPr>
    </w:p>
    <w:p w14:paraId="758D1D65" w14:textId="77777777" w:rsidR="005E44D4" w:rsidRPr="004858EF" w:rsidRDefault="005E44D4" w:rsidP="00594C6F">
      <w:pPr>
        <w:spacing w:after="0" w:line="360" w:lineRule="auto"/>
        <w:jc w:val="both"/>
        <w:rPr>
          <w:rFonts w:ascii="Arial" w:eastAsia="Times New Roman" w:hAnsi="Arial" w:cs="Arial"/>
          <w:b/>
          <w:kern w:val="0"/>
          <w:sz w:val="24"/>
          <w:szCs w:val="24"/>
          <w:lang w:eastAsia="en-GB"/>
          <w14:ligatures w14:val="none"/>
        </w:rPr>
      </w:pPr>
      <w:r w:rsidRPr="004858EF">
        <w:rPr>
          <w:rFonts w:ascii="Arial" w:eastAsia="Times New Roman" w:hAnsi="Arial" w:cs="Arial"/>
          <w:b/>
          <w:kern w:val="0"/>
          <w:sz w:val="24"/>
          <w:szCs w:val="24"/>
          <w:lang w:eastAsia="en-GB"/>
          <w14:ligatures w14:val="none"/>
        </w:rPr>
        <w:t>Objective 1: To review existing knowledge in the UK about vitamin D supplementation in care homes.</w:t>
      </w:r>
    </w:p>
    <w:p w14:paraId="3E9422C5" w14:textId="7D705E0E" w:rsidR="005E44D4" w:rsidRPr="00594C6F" w:rsidRDefault="005E44D4" w:rsidP="00594C6F">
      <w:pPr>
        <w:spacing w:after="0" w:line="360" w:lineRule="auto"/>
        <w:jc w:val="both"/>
        <w:rPr>
          <w:rFonts w:ascii="Arial" w:eastAsia="Times New Roman" w:hAnsi="Arial" w:cs="Arial"/>
          <w:kern w:val="0"/>
          <w:sz w:val="24"/>
          <w:szCs w:val="24"/>
          <w:lang w:eastAsia="en-GB"/>
          <w14:ligatures w14:val="none"/>
        </w:rPr>
      </w:pPr>
      <w:r w:rsidRPr="00594C6F">
        <w:rPr>
          <w:rFonts w:ascii="Arial" w:eastAsia="Times New Roman" w:hAnsi="Arial" w:cs="Arial"/>
          <w:kern w:val="0"/>
          <w:sz w:val="24"/>
          <w:szCs w:val="24"/>
          <w:lang w:eastAsia="en-GB"/>
          <w14:ligatures w14:val="none"/>
        </w:rPr>
        <w:t>The review identified that generally, care home residents and staff had limited knowledge of vitamin D deficiency, as well as vitamin D supplementation. While many health practitioners were aware of the role of vitamin D in bone health, the recommended dosages for vitamin D supplementation, the dosage at which to begin supplementation, and national vitamin D recommendations were different across studies (Turner et al.</w:t>
      </w:r>
      <w:r w:rsidR="004858EF">
        <w:rPr>
          <w:rFonts w:ascii="Arial" w:eastAsia="Times New Roman" w:hAnsi="Arial" w:cs="Arial"/>
          <w:kern w:val="0"/>
          <w:sz w:val="24"/>
          <w:szCs w:val="24"/>
          <w:lang w:eastAsia="en-GB"/>
          <w14:ligatures w14:val="none"/>
        </w:rPr>
        <w:t xml:space="preserve">, 2023; Cashman et al., 2023). </w:t>
      </w:r>
    </w:p>
    <w:p w14:paraId="5406AF70" w14:textId="77777777" w:rsidR="005E44D4" w:rsidRPr="004858EF" w:rsidRDefault="005E44D4" w:rsidP="00594C6F">
      <w:pPr>
        <w:spacing w:after="0" w:line="360" w:lineRule="auto"/>
        <w:jc w:val="both"/>
        <w:rPr>
          <w:rFonts w:ascii="Arial" w:eastAsia="Times New Roman" w:hAnsi="Arial" w:cs="Arial"/>
          <w:b/>
          <w:kern w:val="0"/>
          <w:sz w:val="24"/>
          <w:szCs w:val="24"/>
          <w:lang w:eastAsia="en-GB"/>
          <w14:ligatures w14:val="none"/>
        </w:rPr>
      </w:pPr>
      <w:r w:rsidRPr="004858EF">
        <w:rPr>
          <w:rFonts w:ascii="Arial" w:eastAsia="Times New Roman" w:hAnsi="Arial" w:cs="Arial"/>
          <w:b/>
          <w:kern w:val="0"/>
          <w:sz w:val="24"/>
          <w:szCs w:val="24"/>
          <w:lang w:eastAsia="en-GB"/>
          <w14:ligatures w14:val="none"/>
        </w:rPr>
        <w:t>Objective 2: To recognize the challenges in effective prevention of vitamin D deficiency.</w:t>
      </w:r>
    </w:p>
    <w:p w14:paraId="5800E412" w14:textId="0DD7E88A" w:rsidR="005E44D4" w:rsidRDefault="005E44D4" w:rsidP="00594C6F">
      <w:pPr>
        <w:spacing w:after="0" w:line="360" w:lineRule="auto"/>
        <w:jc w:val="both"/>
        <w:rPr>
          <w:rFonts w:ascii="Arial" w:eastAsia="Times New Roman" w:hAnsi="Arial" w:cs="Arial"/>
          <w:kern w:val="0"/>
          <w:sz w:val="24"/>
          <w:szCs w:val="24"/>
          <w:lang w:eastAsia="en-GB"/>
          <w14:ligatures w14:val="none"/>
        </w:rPr>
      </w:pPr>
      <w:r w:rsidRPr="00594C6F">
        <w:rPr>
          <w:rFonts w:ascii="Arial" w:eastAsia="Times New Roman" w:hAnsi="Arial" w:cs="Arial"/>
          <w:kern w:val="0"/>
          <w:sz w:val="24"/>
          <w:szCs w:val="24"/>
          <w:lang w:eastAsia="en-GB"/>
          <w14:ligatures w14:val="none"/>
        </w:rPr>
        <w:t>Several barriers to prevention practices were consistently identified in the evidence from care homes in the UK. This encompassed poor organisation policies, lack of staff education, training, and/or professional accountability for supplementation, high workloads, and a lack of multidisciplinary collaboration (Williams and Williams, 2020; Cashman et al., 2023). These challenges led to a lack of uniformity in the implementation of the nationa</w:t>
      </w:r>
      <w:r w:rsidR="004858EF">
        <w:rPr>
          <w:rFonts w:ascii="Arial" w:eastAsia="Times New Roman" w:hAnsi="Arial" w:cs="Arial"/>
          <w:kern w:val="0"/>
          <w:sz w:val="24"/>
          <w:szCs w:val="24"/>
          <w:lang w:eastAsia="en-GB"/>
          <w14:ligatures w14:val="none"/>
        </w:rPr>
        <w:t>l recommendations on vitamin D.</w:t>
      </w:r>
    </w:p>
    <w:p w14:paraId="2F00AC02" w14:textId="77777777" w:rsidR="004858EF" w:rsidRPr="004858EF" w:rsidRDefault="004858EF" w:rsidP="00594C6F">
      <w:pPr>
        <w:spacing w:after="0" w:line="360" w:lineRule="auto"/>
        <w:jc w:val="both"/>
        <w:rPr>
          <w:rFonts w:ascii="Arial" w:eastAsia="Times New Roman" w:hAnsi="Arial" w:cs="Arial"/>
          <w:kern w:val="0"/>
          <w:sz w:val="24"/>
          <w:szCs w:val="24"/>
          <w:lang w:eastAsia="en-GB"/>
          <w14:ligatures w14:val="none"/>
        </w:rPr>
      </w:pPr>
    </w:p>
    <w:p w14:paraId="353A6FAA" w14:textId="77777777" w:rsidR="005E44D4" w:rsidRPr="004858EF" w:rsidRDefault="005E44D4" w:rsidP="00594C6F">
      <w:pPr>
        <w:spacing w:after="0" w:line="360" w:lineRule="auto"/>
        <w:jc w:val="both"/>
        <w:rPr>
          <w:rFonts w:ascii="Arial" w:eastAsia="Times New Roman" w:hAnsi="Arial" w:cs="Arial"/>
          <w:b/>
          <w:kern w:val="0"/>
          <w:sz w:val="24"/>
          <w:szCs w:val="24"/>
          <w:lang w:eastAsia="en-GB"/>
          <w14:ligatures w14:val="none"/>
        </w:rPr>
      </w:pPr>
      <w:r w:rsidRPr="004858EF">
        <w:rPr>
          <w:rFonts w:ascii="Arial" w:eastAsia="Times New Roman" w:hAnsi="Arial" w:cs="Arial"/>
          <w:b/>
          <w:kern w:val="0"/>
          <w:sz w:val="24"/>
          <w:szCs w:val="24"/>
          <w:lang w:eastAsia="en-GB"/>
          <w14:ligatures w14:val="none"/>
        </w:rPr>
        <w:t>Objective 3: To design and suggest feasible strategies to increase awareness and prevention efforts.</w:t>
      </w:r>
    </w:p>
    <w:p w14:paraId="674D37BA" w14:textId="0418E265" w:rsidR="005E44D4" w:rsidRPr="00594C6F" w:rsidRDefault="005E44D4" w:rsidP="00594C6F">
      <w:pPr>
        <w:spacing w:after="0" w:line="360" w:lineRule="auto"/>
        <w:jc w:val="both"/>
        <w:rPr>
          <w:rFonts w:ascii="Arial" w:eastAsia="Times New Roman" w:hAnsi="Arial" w:cs="Arial"/>
          <w:kern w:val="0"/>
          <w:sz w:val="24"/>
          <w:szCs w:val="24"/>
          <w:lang w:eastAsia="en-GB"/>
          <w14:ligatures w14:val="none"/>
        </w:rPr>
      </w:pPr>
      <w:r w:rsidRPr="00594C6F">
        <w:rPr>
          <w:rFonts w:ascii="Arial" w:eastAsia="Times New Roman" w:hAnsi="Arial" w:cs="Arial"/>
          <w:kern w:val="0"/>
          <w:sz w:val="24"/>
          <w:szCs w:val="24"/>
          <w:lang w:eastAsia="en-GB"/>
          <w14:ligatures w14:val="none"/>
        </w:rPr>
        <w:t xml:space="preserve">The reviewed studies showed that implementing structured educational programmes, providing routine vitamin D supplementation, having clear organisation policies, implementing multidisciplinary working and following national guidance had a significant effect on awareness and adherence to vitamin D supplementation practices (Feehan et al., 2022; Turner et al., 2023; </w:t>
      </w:r>
      <w:proofErr w:type="spellStart"/>
      <w:r w:rsidRPr="00594C6F">
        <w:rPr>
          <w:rFonts w:ascii="Arial" w:eastAsia="Times New Roman" w:hAnsi="Arial" w:cs="Arial"/>
          <w:kern w:val="0"/>
          <w:sz w:val="24"/>
          <w:szCs w:val="24"/>
          <w:lang w:eastAsia="en-GB"/>
          <w14:ligatures w14:val="none"/>
        </w:rPr>
        <w:t>Rombel</w:t>
      </w:r>
      <w:proofErr w:type="spellEnd"/>
      <w:r w:rsidRPr="00594C6F">
        <w:rPr>
          <w:rFonts w:ascii="Arial" w:eastAsia="Times New Roman" w:hAnsi="Arial" w:cs="Arial"/>
          <w:kern w:val="0"/>
          <w:sz w:val="24"/>
          <w:szCs w:val="24"/>
          <w:lang w:eastAsia="en-GB"/>
          <w14:ligatures w14:val="none"/>
        </w:rPr>
        <w:t xml:space="preserve"> et al., 2025). Additional supportive interventions identified were food fortif</w:t>
      </w:r>
      <w:r w:rsidR="004858EF">
        <w:rPr>
          <w:rFonts w:ascii="Arial" w:eastAsia="Times New Roman" w:hAnsi="Arial" w:cs="Arial"/>
          <w:kern w:val="0"/>
          <w:sz w:val="24"/>
          <w:szCs w:val="24"/>
          <w:lang w:eastAsia="en-GB"/>
          <w14:ligatures w14:val="none"/>
        </w:rPr>
        <w:t>ication and family involvement.</w:t>
      </w:r>
    </w:p>
    <w:p w14:paraId="185FCEDD" w14:textId="77777777" w:rsidR="005E44D4" w:rsidRPr="004858EF" w:rsidRDefault="005E44D4" w:rsidP="00594C6F">
      <w:pPr>
        <w:spacing w:after="0" w:line="360" w:lineRule="auto"/>
        <w:jc w:val="both"/>
        <w:rPr>
          <w:rFonts w:ascii="Arial" w:eastAsia="Times New Roman" w:hAnsi="Arial" w:cs="Arial"/>
          <w:b/>
          <w:kern w:val="0"/>
          <w:sz w:val="24"/>
          <w:szCs w:val="24"/>
          <w:lang w:eastAsia="en-GB"/>
          <w14:ligatures w14:val="none"/>
        </w:rPr>
      </w:pPr>
      <w:r w:rsidRPr="004858EF">
        <w:rPr>
          <w:rFonts w:ascii="Arial" w:eastAsia="Times New Roman" w:hAnsi="Arial" w:cs="Arial"/>
          <w:b/>
          <w:kern w:val="0"/>
          <w:sz w:val="24"/>
          <w:szCs w:val="24"/>
          <w:lang w:eastAsia="en-GB"/>
          <w14:ligatures w14:val="none"/>
        </w:rPr>
        <w:t>Objective 4: To assess the effect of increasing awareness on decreasing health risks (falls, fractures).</w:t>
      </w:r>
    </w:p>
    <w:p w14:paraId="5799BBB8" w14:textId="4CB2EA06" w:rsidR="005E44D4" w:rsidRPr="00594C6F" w:rsidRDefault="005E44D4" w:rsidP="00594C6F">
      <w:pPr>
        <w:spacing w:after="0" w:line="360" w:lineRule="auto"/>
        <w:jc w:val="both"/>
        <w:rPr>
          <w:rFonts w:ascii="Arial" w:eastAsia="Times New Roman" w:hAnsi="Arial" w:cs="Arial"/>
          <w:kern w:val="0"/>
          <w:sz w:val="24"/>
          <w:szCs w:val="24"/>
          <w:lang w:eastAsia="en-GB"/>
          <w14:ligatures w14:val="none"/>
        </w:rPr>
      </w:pPr>
      <w:r w:rsidRPr="00594C6F">
        <w:rPr>
          <w:rFonts w:ascii="Arial" w:eastAsia="Times New Roman" w:hAnsi="Arial" w:cs="Arial"/>
          <w:kern w:val="0"/>
          <w:sz w:val="24"/>
          <w:szCs w:val="24"/>
          <w:lang w:eastAsia="en-GB"/>
          <w14:ligatures w14:val="none"/>
        </w:rPr>
        <w:t xml:space="preserve">Therefore, the evidence suggested that increasing awareness and regular vitamin D supplementation, is linked to better musculoskeletal outcomes, increased muscle </w:t>
      </w:r>
      <w:r w:rsidRPr="00594C6F">
        <w:rPr>
          <w:rFonts w:ascii="Arial" w:eastAsia="Times New Roman" w:hAnsi="Arial" w:cs="Arial"/>
          <w:kern w:val="0"/>
          <w:sz w:val="24"/>
          <w:szCs w:val="24"/>
          <w:lang w:eastAsia="en-GB"/>
          <w14:ligatures w14:val="none"/>
        </w:rPr>
        <w:lastRenderedPageBreak/>
        <w:t>strength, and decreased falls and fracture risk in older people residing in care homes (Feehan et al., 2022; Cashman et al., 2023). Overall, the results indicate that the health and wellbeing of older people living in UK care settings can be significantly improved by increasing awareness through education and policy implementation and through implementing rou</w:t>
      </w:r>
      <w:r w:rsidR="004858EF">
        <w:rPr>
          <w:rFonts w:ascii="Arial" w:eastAsia="Times New Roman" w:hAnsi="Arial" w:cs="Arial"/>
          <w:kern w:val="0"/>
          <w:sz w:val="24"/>
          <w:szCs w:val="24"/>
          <w:lang w:eastAsia="en-GB"/>
          <w14:ligatures w14:val="none"/>
        </w:rPr>
        <w:t>tine preventive care practices.</w:t>
      </w:r>
    </w:p>
    <w:p w14:paraId="4575D0AD" w14:textId="7F019DCE" w:rsidR="005E44D4" w:rsidRPr="004858EF" w:rsidRDefault="005E44D4" w:rsidP="004858EF">
      <w:pPr>
        <w:pStyle w:val="Heading2"/>
        <w:rPr>
          <w:lang w:eastAsia="en-GB"/>
        </w:rPr>
      </w:pPr>
      <w:bookmarkStart w:id="72" w:name="_Toc240558502"/>
      <w:r w:rsidRPr="00594C6F">
        <w:rPr>
          <w:lang w:eastAsia="en-GB"/>
        </w:rPr>
        <w:t>4.13 Chapter Summary</w:t>
      </w:r>
      <w:bookmarkEnd w:id="72"/>
      <w:r w:rsidRPr="00594C6F">
        <w:rPr>
          <w:lang w:eastAsia="en-GB"/>
        </w:rPr>
        <w:t xml:space="preserve"> </w:t>
      </w:r>
    </w:p>
    <w:p w14:paraId="3A80D7A4" w14:textId="1C862BFA" w:rsidR="00C67849" w:rsidRDefault="005E44D4" w:rsidP="004858EF">
      <w:pPr>
        <w:spacing w:after="0" w:line="360" w:lineRule="auto"/>
        <w:jc w:val="both"/>
        <w:rPr>
          <w:rFonts w:ascii="Arial" w:eastAsia="Times New Roman" w:hAnsi="Arial" w:cs="Arial"/>
          <w:kern w:val="0"/>
          <w:sz w:val="24"/>
          <w:szCs w:val="24"/>
          <w:lang w:eastAsia="en-GB"/>
          <w14:ligatures w14:val="none"/>
        </w:rPr>
      </w:pPr>
      <w:r w:rsidRPr="00594C6F">
        <w:rPr>
          <w:rFonts w:ascii="Arial" w:eastAsia="Times New Roman" w:hAnsi="Arial" w:cs="Arial"/>
          <w:kern w:val="0"/>
          <w:sz w:val="24"/>
          <w:szCs w:val="24"/>
          <w:lang w:eastAsia="en-GB"/>
          <w14:ligatures w14:val="none"/>
        </w:rPr>
        <w:t xml:space="preserve">This chapter described the results of the systematic review looking at awareness and prevention of vitamin D deficiency in older adults from care homes in the UK. The outcomes of the systematic search on the databases and the study selection process as well as the quality appraisal were presented. The included studies were summarised according to the characteristics of the studies and evidence extracted was synthesised under five main themes: vitamin D deficiency, awareness and knowledge, barriers to preventing vitamin D deficiency, prevention strategies, and approaches to increase awareness in care home settings. Overall, the study revealed that awareness of vitamin D deficiency was still poor both among the residents and the members of the care staff, and that in the organisation, there were barriers related to education, as well as organizational and policy barriers that restricted vitamin D preventive actions. The review also revealed that structured education programmes, regular supplementation, multidisciplinary teamwork and standardized policy ensured education and helped to lower falls and fracture risk. </w:t>
      </w:r>
      <w:r w:rsidR="00F55794">
        <w:rPr>
          <w:rFonts w:ascii="Arial" w:eastAsia="Times New Roman" w:hAnsi="Arial" w:cs="Arial"/>
          <w:kern w:val="0"/>
          <w:sz w:val="24"/>
          <w:szCs w:val="24"/>
          <w:lang w:eastAsia="en-GB"/>
          <w14:ligatures w14:val="none"/>
        </w:rPr>
        <w:t>The outcomes establish the foundational framework for the discussion in Chapter Five.</w:t>
      </w:r>
    </w:p>
    <w:p w14:paraId="6934A4C2" w14:textId="58721B5B"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2C904C33" w14:textId="492112D8"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14DCB68C" w14:textId="2C4B50EC"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606C4506" w14:textId="4895A370"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2FABDB1A" w14:textId="63348C9A"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7202D9E4" w14:textId="3F9E4D89"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37115B82" w14:textId="03999E4C"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375A846E" w14:textId="661CD5BB"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7B405FB7" w14:textId="6E5B7327" w:rsidR="00B018DD" w:rsidRDefault="00B018DD" w:rsidP="004858EF">
      <w:pPr>
        <w:spacing w:after="0" w:line="360" w:lineRule="auto"/>
        <w:jc w:val="both"/>
        <w:rPr>
          <w:rFonts w:ascii="Arial" w:eastAsia="Times New Roman" w:hAnsi="Arial" w:cs="Arial"/>
          <w:kern w:val="0"/>
          <w:sz w:val="24"/>
          <w:szCs w:val="24"/>
          <w:lang w:eastAsia="en-GB"/>
          <w14:ligatures w14:val="none"/>
        </w:rPr>
      </w:pPr>
    </w:p>
    <w:p w14:paraId="455D9781" w14:textId="1E3D5B1E" w:rsidR="00B018DD" w:rsidRDefault="00B018DD" w:rsidP="004858EF">
      <w:pPr>
        <w:spacing w:after="0" w:line="360" w:lineRule="auto"/>
        <w:jc w:val="both"/>
        <w:rPr>
          <w:rFonts w:ascii="Arial" w:eastAsia="Times New Roman" w:hAnsi="Arial" w:cs="Arial"/>
          <w:kern w:val="0"/>
          <w:sz w:val="24"/>
          <w:szCs w:val="24"/>
          <w:lang w:eastAsia="en-GB"/>
          <w14:ligatures w14:val="none"/>
        </w:rPr>
      </w:pPr>
    </w:p>
    <w:p w14:paraId="32DD5F1F" w14:textId="2F0AE320" w:rsidR="00B018DD" w:rsidRDefault="00B018DD" w:rsidP="004858EF">
      <w:pPr>
        <w:spacing w:after="0" w:line="360" w:lineRule="auto"/>
        <w:jc w:val="both"/>
        <w:rPr>
          <w:rFonts w:ascii="Arial" w:eastAsia="Times New Roman" w:hAnsi="Arial" w:cs="Arial"/>
          <w:kern w:val="0"/>
          <w:sz w:val="24"/>
          <w:szCs w:val="24"/>
          <w:lang w:eastAsia="en-GB"/>
          <w14:ligatures w14:val="none"/>
        </w:rPr>
      </w:pPr>
    </w:p>
    <w:p w14:paraId="561626FC" w14:textId="3B841EB2" w:rsidR="00FC028B" w:rsidRDefault="00FC028B" w:rsidP="004858EF">
      <w:pPr>
        <w:spacing w:after="0" w:line="360" w:lineRule="auto"/>
        <w:jc w:val="both"/>
        <w:rPr>
          <w:rFonts w:ascii="Arial" w:eastAsia="Times New Roman" w:hAnsi="Arial" w:cs="Arial"/>
          <w:kern w:val="0"/>
          <w:sz w:val="24"/>
          <w:szCs w:val="24"/>
          <w:lang w:eastAsia="en-GB"/>
          <w14:ligatures w14:val="none"/>
        </w:rPr>
      </w:pPr>
    </w:p>
    <w:p w14:paraId="37221090" w14:textId="7224A85F" w:rsidR="00A45AC0" w:rsidRPr="00716F77" w:rsidRDefault="00716F77" w:rsidP="00462F16">
      <w:pPr>
        <w:pStyle w:val="Heading1"/>
      </w:pPr>
      <w:bookmarkStart w:id="73" w:name="_Toc240558503"/>
      <w:r>
        <w:lastRenderedPageBreak/>
        <w:t>CHAPTER 5: DISCUSSION</w:t>
      </w:r>
      <w:bookmarkEnd w:id="73"/>
    </w:p>
    <w:p w14:paraId="625C563E" w14:textId="02170FE3" w:rsidR="00C900F5" w:rsidRPr="00522F4C" w:rsidRDefault="00C900F5" w:rsidP="00716F77">
      <w:pPr>
        <w:pStyle w:val="Heading2"/>
        <w:rPr>
          <w:lang w:eastAsia="en-GB"/>
        </w:rPr>
      </w:pPr>
      <w:bookmarkStart w:id="74" w:name="_Toc240558504"/>
      <w:r w:rsidRPr="00522F4C">
        <w:rPr>
          <w:lang w:eastAsia="en-GB"/>
        </w:rPr>
        <w:t>5.1 Introduction</w:t>
      </w:r>
      <w:bookmarkEnd w:id="74"/>
    </w:p>
    <w:p w14:paraId="0B656E48" w14:textId="0A741482" w:rsidR="00C900F5" w:rsidRPr="00522F4C" w:rsidRDefault="005E0905"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This chapter will critically </w:t>
      </w:r>
      <w:r w:rsidR="00716F77" w:rsidRPr="00522F4C">
        <w:rPr>
          <w:rFonts w:ascii="Arial" w:eastAsia="Times New Roman" w:hAnsi="Arial" w:cs="Arial"/>
          <w:kern w:val="0"/>
          <w:sz w:val="24"/>
          <w:szCs w:val="24"/>
          <w:lang w:eastAsia="en-GB"/>
          <w14:ligatures w14:val="none"/>
        </w:rPr>
        <w:t>analyse</w:t>
      </w:r>
      <w:r w:rsidRPr="00522F4C">
        <w:rPr>
          <w:rFonts w:ascii="Arial" w:eastAsia="Times New Roman" w:hAnsi="Arial" w:cs="Arial"/>
          <w:kern w:val="0"/>
          <w:sz w:val="24"/>
          <w:szCs w:val="24"/>
          <w:lang w:eastAsia="en-GB"/>
          <w14:ligatures w14:val="none"/>
        </w:rPr>
        <w:t xml:space="preserve"> the results presented in Chapter Four, and will attempt to draw conclusions about the results in the context of the research question and research objectives. The findings of the systematic review will be compared to previously published results, as the reported results may vary depending on the study population, methodology and definitions of vitamin D deficiency (Cashman et al., 2023; McSorley et al., 2020). The methodological strengths and limitations of the studies included will also be critically assessed to assess reliability and applicability of the evidence. Specific focus will be given to the five themes identified: vitamin D deficiency in older adults, awareness/knowledge, barriers to vitamin D prevention, vitamin D prevention strategies and interventions, and approaches to increasing awareness in care homes in the UK. </w:t>
      </w:r>
      <w:r w:rsidR="00716F77">
        <w:rPr>
          <w:rFonts w:ascii="Arial" w:eastAsia="Times New Roman" w:hAnsi="Arial" w:cs="Arial"/>
          <w:kern w:val="0"/>
          <w:sz w:val="24"/>
          <w:szCs w:val="24"/>
          <w:lang w:eastAsia="en-GB"/>
          <w14:ligatures w14:val="none"/>
        </w:rPr>
        <w:t>(NICE, 2022; OHID, 2023).</w:t>
      </w:r>
    </w:p>
    <w:p w14:paraId="665D54C1" w14:textId="77777777" w:rsidR="00C900F5" w:rsidRPr="00522F4C" w:rsidRDefault="00C900F5" w:rsidP="00716F77">
      <w:pPr>
        <w:pStyle w:val="Heading2"/>
        <w:rPr>
          <w:lang w:eastAsia="en-GB"/>
        </w:rPr>
      </w:pPr>
      <w:bookmarkStart w:id="75" w:name="_Toc240558505"/>
      <w:r w:rsidRPr="00522F4C">
        <w:rPr>
          <w:lang w:eastAsia="en-GB"/>
        </w:rPr>
        <w:t>5.2 Discussion of Main Findings</w:t>
      </w:r>
      <w:bookmarkEnd w:id="75"/>
    </w:p>
    <w:p w14:paraId="25895E09" w14:textId="77777777" w:rsidR="00C900F5" w:rsidRPr="00522F4C" w:rsidRDefault="00C900F5" w:rsidP="00081EFD">
      <w:pPr>
        <w:pStyle w:val="Heading3"/>
      </w:pPr>
      <w:bookmarkStart w:id="76" w:name="_Toc240558506"/>
      <w:r w:rsidRPr="00522F4C">
        <w:t>5.2.1 Theme 1: Vitamin D Deficiency among Older Adults</w:t>
      </w:r>
      <w:bookmarkEnd w:id="76"/>
    </w:p>
    <w:p w14:paraId="76D75B4C" w14:textId="2089A072" w:rsidR="00D8735D" w:rsidRDefault="00D8735D"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The results of the review showed that vitamin D deficiency is especially prevalent in older adults (aged 65 years and older) since with increasing age, the skin's ability to synthesize vitamin D after exposure to </w:t>
      </w:r>
      <w:r w:rsidR="00716F77" w:rsidRPr="00522F4C">
        <w:rPr>
          <w:rFonts w:ascii="Arial" w:eastAsia="Times New Roman" w:hAnsi="Arial" w:cs="Arial"/>
          <w:kern w:val="0"/>
          <w:sz w:val="24"/>
          <w:szCs w:val="24"/>
          <w:lang w:eastAsia="en-GB"/>
          <w14:ligatures w14:val="none"/>
        </w:rPr>
        <w:t>Ultraviolet</w:t>
      </w:r>
      <w:r w:rsidRPr="00522F4C">
        <w:rPr>
          <w:rFonts w:ascii="Arial" w:eastAsia="Times New Roman" w:hAnsi="Arial" w:cs="Arial"/>
          <w:kern w:val="0"/>
          <w:sz w:val="24"/>
          <w:szCs w:val="24"/>
          <w:lang w:eastAsia="en-GB"/>
          <w14:ligatures w14:val="none"/>
        </w:rPr>
        <w:t xml:space="preserve">-B radiation decreases. This is exacerbated in people living in care homes as they may have limited mobility and are frail, have chronic health conditions, and may not be outside much (McSorley et al., 2020; Cashman et al., 2023). The residential setting was also a significant risk factor, as was shown by Feehan et al. (2022) who had also found poorer vitamin D status in institutionalised older adults than in community-dwelling populations. Low vitamin D status has also been linked to poor muscle strength, poor balance and a higher risk of falls and fractures (McSorley et al., 2020). </w:t>
      </w:r>
    </w:p>
    <w:p w14:paraId="30EBB424" w14:textId="77777777" w:rsidR="00830205" w:rsidRDefault="00830205" w:rsidP="00522F4C">
      <w:pPr>
        <w:spacing w:before="240" w:line="360" w:lineRule="auto"/>
        <w:jc w:val="both"/>
        <w:rPr>
          <w:rFonts w:ascii="Arial" w:eastAsia="Times New Roman" w:hAnsi="Arial" w:cs="Arial"/>
          <w:kern w:val="0"/>
          <w:sz w:val="24"/>
          <w:szCs w:val="24"/>
          <w:lang w:eastAsia="en-GB"/>
          <w14:ligatures w14:val="none"/>
        </w:rPr>
      </w:pPr>
    </w:p>
    <w:p w14:paraId="5B558CF1" w14:textId="77777777" w:rsidR="00830205" w:rsidRDefault="00830205" w:rsidP="00522F4C">
      <w:pPr>
        <w:spacing w:before="240" w:line="360" w:lineRule="auto"/>
        <w:jc w:val="both"/>
        <w:rPr>
          <w:rFonts w:ascii="Arial" w:eastAsia="Times New Roman" w:hAnsi="Arial" w:cs="Arial"/>
          <w:kern w:val="0"/>
          <w:sz w:val="24"/>
          <w:szCs w:val="24"/>
          <w:lang w:eastAsia="en-GB"/>
          <w14:ligatures w14:val="none"/>
        </w:rPr>
      </w:pPr>
    </w:p>
    <w:p w14:paraId="29D0C3C5" w14:textId="77777777" w:rsidR="00830205" w:rsidRPr="00522F4C" w:rsidRDefault="00830205" w:rsidP="00522F4C">
      <w:pPr>
        <w:spacing w:before="240" w:line="360" w:lineRule="auto"/>
        <w:jc w:val="both"/>
        <w:rPr>
          <w:rFonts w:ascii="Arial" w:eastAsia="Times New Roman" w:hAnsi="Arial" w:cs="Arial"/>
          <w:kern w:val="0"/>
          <w:sz w:val="24"/>
          <w:szCs w:val="24"/>
          <w:lang w:eastAsia="en-GB"/>
          <w14:ligatures w14:val="none"/>
        </w:rPr>
      </w:pPr>
    </w:p>
    <w:p w14:paraId="3ED65D9B" w14:textId="77777777" w:rsidR="00D8735D" w:rsidRPr="00522F4C" w:rsidRDefault="00D8735D" w:rsidP="00081EFD">
      <w:pPr>
        <w:pStyle w:val="Heading3"/>
      </w:pPr>
      <w:bookmarkStart w:id="77" w:name="_Toc240558507"/>
      <w:r w:rsidRPr="00522F4C">
        <w:lastRenderedPageBreak/>
        <w:t>5.2.2 Theme 2: Awareness and Knowledge</w:t>
      </w:r>
      <w:bookmarkEnd w:id="77"/>
    </w:p>
    <w:p w14:paraId="40D1EBD5" w14:textId="3521171C" w:rsidR="00D8735D" w:rsidRPr="00522F4C" w:rsidRDefault="00D8735D"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Results indicate that poor knowledge levels among both residents and staff in care homes may be causing sub-optimal vitamin D prevention. Turner et al., (2023) found that there were gaps in healthcare professionals' knowledge of the recommended intakes, as well as of the risk of deficiency and whether supplementation is recommended. Cashman et al., (2023) found that there was variation in knowledge of healthcare professionals across healthcare settings. This is especially relevant in care homes where residents might rely significantly on care staff and healthcare staff to make nutritional and preventative decisions. There is, on the other hand, evidence that learning can lead to change without necessarily resulting in change of behaviour. Williams and Williams (2020) reported that organisational barriers could prevent appropriate supplementation even if staff members were aware of the importance of vitamin D. </w:t>
      </w:r>
    </w:p>
    <w:p w14:paraId="50513321" w14:textId="77777777" w:rsidR="00D8735D" w:rsidRPr="00522F4C" w:rsidRDefault="00D8735D" w:rsidP="00081EFD">
      <w:pPr>
        <w:pStyle w:val="Heading3"/>
      </w:pPr>
      <w:bookmarkStart w:id="78" w:name="_Toc240558508"/>
      <w:r w:rsidRPr="00522F4C">
        <w:t>5.2.3 Theme 3: Barriers to Prevention</w:t>
      </w:r>
      <w:bookmarkEnd w:id="78"/>
    </w:p>
    <w:p w14:paraId="56235047" w14:textId="27D6A4D5" w:rsidR="00D8735D" w:rsidRPr="00522F4C" w:rsidRDefault="00D8735D"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The review shows that there are individual and professional/organisational barriers to vitamin D prevention. There are resident-related factors that can make it very difficult to provide regular supplementation, including frailty, cognitive changes, swallowing problems, limited mobility and reduced dietary intake (Feehan et al., 2022). However, a focus on deficiency as an individual issue would not take into account important organisational constraints. Uncertainty over the focus of responsibility for vitamin D supplementations – either nutrition care or medical prescribing – may result in a gap between nutrition and medical professionals, according to Williams and Williams (2020). </w:t>
      </w:r>
    </w:p>
    <w:p w14:paraId="23CBA516" w14:textId="77777777" w:rsidR="00D8735D" w:rsidRPr="00522F4C" w:rsidRDefault="00D8735D" w:rsidP="00081EFD">
      <w:pPr>
        <w:pStyle w:val="Heading3"/>
      </w:pPr>
      <w:bookmarkStart w:id="79" w:name="_Toc240558509"/>
      <w:r w:rsidRPr="00522F4C">
        <w:t>5.2.4 Theme 4: Prevention Strategies and Interventions</w:t>
      </w:r>
      <w:bookmarkEnd w:id="79"/>
    </w:p>
    <w:p w14:paraId="5689090B" w14:textId="7DDC9969" w:rsidR="00D8735D" w:rsidRPr="00522F4C" w:rsidRDefault="00D8735D"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The evidence suggests that regular vitamin D supplementation is a valuable prevention measure for older adults who are at risk of vitamin D deficiency. The studies conducted by Feehan et al. (2022) and </w:t>
      </w:r>
      <w:proofErr w:type="spellStart"/>
      <w:r w:rsidRPr="00522F4C">
        <w:rPr>
          <w:rFonts w:ascii="Arial" w:eastAsia="Times New Roman" w:hAnsi="Arial" w:cs="Arial"/>
          <w:kern w:val="0"/>
          <w:sz w:val="24"/>
          <w:szCs w:val="24"/>
          <w:lang w:eastAsia="en-GB"/>
          <w14:ligatures w14:val="none"/>
        </w:rPr>
        <w:t>Rombel</w:t>
      </w:r>
      <w:proofErr w:type="spellEnd"/>
      <w:r w:rsidRPr="00522F4C">
        <w:rPr>
          <w:rFonts w:ascii="Arial" w:eastAsia="Times New Roman" w:hAnsi="Arial" w:cs="Arial"/>
          <w:kern w:val="0"/>
          <w:sz w:val="24"/>
          <w:szCs w:val="24"/>
          <w:lang w:eastAsia="en-GB"/>
          <w14:ligatures w14:val="none"/>
        </w:rPr>
        <w:t xml:space="preserve"> et al. (2025) found that supplementation was beneficial for residents' vitamin D status and that there may be clinical and economic benefits with routine supplementation. However, supplementation may not be sufficient to make up for the behavioural and organizational factors found in this review. Structured education can enhance staff </w:t>
      </w:r>
      <w:r w:rsidRPr="00522F4C">
        <w:rPr>
          <w:rFonts w:ascii="Arial" w:eastAsia="Times New Roman" w:hAnsi="Arial" w:cs="Arial"/>
          <w:kern w:val="0"/>
          <w:sz w:val="24"/>
          <w:szCs w:val="24"/>
          <w:lang w:eastAsia="en-GB"/>
          <w14:ligatures w14:val="none"/>
        </w:rPr>
        <w:lastRenderedPageBreak/>
        <w:t xml:space="preserve">knowledge and confidence, while organisational protocols can assist in consistent implementation, according to Turner et al. (2023). In addition, nutritional assessment and/or targeted nutritional risk assessment may be useful to identify vulnerable residents, but in certain circumstances it may not be recommended for universal biochemical screening (British Geriatrics Society, 2023). </w:t>
      </w:r>
    </w:p>
    <w:p w14:paraId="622CD2D8" w14:textId="77777777" w:rsidR="00D8735D" w:rsidRPr="00522F4C" w:rsidRDefault="00D8735D" w:rsidP="00081EFD">
      <w:pPr>
        <w:pStyle w:val="Heading3"/>
      </w:pPr>
      <w:bookmarkStart w:id="80" w:name="_Toc240558510"/>
      <w:r w:rsidRPr="00522F4C">
        <w:t>5.2.5 Theme 5: Improving Awareness in UK Care Homes</w:t>
      </w:r>
      <w:bookmarkEnd w:id="80"/>
    </w:p>
    <w:p w14:paraId="44B6DE76" w14:textId="3FF356B5" w:rsidR="00A05FA5" w:rsidRPr="00522F4C" w:rsidRDefault="00D8735D"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The last theme refers to a continuing mismatch between national recommendations and their application at the level of individual care homes. Organizations like NICE and OHID have developed guidance frameworks based on evidence that aim to ensure consistent practice of vitamin D prevention among individuals who are at higher risk for it; however, the results showed that guidance alone is not sufficient to ensure consistent practice (NICE, 2022; OHID, 2023). Education for staff and information for residents can help to increase knowledge and encourage residents to seek knowledge from family involvement; may be especially useful when residents have cognitive or physical impairments. Multidisciplinary working can also help to define the role of the different providers in care homes: care-home staff, nurse, dietitian, pharmacist, and primary-care providers. </w:t>
      </w:r>
    </w:p>
    <w:p w14:paraId="524393EE" w14:textId="0AFBB302" w:rsidR="00A05FA5" w:rsidRPr="00522F4C" w:rsidRDefault="00A05FA5" w:rsidP="00716F77">
      <w:pPr>
        <w:pStyle w:val="Heading2"/>
        <w:rPr>
          <w:lang w:eastAsia="en-GB"/>
        </w:rPr>
      </w:pPr>
      <w:bookmarkStart w:id="81" w:name="_Toc240558511"/>
      <w:r w:rsidRPr="00522F4C">
        <w:rPr>
          <w:lang w:eastAsia="en-GB"/>
        </w:rPr>
        <w:t>5.3 Findings in Relation to the Research Question</w:t>
      </w:r>
      <w:bookmarkEnd w:id="81"/>
      <w:r w:rsidRPr="00522F4C">
        <w:rPr>
          <w:lang w:eastAsia="en-GB"/>
        </w:rPr>
        <w:t xml:space="preserve"> </w:t>
      </w:r>
    </w:p>
    <w:p w14:paraId="1A344B3C" w14:textId="5B8B6FFB" w:rsidR="00522F4C" w:rsidRPr="00522F4C" w:rsidRDefault="00F43869"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The systematic review suggests that vitamin D deficiency may be a significant health issue in older people residing in the care homes in the UK, and that advanced age, sun exposure, mobility, frailty and dietary intake may compromise their vitamin D status (McSorley et al., 2020; Cashman et al., 2023). But the evidence indicates that prevention is not solely an issue of biological risk. There was low to inconsistent awareness and knowledge of the residents and care home staff, specifically about recommended intake and supplementation practices (Turner et al., 2023). Organisational barriers reported in the review were: unclear professional responsibilities; supplementation procedures inconsistent across organisations; and staff training (Williams and Williams, 2020). Routine supplementation seems an important preventive measure, which could be enhanced by education, nutritional assessment, and through staff training and organisational protocols (Feehan et al., 2022; </w:t>
      </w:r>
      <w:proofErr w:type="spellStart"/>
      <w:r w:rsidRPr="00522F4C">
        <w:rPr>
          <w:rFonts w:ascii="Arial" w:eastAsia="Times New Roman" w:hAnsi="Arial" w:cs="Arial"/>
          <w:kern w:val="0"/>
          <w:sz w:val="24"/>
          <w:szCs w:val="24"/>
          <w:lang w:eastAsia="en-GB"/>
          <w14:ligatures w14:val="none"/>
        </w:rPr>
        <w:t>Rombel</w:t>
      </w:r>
      <w:proofErr w:type="spellEnd"/>
      <w:r w:rsidRPr="00522F4C">
        <w:rPr>
          <w:rFonts w:ascii="Arial" w:eastAsia="Times New Roman" w:hAnsi="Arial" w:cs="Arial"/>
          <w:kern w:val="0"/>
          <w:sz w:val="24"/>
          <w:szCs w:val="24"/>
          <w:lang w:eastAsia="en-GB"/>
          <w14:ligatures w14:val="none"/>
        </w:rPr>
        <w:t xml:space="preserve"> et al., 2025). </w:t>
      </w:r>
    </w:p>
    <w:p w14:paraId="7935D4C4" w14:textId="20C784EB" w:rsidR="00F43869" w:rsidRPr="00522F4C" w:rsidRDefault="00F43869" w:rsidP="00716F77">
      <w:pPr>
        <w:pStyle w:val="Heading2"/>
        <w:rPr>
          <w:lang w:eastAsia="en-GB"/>
        </w:rPr>
      </w:pPr>
      <w:bookmarkStart w:id="82" w:name="_Toc240558512"/>
      <w:r w:rsidRPr="00522F4C">
        <w:rPr>
          <w:lang w:eastAsia="en-GB"/>
        </w:rPr>
        <w:lastRenderedPageBreak/>
        <w:t>5.4 Results for Research Objectives</w:t>
      </w:r>
      <w:bookmarkEnd w:id="82"/>
      <w:r w:rsidRPr="00522F4C">
        <w:rPr>
          <w:lang w:eastAsia="en-GB"/>
        </w:rPr>
        <w:t xml:space="preserve"> </w:t>
      </w:r>
    </w:p>
    <w:p w14:paraId="755F3BF8" w14:textId="77777777" w:rsidR="00B00384" w:rsidRDefault="00B00384" w:rsidP="00B00384">
      <w:pPr>
        <w:spacing w:before="24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t>
      </w:r>
      <w:r w:rsidRPr="00B00384">
        <w:t xml:space="preserve"> </w:t>
      </w:r>
      <w:r w:rsidRPr="00B00384">
        <w:rPr>
          <w:rFonts w:ascii="Arial" w:eastAsia="Times New Roman" w:hAnsi="Arial" w:cs="Arial"/>
          <w:kern w:val="0"/>
          <w:sz w:val="24"/>
          <w:szCs w:val="24"/>
          <w:lang w:eastAsia="en-GB"/>
          <w14:ligatures w14:val="none"/>
        </w:rPr>
        <w:t xml:space="preserve">The results of the systematic review were presented according to the three research objectives to support the alignment of the research aim, evidence synthesis and conclusions. </w:t>
      </w:r>
    </w:p>
    <w:p w14:paraId="34433081" w14:textId="30437973" w:rsidR="00B00384" w:rsidRPr="00B00384" w:rsidRDefault="00B00384" w:rsidP="00B00384">
      <w:pPr>
        <w:spacing w:before="240" w:line="360" w:lineRule="auto"/>
        <w:jc w:val="both"/>
        <w:rPr>
          <w:rFonts w:ascii="Arial" w:eastAsia="Times New Roman" w:hAnsi="Arial" w:cs="Arial"/>
          <w:kern w:val="0"/>
          <w:sz w:val="24"/>
          <w:szCs w:val="24"/>
          <w:lang w:eastAsia="en-GB"/>
          <w14:ligatures w14:val="none"/>
        </w:rPr>
      </w:pPr>
      <w:r w:rsidRPr="00B00384">
        <w:rPr>
          <w:rFonts w:ascii="Arial" w:eastAsia="Times New Roman" w:hAnsi="Arial" w:cs="Arial"/>
          <w:b/>
          <w:kern w:val="0"/>
          <w:sz w:val="24"/>
          <w:szCs w:val="24"/>
          <w:lang w:eastAsia="en-GB"/>
          <w14:ligatures w14:val="none"/>
        </w:rPr>
        <w:t>Objective 1</w:t>
      </w:r>
      <w:r w:rsidRPr="00B00384">
        <w:rPr>
          <w:rFonts w:ascii="Arial" w:eastAsia="Times New Roman" w:hAnsi="Arial" w:cs="Arial"/>
          <w:kern w:val="0"/>
          <w:sz w:val="24"/>
          <w:szCs w:val="24"/>
          <w:lang w:eastAsia="en-GB"/>
          <w14:ligatures w14:val="none"/>
        </w:rPr>
        <w:t xml:space="preserve"> examined the current knowledge and practices of vitamin D supplementation of older people and care staff in care settings in the UK. Reviewed evidence showed inconsistencies in knowledge, especially recommendations for intake and guidelines for supplementation and risks of deficiency. Despite the vitamin D having a well-established association with bone health, its broader connection with muscle function, falls and fractures was less uniform. There was also variability in supplementation practices across care settings with implementation related to organisational procedures and staff understanding (Turner et al., 2023; Cashman et al.,</w:t>
      </w:r>
      <w:r>
        <w:rPr>
          <w:rFonts w:ascii="Arial" w:eastAsia="Times New Roman" w:hAnsi="Arial" w:cs="Arial"/>
          <w:kern w:val="0"/>
          <w:sz w:val="24"/>
          <w:szCs w:val="24"/>
          <w:lang w:eastAsia="en-GB"/>
          <w14:ligatures w14:val="none"/>
        </w:rPr>
        <w:t xml:space="preserve"> 2023).</w:t>
      </w:r>
    </w:p>
    <w:p w14:paraId="30E88509" w14:textId="1199699B" w:rsidR="00B00384" w:rsidRPr="00B00384" w:rsidRDefault="00B00384" w:rsidP="00B00384">
      <w:pPr>
        <w:spacing w:before="240" w:line="360" w:lineRule="auto"/>
        <w:jc w:val="both"/>
        <w:rPr>
          <w:rFonts w:ascii="Arial" w:eastAsia="Times New Roman" w:hAnsi="Arial" w:cs="Arial"/>
          <w:kern w:val="0"/>
          <w:sz w:val="24"/>
          <w:szCs w:val="24"/>
          <w:lang w:eastAsia="en-GB"/>
          <w14:ligatures w14:val="none"/>
        </w:rPr>
      </w:pPr>
      <w:r w:rsidRPr="00B00384">
        <w:rPr>
          <w:rFonts w:ascii="Arial" w:eastAsia="Times New Roman" w:hAnsi="Arial" w:cs="Arial"/>
          <w:b/>
          <w:kern w:val="0"/>
          <w:sz w:val="24"/>
          <w:szCs w:val="24"/>
          <w:lang w:eastAsia="en-GB"/>
          <w14:ligatures w14:val="none"/>
        </w:rPr>
        <w:t>Objective 2</w:t>
      </w:r>
      <w:r w:rsidRPr="00B00384">
        <w:rPr>
          <w:rFonts w:ascii="Arial" w:eastAsia="Times New Roman" w:hAnsi="Arial" w:cs="Arial"/>
          <w:kern w:val="0"/>
          <w:sz w:val="24"/>
          <w:szCs w:val="24"/>
          <w:lang w:eastAsia="en-GB"/>
          <w14:ligatures w14:val="none"/>
        </w:rPr>
        <w:t xml:space="preserve"> recognised individual, professional and organisational barriers to prevention. Barriers to feeding and drinking included limited mobility, frailty, cognitive impairment, swallowing difficulties and inadequate dietary intake. Professional barriers were related to lack of staff training and lack of clarity about responsibility for supplementation. Variation in preventive practice at organisational level was found to be related to inconsistent policies, documentation and monitoring systems (Feehan et al., 2022; Williams and Williams, 2020). The findings indicated that, besides knowledge, a number of individual and organisational factors interact in the p</w:t>
      </w:r>
      <w:r>
        <w:rPr>
          <w:rFonts w:ascii="Arial" w:eastAsia="Times New Roman" w:hAnsi="Arial" w:cs="Arial"/>
          <w:kern w:val="0"/>
          <w:sz w:val="24"/>
          <w:szCs w:val="24"/>
          <w:lang w:eastAsia="en-GB"/>
          <w14:ligatures w14:val="none"/>
        </w:rPr>
        <w:t>rocess of vitamin D prevention.</w:t>
      </w:r>
    </w:p>
    <w:p w14:paraId="6886B4AB" w14:textId="3D89B391" w:rsidR="00A05FA5" w:rsidRPr="00522F4C" w:rsidRDefault="00B00384" w:rsidP="00B00384">
      <w:pPr>
        <w:spacing w:before="240" w:line="360" w:lineRule="auto"/>
        <w:jc w:val="both"/>
        <w:rPr>
          <w:rFonts w:ascii="Arial" w:eastAsia="Times New Roman" w:hAnsi="Arial" w:cs="Arial"/>
          <w:kern w:val="0"/>
          <w:sz w:val="24"/>
          <w:szCs w:val="24"/>
          <w:lang w:eastAsia="en-GB"/>
          <w14:ligatures w14:val="none"/>
        </w:rPr>
      </w:pPr>
      <w:r w:rsidRPr="00B00384">
        <w:rPr>
          <w:rFonts w:ascii="Arial" w:eastAsia="Times New Roman" w:hAnsi="Arial" w:cs="Arial"/>
          <w:b/>
          <w:kern w:val="0"/>
          <w:sz w:val="24"/>
          <w:szCs w:val="24"/>
          <w:lang w:eastAsia="en-GB"/>
          <w14:ligatures w14:val="none"/>
        </w:rPr>
        <w:t>Objective 3</w:t>
      </w:r>
      <w:r w:rsidRPr="00B00384">
        <w:rPr>
          <w:rFonts w:ascii="Arial" w:eastAsia="Times New Roman" w:hAnsi="Arial" w:cs="Arial"/>
          <w:kern w:val="0"/>
          <w:sz w:val="24"/>
          <w:szCs w:val="24"/>
          <w:lang w:eastAsia="en-GB"/>
          <w14:ligatures w14:val="none"/>
        </w:rPr>
        <w:t>. Evidence indicated that structured staff education, resident and family information, routine supplementation to high risk individuals, and targeted risk assessment and clearer organisational protocols were supported. Supplementation was linked to better vitamin D levels, but a comprehensive strategy that addresses a wider range of factors is needed for broader falls and fracture prevention, not just vitamin D supplementation (</w:t>
      </w:r>
      <w:proofErr w:type="spellStart"/>
      <w:r w:rsidRPr="00B00384">
        <w:rPr>
          <w:rFonts w:ascii="Arial" w:eastAsia="Times New Roman" w:hAnsi="Arial" w:cs="Arial"/>
          <w:kern w:val="0"/>
          <w:sz w:val="24"/>
          <w:szCs w:val="24"/>
          <w:lang w:eastAsia="en-GB"/>
          <w14:ligatures w14:val="none"/>
        </w:rPr>
        <w:t>Rombel</w:t>
      </w:r>
      <w:proofErr w:type="spellEnd"/>
      <w:r w:rsidRPr="00B00384">
        <w:rPr>
          <w:rFonts w:ascii="Arial" w:eastAsia="Times New Roman" w:hAnsi="Arial" w:cs="Arial"/>
          <w:kern w:val="0"/>
          <w:sz w:val="24"/>
          <w:szCs w:val="24"/>
          <w:lang w:eastAsia="en-GB"/>
          <w14:ligatures w14:val="none"/>
        </w:rPr>
        <w:t xml:space="preserve"> et al., 2025; NICE, 2023). The findings were very general and met all three objectives and provided the foundation for the conclusions drawn in Chapter 6.</w:t>
      </w:r>
    </w:p>
    <w:p w14:paraId="12CDE887" w14:textId="762FB321" w:rsidR="00A05FA5" w:rsidRPr="00522F4C" w:rsidRDefault="00A05FA5" w:rsidP="00716F77">
      <w:pPr>
        <w:pStyle w:val="Heading2"/>
        <w:rPr>
          <w:lang w:eastAsia="en-GB"/>
        </w:rPr>
      </w:pPr>
      <w:bookmarkStart w:id="83" w:name="_Toc240558513"/>
      <w:r w:rsidRPr="00522F4C">
        <w:rPr>
          <w:lang w:eastAsia="en-GB"/>
        </w:rPr>
        <w:lastRenderedPageBreak/>
        <w:t>5.5 Implications for Public Health, Policy and Practice</w:t>
      </w:r>
      <w:bookmarkEnd w:id="83"/>
      <w:r w:rsidRPr="00522F4C">
        <w:rPr>
          <w:lang w:eastAsia="en-GB"/>
        </w:rPr>
        <w:t xml:space="preserve"> </w:t>
      </w:r>
    </w:p>
    <w:p w14:paraId="19954FB9" w14:textId="77777777" w:rsidR="0054707B" w:rsidRPr="00716F77" w:rsidRDefault="0054707B" w:rsidP="00522F4C">
      <w:pPr>
        <w:spacing w:before="240" w:line="360" w:lineRule="auto"/>
        <w:jc w:val="both"/>
        <w:rPr>
          <w:rFonts w:ascii="Arial" w:eastAsia="Times New Roman" w:hAnsi="Arial" w:cs="Arial"/>
          <w:b/>
          <w:kern w:val="0"/>
          <w:sz w:val="24"/>
          <w:szCs w:val="24"/>
          <w:lang w:eastAsia="en-GB"/>
          <w14:ligatures w14:val="none"/>
        </w:rPr>
      </w:pPr>
      <w:r w:rsidRPr="00716F77">
        <w:rPr>
          <w:rFonts w:ascii="Arial" w:eastAsia="Times New Roman" w:hAnsi="Arial" w:cs="Arial"/>
          <w:b/>
          <w:kern w:val="0"/>
          <w:sz w:val="24"/>
          <w:szCs w:val="24"/>
          <w:lang w:eastAsia="en-GB"/>
          <w14:ligatures w14:val="none"/>
        </w:rPr>
        <w:t>Public Health Implications</w:t>
      </w:r>
    </w:p>
    <w:p w14:paraId="102019D7" w14:textId="6E71C06B" w:rsidR="0054707B" w:rsidRPr="00522F4C" w:rsidRDefault="0054707B"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The results are significant for healthy ageing as vitamin D deficiency among care-home residents could be a contributor to poor musculoskeletal health and higher risk of falls and fractures (McSorley et al., 2020). Therefore, good prevention can facilitate functional autonomy and, in turn, result in lower unnecessary health care utilization. </w:t>
      </w:r>
    </w:p>
    <w:p w14:paraId="3A8C1856" w14:textId="77777777" w:rsidR="0054707B" w:rsidRPr="00716F77" w:rsidRDefault="0054707B" w:rsidP="00522F4C">
      <w:pPr>
        <w:spacing w:before="240" w:line="360" w:lineRule="auto"/>
        <w:jc w:val="both"/>
        <w:rPr>
          <w:rFonts w:ascii="Arial" w:eastAsia="Times New Roman" w:hAnsi="Arial" w:cs="Arial"/>
          <w:b/>
          <w:kern w:val="0"/>
          <w:sz w:val="24"/>
          <w:szCs w:val="24"/>
          <w:lang w:eastAsia="en-GB"/>
          <w14:ligatures w14:val="none"/>
        </w:rPr>
      </w:pPr>
      <w:r w:rsidRPr="00716F77">
        <w:rPr>
          <w:rFonts w:ascii="Arial" w:eastAsia="Times New Roman" w:hAnsi="Arial" w:cs="Arial"/>
          <w:b/>
          <w:kern w:val="0"/>
          <w:sz w:val="24"/>
          <w:szCs w:val="24"/>
          <w:lang w:eastAsia="en-GB"/>
          <w14:ligatures w14:val="none"/>
        </w:rPr>
        <w:t>Policy Implications</w:t>
      </w:r>
    </w:p>
    <w:p w14:paraId="2B8E5CCE" w14:textId="77777777" w:rsidR="0054707B" w:rsidRPr="00522F4C" w:rsidRDefault="0054707B"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The results emphasize the need for the transfer of national recommendations to local practices. The guidance on vitamin D prevention from NICE and OHID is an important guide, but there is a need to clarify responsibility for implementation, have standardised procedures for providing vitamin D supplementation and have suitable monitoring (NICE, 2022; OHID, 2023). The care home setting may benefit from having clear information on who assesses risk and supports supplementation and records adherence.</w:t>
      </w:r>
    </w:p>
    <w:p w14:paraId="0F8B2235" w14:textId="77777777" w:rsidR="0054707B" w:rsidRPr="00716F77" w:rsidRDefault="0054707B" w:rsidP="00522F4C">
      <w:pPr>
        <w:spacing w:before="240" w:line="360" w:lineRule="auto"/>
        <w:jc w:val="both"/>
        <w:rPr>
          <w:rFonts w:ascii="Arial" w:eastAsia="Times New Roman" w:hAnsi="Arial" w:cs="Arial"/>
          <w:b/>
          <w:kern w:val="0"/>
          <w:sz w:val="24"/>
          <w:szCs w:val="24"/>
          <w:lang w:eastAsia="en-GB"/>
          <w14:ligatures w14:val="none"/>
        </w:rPr>
      </w:pPr>
      <w:r w:rsidRPr="00716F77">
        <w:rPr>
          <w:rFonts w:ascii="Arial" w:eastAsia="Times New Roman" w:hAnsi="Arial" w:cs="Arial"/>
          <w:b/>
          <w:kern w:val="0"/>
          <w:sz w:val="24"/>
          <w:szCs w:val="24"/>
          <w:lang w:eastAsia="en-GB"/>
          <w14:ligatures w14:val="none"/>
        </w:rPr>
        <w:t>Care-Home Practice</w:t>
      </w:r>
    </w:p>
    <w:p w14:paraId="1E30B1AD" w14:textId="33D0B378" w:rsidR="00A05FA5" w:rsidRPr="00522F4C" w:rsidRDefault="0054707B"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At the practice level, ongoing staff training, nutrition assessment, documentation and family/resident education should be integrated into a comprehensive preventative approach. Further reducing uncertainty about responsibility may be achieved through multidisciplinary working between members of care staff, nurses, pharmacists, dietitians and primary-care professionals. These measures are aligned with the review result that the awareness is most effective when complemented by organisational systems</w:t>
      </w:r>
      <w:r w:rsidR="00A05FA5" w:rsidRPr="00522F4C">
        <w:rPr>
          <w:rFonts w:ascii="Arial" w:eastAsia="Times New Roman" w:hAnsi="Arial" w:cs="Arial"/>
          <w:kern w:val="0"/>
          <w:sz w:val="24"/>
          <w:szCs w:val="24"/>
          <w:lang w:eastAsia="en-GB"/>
          <w14:ligatures w14:val="none"/>
        </w:rPr>
        <w:t>.</w:t>
      </w:r>
    </w:p>
    <w:p w14:paraId="4D1D047A" w14:textId="774B930C" w:rsidR="00A05FA5" w:rsidRPr="00522F4C" w:rsidRDefault="00522F4C" w:rsidP="00716F77">
      <w:pPr>
        <w:pStyle w:val="Heading2"/>
        <w:rPr>
          <w:lang w:eastAsia="en-GB"/>
        </w:rPr>
      </w:pPr>
      <w:bookmarkStart w:id="84" w:name="_Toc240558514"/>
      <w:r w:rsidRPr="00522F4C">
        <w:rPr>
          <w:lang w:eastAsia="en-GB"/>
        </w:rPr>
        <w:t>5.6 Future Research Needs</w:t>
      </w:r>
      <w:bookmarkEnd w:id="84"/>
    </w:p>
    <w:p w14:paraId="07ABFA43" w14:textId="12270656" w:rsidR="00A05FA5" w:rsidRPr="00522F4C" w:rsidRDefault="00964869"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The review resulted in a number of future research priorities. Firstly, further studies are needed that are specific to the UK, as there is limited evidence exploring vitamin D awareness and prevention in care homes. There is a need for larger and longitudinal studies to generate more evidence for the association between preventive measures and clinical effects on vitamin D status. In addition to prevalence, further research is needed on structured staff education, organised interventions and supplementation </w:t>
      </w:r>
      <w:r w:rsidRPr="00522F4C">
        <w:rPr>
          <w:rFonts w:ascii="Arial" w:eastAsia="Times New Roman" w:hAnsi="Arial" w:cs="Arial"/>
          <w:kern w:val="0"/>
          <w:sz w:val="24"/>
          <w:szCs w:val="24"/>
          <w:lang w:eastAsia="en-GB"/>
          <w14:ligatures w14:val="none"/>
        </w:rPr>
        <w:lastRenderedPageBreak/>
        <w:t>protocols, and resident education. It would be interesting to investigate interventions to determine whether increased knowledge results in ongoing change</w:t>
      </w:r>
      <w:r w:rsidR="00716F77">
        <w:rPr>
          <w:rFonts w:ascii="Arial" w:eastAsia="Times New Roman" w:hAnsi="Arial" w:cs="Arial"/>
          <w:kern w:val="0"/>
          <w:sz w:val="24"/>
          <w:szCs w:val="24"/>
          <w:lang w:eastAsia="en-GB"/>
          <w14:ligatures w14:val="none"/>
        </w:rPr>
        <w:t>s in supplementation practices.</w:t>
      </w:r>
      <w:r w:rsidR="00716F77" w:rsidRPr="00522F4C">
        <w:rPr>
          <w:rFonts w:ascii="Arial" w:eastAsia="Times New Roman" w:hAnsi="Arial" w:cs="Arial"/>
          <w:kern w:val="0"/>
          <w:sz w:val="24"/>
          <w:szCs w:val="24"/>
          <w:lang w:eastAsia="en-GB"/>
          <w14:ligatures w14:val="none"/>
        </w:rPr>
        <w:t xml:space="preserve"> (</w:t>
      </w:r>
      <w:r w:rsidRPr="00522F4C">
        <w:rPr>
          <w:rFonts w:ascii="Arial" w:eastAsia="Times New Roman" w:hAnsi="Arial" w:cs="Arial"/>
          <w:kern w:val="0"/>
          <w:sz w:val="24"/>
          <w:szCs w:val="24"/>
          <w:lang w:eastAsia="en-GB"/>
          <w14:ligatures w14:val="none"/>
        </w:rPr>
        <w:t>Cashman et al., 2023).</w:t>
      </w:r>
    </w:p>
    <w:p w14:paraId="6BAC8506" w14:textId="49BA04C0" w:rsidR="00A05FA5" w:rsidRPr="00522F4C" w:rsidRDefault="00A05FA5" w:rsidP="00716F77">
      <w:pPr>
        <w:pStyle w:val="Heading2"/>
        <w:rPr>
          <w:lang w:eastAsia="en-GB"/>
        </w:rPr>
      </w:pPr>
      <w:bookmarkStart w:id="85" w:name="_Toc240558515"/>
      <w:r w:rsidRPr="00522F4C">
        <w:rPr>
          <w:lang w:eastAsia="en-GB"/>
        </w:rPr>
        <w:t>5.7 Strengths and Limitations / Risk of Bias</w:t>
      </w:r>
      <w:bookmarkEnd w:id="85"/>
      <w:r w:rsidRPr="00522F4C">
        <w:rPr>
          <w:lang w:eastAsia="en-GB"/>
        </w:rPr>
        <w:t xml:space="preserve"> </w:t>
      </w:r>
    </w:p>
    <w:p w14:paraId="67492C5A" w14:textId="77777777" w:rsidR="006378DD" w:rsidRPr="00522F4C" w:rsidRDefault="006378DD"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This study's most important strength was its systematic review methodology, which was supplemented by a structured search strategy, set of eligibility criteria, quality assessment, data extraction, and thematic synthesis. The combination of multiple databases and the application of PRISMA 2020 principles enhanced the chance of identifying relevant evidence and the transparency of the process of study selection and reporting (Page et al., 2021). Appropriate tools for critical appraisal were also used to assist in the assessment of methodological quality.</w:t>
      </w:r>
    </w:p>
    <w:p w14:paraId="3B42F53A" w14:textId="31DFB4AB" w:rsidR="00A05FA5" w:rsidRPr="00522F4C" w:rsidRDefault="006378DD" w:rsidP="00522F4C">
      <w:pPr>
        <w:spacing w:before="240" w:line="360" w:lineRule="auto"/>
        <w:jc w:val="both"/>
        <w:rPr>
          <w:rFonts w:ascii="Arial" w:eastAsia="Times New Roman" w:hAnsi="Arial" w:cs="Arial"/>
          <w:kern w:val="0"/>
          <w:sz w:val="24"/>
          <w:szCs w:val="24"/>
          <w:lang w:eastAsia="en-GB"/>
          <w14:ligatures w14:val="none"/>
        </w:rPr>
      </w:pPr>
      <w:r w:rsidRPr="00522F4C">
        <w:rPr>
          <w:rFonts w:ascii="Arial" w:eastAsia="Times New Roman" w:hAnsi="Arial" w:cs="Arial"/>
          <w:kern w:val="0"/>
          <w:sz w:val="24"/>
          <w:szCs w:val="24"/>
          <w:lang w:eastAsia="en-GB"/>
          <w14:ligatures w14:val="none"/>
        </w:rPr>
        <w:t xml:space="preserve">Several caveats should be noted, however. It is possible that relevant publications and/or database searches have been overlooked and/or that language barriers have limited access to potentially relevant international evidence. Study designs and populations varied and the definition of vitamin D deficiency was different, making comparative analyses difficult. </w:t>
      </w:r>
    </w:p>
    <w:p w14:paraId="12C67DFA" w14:textId="6E7B9893" w:rsidR="00A05FA5" w:rsidRPr="00522F4C" w:rsidRDefault="00A05FA5" w:rsidP="00716F77">
      <w:pPr>
        <w:pStyle w:val="Heading2"/>
        <w:rPr>
          <w:lang w:eastAsia="en-GB"/>
        </w:rPr>
      </w:pPr>
      <w:bookmarkStart w:id="86" w:name="_Toc240558516"/>
      <w:r w:rsidRPr="00522F4C">
        <w:rPr>
          <w:lang w:eastAsia="en-GB"/>
        </w:rPr>
        <w:t>5.8 Conclusion</w:t>
      </w:r>
      <w:bookmarkEnd w:id="86"/>
      <w:r w:rsidRPr="00522F4C">
        <w:rPr>
          <w:lang w:eastAsia="en-GB"/>
        </w:rPr>
        <w:t xml:space="preserve"> </w:t>
      </w:r>
    </w:p>
    <w:p w14:paraId="7D245819" w14:textId="69AE6C2D" w:rsidR="00683E12" w:rsidRDefault="00A05FA5" w:rsidP="00683E12">
      <w:pPr>
        <w:spacing w:before="240" w:line="360" w:lineRule="auto"/>
        <w:jc w:val="both"/>
        <w:rPr>
          <w:rFonts w:ascii="Arial" w:hAnsi="Arial" w:cs="Arial"/>
          <w:sz w:val="24"/>
          <w:szCs w:val="24"/>
        </w:rPr>
      </w:pPr>
      <w:r w:rsidRPr="00522F4C">
        <w:rPr>
          <w:rFonts w:ascii="Arial" w:eastAsia="Times New Roman" w:hAnsi="Arial" w:cs="Arial"/>
          <w:kern w:val="0"/>
          <w:sz w:val="24"/>
          <w:szCs w:val="24"/>
          <w:lang w:eastAsia="en-GB"/>
          <w14:ligatures w14:val="none"/>
        </w:rPr>
        <w:t xml:space="preserve">This systematic review demonstrated that vitamin D deficiency remains an important concern among older adults living in care homes, particularly because ageing, limited sunlight exposure, frailty and inadequate dietary intake increase vulnerability. The findings also showed that awareness among residents and care-home staff is inconsistent and that prevention is influenced by organisational barriers, including inadequate training, unclear responsibilities and inconsistent supplementation practices. Routine supplementation appears important for improving vitamin D status, but the evidence indicates that supplementation alone may be insufficient. A more integrated approach involving staff education, resident and family awareness, clear organisational responsibility, nutritional assessment, consistent implementation of national guidance and appropriate monitoring is therefore required. </w:t>
      </w:r>
      <w:r w:rsidR="00F55794">
        <w:rPr>
          <w:rFonts w:ascii="Arial" w:hAnsi="Arial" w:cs="Arial"/>
          <w:sz w:val="24"/>
          <w:szCs w:val="24"/>
        </w:rPr>
        <w:t>Drawing from the conclusions of these studies, the following chapter shifts focus to Six.</w:t>
      </w:r>
    </w:p>
    <w:p w14:paraId="3F4222AF" w14:textId="77777777" w:rsidR="00830205" w:rsidRPr="00FF5D3C" w:rsidRDefault="00830205" w:rsidP="00FF5D3C">
      <w:pPr>
        <w:spacing w:before="240" w:line="360" w:lineRule="auto"/>
        <w:jc w:val="both"/>
        <w:rPr>
          <w:rFonts w:ascii="Arial" w:eastAsia="Times New Roman" w:hAnsi="Arial" w:cs="Arial"/>
          <w:kern w:val="0"/>
          <w:sz w:val="24"/>
          <w:szCs w:val="24"/>
          <w:lang w:eastAsia="en-GB"/>
          <w14:ligatures w14:val="none"/>
        </w:rPr>
      </w:pPr>
    </w:p>
    <w:p w14:paraId="121DE25A" w14:textId="77777777" w:rsidR="00462F16" w:rsidRDefault="00462F16" w:rsidP="00462F16">
      <w:pPr>
        <w:rPr>
          <w:lang w:eastAsia="en-GB"/>
        </w:rPr>
      </w:pPr>
    </w:p>
    <w:p w14:paraId="21A4AC02" w14:textId="1F49559E" w:rsidR="00693217" w:rsidRPr="00693217" w:rsidRDefault="00462F16" w:rsidP="00462F16">
      <w:pPr>
        <w:pStyle w:val="Heading1"/>
        <w:rPr>
          <w:lang w:eastAsia="en-GB"/>
        </w:rPr>
      </w:pPr>
      <w:bookmarkStart w:id="87" w:name="_Toc240558517"/>
      <w:r>
        <w:rPr>
          <w:lang w:eastAsia="en-GB"/>
        </w:rPr>
        <w:t>Chapter 6</w:t>
      </w:r>
      <w:r w:rsidR="00693217" w:rsidRPr="00693217">
        <w:rPr>
          <w:lang w:eastAsia="en-GB"/>
        </w:rPr>
        <w:t>: C</w:t>
      </w:r>
      <w:r w:rsidRPr="00693217">
        <w:rPr>
          <w:lang w:eastAsia="en-GB"/>
        </w:rPr>
        <w:t>onclusion</w:t>
      </w:r>
      <w:bookmarkEnd w:id="87"/>
    </w:p>
    <w:p w14:paraId="3008D210" w14:textId="6FE4F5D7" w:rsidR="00693217" w:rsidRPr="00462F16" w:rsidRDefault="00693217" w:rsidP="00721611">
      <w:pPr>
        <w:pStyle w:val="Heading2"/>
        <w:rPr>
          <w:lang w:eastAsia="en-GB"/>
        </w:rPr>
      </w:pPr>
      <w:bookmarkStart w:id="88" w:name="_Toc240558518"/>
      <w:r w:rsidRPr="00462F16">
        <w:rPr>
          <w:lang w:eastAsia="en-GB"/>
        </w:rPr>
        <w:t>6.1 Introduction</w:t>
      </w:r>
      <w:bookmarkEnd w:id="88"/>
      <w:r w:rsidRPr="00462F16">
        <w:rPr>
          <w:lang w:eastAsia="en-GB"/>
        </w:rPr>
        <w:t xml:space="preserve"> </w:t>
      </w:r>
    </w:p>
    <w:p w14:paraId="16F5CBE6" w14:textId="4BD3144F" w:rsidR="00693217" w:rsidRPr="00462F16" w:rsidRDefault="009D0DC2"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 xml:space="preserve">To end this </w:t>
      </w:r>
      <w:r w:rsidRPr="00830205">
        <w:rPr>
          <w:rFonts w:ascii="Arial" w:hAnsi="Arial" w:cs="Arial"/>
          <w:b/>
          <w:bCs/>
          <w:sz w:val="24"/>
          <w:szCs w:val="24"/>
          <w:lang w:eastAsia="en-GB"/>
        </w:rPr>
        <w:t>systematic review</w:t>
      </w:r>
      <w:r w:rsidRPr="00462F16">
        <w:rPr>
          <w:rFonts w:ascii="Arial" w:hAnsi="Arial" w:cs="Arial"/>
          <w:sz w:val="24"/>
          <w:szCs w:val="24"/>
          <w:lang w:eastAsia="en-GB"/>
        </w:rPr>
        <w:t xml:space="preserve"> that has explored awareness and prevention of vitamin D deficiency in older people in care homes in the UK, the final chapter will summarise the key findings and draw conclusions. It will summarize the key results presented in the Chapter Four and Five, and not present new evidence. The chapter will then restate the purpose and overall findings from the review; provide a direct answer to the research question; and evaluate the four research objectives. The implications of the findings on public health, practice and policy in care homes will then be discussed. Staff expertise in terms of resident awareness, supplementation, national guidance and organisational responsibility (or lack of) will be emphasised. The chapter will then make recommendations for practice and future research, and then reflect on </w:t>
      </w:r>
      <w:r w:rsidR="00721611">
        <w:rPr>
          <w:rFonts w:ascii="Arial" w:hAnsi="Arial" w:cs="Arial"/>
          <w:sz w:val="24"/>
          <w:szCs w:val="24"/>
          <w:lang w:eastAsia="en-GB"/>
        </w:rPr>
        <w:t>the contribution of the review.</w:t>
      </w:r>
    </w:p>
    <w:p w14:paraId="6E9C035B" w14:textId="0D4A4609" w:rsidR="00693217" w:rsidRPr="00462F16" w:rsidRDefault="00693217" w:rsidP="00721611">
      <w:pPr>
        <w:pStyle w:val="Heading2"/>
        <w:rPr>
          <w:lang w:eastAsia="en-GB"/>
        </w:rPr>
      </w:pPr>
      <w:bookmarkStart w:id="89" w:name="_Toc240558519"/>
      <w:r w:rsidRPr="00462F16">
        <w:rPr>
          <w:lang w:eastAsia="en-GB"/>
        </w:rPr>
        <w:t>6.2 Overall Conclusion of the Systematic Review</w:t>
      </w:r>
      <w:bookmarkEnd w:id="89"/>
      <w:r w:rsidRPr="00462F16">
        <w:rPr>
          <w:lang w:eastAsia="en-GB"/>
        </w:rPr>
        <w:t xml:space="preserve"> </w:t>
      </w:r>
    </w:p>
    <w:p w14:paraId="59024B12" w14:textId="3E77D430" w:rsidR="0094511B" w:rsidRPr="00462F16" w:rsidRDefault="0094511B"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 xml:space="preserve">This </w:t>
      </w:r>
      <w:r w:rsidRPr="00830205">
        <w:rPr>
          <w:rFonts w:ascii="Arial" w:hAnsi="Arial" w:cs="Arial"/>
          <w:b/>
          <w:bCs/>
          <w:sz w:val="24"/>
          <w:szCs w:val="24"/>
          <w:lang w:eastAsia="en-GB"/>
        </w:rPr>
        <w:t>systematic review</w:t>
      </w:r>
      <w:r w:rsidRPr="00462F16">
        <w:rPr>
          <w:rFonts w:ascii="Arial" w:hAnsi="Arial" w:cs="Arial"/>
          <w:sz w:val="24"/>
          <w:szCs w:val="24"/>
          <w:lang w:eastAsia="en-GB"/>
        </w:rPr>
        <w:t xml:space="preserve"> revealed that vitamin D deficiency is a significant public health issue in older people in UK residential care facilities. Older people are especially at risk as ageing can decrease the skin's ability to produce vitamin D, and if mobility is limited, access to sunlight exposure is limited, frailty could also contribute to vitamin D deficiency, as well as chronic illness and poor dietary intake (McSorley et al, 2020; Cashman et al, 2023). The evidence reviewed also suggested links between low vitamin D status and negative musculoskeletal outcomes such as impaired muscle function, falls and fractures, but must be viewed with caution due to the observational</w:t>
      </w:r>
      <w:r w:rsidR="00721611">
        <w:rPr>
          <w:rFonts w:ascii="Arial" w:hAnsi="Arial" w:cs="Arial"/>
          <w:sz w:val="24"/>
          <w:szCs w:val="24"/>
          <w:lang w:eastAsia="en-GB"/>
        </w:rPr>
        <w:t xml:space="preserve"> nature of many of the studies.  </w:t>
      </w:r>
      <w:r w:rsidRPr="00462F16">
        <w:rPr>
          <w:rFonts w:ascii="Arial" w:hAnsi="Arial" w:cs="Arial"/>
          <w:sz w:val="24"/>
          <w:szCs w:val="24"/>
          <w:lang w:eastAsia="en-GB"/>
        </w:rPr>
        <w:t>Therefore, without tackling organisational challenges improvements in knowledge may only have a limited effect.</w:t>
      </w:r>
    </w:p>
    <w:p w14:paraId="66353AC9" w14:textId="1A27FE6C" w:rsidR="0094511B" w:rsidRPr="00462F16" w:rsidRDefault="0094511B"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 results also indicated that routine supplementation plays an important role in vitamin D prevention for high-risk older people, but that vitamin D supplementation alone is not sufficient to reduce the complexity of vitamin D deficiency in care homes. There is therefore a need for a more integrated approach, which includes supplementation, staff education, nutritional assessment, clear organisation protocols, monitoring and multidisciplinary working (OHID, 2023; NICE, 2022).</w:t>
      </w:r>
    </w:p>
    <w:p w14:paraId="624C3ED4" w14:textId="74F95FE9" w:rsidR="00693217" w:rsidRPr="00462F16" w:rsidRDefault="00693217" w:rsidP="00721611">
      <w:pPr>
        <w:pStyle w:val="Heading2"/>
        <w:rPr>
          <w:lang w:eastAsia="en-GB"/>
        </w:rPr>
      </w:pPr>
      <w:bookmarkStart w:id="90" w:name="_Toc240558520"/>
      <w:r w:rsidRPr="00462F16">
        <w:rPr>
          <w:lang w:eastAsia="en-GB"/>
        </w:rPr>
        <w:lastRenderedPageBreak/>
        <w:t>6.3 Answer to the Research Question</w:t>
      </w:r>
      <w:bookmarkEnd w:id="90"/>
      <w:r w:rsidRPr="00462F16">
        <w:rPr>
          <w:lang w:eastAsia="en-GB"/>
        </w:rPr>
        <w:t xml:space="preserve"> </w:t>
      </w:r>
    </w:p>
    <w:p w14:paraId="3585F430" w14:textId="77777777" w:rsidR="008A397A" w:rsidRPr="00462F16" w:rsidRDefault="008A397A"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 systematic review gives a clear answer, albeit qualified, to the research question about awareness and prevention of vitamin D deficiency in older people in care homes in the UK.</w:t>
      </w:r>
    </w:p>
    <w:p w14:paraId="6EF5A562" w14:textId="77777777" w:rsidR="008A397A" w:rsidRPr="00462F16" w:rsidRDefault="008A397A"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Overall, the evidence indicates that awareness and preventive practice is inconsistent, even with national recommendations available. It was found that there was a lack of knowledge among the staff of care homes and to a lesser degree amongst the older resident. As many residents of care homes rely on carers and healthcare professionals for the decisions regarding their nutrition and prevention, it is essential to have staff knowledge here (Turner et al., 2023).</w:t>
      </w:r>
    </w:p>
    <w:p w14:paraId="60D69989" w14:textId="77777777" w:rsidR="008A397A" w:rsidRPr="00462F16" w:rsidRDefault="008A397A"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 study also showed that there are several intersecting barriers to prevention. These encompass poor training, lack of clarity around who is responsible for the supplementation, organisational policy differences, less exposure to the outdoors, frailty and dietary restrictions (Feehan et al., 2022; Williams and Williams, 2020). Vitamin D deficiency prevention should not be thought of as an individual's decision to take a supplement.</w:t>
      </w:r>
    </w:p>
    <w:p w14:paraId="0AC46E4D" w14:textId="544A16F2" w:rsidR="00693217" w:rsidRPr="00462F16" w:rsidRDefault="008A397A"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 xml:space="preserve">Interventions for education and organisational interventions show evidence of supporting the implementation; routine supplementation shows evidence of improving vitamin D status. The evidence was not yet homogeneous enough to draw such conclusions, however, regarding the single most effective intervention. </w:t>
      </w:r>
    </w:p>
    <w:p w14:paraId="596DCD20" w14:textId="6F4E0527" w:rsidR="00081EFD" w:rsidRPr="00081EFD" w:rsidRDefault="00693217" w:rsidP="00081EFD">
      <w:pPr>
        <w:pStyle w:val="Heading2"/>
        <w:rPr>
          <w:lang w:eastAsia="en-GB"/>
        </w:rPr>
      </w:pPr>
      <w:bookmarkStart w:id="91" w:name="_Toc240558521"/>
      <w:r w:rsidRPr="00462F16">
        <w:rPr>
          <w:lang w:eastAsia="en-GB"/>
        </w:rPr>
        <w:t>6.4 Achievement of Research Objectives</w:t>
      </w:r>
      <w:bookmarkEnd w:id="91"/>
      <w:r w:rsidRPr="00462F16">
        <w:rPr>
          <w:lang w:eastAsia="en-GB"/>
        </w:rPr>
        <w:t xml:space="preserve"> </w:t>
      </w:r>
    </w:p>
    <w:p w14:paraId="2FDE5163" w14:textId="4A01FE3B" w:rsidR="00081EFD" w:rsidRDefault="00081EFD" w:rsidP="00081EFD">
      <w:pPr>
        <w:spacing w:before="240" w:line="360" w:lineRule="auto"/>
        <w:jc w:val="both"/>
        <w:rPr>
          <w:rFonts w:ascii="Arial" w:hAnsi="Arial" w:cs="Arial"/>
          <w:sz w:val="24"/>
          <w:szCs w:val="24"/>
          <w:lang w:eastAsia="en-GB"/>
        </w:rPr>
      </w:pPr>
      <w:r w:rsidRPr="00081EFD">
        <w:rPr>
          <w:rFonts w:ascii="Arial" w:hAnsi="Arial" w:cs="Arial"/>
          <w:sz w:val="24"/>
          <w:szCs w:val="24"/>
          <w:lang w:eastAsia="en-GB"/>
        </w:rPr>
        <w:t xml:space="preserve">The systematic review achieved the three research objectives established in Chapter One. </w:t>
      </w:r>
    </w:p>
    <w:p w14:paraId="4982EC42" w14:textId="20FE5332" w:rsidR="00081EFD" w:rsidRDefault="00081EFD" w:rsidP="00081EFD">
      <w:pPr>
        <w:pStyle w:val="Heading3"/>
      </w:pPr>
      <w:bookmarkStart w:id="92" w:name="_Toc240558522"/>
      <w:r>
        <w:t xml:space="preserve">6.4.1 </w:t>
      </w:r>
      <w:r w:rsidRPr="00081EFD">
        <w:t>Objective 1: To assess current knowledge and practices regarding vitamin D supplementation among older adults and care staff in UK care settings.</w:t>
      </w:r>
      <w:bookmarkEnd w:id="92"/>
    </w:p>
    <w:p w14:paraId="646319BE" w14:textId="48F9BD41" w:rsidR="00081EFD" w:rsidRPr="00081EFD" w:rsidRDefault="00081EFD" w:rsidP="00081EFD">
      <w:pPr>
        <w:spacing w:before="240" w:line="360" w:lineRule="auto"/>
        <w:jc w:val="both"/>
        <w:rPr>
          <w:rFonts w:ascii="Arial" w:hAnsi="Arial" w:cs="Arial"/>
          <w:sz w:val="24"/>
          <w:szCs w:val="24"/>
          <w:lang w:eastAsia="en-GB"/>
        </w:rPr>
      </w:pPr>
      <w:r w:rsidRPr="00081EFD">
        <w:rPr>
          <w:rFonts w:ascii="Arial" w:hAnsi="Arial" w:cs="Arial"/>
          <w:sz w:val="24"/>
          <w:szCs w:val="24"/>
          <w:lang w:eastAsia="en-GB"/>
        </w:rPr>
        <w:t xml:space="preserve">Objective 1, which sought to assess current knowledge and supplementation practices regarding vitamin D among older adults and care staff in UK care settings, was addressed by evidence showing gaps in awareness of recommended intake, deficiency risks and supplementation guidance. The findings also indicated that </w:t>
      </w:r>
      <w:r w:rsidRPr="00081EFD">
        <w:rPr>
          <w:rFonts w:ascii="Arial" w:hAnsi="Arial" w:cs="Arial"/>
          <w:sz w:val="24"/>
          <w:szCs w:val="24"/>
          <w:lang w:eastAsia="en-GB"/>
        </w:rPr>
        <w:lastRenderedPageBreak/>
        <w:t>supplementation practices were inconsistent, despite older care-home residents being recognised as a higher-risk population.</w:t>
      </w:r>
    </w:p>
    <w:p w14:paraId="48DF750D" w14:textId="177A5AEE" w:rsidR="00081EFD" w:rsidRPr="00081EFD" w:rsidRDefault="002731EC" w:rsidP="002731EC">
      <w:pPr>
        <w:pStyle w:val="Heading3"/>
      </w:pPr>
      <w:bookmarkStart w:id="93" w:name="_Toc240558523"/>
      <w:r>
        <w:t>6.4.2</w:t>
      </w:r>
      <w:r w:rsidRPr="002731EC">
        <w:t xml:space="preserve"> Objective 2: To identify the individual, professional and organisational barriers affecting effective prevention of vitamin D deficiency among o</w:t>
      </w:r>
      <w:r>
        <w:t>lder adults in UK care settings</w:t>
      </w:r>
      <w:r w:rsidRPr="002731EC">
        <w:t>.</w:t>
      </w:r>
      <w:bookmarkEnd w:id="93"/>
    </w:p>
    <w:p w14:paraId="3F9A4432" w14:textId="77777777" w:rsidR="00081EFD" w:rsidRPr="00081EFD" w:rsidRDefault="00081EFD" w:rsidP="00081EFD">
      <w:pPr>
        <w:spacing w:before="240" w:line="360" w:lineRule="auto"/>
        <w:jc w:val="both"/>
        <w:rPr>
          <w:rFonts w:ascii="Arial" w:hAnsi="Arial" w:cs="Arial"/>
          <w:sz w:val="24"/>
          <w:szCs w:val="24"/>
          <w:lang w:eastAsia="en-GB"/>
        </w:rPr>
      </w:pPr>
      <w:r w:rsidRPr="00081EFD">
        <w:rPr>
          <w:rFonts w:ascii="Arial" w:hAnsi="Arial" w:cs="Arial"/>
          <w:sz w:val="24"/>
          <w:szCs w:val="24"/>
          <w:lang w:eastAsia="en-GB"/>
        </w:rPr>
        <w:t>Objective 2 was to identify individual, professional and organisational barriers affecting effective prevention of vitamin D deficiency. The review identified several interconnected barriers, including limited staff knowledge, uncertainty regarding professional responsibility, inconsistent organisational policies, workload pressures, restricted mobility among residents and difficulties associated with frailty and dietary intake. These findings demonstrated that prevention was influenced by both individual behaviour and organisational systems.</w:t>
      </w:r>
    </w:p>
    <w:p w14:paraId="1C370F27" w14:textId="4ADFB828" w:rsidR="00081EFD" w:rsidRPr="00B42798" w:rsidRDefault="002731EC" w:rsidP="00B42798">
      <w:pPr>
        <w:pStyle w:val="Heading3"/>
      </w:pPr>
      <w:bookmarkStart w:id="94" w:name="_Toc240558524"/>
      <w:r w:rsidRPr="00B42798">
        <w:t>6.4.3 Objective 3: To examine practical strategies for improving awareness, screening and supplementation practices to reduce vitamin D-related health risks, particularly falls and fractures.</w:t>
      </w:r>
      <w:bookmarkEnd w:id="94"/>
    </w:p>
    <w:p w14:paraId="32361611" w14:textId="5C0EB6BD" w:rsidR="00081EFD" w:rsidRPr="00081EFD" w:rsidRDefault="00081EFD" w:rsidP="00081EFD">
      <w:pPr>
        <w:spacing w:before="240" w:line="360" w:lineRule="auto"/>
        <w:jc w:val="both"/>
        <w:rPr>
          <w:rFonts w:ascii="Arial" w:hAnsi="Arial" w:cs="Arial"/>
          <w:sz w:val="24"/>
          <w:szCs w:val="24"/>
          <w:lang w:eastAsia="en-GB"/>
        </w:rPr>
      </w:pPr>
      <w:r w:rsidRPr="00081EFD">
        <w:rPr>
          <w:rFonts w:ascii="Arial" w:hAnsi="Arial" w:cs="Arial"/>
          <w:sz w:val="24"/>
          <w:szCs w:val="24"/>
          <w:lang w:eastAsia="en-GB"/>
        </w:rPr>
        <w:t>Objective 3 examined practical strategies for improving awareness, screening and supplementation to reduce vitamin D-related health risks, particularly falls and fractures. The evidence identified staff education, resident-focused information, routine supplementation, targeted risk assessment, appropriate screening and clearer organisational procedures as important components of prevention. Overall, the findings supported a multifaceted approach rather than rel</w:t>
      </w:r>
      <w:r w:rsidR="00B42798">
        <w:rPr>
          <w:rFonts w:ascii="Arial" w:hAnsi="Arial" w:cs="Arial"/>
          <w:sz w:val="24"/>
          <w:szCs w:val="24"/>
          <w:lang w:eastAsia="en-GB"/>
        </w:rPr>
        <w:t>iance on a single intervention.</w:t>
      </w:r>
    </w:p>
    <w:p w14:paraId="7558808D" w14:textId="5FF96822" w:rsidR="00693217" w:rsidRDefault="00081EFD" w:rsidP="00081EFD">
      <w:pPr>
        <w:spacing w:before="240" w:line="360" w:lineRule="auto"/>
        <w:jc w:val="both"/>
        <w:rPr>
          <w:rFonts w:ascii="Arial" w:hAnsi="Arial" w:cs="Arial"/>
          <w:sz w:val="24"/>
          <w:szCs w:val="24"/>
          <w:lang w:eastAsia="en-GB"/>
        </w:rPr>
      </w:pPr>
      <w:r w:rsidRPr="00081EFD">
        <w:rPr>
          <w:rFonts w:ascii="Arial" w:hAnsi="Arial" w:cs="Arial"/>
          <w:sz w:val="24"/>
          <w:szCs w:val="24"/>
          <w:lang w:eastAsia="en-GB"/>
        </w:rPr>
        <w:t>Therefore, all three objectives were addressed through the systematic synthesis of the available evidence, providing a coherent basis for the conclusions and recommendations presented in the following sections.</w:t>
      </w:r>
    </w:p>
    <w:p w14:paraId="7D14AF42" w14:textId="77777777" w:rsidR="00830205" w:rsidRDefault="00830205" w:rsidP="00081EFD">
      <w:pPr>
        <w:spacing w:before="240" w:line="360" w:lineRule="auto"/>
        <w:jc w:val="both"/>
        <w:rPr>
          <w:rFonts w:ascii="Arial" w:hAnsi="Arial" w:cs="Arial"/>
          <w:sz w:val="24"/>
          <w:szCs w:val="24"/>
          <w:lang w:eastAsia="en-GB"/>
        </w:rPr>
      </w:pPr>
    </w:p>
    <w:p w14:paraId="633CD66D" w14:textId="77777777" w:rsidR="00830205" w:rsidRPr="00462F16" w:rsidRDefault="00830205" w:rsidP="00081EFD">
      <w:pPr>
        <w:spacing w:before="240" w:line="360" w:lineRule="auto"/>
        <w:jc w:val="both"/>
        <w:rPr>
          <w:rFonts w:ascii="Arial" w:hAnsi="Arial" w:cs="Arial"/>
          <w:sz w:val="24"/>
          <w:szCs w:val="24"/>
          <w:lang w:eastAsia="en-GB"/>
        </w:rPr>
      </w:pPr>
    </w:p>
    <w:p w14:paraId="5F489E93" w14:textId="5A23A01D" w:rsidR="00693217" w:rsidRPr="00462F16" w:rsidRDefault="00693217" w:rsidP="00721611">
      <w:pPr>
        <w:pStyle w:val="Heading2"/>
        <w:rPr>
          <w:lang w:eastAsia="en-GB"/>
        </w:rPr>
      </w:pPr>
      <w:bookmarkStart w:id="95" w:name="_Toc240558525"/>
      <w:r w:rsidRPr="00462F16">
        <w:rPr>
          <w:lang w:eastAsia="en-GB"/>
        </w:rPr>
        <w:lastRenderedPageBreak/>
        <w:t>6.5 Implications for Public Health</w:t>
      </w:r>
      <w:bookmarkEnd w:id="95"/>
      <w:r w:rsidRPr="00462F16">
        <w:rPr>
          <w:lang w:eastAsia="en-GB"/>
        </w:rPr>
        <w:t xml:space="preserve"> </w:t>
      </w:r>
    </w:p>
    <w:p w14:paraId="05A01812" w14:textId="77777777" w:rsidR="00650CCD" w:rsidRPr="00462F16" w:rsidRDefault="00650CCD"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 findings have several implications for public health. The diagnosis of vitamin D deficiency in older people in care-homes needs to be viewed in the context of the wider concepts of healthy ageing, fall and fracture prevention, independence and reduction of avoidable health service use. Residential care might be a place where several risk factors co-occur, and therefore is relevant for potentially more public health preventive interventions.</w:t>
      </w:r>
    </w:p>
    <w:p w14:paraId="69C81027" w14:textId="77777777" w:rsidR="00650CCD" w:rsidRPr="00462F16" w:rsidRDefault="00650CCD"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 review recommends public health interventions should not only share the health benefits of vitamin D, but also include health literacy and staff capability and organisational implementation within health promotion. This is in keeping with the overall concept that enabling environments as well as knowledge is needed for effective health promotion.</w:t>
      </w:r>
    </w:p>
    <w:p w14:paraId="3B20890D" w14:textId="77777777" w:rsidR="00650CCD" w:rsidRPr="00462F16" w:rsidRDefault="00650CCD"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 results also have implications for the problem of inequalities. Differences in staffing, training, policies and preventive procedures may lead to variations in access to the appropriate vitamin D prevention between care homes. Adoption of evidence-based recommendations could therefore help to create more equitable preventive care.</w:t>
      </w:r>
    </w:p>
    <w:p w14:paraId="284C82D2" w14:textId="73EFA07E" w:rsidR="00693217" w:rsidRPr="00462F16" w:rsidRDefault="00693217" w:rsidP="00081EFD">
      <w:pPr>
        <w:pStyle w:val="Heading3"/>
      </w:pPr>
      <w:bookmarkStart w:id="96" w:name="_Toc240558526"/>
      <w:r w:rsidRPr="00462F16">
        <w:t>6.6 Implications for Care-Home Practice</w:t>
      </w:r>
      <w:bookmarkEnd w:id="96"/>
      <w:r w:rsidRPr="00462F16">
        <w:t xml:space="preserve"> </w:t>
      </w:r>
    </w:p>
    <w:p w14:paraId="19EE93F5" w14:textId="77777777" w:rsidR="00CB2BA4" w:rsidRPr="00462F16" w:rsidRDefault="00CB2BA4"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 results contribute to the development of a structured approach for vitamin D prevention in the practice of care homes. Staff in care homes should have an awareness of the potential for vitamin D deficiency in older people and be aware of the national guidelines. There might be a need for regular education and training to increase confidence and decrease uncertainty around supplementation (Turner et al., 2023).</w:t>
      </w:r>
    </w:p>
    <w:p w14:paraId="70AEE914" w14:textId="77777777" w:rsidR="00CB2BA4" w:rsidRPr="00462F16" w:rsidRDefault="00CB2BA4"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Care homes should also have clear policies that identify who is responsible for risk assessments, providing supplements, documenting what interventions are made and who is responsible for ensuring that this is done. This may help to alleviate the professional uncertainty found in previous studies (Williams and Williams, 2020).</w:t>
      </w:r>
    </w:p>
    <w:p w14:paraId="7407E2FA" w14:textId="45BEFFE9" w:rsidR="00693217" w:rsidRPr="00462F16" w:rsidRDefault="00CB2BA4"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lastRenderedPageBreak/>
        <w:t>Overall care homes should embed the prevention of vitamin D into routine nutrition and wellbeing assessments as a component of the provision, not a standalone intervention</w:t>
      </w:r>
      <w:r w:rsidR="00693217" w:rsidRPr="00462F16">
        <w:rPr>
          <w:rFonts w:ascii="Arial" w:hAnsi="Arial" w:cs="Arial"/>
          <w:sz w:val="24"/>
          <w:szCs w:val="24"/>
          <w:lang w:eastAsia="en-GB"/>
        </w:rPr>
        <w:t>.</w:t>
      </w:r>
    </w:p>
    <w:p w14:paraId="6D9B7526" w14:textId="1657B23E" w:rsidR="00693217" w:rsidRPr="00462F16" w:rsidRDefault="00693217" w:rsidP="00721611">
      <w:pPr>
        <w:pStyle w:val="Heading2"/>
        <w:rPr>
          <w:lang w:eastAsia="en-GB"/>
        </w:rPr>
      </w:pPr>
      <w:bookmarkStart w:id="97" w:name="_Toc240558527"/>
      <w:r w:rsidRPr="00462F16">
        <w:rPr>
          <w:lang w:eastAsia="en-GB"/>
        </w:rPr>
        <w:t>6.7 Recommendations</w:t>
      </w:r>
      <w:bookmarkEnd w:id="97"/>
      <w:r w:rsidRPr="00462F16">
        <w:rPr>
          <w:lang w:eastAsia="en-GB"/>
        </w:rPr>
        <w:t xml:space="preserve"> </w:t>
      </w:r>
    </w:p>
    <w:p w14:paraId="4B929FAA" w14:textId="77777777" w:rsidR="00972973" w:rsidRPr="00462F16" w:rsidRDefault="00972973"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Based on the findings, the following recommendations are made:</w:t>
      </w:r>
    </w:p>
    <w:p w14:paraId="530411E0" w14:textId="77777777" w:rsidR="00972973" w:rsidRPr="00721611" w:rsidRDefault="00972973" w:rsidP="00AB7AED">
      <w:pPr>
        <w:pStyle w:val="ListParagraph"/>
        <w:numPr>
          <w:ilvl w:val="0"/>
          <w:numId w:val="24"/>
        </w:numPr>
        <w:spacing w:before="240" w:line="360" w:lineRule="auto"/>
        <w:jc w:val="both"/>
        <w:rPr>
          <w:rFonts w:ascii="Arial" w:hAnsi="Arial" w:cs="Arial"/>
          <w:sz w:val="24"/>
          <w:szCs w:val="24"/>
          <w:lang w:eastAsia="en-GB"/>
        </w:rPr>
      </w:pPr>
      <w:r w:rsidRPr="00721611">
        <w:rPr>
          <w:rFonts w:ascii="Arial" w:hAnsi="Arial" w:cs="Arial"/>
          <w:b/>
          <w:sz w:val="24"/>
          <w:szCs w:val="24"/>
          <w:lang w:eastAsia="en-GB"/>
        </w:rPr>
        <w:t>Education of regular staff:</w:t>
      </w:r>
      <w:r w:rsidRPr="00721611">
        <w:rPr>
          <w:rFonts w:ascii="Arial" w:hAnsi="Arial" w:cs="Arial"/>
          <w:sz w:val="24"/>
          <w:szCs w:val="24"/>
          <w:lang w:eastAsia="en-GB"/>
        </w:rPr>
        <w:t xml:space="preserve"> Staff in care homes should be trained on a regular basis about vitamin D deficiency, risk factors and supplementation and any national guidance. </w:t>
      </w:r>
    </w:p>
    <w:p w14:paraId="5E2EA566" w14:textId="7A833C7F" w:rsidR="00972973" w:rsidRPr="00721611" w:rsidRDefault="00972973" w:rsidP="00AB7AED">
      <w:pPr>
        <w:pStyle w:val="ListParagraph"/>
        <w:numPr>
          <w:ilvl w:val="0"/>
          <w:numId w:val="24"/>
        </w:numPr>
        <w:spacing w:before="240" w:line="360" w:lineRule="auto"/>
        <w:jc w:val="both"/>
        <w:rPr>
          <w:rFonts w:ascii="Arial" w:hAnsi="Arial" w:cs="Arial"/>
          <w:sz w:val="24"/>
          <w:szCs w:val="24"/>
          <w:lang w:eastAsia="en-GB"/>
        </w:rPr>
      </w:pPr>
      <w:r w:rsidRPr="00721611">
        <w:rPr>
          <w:rFonts w:ascii="Arial" w:hAnsi="Arial" w:cs="Arial"/>
          <w:b/>
          <w:sz w:val="24"/>
          <w:szCs w:val="24"/>
          <w:lang w:eastAsia="en-GB"/>
        </w:rPr>
        <w:t>Clear organisation protocols:</w:t>
      </w:r>
      <w:r w:rsidRPr="00721611">
        <w:rPr>
          <w:rFonts w:ascii="Arial" w:hAnsi="Arial" w:cs="Arial"/>
          <w:sz w:val="24"/>
          <w:szCs w:val="24"/>
          <w:lang w:eastAsia="en-GB"/>
        </w:rPr>
        <w:t xml:space="preserve"> Care homes should have written procedures which outline the responsibilities for vitamin D assessment, supplementation, documentation and monitoring. </w:t>
      </w:r>
    </w:p>
    <w:p w14:paraId="3E8C30E4" w14:textId="39985FC6" w:rsidR="00972973" w:rsidRPr="00721611" w:rsidRDefault="00972973" w:rsidP="00AB7AED">
      <w:pPr>
        <w:pStyle w:val="ListParagraph"/>
        <w:numPr>
          <w:ilvl w:val="0"/>
          <w:numId w:val="24"/>
        </w:numPr>
        <w:spacing w:before="240" w:line="360" w:lineRule="auto"/>
        <w:jc w:val="both"/>
        <w:rPr>
          <w:rFonts w:ascii="Arial" w:hAnsi="Arial" w:cs="Arial"/>
          <w:sz w:val="24"/>
          <w:szCs w:val="24"/>
          <w:lang w:eastAsia="en-GB"/>
        </w:rPr>
      </w:pPr>
      <w:r w:rsidRPr="00721611">
        <w:rPr>
          <w:rFonts w:ascii="Arial" w:hAnsi="Arial" w:cs="Arial"/>
          <w:b/>
          <w:sz w:val="24"/>
          <w:szCs w:val="24"/>
          <w:lang w:eastAsia="en-GB"/>
        </w:rPr>
        <w:t>Resident and family education:</w:t>
      </w:r>
      <w:r w:rsidRPr="00721611">
        <w:rPr>
          <w:rFonts w:ascii="Arial" w:hAnsi="Arial" w:cs="Arial"/>
          <w:sz w:val="24"/>
          <w:szCs w:val="24"/>
          <w:lang w:eastAsia="en-GB"/>
        </w:rPr>
        <w:t xml:space="preserve"> Residents and families should be provided with appropriate information to further their understanding and support for preventive decision-making. </w:t>
      </w:r>
    </w:p>
    <w:p w14:paraId="233C77D1" w14:textId="77777777" w:rsidR="00972973" w:rsidRPr="00721611" w:rsidRDefault="00972973" w:rsidP="00AB7AED">
      <w:pPr>
        <w:pStyle w:val="ListParagraph"/>
        <w:numPr>
          <w:ilvl w:val="0"/>
          <w:numId w:val="24"/>
        </w:numPr>
        <w:spacing w:before="240" w:line="360" w:lineRule="auto"/>
        <w:jc w:val="both"/>
        <w:rPr>
          <w:rFonts w:ascii="Arial" w:hAnsi="Arial" w:cs="Arial"/>
          <w:sz w:val="24"/>
          <w:szCs w:val="24"/>
          <w:lang w:eastAsia="en-GB"/>
        </w:rPr>
      </w:pPr>
      <w:r w:rsidRPr="00721611">
        <w:rPr>
          <w:rFonts w:ascii="Arial" w:hAnsi="Arial" w:cs="Arial"/>
          <w:b/>
          <w:sz w:val="24"/>
          <w:szCs w:val="24"/>
          <w:lang w:eastAsia="en-GB"/>
        </w:rPr>
        <w:t>Multidisciplinary working</w:t>
      </w:r>
      <w:r w:rsidRPr="00721611">
        <w:rPr>
          <w:rFonts w:ascii="Arial" w:hAnsi="Arial" w:cs="Arial"/>
          <w:sz w:val="24"/>
          <w:szCs w:val="24"/>
          <w:lang w:eastAsia="en-GB"/>
        </w:rPr>
        <w:t xml:space="preserve">: The care-home sector should establish links with nurses, GPs, pharmacists, dietitians and other appropriate professionals as appropriate. </w:t>
      </w:r>
    </w:p>
    <w:p w14:paraId="61CD505C" w14:textId="512E34ED" w:rsidR="00972973" w:rsidRPr="00721611" w:rsidRDefault="00972973" w:rsidP="00AB7AED">
      <w:pPr>
        <w:pStyle w:val="ListParagraph"/>
        <w:numPr>
          <w:ilvl w:val="0"/>
          <w:numId w:val="24"/>
        </w:numPr>
        <w:spacing w:before="240" w:line="360" w:lineRule="auto"/>
        <w:jc w:val="both"/>
        <w:rPr>
          <w:rFonts w:ascii="Arial" w:hAnsi="Arial" w:cs="Arial"/>
          <w:sz w:val="24"/>
          <w:szCs w:val="24"/>
          <w:lang w:eastAsia="en-GB"/>
        </w:rPr>
      </w:pPr>
      <w:r w:rsidRPr="00721611">
        <w:rPr>
          <w:rFonts w:ascii="Arial" w:hAnsi="Arial" w:cs="Arial"/>
          <w:b/>
          <w:sz w:val="24"/>
          <w:szCs w:val="24"/>
          <w:lang w:eastAsia="en-GB"/>
        </w:rPr>
        <w:t>Routine risk assessment:</w:t>
      </w:r>
      <w:r w:rsidRPr="00721611">
        <w:rPr>
          <w:rFonts w:ascii="Arial" w:hAnsi="Arial" w:cs="Arial"/>
          <w:sz w:val="24"/>
          <w:szCs w:val="24"/>
          <w:lang w:eastAsia="en-GB"/>
        </w:rPr>
        <w:t xml:space="preserve"> Vitamin D risk should be part of nutritional and wellbeing assessment which should be undertaken routinely for residents with poor mobility, frailty or low food intake. </w:t>
      </w:r>
    </w:p>
    <w:p w14:paraId="1C90C58C" w14:textId="77777777" w:rsidR="00972973" w:rsidRPr="00721611" w:rsidRDefault="00972973" w:rsidP="00AB7AED">
      <w:pPr>
        <w:pStyle w:val="ListParagraph"/>
        <w:numPr>
          <w:ilvl w:val="0"/>
          <w:numId w:val="24"/>
        </w:numPr>
        <w:spacing w:before="240" w:line="360" w:lineRule="auto"/>
        <w:jc w:val="both"/>
        <w:rPr>
          <w:rFonts w:ascii="Arial" w:hAnsi="Arial" w:cs="Arial"/>
          <w:sz w:val="24"/>
          <w:szCs w:val="24"/>
          <w:lang w:eastAsia="en-GB"/>
        </w:rPr>
      </w:pPr>
      <w:r w:rsidRPr="00721611">
        <w:rPr>
          <w:rFonts w:ascii="Arial" w:hAnsi="Arial" w:cs="Arial"/>
          <w:b/>
          <w:sz w:val="24"/>
          <w:szCs w:val="24"/>
          <w:lang w:eastAsia="en-GB"/>
        </w:rPr>
        <w:t>Monitoring and evaluation:</w:t>
      </w:r>
      <w:r w:rsidRPr="00721611">
        <w:rPr>
          <w:rFonts w:ascii="Arial" w:hAnsi="Arial" w:cs="Arial"/>
          <w:sz w:val="24"/>
          <w:szCs w:val="24"/>
          <w:lang w:eastAsia="en-GB"/>
        </w:rPr>
        <w:t xml:space="preserve"> Care homes should provide monitoring and evaluation around implementation of supplementation policies and gaps in adherence. </w:t>
      </w:r>
    </w:p>
    <w:p w14:paraId="13DC6927" w14:textId="64005DD0" w:rsidR="00693217" w:rsidRDefault="00972973"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These suggestions are in addition to, not a substitute for, existing clinical and public health recommendation</w:t>
      </w:r>
      <w:r w:rsidR="00693217" w:rsidRPr="00462F16">
        <w:rPr>
          <w:rFonts w:ascii="Arial" w:hAnsi="Arial" w:cs="Arial"/>
          <w:sz w:val="24"/>
          <w:szCs w:val="24"/>
          <w:lang w:eastAsia="en-GB"/>
        </w:rPr>
        <w:t>.</w:t>
      </w:r>
    </w:p>
    <w:p w14:paraId="717C4CE3" w14:textId="77777777" w:rsidR="00830205" w:rsidRDefault="00830205" w:rsidP="00462F16">
      <w:pPr>
        <w:spacing w:before="240" w:line="360" w:lineRule="auto"/>
        <w:jc w:val="both"/>
        <w:rPr>
          <w:rFonts w:ascii="Arial" w:hAnsi="Arial" w:cs="Arial"/>
          <w:sz w:val="24"/>
          <w:szCs w:val="24"/>
          <w:lang w:eastAsia="en-GB"/>
        </w:rPr>
      </w:pPr>
    </w:p>
    <w:p w14:paraId="6EF63010" w14:textId="77777777" w:rsidR="00830205" w:rsidRDefault="00830205" w:rsidP="00462F16">
      <w:pPr>
        <w:spacing w:before="240" w:line="360" w:lineRule="auto"/>
        <w:jc w:val="both"/>
        <w:rPr>
          <w:rFonts w:ascii="Arial" w:hAnsi="Arial" w:cs="Arial"/>
          <w:sz w:val="24"/>
          <w:szCs w:val="24"/>
          <w:lang w:eastAsia="en-GB"/>
        </w:rPr>
      </w:pPr>
    </w:p>
    <w:p w14:paraId="24D836CF" w14:textId="77777777" w:rsidR="00830205" w:rsidRPr="00462F16" w:rsidRDefault="00830205" w:rsidP="00462F16">
      <w:pPr>
        <w:spacing w:before="240" w:line="360" w:lineRule="auto"/>
        <w:jc w:val="both"/>
        <w:rPr>
          <w:rFonts w:ascii="Arial" w:hAnsi="Arial" w:cs="Arial"/>
          <w:sz w:val="24"/>
          <w:szCs w:val="24"/>
          <w:lang w:eastAsia="en-GB"/>
        </w:rPr>
      </w:pPr>
    </w:p>
    <w:p w14:paraId="09BAA782" w14:textId="3C41E75C" w:rsidR="00693217" w:rsidRPr="00462F16" w:rsidRDefault="00693217" w:rsidP="00721611">
      <w:pPr>
        <w:pStyle w:val="Heading2"/>
        <w:rPr>
          <w:lang w:eastAsia="en-GB"/>
        </w:rPr>
      </w:pPr>
      <w:bookmarkStart w:id="98" w:name="_Toc240558528"/>
      <w:r w:rsidRPr="00462F16">
        <w:rPr>
          <w:lang w:eastAsia="en-GB"/>
        </w:rPr>
        <w:lastRenderedPageBreak/>
        <w:t>6.8 Recommendations for Future Research</w:t>
      </w:r>
      <w:bookmarkEnd w:id="98"/>
      <w:r w:rsidRPr="00462F16">
        <w:rPr>
          <w:lang w:eastAsia="en-GB"/>
        </w:rPr>
        <w:t xml:space="preserve"> </w:t>
      </w:r>
    </w:p>
    <w:p w14:paraId="20FB15F3" w14:textId="77777777" w:rsidR="00721611" w:rsidRDefault="009F2E7E"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 xml:space="preserve">This review identified a limited amount of evidence that is specific to the UK, which should be explored in further research. To determine whether there are enduring improvements in vitamin D status and clinical outcomes from enhanced awareness and supplementation practices, there is a need for longitudinal and intervention studies. Multicomponent interventions (staff education, supplementation, organisation policy and monitoring) should also be assessed in a research study. Generalisability of findings would be enhanced with larger studies of residents and staff of care homes in different regions of the UK. </w:t>
      </w:r>
    </w:p>
    <w:p w14:paraId="113405BB" w14:textId="39923DF5" w:rsidR="009F2E7E" w:rsidRPr="00462F16" w:rsidRDefault="009F2E7E" w:rsidP="00721611">
      <w:pPr>
        <w:pStyle w:val="Heading2"/>
        <w:rPr>
          <w:lang w:eastAsia="en-GB"/>
        </w:rPr>
      </w:pPr>
      <w:bookmarkStart w:id="99" w:name="_Toc240558529"/>
      <w:r w:rsidRPr="00462F16">
        <w:rPr>
          <w:lang w:eastAsia="en-GB"/>
        </w:rPr>
        <w:t>6.9 Contribution of the Review</w:t>
      </w:r>
      <w:bookmarkEnd w:id="99"/>
      <w:r w:rsidRPr="00462F16">
        <w:rPr>
          <w:lang w:eastAsia="en-GB"/>
        </w:rPr>
        <w:t xml:space="preserve"> </w:t>
      </w:r>
    </w:p>
    <w:p w14:paraId="13CC9743" w14:textId="319444C2" w:rsidR="009F2E7E" w:rsidRPr="00462F16" w:rsidRDefault="009F2E7E"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This systematic review adds to the body of evidence by synthesising evidence on the awareness, behavioural and organisational factors that influence vitamin D deficiency prevention in care-home settings, as well as evidence on the vitamin D deficiency itself. The results emphasize the need to consider vitamin D prevention in a multi-dimensional approach within the public health umbrella. The review identifies that national guidance and supplementation recommendations are unlikely to have the desired effect unless there is the right staff knowledge, clear organisational responsibilities</w:t>
      </w:r>
      <w:r w:rsidR="00721611">
        <w:rPr>
          <w:rFonts w:ascii="Arial" w:hAnsi="Arial" w:cs="Arial"/>
          <w:sz w:val="24"/>
          <w:szCs w:val="24"/>
          <w:lang w:eastAsia="en-GB"/>
        </w:rPr>
        <w:t xml:space="preserve"> and consistent implementation.</w:t>
      </w:r>
    </w:p>
    <w:p w14:paraId="151FAE91" w14:textId="5FF5A7C9" w:rsidR="009F2E7E" w:rsidRPr="00462F16" w:rsidRDefault="009F2E7E" w:rsidP="00721611">
      <w:pPr>
        <w:pStyle w:val="Heading2"/>
        <w:rPr>
          <w:lang w:eastAsia="en-GB"/>
        </w:rPr>
      </w:pPr>
      <w:bookmarkStart w:id="100" w:name="_Toc240558530"/>
      <w:r w:rsidRPr="00462F16">
        <w:rPr>
          <w:lang w:eastAsia="en-GB"/>
        </w:rPr>
        <w:t>6.10 Final Conclusion</w:t>
      </w:r>
      <w:bookmarkEnd w:id="100"/>
      <w:r w:rsidRPr="00462F16">
        <w:rPr>
          <w:lang w:eastAsia="en-GB"/>
        </w:rPr>
        <w:t xml:space="preserve"> </w:t>
      </w:r>
    </w:p>
    <w:p w14:paraId="4FB0186F" w14:textId="022DBAA0" w:rsidR="00FF5D3C" w:rsidRDefault="009F2E7E" w:rsidP="00462F16">
      <w:pPr>
        <w:spacing w:before="240" w:line="360" w:lineRule="auto"/>
        <w:jc w:val="both"/>
        <w:rPr>
          <w:rFonts w:ascii="Arial" w:hAnsi="Arial" w:cs="Arial"/>
          <w:sz w:val="24"/>
          <w:szCs w:val="24"/>
          <w:lang w:eastAsia="en-GB"/>
        </w:rPr>
      </w:pPr>
      <w:r w:rsidRPr="00462F16">
        <w:rPr>
          <w:rFonts w:ascii="Arial" w:hAnsi="Arial" w:cs="Arial"/>
          <w:sz w:val="24"/>
          <w:szCs w:val="24"/>
          <w:lang w:eastAsia="en-GB"/>
        </w:rPr>
        <w:t xml:space="preserve">In summary, the present systematic review identified that vitamin D deficiency is a significant problem in older people in care homes in the UK. Ageing, lack of sun exposure, mobility, frailty, chronic diseases and poor diet contribute to the vulnerability of this population. It is therefore concluded in the review that, a multicomponent and coordinated approach is necessary for effective vitamin D prevention. Routine supplements should be encouraged through staff training, resident and family education, suitable nutritional assessment, defined organisational procedures, multi-disciplinary support and regular practice of national guidance. The evidence supports these interventions; however, methodological differences and a lack of research in the UK call for circumspect interpretation. </w:t>
      </w:r>
    </w:p>
    <w:p w14:paraId="7B0CD109" w14:textId="77777777" w:rsidR="00066B2A" w:rsidRPr="00462F16" w:rsidRDefault="00066B2A" w:rsidP="00462F16">
      <w:pPr>
        <w:spacing w:before="240" w:line="360" w:lineRule="auto"/>
        <w:jc w:val="both"/>
        <w:rPr>
          <w:rFonts w:ascii="Arial" w:hAnsi="Arial" w:cs="Arial"/>
          <w:sz w:val="24"/>
          <w:szCs w:val="24"/>
          <w:lang w:eastAsia="en-GB"/>
        </w:rPr>
      </w:pPr>
    </w:p>
    <w:p w14:paraId="2E041E92" w14:textId="0C5905EA" w:rsidR="00A45AC0" w:rsidRPr="004858EF" w:rsidRDefault="00A45AC0" w:rsidP="004858EF">
      <w:pPr>
        <w:spacing w:after="0" w:line="360" w:lineRule="auto"/>
        <w:jc w:val="both"/>
        <w:rPr>
          <w:rFonts w:ascii="Arial" w:eastAsia="Times New Roman" w:hAnsi="Arial" w:cs="Arial"/>
          <w:kern w:val="0"/>
          <w:sz w:val="24"/>
          <w:szCs w:val="24"/>
          <w:lang w:eastAsia="en-GB"/>
          <w14:ligatures w14:val="none"/>
        </w:rPr>
      </w:pPr>
    </w:p>
    <w:p w14:paraId="22C9DCBA" w14:textId="7A7AA2FC" w:rsidR="002050AD" w:rsidRDefault="002050AD" w:rsidP="00462F16">
      <w:pPr>
        <w:pStyle w:val="Heading1"/>
      </w:pPr>
      <w:bookmarkStart w:id="101" w:name="_Toc240558531"/>
      <w:bookmarkStart w:id="102" w:name="_Toc233577705"/>
      <w:r w:rsidRPr="002050AD">
        <w:t>References</w:t>
      </w:r>
      <w:bookmarkEnd w:id="101"/>
      <w:r w:rsidRPr="002050AD">
        <w:t xml:space="preserve"> </w:t>
      </w:r>
      <w:bookmarkEnd w:id="102"/>
    </w:p>
    <w:p w14:paraId="07E42F29"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Abdul-Jabbar, S., </w:t>
      </w:r>
      <w:proofErr w:type="spellStart"/>
      <w:r w:rsidRPr="00CB0AF9">
        <w:rPr>
          <w:rFonts w:ascii="Arial" w:eastAsia="Times New Roman" w:hAnsi="Arial" w:cs="Arial"/>
          <w:kern w:val="0"/>
          <w:sz w:val="24"/>
          <w:szCs w:val="24"/>
          <w:lang w:eastAsia="en-GB"/>
          <w14:ligatures w14:val="none"/>
        </w:rPr>
        <w:t>Nebechi</w:t>
      </w:r>
      <w:proofErr w:type="spellEnd"/>
      <w:r w:rsidRPr="00CB0AF9">
        <w:rPr>
          <w:rFonts w:ascii="Arial" w:eastAsia="Times New Roman" w:hAnsi="Arial" w:cs="Arial"/>
          <w:kern w:val="0"/>
          <w:sz w:val="24"/>
          <w:szCs w:val="24"/>
          <w:lang w:eastAsia="en-GB"/>
          <w14:ligatures w14:val="none"/>
        </w:rPr>
        <w:t xml:space="preserve">, C., McClelland, G.R., Lockett, A., </w:t>
      </w:r>
      <w:proofErr w:type="spellStart"/>
      <w:r w:rsidRPr="00CB0AF9">
        <w:rPr>
          <w:rFonts w:ascii="Arial" w:eastAsia="Times New Roman" w:hAnsi="Arial" w:cs="Arial"/>
          <w:kern w:val="0"/>
          <w:sz w:val="24"/>
          <w:szCs w:val="24"/>
          <w:lang w:eastAsia="en-GB"/>
          <w14:ligatures w14:val="none"/>
        </w:rPr>
        <w:t>Douiri</w:t>
      </w:r>
      <w:proofErr w:type="spellEnd"/>
      <w:r w:rsidRPr="00CB0AF9">
        <w:rPr>
          <w:rFonts w:ascii="Arial" w:eastAsia="Times New Roman" w:hAnsi="Arial" w:cs="Arial"/>
          <w:kern w:val="0"/>
          <w:sz w:val="24"/>
          <w:szCs w:val="24"/>
          <w:lang w:eastAsia="en-GB"/>
          <w14:ligatures w14:val="none"/>
        </w:rPr>
        <w:t xml:space="preserve">, A., Morgan, D. and Jones, S.A. (2024) ‘Ethnic differences in response to oral vitamin D supplementation: a systematic review and meta-analysis’, </w:t>
      </w:r>
      <w:r w:rsidRPr="00CB0AF9">
        <w:rPr>
          <w:rFonts w:ascii="Arial" w:eastAsia="Times New Roman" w:hAnsi="Arial" w:cs="Arial"/>
          <w:i/>
          <w:iCs/>
          <w:kern w:val="0"/>
          <w:sz w:val="24"/>
          <w:szCs w:val="24"/>
          <w:lang w:eastAsia="en-GB"/>
          <w14:ligatures w14:val="none"/>
        </w:rPr>
        <w:t>Nutrition Reviews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57F1E12E"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Agarwal, R., Barnes, J. and others (2021) ‘Vitamin D and older adults: clinical and public health considerations’,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3F16260A" w14:textId="508446B2" w:rsidR="004B47D2"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Al-Shaar, L., Manson, J.E., </w:t>
      </w:r>
      <w:proofErr w:type="spellStart"/>
      <w:r w:rsidRPr="00CB0AF9">
        <w:rPr>
          <w:rFonts w:ascii="Arial" w:eastAsia="Times New Roman" w:hAnsi="Arial" w:cs="Arial"/>
          <w:kern w:val="0"/>
          <w:sz w:val="24"/>
          <w:szCs w:val="24"/>
          <w:lang w:eastAsia="en-GB"/>
          <w14:ligatures w14:val="none"/>
        </w:rPr>
        <w:t>Wassertheil-Smoller</w:t>
      </w:r>
      <w:proofErr w:type="spellEnd"/>
      <w:r w:rsidRPr="00CB0AF9">
        <w:rPr>
          <w:rFonts w:ascii="Arial" w:eastAsia="Times New Roman" w:hAnsi="Arial" w:cs="Arial"/>
          <w:kern w:val="0"/>
          <w:sz w:val="24"/>
          <w:szCs w:val="24"/>
          <w:lang w:eastAsia="en-GB"/>
          <w14:ligatures w14:val="none"/>
        </w:rPr>
        <w:t xml:space="preserve">, S., et al. (2021) ‘Effect of vitamin D supplementation on serum 25-hydroxyvitamin D concentrations and clinical outcomes’, </w:t>
      </w:r>
      <w:r w:rsidRPr="00CB0AF9">
        <w:rPr>
          <w:rFonts w:ascii="Arial" w:eastAsia="Times New Roman" w:hAnsi="Arial" w:cs="Arial"/>
          <w:i/>
          <w:iCs/>
          <w:kern w:val="0"/>
          <w:sz w:val="24"/>
          <w:szCs w:val="24"/>
          <w:lang w:eastAsia="en-GB"/>
          <w14:ligatures w14:val="none"/>
        </w:rPr>
        <w:t>JAMA Network Open</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61398572" w14:textId="77777777" w:rsidR="00C874C3" w:rsidRPr="00CB0AF9" w:rsidRDefault="00C874C3"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Autier</w:t>
      </w:r>
      <w:proofErr w:type="spellEnd"/>
      <w:r w:rsidRPr="00CB0AF9">
        <w:rPr>
          <w:rFonts w:ascii="Arial" w:eastAsia="Times New Roman" w:hAnsi="Arial" w:cs="Arial"/>
          <w:kern w:val="0"/>
          <w:sz w:val="24"/>
          <w:szCs w:val="24"/>
          <w:lang w:eastAsia="en-GB"/>
          <w14:ligatures w14:val="none"/>
        </w:rPr>
        <w:t xml:space="preserve">, P., Boniol, M., </w:t>
      </w:r>
      <w:proofErr w:type="spellStart"/>
      <w:r w:rsidRPr="00CB0AF9">
        <w:rPr>
          <w:rFonts w:ascii="Arial" w:eastAsia="Times New Roman" w:hAnsi="Arial" w:cs="Arial"/>
          <w:kern w:val="0"/>
          <w:sz w:val="24"/>
          <w:szCs w:val="24"/>
          <w:lang w:eastAsia="en-GB"/>
          <w14:ligatures w14:val="none"/>
        </w:rPr>
        <w:t>Pizot</w:t>
      </w:r>
      <w:proofErr w:type="spellEnd"/>
      <w:r w:rsidRPr="00CB0AF9">
        <w:rPr>
          <w:rFonts w:ascii="Arial" w:eastAsia="Times New Roman" w:hAnsi="Arial" w:cs="Arial"/>
          <w:kern w:val="0"/>
          <w:sz w:val="24"/>
          <w:szCs w:val="24"/>
          <w:lang w:eastAsia="en-GB"/>
          <w14:ligatures w14:val="none"/>
        </w:rPr>
        <w:t>, C. and Mullie, P. (2014) ‘Vitamin D status and ill health: a systematic review’, The Lancet Diabetes &amp; Endocrinology, 2(1), pp. 76–89. Available at: PubMed</w:t>
      </w:r>
    </w:p>
    <w:p w14:paraId="76C15F1F" w14:textId="77777777" w:rsidR="00C874C3" w:rsidRPr="00CB0AF9" w:rsidRDefault="00C874C3"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Bischoff-Ferrari, H.A., Willett, W.C., Wong, J.B., Giovannucci, E., Dietrich, T. and Dawson-Hughes, B. (2005) ‘Fracture prevention with vitamin D supplementation: a meta-analysis of randomized controlled trials’, JAMA, 293(18), pp. 2257–2264. Available at: PubMed</w:t>
      </w:r>
    </w:p>
    <w:p w14:paraId="736B1A00" w14:textId="77777777" w:rsidR="00C874C3" w:rsidRPr="00CB0AF9" w:rsidRDefault="00C874C3"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Bischoff-Ferrari, H.A., Dawson-Hughes, B., </w:t>
      </w:r>
      <w:proofErr w:type="spellStart"/>
      <w:r w:rsidRPr="00CB0AF9">
        <w:rPr>
          <w:rFonts w:ascii="Arial" w:eastAsia="Times New Roman" w:hAnsi="Arial" w:cs="Arial"/>
          <w:kern w:val="0"/>
          <w:sz w:val="24"/>
          <w:szCs w:val="24"/>
          <w:lang w:eastAsia="en-GB"/>
          <w14:ligatures w14:val="none"/>
        </w:rPr>
        <w:t>Staehelin</w:t>
      </w:r>
      <w:proofErr w:type="spellEnd"/>
      <w:r w:rsidRPr="00CB0AF9">
        <w:rPr>
          <w:rFonts w:ascii="Arial" w:eastAsia="Times New Roman" w:hAnsi="Arial" w:cs="Arial"/>
          <w:kern w:val="0"/>
          <w:sz w:val="24"/>
          <w:szCs w:val="24"/>
          <w:lang w:eastAsia="en-GB"/>
          <w14:ligatures w14:val="none"/>
        </w:rPr>
        <w:t xml:space="preserve">, H.B., </w:t>
      </w:r>
      <w:proofErr w:type="spellStart"/>
      <w:r w:rsidRPr="00CB0AF9">
        <w:rPr>
          <w:rFonts w:ascii="Arial" w:eastAsia="Times New Roman" w:hAnsi="Arial" w:cs="Arial"/>
          <w:kern w:val="0"/>
          <w:sz w:val="24"/>
          <w:szCs w:val="24"/>
          <w:lang w:eastAsia="en-GB"/>
          <w14:ligatures w14:val="none"/>
        </w:rPr>
        <w:t>Orav</w:t>
      </w:r>
      <w:proofErr w:type="spellEnd"/>
      <w:r w:rsidRPr="00CB0AF9">
        <w:rPr>
          <w:rFonts w:ascii="Arial" w:eastAsia="Times New Roman" w:hAnsi="Arial" w:cs="Arial"/>
          <w:kern w:val="0"/>
          <w:sz w:val="24"/>
          <w:szCs w:val="24"/>
          <w:lang w:eastAsia="en-GB"/>
          <w14:ligatures w14:val="none"/>
        </w:rPr>
        <w:t xml:space="preserve">, J.E., Stuck, A.E., Theiler, R., Wong, J.B., Egli, A., Kiel, D.P., </w:t>
      </w:r>
      <w:proofErr w:type="spellStart"/>
      <w:r w:rsidRPr="00CB0AF9">
        <w:rPr>
          <w:rFonts w:ascii="Arial" w:eastAsia="Times New Roman" w:hAnsi="Arial" w:cs="Arial"/>
          <w:kern w:val="0"/>
          <w:sz w:val="24"/>
          <w:szCs w:val="24"/>
          <w:lang w:eastAsia="en-GB"/>
          <w14:ligatures w14:val="none"/>
        </w:rPr>
        <w:t>Henschkowski</w:t>
      </w:r>
      <w:proofErr w:type="spellEnd"/>
      <w:r w:rsidRPr="00CB0AF9">
        <w:rPr>
          <w:rFonts w:ascii="Arial" w:eastAsia="Times New Roman" w:hAnsi="Arial" w:cs="Arial"/>
          <w:kern w:val="0"/>
          <w:sz w:val="24"/>
          <w:szCs w:val="24"/>
          <w:lang w:eastAsia="en-GB"/>
          <w14:ligatures w14:val="none"/>
        </w:rPr>
        <w:t>, J. and others (2009) ‘Fall prevention with supplemental and active forms of vitamin D: a meta-analysis of randomised controlled trials’, BMJ, 339, b3692. Available at: BMJ/PubMed record</w:t>
      </w:r>
    </w:p>
    <w:p w14:paraId="6ED16802" w14:textId="77777777" w:rsidR="00C874C3" w:rsidRPr="00CB0AF9" w:rsidRDefault="00C874C3"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Bischoff-Ferrari, H.A., Vellas, B., Rizzoli, R., Bock, C., </w:t>
      </w:r>
      <w:proofErr w:type="spellStart"/>
      <w:r w:rsidRPr="00CB0AF9">
        <w:rPr>
          <w:rFonts w:ascii="Arial" w:eastAsia="Times New Roman" w:hAnsi="Arial" w:cs="Arial"/>
          <w:kern w:val="0"/>
          <w:sz w:val="24"/>
          <w:szCs w:val="24"/>
          <w:lang w:eastAsia="en-GB"/>
          <w14:ligatures w14:val="none"/>
        </w:rPr>
        <w:t>Deforche</w:t>
      </w:r>
      <w:proofErr w:type="spellEnd"/>
      <w:r w:rsidRPr="00CB0AF9">
        <w:rPr>
          <w:rFonts w:ascii="Arial" w:eastAsia="Times New Roman" w:hAnsi="Arial" w:cs="Arial"/>
          <w:kern w:val="0"/>
          <w:sz w:val="24"/>
          <w:szCs w:val="24"/>
          <w:lang w:eastAsia="en-GB"/>
          <w14:ligatures w14:val="none"/>
        </w:rPr>
        <w:t xml:space="preserve">, B., </w:t>
      </w:r>
      <w:proofErr w:type="spellStart"/>
      <w:r w:rsidRPr="00CB0AF9">
        <w:rPr>
          <w:rFonts w:ascii="Arial" w:eastAsia="Times New Roman" w:hAnsi="Arial" w:cs="Arial"/>
          <w:kern w:val="0"/>
          <w:sz w:val="24"/>
          <w:szCs w:val="24"/>
          <w:lang w:eastAsia="en-GB"/>
          <w14:ligatures w14:val="none"/>
        </w:rPr>
        <w:t>Henschkowski</w:t>
      </w:r>
      <w:proofErr w:type="spellEnd"/>
      <w:r w:rsidRPr="00CB0AF9">
        <w:rPr>
          <w:rFonts w:ascii="Arial" w:eastAsia="Times New Roman" w:hAnsi="Arial" w:cs="Arial"/>
          <w:kern w:val="0"/>
          <w:sz w:val="24"/>
          <w:szCs w:val="24"/>
          <w:lang w:eastAsia="en-GB"/>
          <w14:ligatures w14:val="none"/>
        </w:rPr>
        <w:t>, J., Illsley, A., Orav, J.E. and Dawson-Hughes, B. (2008) ‘Effect of cholecalciferol plus calcium on falling in ambulatory older men and women: a 3-year randomized, controlled trial’, Archives of Internal Medicine, 168(16), pp. 1734–1741.</w:t>
      </w:r>
    </w:p>
    <w:p w14:paraId="72901839" w14:textId="77777777" w:rsidR="00C874C3" w:rsidRPr="00CB0AF9" w:rsidRDefault="00C874C3"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Bjelakovic</w:t>
      </w:r>
      <w:proofErr w:type="spellEnd"/>
      <w:r w:rsidRPr="00CB0AF9">
        <w:rPr>
          <w:rFonts w:ascii="Arial" w:eastAsia="Times New Roman" w:hAnsi="Arial" w:cs="Arial"/>
          <w:kern w:val="0"/>
          <w:sz w:val="24"/>
          <w:szCs w:val="24"/>
          <w:lang w:eastAsia="en-GB"/>
          <w14:ligatures w14:val="none"/>
        </w:rPr>
        <w:t xml:space="preserve">, G., Gluud, L.L., Nikolova, D., Whitfield, K., Wetterslev, J., </w:t>
      </w:r>
      <w:proofErr w:type="spellStart"/>
      <w:r w:rsidRPr="00CB0AF9">
        <w:rPr>
          <w:rFonts w:ascii="Arial" w:eastAsia="Times New Roman" w:hAnsi="Arial" w:cs="Arial"/>
          <w:kern w:val="0"/>
          <w:sz w:val="24"/>
          <w:szCs w:val="24"/>
          <w:lang w:eastAsia="en-GB"/>
          <w14:ligatures w14:val="none"/>
        </w:rPr>
        <w:t>Simonetti</w:t>
      </w:r>
      <w:proofErr w:type="spellEnd"/>
      <w:r w:rsidRPr="00CB0AF9">
        <w:rPr>
          <w:rFonts w:ascii="Arial" w:eastAsia="Times New Roman" w:hAnsi="Arial" w:cs="Arial"/>
          <w:kern w:val="0"/>
          <w:sz w:val="24"/>
          <w:szCs w:val="24"/>
          <w:lang w:eastAsia="en-GB"/>
          <w14:ligatures w14:val="none"/>
        </w:rPr>
        <w:t xml:space="preserve">, R.G., </w:t>
      </w:r>
      <w:proofErr w:type="spellStart"/>
      <w:r w:rsidRPr="00CB0AF9">
        <w:rPr>
          <w:rFonts w:ascii="Arial" w:eastAsia="Times New Roman" w:hAnsi="Arial" w:cs="Arial"/>
          <w:kern w:val="0"/>
          <w:sz w:val="24"/>
          <w:szCs w:val="24"/>
          <w:lang w:eastAsia="en-GB"/>
          <w14:ligatures w14:val="none"/>
        </w:rPr>
        <w:t>Bjelakovic</w:t>
      </w:r>
      <w:proofErr w:type="spellEnd"/>
      <w:r w:rsidRPr="00CB0AF9">
        <w:rPr>
          <w:rFonts w:ascii="Arial" w:eastAsia="Times New Roman" w:hAnsi="Arial" w:cs="Arial"/>
          <w:kern w:val="0"/>
          <w:sz w:val="24"/>
          <w:szCs w:val="24"/>
          <w:lang w:eastAsia="en-GB"/>
          <w14:ligatures w14:val="none"/>
        </w:rPr>
        <w:t xml:space="preserve">, M. and Gluud, C. (2014) ‘Vitamin D supplementation for </w:t>
      </w:r>
      <w:r w:rsidRPr="00CB0AF9">
        <w:rPr>
          <w:rFonts w:ascii="Arial" w:eastAsia="Times New Roman" w:hAnsi="Arial" w:cs="Arial"/>
          <w:kern w:val="0"/>
          <w:sz w:val="24"/>
          <w:szCs w:val="24"/>
          <w:lang w:eastAsia="en-GB"/>
          <w14:ligatures w14:val="none"/>
        </w:rPr>
        <w:lastRenderedPageBreak/>
        <w:t>prevention of mortality in adults’, Cochrane Database of Systematic Reviews, (1), CD007470.</w:t>
      </w:r>
    </w:p>
    <w:p w14:paraId="1CFE3A85" w14:textId="77777777" w:rsidR="00C874C3" w:rsidRPr="00CB0AF9" w:rsidRDefault="00C874C3"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Bolland, M.J., Grey, A. and Avenell, A. (2014) ‘Effects of vitamin D supplements on bone mineral density: a systematic review and meta-analysis’, The Lancet, 383(9912), pp. 146–155.</w:t>
      </w:r>
    </w:p>
    <w:p w14:paraId="7D98EE5B" w14:textId="6017C4E0" w:rsidR="00C874C3" w:rsidRPr="00CB0AF9" w:rsidRDefault="00C874C3"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Bouillon, R., Van Schoor, N.M., Gielen, E., Boonen, S., Mathieu, C., </w:t>
      </w:r>
      <w:proofErr w:type="spellStart"/>
      <w:r w:rsidRPr="00CB0AF9">
        <w:rPr>
          <w:rFonts w:ascii="Arial" w:eastAsia="Times New Roman" w:hAnsi="Arial" w:cs="Arial"/>
          <w:kern w:val="0"/>
          <w:sz w:val="24"/>
          <w:szCs w:val="24"/>
          <w:lang w:eastAsia="en-GB"/>
          <w14:ligatures w14:val="none"/>
        </w:rPr>
        <w:t>Vanderschueren</w:t>
      </w:r>
      <w:proofErr w:type="spellEnd"/>
      <w:r w:rsidRPr="00CB0AF9">
        <w:rPr>
          <w:rFonts w:ascii="Arial" w:eastAsia="Times New Roman" w:hAnsi="Arial" w:cs="Arial"/>
          <w:kern w:val="0"/>
          <w:sz w:val="24"/>
          <w:szCs w:val="24"/>
          <w:lang w:eastAsia="en-GB"/>
          <w14:ligatures w14:val="none"/>
        </w:rPr>
        <w:t>, D. and Lips, P. (2019) ‘Optimal vitamin D status: a critical analysis on the basis of evidence-based medicine’, Journal of Clinical Endocrinology &amp; Metabolism, 104(9), pp. 3681–3686.</w:t>
      </w:r>
    </w:p>
    <w:p w14:paraId="408B70F4" w14:textId="336A76E8" w:rsidR="00BC00DA"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Bolland, M.J., Grey, A. and Avenell, A. (2018) ‘Effects of vitamin D supplementation on musculoskeletal health: a systematic review, meta-analysis and trial sequential analysis’, </w:t>
      </w:r>
      <w:r w:rsidRPr="00CB0AF9">
        <w:rPr>
          <w:rFonts w:ascii="Arial" w:eastAsia="Times New Roman" w:hAnsi="Arial" w:cs="Arial"/>
          <w:i/>
          <w:iCs/>
          <w:kern w:val="0"/>
          <w:sz w:val="24"/>
          <w:szCs w:val="24"/>
          <w:lang w:eastAsia="en-GB"/>
          <w14:ligatures w14:val="none"/>
        </w:rPr>
        <w:t>The Lancet Diabetes &amp; Endocrinology</w:t>
      </w:r>
      <w:r w:rsidRPr="00CB0AF9">
        <w:rPr>
          <w:rFonts w:ascii="Arial" w:eastAsia="Times New Roman" w:hAnsi="Arial" w:cs="Arial"/>
          <w:kern w:val="0"/>
          <w:sz w:val="24"/>
          <w:szCs w:val="24"/>
          <w:lang w:eastAsia="en-GB"/>
          <w14:ligatures w14:val="none"/>
        </w:rPr>
        <w:t>, 6(11), pp. 847–858.</w:t>
      </w:r>
      <w:r w:rsidRPr="00CB0AF9">
        <w:rPr>
          <w:rFonts w:ascii="Arial" w:eastAsia="Times New Roman" w:hAnsi="Arial" w:cs="Arial"/>
          <w:kern w:val="0"/>
          <w:sz w:val="24"/>
          <w:szCs w:val="24"/>
          <w:lang w:eastAsia="en-GB"/>
          <w14:ligatures w14:val="none"/>
        </w:rPr>
        <w:br/>
      </w:r>
      <w:hyperlink r:id="rId18"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16605EFA" w14:textId="533D5711" w:rsidR="00CB0AF9" w:rsidRPr="00CB0AF9" w:rsidRDefault="00CB0AF9"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British Geriatrics Society (2023) Fit for Frailty: managing falls and fracture risk in older people. London: British Geriatrics Society.</w:t>
      </w:r>
    </w:p>
    <w:p w14:paraId="407925F2"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Bolland, M.J., Grey, A. and Avenell, A. (2022) ‘Assessment of benefits and harms of vitamin D supplementation’, </w:t>
      </w:r>
      <w:r w:rsidRPr="00CB0AF9">
        <w:rPr>
          <w:rFonts w:ascii="Arial" w:eastAsia="Times New Roman" w:hAnsi="Arial" w:cs="Arial"/>
          <w:i/>
          <w:iCs/>
          <w:kern w:val="0"/>
          <w:sz w:val="24"/>
          <w:szCs w:val="24"/>
          <w:lang w:eastAsia="en-GB"/>
          <w14:ligatures w14:val="none"/>
        </w:rPr>
        <w:t>JAMA</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02B17E93"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Bouillon, R., Marcocci, C., </w:t>
      </w:r>
      <w:proofErr w:type="spellStart"/>
      <w:r w:rsidRPr="00CB0AF9">
        <w:rPr>
          <w:rFonts w:ascii="Arial" w:eastAsia="Times New Roman" w:hAnsi="Arial" w:cs="Arial"/>
          <w:kern w:val="0"/>
          <w:sz w:val="24"/>
          <w:szCs w:val="24"/>
          <w:lang w:eastAsia="en-GB"/>
          <w14:ligatures w14:val="none"/>
        </w:rPr>
        <w:t>Carmeliet</w:t>
      </w:r>
      <w:proofErr w:type="spellEnd"/>
      <w:r w:rsidRPr="00CB0AF9">
        <w:rPr>
          <w:rFonts w:ascii="Arial" w:eastAsia="Times New Roman" w:hAnsi="Arial" w:cs="Arial"/>
          <w:kern w:val="0"/>
          <w:sz w:val="24"/>
          <w:szCs w:val="24"/>
          <w:lang w:eastAsia="en-GB"/>
          <w14:ligatures w14:val="none"/>
        </w:rPr>
        <w:t xml:space="preserve">, G., Bikle, D., White, J.H., Dawson-Hughes, B., Lips, P., Munns, C.F. and Lazaretti-Castro, M. (2019) ‘Skeletal and </w:t>
      </w:r>
      <w:proofErr w:type="spellStart"/>
      <w:r w:rsidRPr="00CB0AF9">
        <w:rPr>
          <w:rFonts w:ascii="Arial" w:eastAsia="Times New Roman" w:hAnsi="Arial" w:cs="Arial"/>
          <w:kern w:val="0"/>
          <w:sz w:val="24"/>
          <w:szCs w:val="24"/>
          <w:lang w:eastAsia="en-GB"/>
          <w14:ligatures w14:val="none"/>
        </w:rPr>
        <w:t>extraskeletal</w:t>
      </w:r>
      <w:proofErr w:type="spellEnd"/>
      <w:r w:rsidRPr="00CB0AF9">
        <w:rPr>
          <w:rFonts w:ascii="Arial" w:eastAsia="Times New Roman" w:hAnsi="Arial" w:cs="Arial"/>
          <w:kern w:val="0"/>
          <w:sz w:val="24"/>
          <w:szCs w:val="24"/>
          <w:lang w:eastAsia="en-GB"/>
          <w14:ligatures w14:val="none"/>
        </w:rPr>
        <w:t xml:space="preserve"> actions of vitamin D: current evidence and outstanding questions’, </w:t>
      </w:r>
      <w:r w:rsidRPr="00CB0AF9">
        <w:rPr>
          <w:rFonts w:ascii="Arial" w:eastAsia="Times New Roman" w:hAnsi="Arial" w:cs="Arial"/>
          <w:i/>
          <w:iCs/>
          <w:kern w:val="0"/>
          <w:sz w:val="24"/>
          <w:szCs w:val="24"/>
          <w:lang w:eastAsia="en-GB"/>
          <w14:ligatures w14:val="none"/>
        </w:rPr>
        <w:t>Endocrine Reviews</w:t>
      </w:r>
      <w:r w:rsidRPr="00CB0AF9">
        <w:rPr>
          <w:rFonts w:ascii="Arial" w:eastAsia="Times New Roman" w:hAnsi="Arial" w:cs="Arial"/>
          <w:kern w:val="0"/>
          <w:sz w:val="24"/>
          <w:szCs w:val="24"/>
          <w:lang w:eastAsia="en-GB"/>
          <w14:ligatures w14:val="none"/>
        </w:rPr>
        <w:t>, 40(4), pp. 1109–1151.</w:t>
      </w:r>
      <w:r w:rsidRPr="00CB0AF9">
        <w:rPr>
          <w:rFonts w:ascii="Arial" w:eastAsia="Times New Roman" w:hAnsi="Arial" w:cs="Arial"/>
          <w:kern w:val="0"/>
          <w:sz w:val="24"/>
          <w:szCs w:val="24"/>
          <w:lang w:eastAsia="en-GB"/>
          <w14:ligatures w14:val="none"/>
        </w:rPr>
        <w:br/>
      </w:r>
      <w:hyperlink r:id="rId19"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6E516FB8"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British Geriatrics Society (2023) </w:t>
      </w:r>
      <w:r w:rsidRPr="00CB0AF9">
        <w:rPr>
          <w:rFonts w:ascii="Arial" w:eastAsia="Times New Roman" w:hAnsi="Arial" w:cs="Arial"/>
          <w:i/>
          <w:iCs/>
          <w:kern w:val="0"/>
          <w:sz w:val="24"/>
          <w:szCs w:val="24"/>
          <w:lang w:eastAsia="en-GB"/>
          <w14:ligatures w14:val="none"/>
        </w:rPr>
        <w:t>Fit for Frailty: managing falls and fracture risk in older people</w:t>
      </w:r>
      <w:r w:rsidRPr="00CB0AF9">
        <w:rPr>
          <w:rFonts w:ascii="Arial" w:eastAsia="Times New Roman" w:hAnsi="Arial" w:cs="Arial"/>
          <w:kern w:val="0"/>
          <w:sz w:val="24"/>
          <w:szCs w:val="24"/>
          <w:lang w:eastAsia="en-GB"/>
          <w14:ligatures w14:val="none"/>
        </w:rPr>
        <w:t>. London: British Geriatrics Society.</w:t>
      </w:r>
      <w:r w:rsidRPr="00CB0AF9">
        <w:rPr>
          <w:rFonts w:ascii="Arial" w:eastAsia="Times New Roman" w:hAnsi="Arial" w:cs="Arial"/>
          <w:kern w:val="0"/>
          <w:sz w:val="24"/>
          <w:szCs w:val="24"/>
          <w:lang w:eastAsia="en-GB"/>
          <w14:ligatures w14:val="none"/>
        </w:rPr>
        <w:br/>
      </w:r>
      <w:hyperlink r:id="rId20" w:tgtFrame="_blank" w:history="1">
        <w:r w:rsidRPr="00CB0AF9">
          <w:rPr>
            <w:rFonts w:ascii="Arial" w:eastAsia="Times New Roman" w:hAnsi="Arial" w:cs="Arial"/>
            <w:color w:val="0000FF"/>
            <w:kern w:val="0"/>
            <w:sz w:val="24"/>
            <w:szCs w:val="24"/>
            <w:u w:val="single"/>
            <w:lang w:eastAsia="en-GB"/>
            <w14:ligatures w14:val="none"/>
          </w:rPr>
          <w:t>British Geriatrics Society</w:t>
        </w:r>
      </w:hyperlink>
      <w:r w:rsidRPr="00CB0AF9">
        <w:rPr>
          <w:rFonts w:ascii="Arial" w:eastAsia="Times New Roman" w:hAnsi="Arial" w:cs="Arial"/>
          <w:kern w:val="0"/>
          <w:sz w:val="24"/>
          <w:szCs w:val="24"/>
          <w:lang w:eastAsia="en-GB"/>
          <w14:ligatures w14:val="none"/>
        </w:rPr>
        <w:t xml:space="preserve"> </w:t>
      </w:r>
    </w:p>
    <w:p w14:paraId="07DB3894" w14:textId="44F11A9E"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Brown, R.B., </w:t>
      </w:r>
      <w:proofErr w:type="spellStart"/>
      <w:r w:rsidRPr="00CB0AF9">
        <w:rPr>
          <w:rFonts w:ascii="Arial" w:eastAsia="Times New Roman" w:hAnsi="Arial" w:cs="Arial"/>
          <w:kern w:val="0"/>
          <w:sz w:val="24"/>
          <w:szCs w:val="24"/>
          <w:lang w:eastAsia="en-GB"/>
          <w14:ligatures w14:val="none"/>
        </w:rPr>
        <w:t>Bliuc</w:t>
      </w:r>
      <w:proofErr w:type="spellEnd"/>
      <w:r w:rsidRPr="00CB0AF9">
        <w:rPr>
          <w:rFonts w:ascii="Arial" w:eastAsia="Times New Roman" w:hAnsi="Arial" w:cs="Arial"/>
          <w:kern w:val="0"/>
          <w:sz w:val="24"/>
          <w:szCs w:val="24"/>
          <w:lang w:eastAsia="en-GB"/>
          <w14:ligatures w14:val="none"/>
        </w:rPr>
        <w:t xml:space="preserve">, D. and others (2020) ‘Vitamin D and health outcomes in older adults’,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001641DD"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Cashman, K.D., Dowling, K.G., </w:t>
      </w:r>
      <w:proofErr w:type="spellStart"/>
      <w:r w:rsidRPr="00CB0AF9">
        <w:rPr>
          <w:rFonts w:ascii="Arial" w:eastAsia="Times New Roman" w:hAnsi="Arial" w:cs="Arial"/>
          <w:kern w:val="0"/>
          <w:sz w:val="24"/>
          <w:szCs w:val="24"/>
          <w:lang w:eastAsia="en-GB"/>
          <w14:ligatures w14:val="none"/>
        </w:rPr>
        <w:t>Škrabáková</w:t>
      </w:r>
      <w:proofErr w:type="spellEnd"/>
      <w:r w:rsidRPr="00CB0AF9">
        <w:rPr>
          <w:rFonts w:ascii="Arial" w:eastAsia="Times New Roman" w:hAnsi="Arial" w:cs="Arial"/>
          <w:kern w:val="0"/>
          <w:sz w:val="24"/>
          <w:szCs w:val="24"/>
          <w:lang w:eastAsia="en-GB"/>
          <w14:ligatures w14:val="none"/>
        </w:rPr>
        <w:t xml:space="preserve">, Z., Gonzalez-Gross, M., </w:t>
      </w:r>
      <w:proofErr w:type="spellStart"/>
      <w:r w:rsidRPr="00CB0AF9">
        <w:rPr>
          <w:rFonts w:ascii="Arial" w:eastAsia="Times New Roman" w:hAnsi="Arial" w:cs="Arial"/>
          <w:kern w:val="0"/>
          <w:sz w:val="24"/>
          <w:szCs w:val="24"/>
          <w:lang w:eastAsia="en-GB"/>
          <w14:ligatures w14:val="none"/>
        </w:rPr>
        <w:t>Valtueña</w:t>
      </w:r>
      <w:proofErr w:type="spellEnd"/>
      <w:r w:rsidRPr="00CB0AF9">
        <w:rPr>
          <w:rFonts w:ascii="Arial" w:eastAsia="Times New Roman" w:hAnsi="Arial" w:cs="Arial"/>
          <w:kern w:val="0"/>
          <w:sz w:val="24"/>
          <w:szCs w:val="24"/>
          <w:lang w:eastAsia="en-GB"/>
          <w14:ligatures w14:val="none"/>
        </w:rPr>
        <w:t xml:space="preserve">, J., De </w:t>
      </w:r>
      <w:proofErr w:type="spellStart"/>
      <w:r w:rsidRPr="00CB0AF9">
        <w:rPr>
          <w:rFonts w:ascii="Arial" w:eastAsia="Times New Roman" w:hAnsi="Arial" w:cs="Arial"/>
          <w:kern w:val="0"/>
          <w:sz w:val="24"/>
          <w:szCs w:val="24"/>
          <w:lang w:eastAsia="en-GB"/>
          <w14:ligatures w14:val="none"/>
        </w:rPr>
        <w:t>Henauw</w:t>
      </w:r>
      <w:proofErr w:type="spellEnd"/>
      <w:r w:rsidRPr="00CB0AF9">
        <w:rPr>
          <w:rFonts w:ascii="Arial" w:eastAsia="Times New Roman" w:hAnsi="Arial" w:cs="Arial"/>
          <w:kern w:val="0"/>
          <w:sz w:val="24"/>
          <w:szCs w:val="24"/>
          <w:lang w:eastAsia="en-GB"/>
          <w14:ligatures w14:val="none"/>
        </w:rPr>
        <w:t xml:space="preserve">, S., Moreno, L., Damsgaard, C.T., Michaelsen, K.F., Mølgaard, C., Jorde, R., Grimnes, G., Hutchinson, M., </w:t>
      </w:r>
      <w:proofErr w:type="spellStart"/>
      <w:r w:rsidRPr="00CB0AF9">
        <w:rPr>
          <w:rFonts w:ascii="Arial" w:eastAsia="Times New Roman" w:hAnsi="Arial" w:cs="Arial"/>
          <w:kern w:val="0"/>
          <w:sz w:val="24"/>
          <w:szCs w:val="24"/>
          <w:lang w:eastAsia="en-GB"/>
          <w14:ligatures w14:val="none"/>
        </w:rPr>
        <w:t>Šapčak</w:t>
      </w:r>
      <w:proofErr w:type="spellEnd"/>
      <w:r w:rsidRPr="00CB0AF9">
        <w:rPr>
          <w:rFonts w:ascii="Arial" w:eastAsia="Times New Roman" w:hAnsi="Arial" w:cs="Arial"/>
          <w:kern w:val="0"/>
          <w:sz w:val="24"/>
          <w:szCs w:val="24"/>
          <w:lang w:eastAsia="en-GB"/>
          <w14:ligatures w14:val="none"/>
        </w:rPr>
        <w:t xml:space="preserve">, P., </w:t>
      </w:r>
      <w:proofErr w:type="spellStart"/>
      <w:r w:rsidRPr="00CB0AF9">
        <w:rPr>
          <w:rFonts w:ascii="Arial" w:eastAsia="Times New Roman" w:hAnsi="Arial" w:cs="Arial"/>
          <w:kern w:val="0"/>
          <w:sz w:val="24"/>
          <w:szCs w:val="24"/>
          <w:lang w:eastAsia="en-GB"/>
          <w14:ligatures w14:val="none"/>
        </w:rPr>
        <w:t>Stöcklin</w:t>
      </w:r>
      <w:proofErr w:type="spellEnd"/>
      <w:r w:rsidRPr="00CB0AF9">
        <w:rPr>
          <w:rFonts w:ascii="Arial" w:eastAsia="Times New Roman" w:hAnsi="Arial" w:cs="Arial"/>
          <w:kern w:val="0"/>
          <w:sz w:val="24"/>
          <w:szCs w:val="24"/>
          <w:lang w:eastAsia="en-GB"/>
          <w14:ligatures w14:val="none"/>
        </w:rPr>
        <w:t xml:space="preserve">, E., Jakobsen, J., </w:t>
      </w:r>
      <w:proofErr w:type="spellStart"/>
      <w:r w:rsidRPr="00CB0AF9">
        <w:rPr>
          <w:rFonts w:ascii="Arial" w:eastAsia="Times New Roman" w:hAnsi="Arial" w:cs="Arial"/>
          <w:kern w:val="0"/>
          <w:sz w:val="24"/>
          <w:szCs w:val="24"/>
          <w:lang w:eastAsia="en-GB"/>
          <w14:ligatures w14:val="none"/>
        </w:rPr>
        <w:t>Lamberg-Allardt</w:t>
      </w:r>
      <w:proofErr w:type="spellEnd"/>
      <w:r w:rsidRPr="00CB0AF9">
        <w:rPr>
          <w:rFonts w:ascii="Arial" w:eastAsia="Times New Roman" w:hAnsi="Arial" w:cs="Arial"/>
          <w:kern w:val="0"/>
          <w:sz w:val="24"/>
          <w:szCs w:val="24"/>
          <w:lang w:eastAsia="en-GB"/>
          <w14:ligatures w14:val="none"/>
        </w:rPr>
        <w:t xml:space="preserve">, C., Cashman, K.D. and Kiely, M. (2016) ‘Vitamin D </w:t>
      </w:r>
      <w:r w:rsidRPr="00CB0AF9">
        <w:rPr>
          <w:rFonts w:ascii="Arial" w:eastAsia="Times New Roman" w:hAnsi="Arial" w:cs="Arial"/>
          <w:kern w:val="0"/>
          <w:sz w:val="24"/>
          <w:szCs w:val="24"/>
          <w:lang w:eastAsia="en-GB"/>
          <w14:ligatures w14:val="none"/>
        </w:rPr>
        <w:lastRenderedPageBreak/>
        <w:t xml:space="preserve">deficiency in Europe: pandemic?’, </w:t>
      </w:r>
      <w:r w:rsidRPr="00CB0AF9">
        <w:rPr>
          <w:rFonts w:ascii="Arial" w:eastAsia="Times New Roman" w:hAnsi="Arial" w:cs="Arial"/>
          <w:i/>
          <w:iCs/>
          <w:kern w:val="0"/>
          <w:sz w:val="24"/>
          <w:szCs w:val="24"/>
          <w:lang w:eastAsia="en-GB"/>
          <w14:ligatures w14:val="none"/>
        </w:rPr>
        <w:t>American Journal of Clinical Nutrition</w:t>
      </w:r>
      <w:r w:rsidRPr="00CB0AF9">
        <w:rPr>
          <w:rFonts w:ascii="Arial" w:eastAsia="Times New Roman" w:hAnsi="Arial" w:cs="Arial"/>
          <w:kern w:val="0"/>
          <w:sz w:val="24"/>
          <w:szCs w:val="24"/>
          <w:lang w:eastAsia="en-GB"/>
          <w14:ligatures w14:val="none"/>
        </w:rPr>
        <w:t>, 103(4), pp. 1033–1044.</w:t>
      </w:r>
      <w:r w:rsidRPr="00CB0AF9">
        <w:rPr>
          <w:rFonts w:ascii="Arial" w:eastAsia="Times New Roman" w:hAnsi="Arial" w:cs="Arial"/>
          <w:kern w:val="0"/>
          <w:sz w:val="24"/>
          <w:szCs w:val="24"/>
          <w:lang w:eastAsia="en-GB"/>
          <w14:ligatures w14:val="none"/>
        </w:rPr>
        <w:br/>
      </w:r>
      <w:hyperlink r:id="rId21"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70E96252"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Cashman, K.D., Ritz, C., Kiely, M. and Odin Collaborators (2023) ‘Vitamin D status and dietary vitamin D requirements in older adults’, </w:t>
      </w:r>
      <w:r w:rsidRPr="00CB0AF9">
        <w:rPr>
          <w:rFonts w:ascii="Arial" w:eastAsia="Times New Roman" w:hAnsi="Arial" w:cs="Arial"/>
          <w:i/>
          <w:iCs/>
          <w:kern w:val="0"/>
          <w:sz w:val="24"/>
          <w:szCs w:val="24"/>
          <w:lang w:eastAsia="en-GB"/>
          <w14:ligatures w14:val="none"/>
        </w:rPr>
        <w:t>Nutrition Reviews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446DD5FB"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Chel</w:t>
      </w:r>
      <w:proofErr w:type="spellEnd"/>
      <w:r w:rsidRPr="00CB0AF9">
        <w:rPr>
          <w:rFonts w:ascii="Arial" w:eastAsia="Times New Roman" w:hAnsi="Arial" w:cs="Arial"/>
          <w:kern w:val="0"/>
          <w:sz w:val="24"/>
          <w:szCs w:val="24"/>
          <w:lang w:eastAsia="en-GB"/>
          <w14:ligatures w14:val="none"/>
        </w:rPr>
        <w:t xml:space="preserve">, V.G., </w:t>
      </w:r>
      <w:proofErr w:type="spellStart"/>
      <w:r w:rsidRPr="00CB0AF9">
        <w:rPr>
          <w:rFonts w:ascii="Arial" w:eastAsia="Times New Roman" w:hAnsi="Arial" w:cs="Arial"/>
          <w:kern w:val="0"/>
          <w:sz w:val="24"/>
          <w:szCs w:val="24"/>
          <w:lang w:eastAsia="en-GB"/>
          <w14:ligatures w14:val="none"/>
        </w:rPr>
        <w:t>Wijnhoven</w:t>
      </w:r>
      <w:proofErr w:type="spellEnd"/>
      <w:r w:rsidRPr="00CB0AF9">
        <w:rPr>
          <w:rFonts w:ascii="Arial" w:eastAsia="Times New Roman" w:hAnsi="Arial" w:cs="Arial"/>
          <w:kern w:val="0"/>
          <w:sz w:val="24"/>
          <w:szCs w:val="24"/>
          <w:lang w:eastAsia="en-GB"/>
          <w14:ligatures w14:val="none"/>
        </w:rPr>
        <w:t xml:space="preserve">, H.A.H., </w:t>
      </w:r>
      <w:proofErr w:type="spellStart"/>
      <w:r w:rsidRPr="00CB0AF9">
        <w:rPr>
          <w:rFonts w:ascii="Arial" w:eastAsia="Times New Roman" w:hAnsi="Arial" w:cs="Arial"/>
          <w:kern w:val="0"/>
          <w:sz w:val="24"/>
          <w:szCs w:val="24"/>
          <w:lang w:eastAsia="en-GB"/>
          <w14:ligatures w14:val="none"/>
        </w:rPr>
        <w:t>Smit</w:t>
      </w:r>
      <w:proofErr w:type="spellEnd"/>
      <w:r w:rsidRPr="00CB0AF9">
        <w:rPr>
          <w:rFonts w:ascii="Arial" w:eastAsia="Times New Roman" w:hAnsi="Arial" w:cs="Arial"/>
          <w:kern w:val="0"/>
          <w:sz w:val="24"/>
          <w:szCs w:val="24"/>
          <w:lang w:eastAsia="en-GB"/>
          <w14:ligatures w14:val="none"/>
        </w:rPr>
        <w:t xml:space="preserve">, J.H., Ooms, M.E. and Lips, P. (2008) ‘Efficacy of different doses and time intervals of oral vitamin D supplementation with or without calcium in elderly nursing home residents’, </w:t>
      </w:r>
      <w:r w:rsidRPr="00CB0AF9">
        <w:rPr>
          <w:rFonts w:ascii="Arial" w:eastAsia="Times New Roman" w:hAnsi="Arial" w:cs="Arial"/>
          <w:i/>
          <w:iCs/>
          <w:kern w:val="0"/>
          <w:sz w:val="24"/>
          <w:szCs w:val="24"/>
          <w:lang w:eastAsia="en-GB"/>
          <w14:ligatures w14:val="none"/>
        </w:rPr>
        <w:t>Osteoporosis International</w:t>
      </w:r>
      <w:r w:rsidRPr="00CB0AF9">
        <w:rPr>
          <w:rFonts w:ascii="Arial" w:eastAsia="Times New Roman" w:hAnsi="Arial" w:cs="Arial"/>
          <w:kern w:val="0"/>
          <w:sz w:val="24"/>
          <w:szCs w:val="24"/>
          <w:lang w:eastAsia="en-GB"/>
          <w14:ligatures w14:val="none"/>
        </w:rPr>
        <w:t>, 19, pp. 663–671.</w:t>
      </w:r>
      <w:r w:rsidRPr="00CB0AF9">
        <w:rPr>
          <w:rFonts w:ascii="Arial" w:eastAsia="Times New Roman" w:hAnsi="Arial" w:cs="Arial"/>
          <w:kern w:val="0"/>
          <w:sz w:val="24"/>
          <w:szCs w:val="24"/>
          <w:lang w:eastAsia="en-GB"/>
          <w14:ligatures w14:val="none"/>
        </w:rPr>
        <w:br/>
      </w:r>
      <w:hyperlink r:id="rId22"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44B6DEEB"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Cicerone, M.T., et al. (2021) ‘Vitamin D deficiency in older adults and implications for public health’,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32A8A587" w14:textId="24A96991"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Clarke, M. and Chalmers, I. (1998) ‘Discussion sections in reports of controlled trials published in general medical journals’, </w:t>
      </w:r>
      <w:r w:rsidRPr="00CB0AF9">
        <w:rPr>
          <w:rFonts w:ascii="Arial" w:eastAsia="Times New Roman" w:hAnsi="Arial" w:cs="Arial"/>
          <w:i/>
          <w:iCs/>
          <w:kern w:val="0"/>
          <w:sz w:val="24"/>
          <w:szCs w:val="24"/>
          <w:lang w:eastAsia="en-GB"/>
          <w14:ligatures w14:val="none"/>
        </w:rPr>
        <w:t>BMJ</w:t>
      </w:r>
      <w:r w:rsidRPr="00CB0AF9">
        <w:rPr>
          <w:rFonts w:ascii="Arial" w:eastAsia="Times New Roman" w:hAnsi="Arial" w:cs="Arial"/>
          <w:kern w:val="0"/>
          <w:sz w:val="24"/>
          <w:szCs w:val="24"/>
          <w:lang w:eastAsia="en-GB"/>
          <w14:ligatures w14:val="none"/>
        </w:rPr>
        <w:t>, 316, pp. 1232–1235.</w:t>
      </w:r>
      <w:r w:rsidRPr="00CB0AF9">
        <w:rPr>
          <w:rFonts w:ascii="Arial" w:eastAsia="Times New Roman" w:hAnsi="Arial" w:cs="Arial"/>
          <w:kern w:val="0"/>
          <w:sz w:val="24"/>
          <w:szCs w:val="24"/>
          <w:lang w:eastAsia="en-GB"/>
          <w14:ligatures w14:val="none"/>
        </w:rPr>
        <w:br/>
        <w:t xml:space="preserve">BMJ </w:t>
      </w:r>
    </w:p>
    <w:p w14:paraId="71386BE4" w14:textId="77777777" w:rsidR="006C35A5" w:rsidRPr="00CB0AF9" w:rsidRDefault="006C35A5"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Ceglia, L. (2008) ‘Vitamin D and its role in skeletal muscle’, Current Opinion in Clinical Nutrition and Metabolic Care, 11(6), pp. 628–633.</w:t>
      </w:r>
    </w:p>
    <w:p w14:paraId="1C90028A" w14:textId="77777777" w:rsidR="006C35A5" w:rsidRPr="00CB0AF9" w:rsidRDefault="006C35A5"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Cranney, A., Horsley, T., O'Donnell, S., Weiler, H., </w:t>
      </w:r>
      <w:proofErr w:type="spellStart"/>
      <w:r w:rsidRPr="00CB0AF9">
        <w:rPr>
          <w:rFonts w:ascii="Arial" w:eastAsia="Times New Roman" w:hAnsi="Arial" w:cs="Arial"/>
          <w:kern w:val="0"/>
          <w:sz w:val="24"/>
          <w:szCs w:val="24"/>
          <w:lang w:eastAsia="en-GB"/>
          <w14:ligatures w14:val="none"/>
        </w:rPr>
        <w:t>Puil</w:t>
      </w:r>
      <w:proofErr w:type="spellEnd"/>
      <w:r w:rsidRPr="00CB0AF9">
        <w:rPr>
          <w:rFonts w:ascii="Arial" w:eastAsia="Times New Roman" w:hAnsi="Arial" w:cs="Arial"/>
          <w:kern w:val="0"/>
          <w:sz w:val="24"/>
          <w:szCs w:val="24"/>
          <w:lang w:eastAsia="en-GB"/>
          <w14:ligatures w14:val="none"/>
        </w:rPr>
        <w:t>, L., Ooi, D., Atkinson, S., Ward, L., Moher, D., Hanley, D. and others (2007) ‘Effectiveness and safety of vitamin D in relation to bone health’, Evidence Report/Technology Assessment, 158, pp. 1–235.</w:t>
      </w:r>
    </w:p>
    <w:p w14:paraId="5BBE3396" w14:textId="77777777" w:rsidR="006C35A5" w:rsidRPr="00CB0AF9" w:rsidRDefault="006C35A5"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Dawson-Hughes, B., Mithal, A., Bonjour, J.P., Boonen, S., Burckhardt, P., </w:t>
      </w:r>
      <w:proofErr w:type="spellStart"/>
      <w:r w:rsidRPr="00CB0AF9">
        <w:rPr>
          <w:rFonts w:ascii="Arial" w:eastAsia="Times New Roman" w:hAnsi="Arial" w:cs="Arial"/>
          <w:kern w:val="0"/>
          <w:sz w:val="24"/>
          <w:szCs w:val="24"/>
          <w:lang w:eastAsia="en-GB"/>
          <w14:ligatures w14:val="none"/>
        </w:rPr>
        <w:t>Fuleihan</w:t>
      </w:r>
      <w:proofErr w:type="spellEnd"/>
      <w:r w:rsidRPr="00CB0AF9">
        <w:rPr>
          <w:rFonts w:ascii="Arial" w:eastAsia="Times New Roman" w:hAnsi="Arial" w:cs="Arial"/>
          <w:kern w:val="0"/>
          <w:sz w:val="24"/>
          <w:szCs w:val="24"/>
          <w:lang w:eastAsia="en-GB"/>
          <w14:ligatures w14:val="none"/>
        </w:rPr>
        <w:t xml:space="preserve">, G.E.H., </w:t>
      </w:r>
      <w:proofErr w:type="spellStart"/>
      <w:r w:rsidRPr="00CB0AF9">
        <w:rPr>
          <w:rFonts w:ascii="Arial" w:eastAsia="Times New Roman" w:hAnsi="Arial" w:cs="Arial"/>
          <w:kern w:val="0"/>
          <w:sz w:val="24"/>
          <w:szCs w:val="24"/>
          <w:lang w:eastAsia="en-GB"/>
          <w14:ligatures w14:val="none"/>
        </w:rPr>
        <w:t>Josse</w:t>
      </w:r>
      <w:proofErr w:type="spellEnd"/>
      <w:r w:rsidRPr="00CB0AF9">
        <w:rPr>
          <w:rFonts w:ascii="Arial" w:eastAsia="Times New Roman" w:hAnsi="Arial" w:cs="Arial"/>
          <w:kern w:val="0"/>
          <w:sz w:val="24"/>
          <w:szCs w:val="24"/>
          <w:lang w:eastAsia="en-GB"/>
          <w14:ligatures w14:val="none"/>
        </w:rPr>
        <w:t>, R.G., Lips, P., Morales-Torres, J. and Yoshimura, N. (2010) ‘IOF position statement: vitamin D recommendations for older adults’, Osteoporosis International, 21, pp. 1151–1154.</w:t>
      </w:r>
    </w:p>
    <w:p w14:paraId="1243B2C6" w14:textId="2ACDD7F6" w:rsidR="006C35A5" w:rsidRPr="00CB0AF9" w:rsidRDefault="006C35A5"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Dawson-Hughes, B., Harris, S.S., Krall, E.A. and Dallal, G.E. (1997) ‘Effect of calcium and vitamin D supplementation on bone density in men and women 65 years of age or older’, New England Journal of Medicine, 337(10), pp. 670–676.</w:t>
      </w:r>
    </w:p>
    <w:p w14:paraId="0AE2F660"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DeLuca, H.F. (2014) ‘The metabolism and functions of vitamin D’, </w:t>
      </w:r>
      <w:r w:rsidRPr="00CB0AF9">
        <w:rPr>
          <w:rFonts w:ascii="Arial" w:eastAsia="Times New Roman" w:hAnsi="Arial" w:cs="Arial"/>
          <w:i/>
          <w:iCs/>
          <w:kern w:val="0"/>
          <w:sz w:val="24"/>
          <w:szCs w:val="24"/>
          <w:lang w:eastAsia="en-GB"/>
          <w14:ligatures w14:val="none"/>
        </w:rPr>
        <w:t>Advances in Experimental Medicine and Biology</w:t>
      </w:r>
      <w:r w:rsidRPr="00CB0AF9">
        <w:rPr>
          <w:rFonts w:ascii="Arial" w:eastAsia="Times New Roman" w:hAnsi="Arial" w:cs="Arial"/>
          <w:kern w:val="0"/>
          <w:sz w:val="24"/>
          <w:szCs w:val="24"/>
          <w:lang w:eastAsia="en-GB"/>
          <w14:ligatures w14:val="none"/>
        </w:rPr>
        <w:t>, 810, pp. 1–8.</w:t>
      </w:r>
      <w:r w:rsidRPr="00CB0AF9">
        <w:rPr>
          <w:rFonts w:ascii="Arial" w:eastAsia="Times New Roman" w:hAnsi="Arial" w:cs="Arial"/>
          <w:kern w:val="0"/>
          <w:sz w:val="24"/>
          <w:szCs w:val="24"/>
          <w:lang w:eastAsia="en-GB"/>
          <w14:ligatures w14:val="none"/>
        </w:rPr>
        <w:br/>
      </w:r>
      <w:hyperlink r:id="rId23"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201A65F4" w14:textId="005BB9B9"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lastRenderedPageBreak/>
        <w:t xml:space="preserve">Dukas, L., Bischoff, H.A., </w:t>
      </w:r>
      <w:proofErr w:type="spellStart"/>
      <w:r w:rsidRPr="00CB0AF9">
        <w:rPr>
          <w:rFonts w:ascii="Arial" w:eastAsia="Times New Roman" w:hAnsi="Arial" w:cs="Arial"/>
          <w:kern w:val="0"/>
          <w:sz w:val="24"/>
          <w:szCs w:val="24"/>
          <w:lang w:eastAsia="en-GB"/>
          <w14:ligatures w14:val="none"/>
        </w:rPr>
        <w:t>Lindpaintner</w:t>
      </w:r>
      <w:proofErr w:type="spellEnd"/>
      <w:r w:rsidRPr="00CB0AF9">
        <w:rPr>
          <w:rFonts w:ascii="Arial" w:eastAsia="Times New Roman" w:hAnsi="Arial" w:cs="Arial"/>
          <w:kern w:val="0"/>
          <w:sz w:val="24"/>
          <w:szCs w:val="24"/>
          <w:lang w:eastAsia="en-GB"/>
          <w14:ligatures w14:val="none"/>
        </w:rPr>
        <w:t xml:space="preserve">, L.S., Schacht, E., Birkner-Binder, D., Damm, T.N., Thalmann, B. and </w:t>
      </w:r>
      <w:proofErr w:type="spellStart"/>
      <w:r w:rsidRPr="00CB0AF9">
        <w:rPr>
          <w:rFonts w:ascii="Arial" w:eastAsia="Times New Roman" w:hAnsi="Arial" w:cs="Arial"/>
          <w:kern w:val="0"/>
          <w:sz w:val="24"/>
          <w:szCs w:val="24"/>
          <w:lang w:eastAsia="en-GB"/>
          <w14:ligatures w14:val="none"/>
        </w:rPr>
        <w:t>Stähelin</w:t>
      </w:r>
      <w:proofErr w:type="spellEnd"/>
      <w:r w:rsidRPr="00CB0AF9">
        <w:rPr>
          <w:rFonts w:ascii="Arial" w:eastAsia="Times New Roman" w:hAnsi="Arial" w:cs="Arial"/>
          <w:kern w:val="0"/>
          <w:sz w:val="24"/>
          <w:szCs w:val="24"/>
          <w:lang w:eastAsia="en-GB"/>
          <w14:ligatures w14:val="none"/>
        </w:rPr>
        <w:t>, H.B. (2004) ‘</w:t>
      </w:r>
      <w:proofErr w:type="spellStart"/>
      <w:r w:rsidRPr="00CB0AF9">
        <w:rPr>
          <w:rFonts w:ascii="Arial" w:eastAsia="Times New Roman" w:hAnsi="Arial" w:cs="Arial"/>
          <w:kern w:val="0"/>
          <w:sz w:val="24"/>
          <w:szCs w:val="24"/>
          <w:lang w:eastAsia="en-GB"/>
          <w14:ligatures w14:val="none"/>
        </w:rPr>
        <w:t>Alfacalcidol</w:t>
      </w:r>
      <w:proofErr w:type="spellEnd"/>
      <w:r w:rsidRPr="00CB0AF9">
        <w:rPr>
          <w:rFonts w:ascii="Arial" w:eastAsia="Times New Roman" w:hAnsi="Arial" w:cs="Arial"/>
          <w:kern w:val="0"/>
          <w:sz w:val="24"/>
          <w:szCs w:val="24"/>
          <w:lang w:eastAsia="en-GB"/>
          <w14:ligatures w14:val="none"/>
        </w:rPr>
        <w:t xml:space="preserve"> reduces the number of fallers and fall events in elderly community-dwelling women and men with a reduced serum 25-hydroxyvitamin D concentration’, </w:t>
      </w:r>
      <w:r w:rsidRPr="00CB0AF9">
        <w:rPr>
          <w:rFonts w:ascii="Arial" w:eastAsia="Times New Roman" w:hAnsi="Arial" w:cs="Arial"/>
          <w:i/>
          <w:iCs/>
          <w:kern w:val="0"/>
          <w:sz w:val="24"/>
          <w:szCs w:val="24"/>
          <w:lang w:eastAsia="en-GB"/>
          <w14:ligatures w14:val="none"/>
        </w:rPr>
        <w:t>Journal of the American Geriatrics Society</w:t>
      </w:r>
      <w:r w:rsidRPr="00CB0AF9">
        <w:rPr>
          <w:rFonts w:ascii="Arial" w:eastAsia="Times New Roman" w:hAnsi="Arial" w:cs="Arial"/>
          <w:kern w:val="0"/>
          <w:sz w:val="24"/>
          <w:szCs w:val="24"/>
          <w:lang w:eastAsia="en-GB"/>
          <w14:ligatures w14:val="none"/>
        </w:rPr>
        <w:t>, 52(2), pp. 230–236.</w:t>
      </w:r>
      <w:r w:rsidRPr="00CB0AF9">
        <w:rPr>
          <w:rFonts w:ascii="Arial" w:eastAsia="Times New Roman" w:hAnsi="Arial" w:cs="Arial"/>
          <w:kern w:val="0"/>
          <w:sz w:val="24"/>
          <w:szCs w:val="24"/>
          <w:lang w:eastAsia="en-GB"/>
          <w14:ligatures w14:val="none"/>
        </w:rPr>
        <w:br/>
      </w:r>
      <w:hyperlink r:id="rId24"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2FC60F0B"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Endocrine Society (2024) </w:t>
      </w:r>
      <w:r w:rsidRPr="00CB0AF9">
        <w:rPr>
          <w:rFonts w:ascii="Arial" w:eastAsia="Times New Roman" w:hAnsi="Arial" w:cs="Arial"/>
          <w:i/>
          <w:iCs/>
          <w:kern w:val="0"/>
          <w:sz w:val="24"/>
          <w:szCs w:val="24"/>
          <w:lang w:eastAsia="en-GB"/>
          <w14:ligatures w14:val="none"/>
        </w:rPr>
        <w:t>Vitamin D for the prevention of disease: clinical practice guideline</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r>
      <w:hyperlink r:id="rId25" w:tgtFrame="_blank" w:history="1">
        <w:r w:rsidRPr="00CB0AF9">
          <w:rPr>
            <w:rFonts w:ascii="Arial" w:eastAsia="Times New Roman" w:hAnsi="Arial" w:cs="Arial"/>
            <w:color w:val="0000FF"/>
            <w:kern w:val="0"/>
            <w:sz w:val="24"/>
            <w:szCs w:val="24"/>
            <w:u w:val="single"/>
            <w:lang w:eastAsia="en-GB"/>
            <w14:ligatures w14:val="none"/>
          </w:rPr>
          <w:t>Endocrine Society</w:t>
        </w:r>
      </w:hyperlink>
      <w:r w:rsidRPr="00CB0AF9">
        <w:rPr>
          <w:rFonts w:ascii="Arial" w:eastAsia="Times New Roman" w:hAnsi="Arial" w:cs="Arial"/>
          <w:kern w:val="0"/>
          <w:sz w:val="24"/>
          <w:szCs w:val="24"/>
          <w:lang w:eastAsia="en-GB"/>
          <w14:ligatures w14:val="none"/>
        </w:rPr>
        <w:t xml:space="preserve"> </w:t>
      </w:r>
    </w:p>
    <w:p w14:paraId="00C6459A" w14:textId="3F041B26"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England, N.H.S. (2024) </w:t>
      </w:r>
      <w:r w:rsidRPr="00CB0AF9">
        <w:rPr>
          <w:rFonts w:ascii="Arial" w:eastAsia="Times New Roman" w:hAnsi="Arial" w:cs="Arial"/>
          <w:i/>
          <w:iCs/>
          <w:kern w:val="0"/>
          <w:sz w:val="24"/>
          <w:szCs w:val="24"/>
          <w:lang w:eastAsia="en-GB"/>
          <w14:ligatures w14:val="none"/>
        </w:rPr>
        <w:t>Vitamin D</w:t>
      </w:r>
      <w:r w:rsidRPr="00CB0AF9">
        <w:rPr>
          <w:rFonts w:ascii="Arial" w:eastAsia="Times New Roman" w:hAnsi="Arial" w:cs="Arial"/>
          <w:kern w:val="0"/>
          <w:sz w:val="24"/>
          <w:szCs w:val="24"/>
          <w:lang w:eastAsia="en-GB"/>
          <w14:ligatures w14:val="none"/>
        </w:rPr>
        <w:t>. London: NHS.</w:t>
      </w:r>
      <w:r w:rsidRPr="00CB0AF9">
        <w:rPr>
          <w:rFonts w:ascii="Arial" w:eastAsia="Times New Roman" w:hAnsi="Arial" w:cs="Arial"/>
          <w:kern w:val="0"/>
          <w:sz w:val="24"/>
          <w:szCs w:val="24"/>
          <w:lang w:eastAsia="en-GB"/>
          <w14:ligatures w14:val="none"/>
        </w:rPr>
        <w:br/>
      </w:r>
      <w:hyperlink r:id="rId26" w:tgtFrame="_blank" w:history="1">
        <w:r w:rsidRPr="00CB0AF9">
          <w:rPr>
            <w:rFonts w:ascii="Arial" w:eastAsia="Times New Roman" w:hAnsi="Arial" w:cs="Arial"/>
            <w:color w:val="0000FF"/>
            <w:kern w:val="0"/>
            <w:sz w:val="24"/>
            <w:szCs w:val="24"/>
            <w:u w:val="single"/>
            <w:lang w:eastAsia="en-GB"/>
            <w14:ligatures w14:val="none"/>
          </w:rPr>
          <w:t>NHS Vitamin D</w:t>
        </w:r>
      </w:hyperlink>
      <w:r w:rsidRPr="00CB0AF9">
        <w:rPr>
          <w:rFonts w:ascii="Arial" w:eastAsia="Times New Roman" w:hAnsi="Arial" w:cs="Arial"/>
          <w:kern w:val="0"/>
          <w:sz w:val="24"/>
          <w:szCs w:val="24"/>
          <w:lang w:eastAsia="en-GB"/>
          <w14:ligatures w14:val="none"/>
        </w:rPr>
        <w:t xml:space="preserve"> </w:t>
      </w:r>
    </w:p>
    <w:p w14:paraId="5168DB58"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Feehan, O., Magee, P.J., </w:t>
      </w:r>
      <w:proofErr w:type="spellStart"/>
      <w:r w:rsidRPr="00CB0AF9">
        <w:rPr>
          <w:rFonts w:ascii="Arial" w:eastAsia="Times New Roman" w:hAnsi="Arial" w:cs="Arial"/>
          <w:kern w:val="0"/>
          <w:sz w:val="24"/>
          <w:szCs w:val="24"/>
          <w:lang w:eastAsia="en-GB"/>
          <w14:ligatures w14:val="none"/>
        </w:rPr>
        <w:t>Pourshahidi</w:t>
      </w:r>
      <w:proofErr w:type="spellEnd"/>
      <w:r w:rsidRPr="00CB0AF9">
        <w:rPr>
          <w:rFonts w:ascii="Arial" w:eastAsia="Times New Roman" w:hAnsi="Arial" w:cs="Arial"/>
          <w:kern w:val="0"/>
          <w:sz w:val="24"/>
          <w:szCs w:val="24"/>
          <w:lang w:eastAsia="en-GB"/>
          <w14:ligatures w14:val="none"/>
        </w:rPr>
        <w:t xml:space="preserve">, L.K., Armstrong, D.J. and McSorley, E.M. (2023) ‘Vitamin D deficiency in nursing home residents: a systematic review’, </w:t>
      </w:r>
      <w:r w:rsidRPr="00CB0AF9">
        <w:rPr>
          <w:rFonts w:ascii="Arial" w:eastAsia="Times New Roman" w:hAnsi="Arial" w:cs="Arial"/>
          <w:i/>
          <w:iCs/>
          <w:kern w:val="0"/>
          <w:sz w:val="24"/>
          <w:szCs w:val="24"/>
          <w:lang w:eastAsia="en-GB"/>
          <w14:ligatures w14:val="none"/>
        </w:rPr>
        <w:t>Nutrition Reviews</w:t>
      </w:r>
      <w:r w:rsidRPr="00CB0AF9">
        <w:rPr>
          <w:rFonts w:ascii="Arial" w:eastAsia="Times New Roman" w:hAnsi="Arial" w:cs="Arial"/>
          <w:kern w:val="0"/>
          <w:sz w:val="24"/>
          <w:szCs w:val="24"/>
          <w:lang w:eastAsia="en-GB"/>
          <w14:ligatures w14:val="none"/>
        </w:rPr>
        <w:t xml:space="preserve">, 81(7), pp. 804–822. </w:t>
      </w:r>
      <w:r w:rsidRPr="00CB0AF9">
        <w:rPr>
          <w:rFonts w:ascii="Arial" w:eastAsia="Times New Roman" w:hAnsi="Arial" w:cs="Arial"/>
          <w:kern w:val="0"/>
          <w:sz w:val="24"/>
          <w:szCs w:val="24"/>
          <w:lang w:eastAsia="en-GB"/>
          <w14:ligatures w14:val="none"/>
        </w:rPr>
        <w:br/>
      </w:r>
      <w:hyperlink r:id="rId27"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3EB393DD"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Forsythe, L.K., Anderson, L.N., McNally, J.D. and others (2012) ‘Vitamin D deficiency and older adults in Northern Ireland’, </w:t>
      </w:r>
      <w:r w:rsidRPr="00CB0AF9">
        <w:rPr>
          <w:rFonts w:ascii="Arial" w:eastAsia="Times New Roman" w:hAnsi="Arial" w:cs="Arial"/>
          <w:i/>
          <w:iCs/>
          <w:kern w:val="0"/>
          <w:sz w:val="24"/>
          <w:szCs w:val="24"/>
          <w:lang w:eastAsia="en-GB"/>
          <w14:ligatures w14:val="none"/>
        </w:rPr>
        <w:t>Public Health Nutrition</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49A9D9D5" w14:textId="2697A08C"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Francis, R.M., Anderson, F.H., Patel, S., Sahota, O. and van Staa, T. (2006) ‘Calcium and vitamin D in osteoporosis’, </w:t>
      </w:r>
      <w:r w:rsidRPr="00CB0AF9">
        <w:rPr>
          <w:rFonts w:ascii="Arial" w:eastAsia="Times New Roman" w:hAnsi="Arial" w:cs="Arial"/>
          <w:i/>
          <w:iCs/>
          <w:kern w:val="0"/>
          <w:sz w:val="24"/>
          <w:szCs w:val="24"/>
          <w:lang w:eastAsia="en-GB"/>
          <w14:ligatures w14:val="none"/>
        </w:rPr>
        <w:t>British Medical Journal</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14168B89"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Gallagher, J.C. and Rosen, C.J. (2020) ‘Vitamin D: 2020 perspective’, </w:t>
      </w:r>
      <w:r w:rsidRPr="00CB0AF9">
        <w:rPr>
          <w:rFonts w:ascii="Arial" w:eastAsia="Times New Roman" w:hAnsi="Arial" w:cs="Arial"/>
          <w:i/>
          <w:iCs/>
          <w:kern w:val="0"/>
          <w:sz w:val="24"/>
          <w:szCs w:val="24"/>
          <w:lang w:eastAsia="en-GB"/>
          <w14:ligatures w14:val="none"/>
        </w:rPr>
        <w:t>Journal of Clinical Endocrinology &amp; Metabolism</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3FF3C15D"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Giustina, A., Adler, R.A., Binkley, N., Bollerslev, J., Bouillon, R., Dawson-Hughes, B., Ebeling, P.R., Lazaretti-Castro, M., Marcocci, C., Rizzoli, R. and </w:t>
      </w:r>
      <w:proofErr w:type="spellStart"/>
      <w:r w:rsidRPr="00CB0AF9">
        <w:rPr>
          <w:rFonts w:ascii="Arial" w:eastAsia="Times New Roman" w:hAnsi="Arial" w:cs="Arial"/>
          <w:kern w:val="0"/>
          <w:sz w:val="24"/>
          <w:szCs w:val="24"/>
          <w:lang w:eastAsia="en-GB"/>
          <w14:ligatures w14:val="none"/>
        </w:rPr>
        <w:t>Sempos</w:t>
      </w:r>
      <w:proofErr w:type="spellEnd"/>
      <w:r w:rsidRPr="00CB0AF9">
        <w:rPr>
          <w:rFonts w:ascii="Arial" w:eastAsia="Times New Roman" w:hAnsi="Arial" w:cs="Arial"/>
          <w:kern w:val="0"/>
          <w:sz w:val="24"/>
          <w:szCs w:val="24"/>
          <w:lang w:eastAsia="en-GB"/>
          <w14:ligatures w14:val="none"/>
        </w:rPr>
        <w:t xml:space="preserve">, C.T. (2020) ‘Controversies in vitamin D: summary statement from an international conference’, </w:t>
      </w:r>
      <w:r w:rsidRPr="00CB0AF9">
        <w:rPr>
          <w:rFonts w:ascii="Arial" w:eastAsia="Times New Roman" w:hAnsi="Arial" w:cs="Arial"/>
          <w:i/>
          <w:iCs/>
          <w:kern w:val="0"/>
          <w:sz w:val="24"/>
          <w:szCs w:val="24"/>
          <w:lang w:eastAsia="en-GB"/>
          <w14:ligatures w14:val="none"/>
        </w:rPr>
        <w:t>Journal of Clinical Endocrinology &amp; Metabolism</w:t>
      </w:r>
      <w:r w:rsidRPr="00CB0AF9">
        <w:rPr>
          <w:rFonts w:ascii="Arial" w:eastAsia="Times New Roman" w:hAnsi="Arial" w:cs="Arial"/>
          <w:kern w:val="0"/>
          <w:sz w:val="24"/>
          <w:szCs w:val="24"/>
          <w:lang w:eastAsia="en-GB"/>
          <w14:ligatures w14:val="none"/>
        </w:rPr>
        <w:t>, 105(7), pp. 2341–2360.</w:t>
      </w:r>
      <w:r w:rsidRPr="00CB0AF9">
        <w:rPr>
          <w:rFonts w:ascii="Arial" w:eastAsia="Times New Roman" w:hAnsi="Arial" w:cs="Arial"/>
          <w:kern w:val="0"/>
          <w:sz w:val="24"/>
          <w:szCs w:val="24"/>
          <w:lang w:eastAsia="en-GB"/>
          <w14:ligatures w14:val="none"/>
        </w:rPr>
        <w:br/>
      </w:r>
      <w:hyperlink r:id="rId28"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18D496F4" w14:textId="7438715E"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Gaksch</w:t>
      </w:r>
      <w:proofErr w:type="spellEnd"/>
      <w:r w:rsidRPr="00CB0AF9">
        <w:rPr>
          <w:rFonts w:ascii="Arial" w:eastAsia="Times New Roman" w:hAnsi="Arial" w:cs="Arial"/>
          <w:kern w:val="0"/>
          <w:sz w:val="24"/>
          <w:szCs w:val="24"/>
          <w:lang w:eastAsia="en-GB"/>
          <w14:ligatures w14:val="none"/>
        </w:rPr>
        <w:t xml:space="preserve">, M., Jorde, R., Grimnes, G., et al. (2017) ‘Vitamin D and mortality: individual participant data meta-analysis of standardized 25-hydroxyvitamin D in 26916 individuals’, </w:t>
      </w:r>
      <w:proofErr w:type="spellStart"/>
      <w:r w:rsidRPr="00CB0AF9">
        <w:rPr>
          <w:rFonts w:ascii="Arial" w:eastAsia="Times New Roman" w:hAnsi="Arial" w:cs="Arial"/>
          <w:i/>
          <w:iCs/>
          <w:kern w:val="0"/>
          <w:sz w:val="24"/>
          <w:szCs w:val="24"/>
          <w:lang w:eastAsia="en-GB"/>
          <w14:ligatures w14:val="none"/>
        </w:rPr>
        <w:t>PLoS</w:t>
      </w:r>
      <w:proofErr w:type="spellEnd"/>
      <w:r w:rsidRPr="00CB0AF9">
        <w:rPr>
          <w:rFonts w:ascii="Arial" w:eastAsia="Times New Roman" w:hAnsi="Arial" w:cs="Arial"/>
          <w:i/>
          <w:iCs/>
          <w:kern w:val="0"/>
          <w:sz w:val="24"/>
          <w:szCs w:val="24"/>
          <w:lang w:eastAsia="en-GB"/>
          <w14:ligatures w14:val="none"/>
        </w:rPr>
        <w:t xml:space="preserve"> ONE</w:t>
      </w:r>
      <w:r w:rsidRPr="00CB0AF9">
        <w:rPr>
          <w:rFonts w:ascii="Arial" w:eastAsia="Times New Roman" w:hAnsi="Arial" w:cs="Arial"/>
          <w:kern w:val="0"/>
          <w:sz w:val="24"/>
          <w:szCs w:val="24"/>
          <w:lang w:eastAsia="en-GB"/>
          <w14:ligatures w14:val="none"/>
        </w:rPr>
        <w:t>, 12(3).</w:t>
      </w:r>
      <w:r w:rsidRPr="00CB0AF9">
        <w:rPr>
          <w:rFonts w:ascii="Arial" w:eastAsia="Times New Roman" w:hAnsi="Arial" w:cs="Arial"/>
          <w:kern w:val="0"/>
          <w:sz w:val="24"/>
          <w:szCs w:val="24"/>
          <w:lang w:eastAsia="en-GB"/>
          <w14:ligatures w14:val="none"/>
        </w:rPr>
        <w:br/>
      </w:r>
      <w:hyperlink r:id="rId29"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09130F3C" w14:textId="77777777" w:rsidR="00BF4E64" w:rsidRPr="00CB0AF9" w:rsidRDefault="00BF4E64"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lastRenderedPageBreak/>
        <w:t>Gallagher, J.C., Sai, A., Templin, T. and Smith, L. (2012) ‘Dose response to vitamin D supplementation in postmenopausal women: a randomized trial’, Annals of Internal Medicine, 156(6), pp. 425–437.</w:t>
      </w:r>
    </w:p>
    <w:p w14:paraId="34622839" w14:textId="3B3C1CC8" w:rsidR="00BF4E64" w:rsidRPr="00CB0AF9" w:rsidRDefault="00BF4E64"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Holick, M.F., Binkley, N.C., Bischoff-Ferrari, H.A., Gordon, C.M., Hanley, D.A., Heaney, R.P., Murad, M.H. and Weaver, C.M. (2011) ‘Evaluation, treatment, and prevention of vitamin D deficiency: an Endocrine Society clinical practice guideline’, Journal of Clinical Endocrinology &amp; Metabolism, 96(7), pp. 1911–1930.</w:t>
      </w:r>
    </w:p>
    <w:p w14:paraId="2EAFDA18"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Holick, M.F. (2007) ‘Vitamin D deficiency’, </w:t>
      </w:r>
      <w:r w:rsidRPr="00CB0AF9">
        <w:rPr>
          <w:rFonts w:ascii="Arial" w:eastAsia="Times New Roman" w:hAnsi="Arial" w:cs="Arial"/>
          <w:i/>
          <w:iCs/>
          <w:kern w:val="0"/>
          <w:sz w:val="24"/>
          <w:szCs w:val="24"/>
          <w:lang w:eastAsia="en-GB"/>
          <w14:ligatures w14:val="none"/>
        </w:rPr>
        <w:t>New England Journal of Medicine</w:t>
      </w:r>
      <w:r w:rsidRPr="00CB0AF9">
        <w:rPr>
          <w:rFonts w:ascii="Arial" w:eastAsia="Times New Roman" w:hAnsi="Arial" w:cs="Arial"/>
          <w:kern w:val="0"/>
          <w:sz w:val="24"/>
          <w:szCs w:val="24"/>
          <w:lang w:eastAsia="en-GB"/>
          <w14:ligatures w14:val="none"/>
        </w:rPr>
        <w:t>, 357, pp. 266–281.</w:t>
      </w:r>
      <w:r w:rsidRPr="00CB0AF9">
        <w:rPr>
          <w:rFonts w:ascii="Arial" w:eastAsia="Times New Roman" w:hAnsi="Arial" w:cs="Arial"/>
          <w:kern w:val="0"/>
          <w:sz w:val="24"/>
          <w:szCs w:val="24"/>
          <w:lang w:eastAsia="en-GB"/>
          <w14:ligatures w14:val="none"/>
        </w:rPr>
        <w:br/>
      </w:r>
      <w:hyperlink r:id="rId30"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028A7972" w14:textId="650CEFEF"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Holick, M.F. (2017) ‘The vitamin D deficiency pandemic: approaches for diagnosis, treatment and prevention’, </w:t>
      </w:r>
      <w:r w:rsidRPr="00CB0AF9">
        <w:rPr>
          <w:rFonts w:ascii="Arial" w:eastAsia="Times New Roman" w:hAnsi="Arial" w:cs="Arial"/>
          <w:i/>
          <w:iCs/>
          <w:kern w:val="0"/>
          <w:sz w:val="24"/>
          <w:szCs w:val="24"/>
          <w:lang w:eastAsia="en-GB"/>
          <w14:ligatures w14:val="none"/>
        </w:rPr>
        <w:t>Reviews in Endocrine and Metabolic Disorders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PubMed search</w:t>
      </w:r>
    </w:p>
    <w:p w14:paraId="1561B713"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Joanna Briggs Institute (2017) </w:t>
      </w:r>
      <w:r w:rsidRPr="00CB0AF9">
        <w:rPr>
          <w:rFonts w:ascii="Arial" w:eastAsia="Times New Roman" w:hAnsi="Arial" w:cs="Arial"/>
          <w:i/>
          <w:iCs/>
          <w:kern w:val="0"/>
          <w:sz w:val="24"/>
          <w:szCs w:val="24"/>
          <w:lang w:eastAsia="en-GB"/>
          <w14:ligatures w14:val="none"/>
        </w:rPr>
        <w:t>JBI Critical Appraisal Tools for Systematic Reviews</w:t>
      </w:r>
      <w:r w:rsidRPr="00CB0AF9">
        <w:rPr>
          <w:rFonts w:ascii="Arial" w:eastAsia="Times New Roman" w:hAnsi="Arial" w:cs="Arial"/>
          <w:kern w:val="0"/>
          <w:sz w:val="24"/>
          <w:szCs w:val="24"/>
          <w:lang w:eastAsia="en-GB"/>
          <w14:ligatures w14:val="none"/>
        </w:rPr>
        <w:t>. Adelaide: Joanna Briggs Institute.</w:t>
      </w:r>
      <w:r w:rsidRPr="00CB0AF9">
        <w:rPr>
          <w:rFonts w:ascii="Arial" w:eastAsia="Times New Roman" w:hAnsi="Arial" w:cs="Arial"/>
          <w:kern w:val="0"/>
          <w:sz w:val="24"/>
          <w:szCs w:val="24"/>
          <w:lang w:eastAsia="en-GB"/>
          <w14:ligatures w14:val="none"/>
        </w:rPr>
        <w:br/>
      </w:r>
      <w:hyperlink r:id="rId31" w:tgtFrame="_blank" w:history="1">
        <w:r w:rsidRPr="00CB0AF9">
          <w:rPr>
            <w:rFonts w:ascii="Arial" w:eastAsia="Times New Roman" w:hAnsi="Arial" w:cs="Arial"/>
            <w:color w:val="0000FF"/>
            <w:kern w:val="0"/>
            <w:sz w:val="24"/>
            <w:szCs w:val="24"/>
            <w:u w:val="single"/>
            <w:lang w:eastAsia="en-GB"/>
            <w14:ligatures w14:val="none"/>
          </w:rPr>
          <w:t>JBI Critical Appraisal Tools</w:t>
        </w:r>
      </w:hyperlink>
      <w:r w:rsidRPr="00CB0AF9">
        <w:rPr>
          <w:rFonts w:ascii="Arial" w:eastAsia="Times New Roman" w:hAnsi="Arial" w:cs="Arial"/>
          <w:kern w:val="0"/>
          <w:sz w:val="24"/>
          <w:szCs w:val="24"/>
          <w:lang w:eastAsia="en-GB"/>
          <w14:ligatures w14:val="none"/>
        </w:rPr>
        <w:t xml:space="preserve"> </w:t>
      </w:r>
    </w:p>
    <w:p w14:paraId="60B91145"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Joanna Briggs Institute (2020) </w:t>
      </w:r>
      <w:r w:rsidRPr="00CB0AF9">
        <w:rPr>
          <w:rFonts w:ascii="Arial" w:eastAsia="Times New Roman" w:hAnsi="Arial" w:cs="Arial"/>
          <w:i/>
          <w:iCs/>
          <w:kern w:val="0"/>
          <w:sz w:val="24"/>
          <w:szCs w:val="24"/>
          <w:lang w:eastAsia="en-GB"/>
          <w14:ligatures w14:val="none"/>
        </w:rPr>
        <w:t>JBI Manual for Evidence Synthesis</w:t>
      </w:r>
      <w:r w:rsidRPr="00CB0AF9">
        <w:rPr>
          <w:rFonts w:ascii="Arial" w:eastAsia="Times New Roman" w:hAnsi="Arial" w:cs="Arial"/>
          <w:kern w:val="0"/>
          <w:sz w:val="24"/>
          <w:szCs w:val="24"/>
          <w:lang w:eastAsia="en-GB"/>
          <w14:ligatures w14:val="none"/>
        </w:rPr>
        <w:t>. Adelaide: JBI.</w:t>
      </w:r>
      <w:r w:rsidRPr="00CB0AF9">
        <w:rPr>
          <w:rFonts w:ascii="Arial" w:eastAsia="Times New Roman" w:hAnsi="Arial" w:cs="Arial"/>
          <w:kern w:val="0"/>
          <w:sz w:val="24"/>
          <w:szCs w:val="24"/>
          <w:lang w:eastAsia="en-GB"/>
          <w14:ligatures w14:val="none"/>
        </w:rPr>
        <w:br/>
      </w:r>
      <w:hyperlink r:id="rId32" w:tgtFrame="_blank" w:history="1">
        <w:r w:rsidRPr="00CB0AF9">
          <w:rPr>
            <w:rFonts w:ascii="Arial" w:eastAsia="Times New Roman" w:hAnsi="Arial" w:cs="Arial"/>
            <w:color w:val="0000FF"/>
            <w:kern w:val="0"/>
            <w:sz w:val="24"/>
            <w:szCs w:val="24"/>
            <w:u w:val="single"/>
            <w:lang w:eastAsia="en-GB"/>
            <w14:ligatures w14:val="none"/>
          </w:rPr>
          <w:t>JBI Manual for Evidence Synthesis</w:t>
        </w:r>
      </w:hyperlink>
      <w:r w:rsidRPr="00CB0AF9">
        <w:rPr>
          <w:rFonts w:ascii="Arial" w:eastAsia="Times New Roman" w:hAnsi="Arial" w:cs="Arial"/>
          <w:kern w:val="0"/>
          <w:sz w:val="24"/>
          <w:szCs w:val="24"/>
          <w:lang w:eastAsia="en-GB"/>
          <w14:ligatures w14:val="none"/>
        </w:rPr>
        <w:t xml:space="preserve"> </w:t>
      </w:r>
    </w:p>
    <w:p w14:paraId="27AE06E6" w14:textId="54F31986"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Jolliffe, D.A., Camargo, C.A., Sluyter, J.D., et al. (2021) ‘Vitamin D supplementation to prevent acute respiratory infections: systematic review and meta-analysis’, </w:t>
      </w:r>
      <w:r w:rsidRPr="00CB0AF9">
        <w:rPr>
          <w:rFonts w:ascii="Arial" w:eastAsia="Times New Roman" w:hAnsi="Arial" w:cs="Arial"/>
          <w:i/>
          <w:iCs/>
          <w:kern w:val="0"/>
          <w:sz w:val="24"/>
          <w:szCs w:val="24"/>
          <w:lang w:eastAsia="en-GB"/>
          <w14:ligatures w14:val="none"/>
        </w:rPr>
        <w:t>Lancet Diabetes &amp; Endocrinology</w:t>
      </w:r>
      <w:r w:rsidRPr="00CB0AF9">
        <w:rPr>
          <w:rFonts w:ascii="Arial" w:eastAsia="Times New Roman" w:hAnsi="Arial" w:cs="Arial"/>
          <w:kern w:val="0"/>
          <w:sz w:val="24"/>
          <w:szCs w:val="24"/>
          <w:lang w:eastAsia="en-GB"/>
          <w14:ligatures w14:val="none"/>
        </w:rPr>
        <w:t>, 9(5), pp. 276–292.</w:t>
      </w:r>
      <w:r w:rsidRPr="00CB0AF9">
        <w:rPr>
          <w:rFonts w:ascii="Arial" w:eastAsia="Times New Roman" w:hAnsi="Arial" w:cs="Arial"/>
          <w:kern w:val="0"/>
          <w:sz w:val="24"/>
          <w:szCs w:val="24"/>
          <w:lang w:eastAsia="en-GB"/>
          <w14:ligatures w14:val="none"/>
        </w:rPr>
        <w:br/>
      </w:r>
      <w:hyperlink r:id="rId33"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5A4B7FB1"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Kift</w:t>
      </w:r>
      <w:proofErr w:type="spellEnd"/>
      <w:r w:rsidRPr="00CB0AF9">
        <w:rPr>
          <w:rFonts w:ascii="Arial" w:eastAsia="Times New Roman" w:hAnsi="Arial" w:cs="Arial"/>
          <w:kern w:val="0"/>
          <w:sz w:val="24"/>
          <w:szCs w:val="24"/>
          <w:lang w:eastAsia="en-GB"/>
          <w14:ligatures w14:val="none"/>
        </w:rPr>
        <w:t xml:space="preserve">, R., Rhodes, L.E., Farrar, M.D. and Webb, A.R. (2018) ‘Is sunlight exposure enough to avoid vitamin D deficiency in older adults?’, </w:t>
      </w:r>
      <w:r w:rsidRPr="00CB0AF9">
        <w:rPr>
          <w:rFonts w:ascii="Arial" w:eastAsia="Times New Roman" w:hAnsi="Arial" w:cs="Arial"/>
          <w:i/>
          <w:iCs/>
          <w:kern w:val="0"/>
          <w:sz w:val="24"/>
          <w:szCs w:val="24"/>
          <w:lang w:eastAsia="en-GB"/>
          <w14:ligatures w14:val="none"/>
        </w:rPr>
        <w:t>Photochemical &amp; Photobiological Sciences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369DCBBD" w14:textId="6C0AEAC1"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Kopiczko, A. (2020) ‘Determinants of vitamin D status in older adults’,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5E9DE162"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Laird, E., Ward, M., McSorley, E., Strain, J.J. and Wallace, J.M.W. (2010) ‘Vitamin D and bone health: potential mechanisms’,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69DC50A1"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lastRenderedPageBreak/>
        <w:t xml:space="preserve">Laird, E., Ward, M., McNulty, H., et al. (2011) ‘Vitamin D status in older adults in Northern Ireland’, </w:t>
      </w:r>
      <w:r w:rsidRPr="00CB0AF9">
        <w:rPr>
          <w:rFonts w:ascii="Arial" w:eastAsia="Times New Roman" w:hAnsi="Arial" w:cs="Arial"/>
          <w:i/>
          <w:iCs/>
          <w:kern w:val="0"/>
          <w:sz w:val="24"/>
          <w:szCs w:val="24"/>
          <w:lang w:eastAsia="en-GB"/>
          <w14:ligatures w14:val="none"/>
        </w:rPr>
        <w:t>American Journal of Clinical Nutrition</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440E1D22"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Lacey, L.F., Armstrong, D.J., Royle, E., Magee, P., Pourshahidi, L.K., Ray, S., et al. (2022) ‘Cost-effectiveness of vitamin D3 supplementation in older adults with vitamin D deficiency in Ireland’, </w:t>
      </w:r>
      <w:r w:rsidRPr="00CB0AF9">
        <w:rPr>
          <w:rFonts w:ascii="Arial" w:eastAsia="Times New Roman" w:hAnsi="Arial" w:cs="Arial"/>
          <w:i/>
          <w:iCs/>
          <w:kern w:val="0"/>
          <w:sz w:val="24"/>
          <w:szCs w:val="24"/>
          <w:lang w:eastAsia="en-GB"/>
          <w14:ligatures w14:val="none"/>
        </w:rPr>
        <w:t>BMJ Nutrition, Prevention &amp; Health</w:t>
      </w:r>
      <w:r w:rsidRPr="00CB0AF9">
        <w:rPr>
          <w:rFonts w:ascii="Arial" w:eastAsia="Times New Roman" w:hAnsi="Arial" w:cs="Arial"/>
          <w:kern w:val="0"/>
          <w:sz w:val="24"/>
          <w:szCs w:val="24"/>
          <w:lang w:eastAsia="en-GB"/>
          <w14:ligatures w14:val="none"/>
        </w:rPr>
        <w:t>, 5(1), pp. 98–106.</w:t>
      </w:r>
      <w:r w:rsidRPr="00CB0AF9">
        <w:rPr>
          <w:rFonts w:ascii="Arial" w:eastAsia="Times New Roman" w:hAnsi="Arial" w:cs="Arial"/>
          <w:kern w:val="0"/>
          <w:sz w:val="24"/>
          <w:szCs w:val="24"/>
          <w:lang w:eastAsia="en-GB"/>
          <w14:ligatures w14:val="none"/>
        </w:rPr>
        <w:br/>
        <w:t xml:space="preserve">PubMed search </w:t>
      </w:r>
    </w:p>
    <w:p w14:paraId="1A307F63" w14:textId="463052C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Lanham-New, S.A., Webb, A.R., Cashman, K.D., </w:t>
      </w:r>
      <w:proofErr w:type="spellStart"/>
      <w:r w:rsidRPr="00CB0AF9">
        <w:rPr>
          <w:rFonts w:ascii="Arial" w:eastAsia="Times New Roman" w:hAnsi="Arial" w:cs="Arial"/>
          <w:kern w:val="0"/>
          <w:sz w:val="24"/>
          <w:szCs w:val="24"/>
          <w:lang w:eastAsia="en-GB"/>
          <w14:ligatures w14:val="none"/>
        </w:rPr>
        <w:t>Buttriss</w:t>
      </w:r>
      <w:proofErr w:type="spellEnd"/>
      <w:r w:rsidRPr="00CB0AF9">
        <w:rPr>
          <w:rFonts w:ascii="Arial" w:eastAsia="Times New Roman" w:hAnsi="Arial" w:cs="Arial"/>
          <w:kern w:val="0"/>
          <w:sz w:val="24"/>
          <w:szCs w:val="24"/>
          <w:lang w:eastAsia="en-GB"/>
          <w14:ligatures w14:val="none"/>
        </w:rPr>
        <w:t xml:space="preserve">, J.L., </w:t>
      </w:r>
      <w:proofErr w:type="spellStart"/>
      <w:r w:rsidRPr="00CB0AF9">
        <w:rPr>
          <w:rFonts w:ascii="Arial" w:eastAsia="Times New Roman" w:hAnsi="Arial" w:cs="Arial"/>
          <w:kern w:val="0"/>
          <w:sz w:val="24"/>
          <w:szCs w:val="24"/>
          <w:lang w:eastAsia="en-GB"/>
          <w14:ligatures w14:val="none"/>
        </w:rPr>
        <w:t>Fallowfield</w:t>
      </w:r>
      <w:proofErr w:type="spellEnd"/>
      <w:r w:rsidRPr="00CB0AF9">
        <w:rPr>
          <w:rFonts w:ascii="Arial" w:eastAsia="Times New Roman" w:hAnsi="Arial" w:cs="Arial"/>
          <w:kern w:val="0"/>
          <w:sz w:val="24"/>
          <w:szCs w:val="24"/>
          <w:lang w:eastAsia="en-GB"/>
          <w14:ligatures w14:val="none"/>
        </w:rPr>
        <w:t xml:space="preserve">, J.L., Masud, T., et al. (2020) ‘Vitamin D and SARS-CoV-2 virus/COVID-19 disease’, </w:t>
      </w:r>
      <w:r w:rsidRPr="00CB0AF9">
        <w:rPr>
          <w:rFonts w:ascii="Arial" w:eastAsia="Times New Roman" w:hAnsi="Arial" w:cs="Arial"/>
          <w:i/>
          <w:iCs/>
          <w:kern w:val="0"/>
          <w:sz w:val="24"/>
          <w:szCs w:val="24"/>
          <w:lang w:eastAsia="en-GB"/>
          <w14:ligatures w14:val="none"/>
        </w:rPr>
        <w:t>BMJ Nutrition, Prevention &amp; Health</w:t>
      </w:r>
      <w:r w:rsidRPr="00CB0AF9">
        <w:rPr>
          <w:rFonts w:ascii="Arial" w:eastAsia="Times New Roman" w:hAnsi="Arial" w:cs="Arial"/>
          <w:kern w:val="0"/>
          <w:sz w:val="24"/>
          <w:szCs w:val="24"/>
          <w:lang w:eastAsia="en-GB"/>
          <w14:ligatures w14:val="none"/>
        </w:rPr>
        <w:t>, 3(1), pp. 106–110.</w:t>
      </w:r>
      <w:r w:rsidRPr="00CB0AF9">
        <w:rPr>
          <w:rFonts w:ascii="Arial" w:eastAsia="Times New Roman" w:hAnsi="Arial" w:cs="Arial"/>
          <w:kern w:val="0"/>
          <w:sz w:val="24"/>
          <w:szCs w:val="24"/>
          <w:lang w:eastAsia="en-GB"/>
          <w14:ligatures w14:val="none"/>
        </w:rPr>
        <w:br/>
      </w:r>
      <w:hyperlink r:id="rId34"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5193B222"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McCarroll, K., Beirne, A., Casey, A.M., et al. (2015) ‘Vitamin D status in older adults in Northern Europe’, </w:t>
      </w:r>
      <w:r w:rsidRPr="00CB0AF9">
        <w:rPr>
          <w:rFonts w:ascii="Arial" w:eastAsia="Times New Roman" w:hAnsi="Arial" w:cs="Arial"/>
          <w:i/>
          <w:iCs/>
          <w:kern w:val="0"/>
          <w:sz w:val="24"/>
          <w:szCs w:val="24"/>
          <w:lang w:eastAsia="en-GB"/>
          <w14:ligatures w14:val="none"/>
        </w:rPr>
        <w:t>Journal of Nutrition, Health &amp; Aging</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2A25B2E5"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McCullough, P.J., Lehrer, D.S. and Amend, J. (2019) ‘Daily oral dosing of vitamin D3 using 5000 IU/day in older adults’,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034CCE4A"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McMullan, J., Feehan, O., Magee, P.J., </w:t>
      </w:r>
      <w:proofErr w:type="spellStart"/>
      <w:r w:rsidRPr="00CB0AF9">
        <w:rPr>
          <w:rFonts w:ascii="Arial" w:eastAsia="Times New Roman" w:hAnsi="Arial" w:cs="Arial"/>
          <w:kern w:val="0"/>
          <w:sz w:val="24"/>
          <w:szCs w:val="24"/>
          <w:lang w:eastAsia="en-GB"/>
          <w14:ligatures w14:val="none"/>
        </w:rPr>
        <w:t>Pourshahidi</w:t>
      </w:r>
      <w:proofErr w:type="spellEnd"/>
      <w:r w:rsidRPr="00CB0AF9">
        <w:rPr>
          <w:rFonts w:ascii="Arial" w:eastAsia="Times New Roman" w:hAnsi="Arial" w:cs="Arial"/>
          <w:kern w:val="0"/>
          <w:sz w:val="24"/>
          <w:szCs w:val="24"/>
          <w:lang w:eastAsia="en-GB"/>
          <w14:ligatures w14:val="none"/>
        </w:rPr>
        <w:t xml:space="preserve">, L.K., Armstrong, D.J. and McSorley, E.M. (2021) ‘Vitamin D supplement use in care home residents in Northern Ireland’, </w:t>
      </w:r>
      <w:r w:rsidRPr="00CB0AF9">
        <w:rPr>
          <w:rFonts w:ascii="Arial" w:eastAsia="Times New Roman" w:hAnsi="Arial" w:cs="Arial"/>
          <w:i/>
          <w:iCs/>
          <w:kern w:val="0"/>
          <w:sz w:val="24"/>
          <w:szCs w:val="24"/>
          <w:lang w:eastAsia="en-GB"/>
          <w14:ligatures w14:val="none"/>
        </w:rPr>
        <w:t>Proceedings of the Nutrition Society</w:t>
      </w:r>
      <w:r w:rsidRPr="00CB0AF9">
        <w:rPr>
          <w:rFonts w:ascii="Arial" w:eastAsia="Times New Roman" w:hAnsi="Arial" w:cs="Arial"/>
          <w:kern w:val="0"/>
          <w:sz w:val="24"/>
          <w:szCs w:val="24"/>
          <w:lang w:eastAsia="en-GB"/>
          <w14:ligatures w14:val="none"/>
        </w:rPr>
        <w:t xml:space="preserve">. </w:t>
      </w:r>
      <w:r w:rsidRPr="00CB0AF9">
        <w:rPr>
          <w:rFonts w:ascii="Arial" w:eastAsia="Times New Roman" w:hAnsi="Arial" w:cs="Arial"/>
          <w:kern w:val="0"/>
          <w:sz w:val="24"/>
          <w:szCs w:val="24"/>
          <w:lang w:eastAsia="en-GB"/>
          <w14:ligatures w14:val="none"/>
        </w:rPr>
        <w:br/>
      </w:r>
      <w:hyperlink r:id="rId35" w:tgtFrame="_blank" w:history="1">
        <w:r w:rsidRPr="00CB0AF9">
          <w:rPr>
            <w:rFonts w:ascii="Arial" w:eastAsia="Times New Roman" w:hAnsi="Arial" w:cs="Arial"/>
            <w:color w:val="0000FF"/>
            <w:kern w:val="0"/>
            <w:sz w:val="24"/>
            <w:szCs w:val="24"/>
            <w:u w:val="single"/>
            <w:lang w:eastAsia="en-GB"/>
            <w14:ligatures w14:val="none"/>
          </w:rPr>
          <w:t>Cambridge Core</w:t>
        </w:r>
      </w:hyperlink>
      <w:r w:rsidRPr="00CB0AF9">
        <w:rPr>
          <w:rFonts w:ascii="Arial" w:eastAsia="Times New Roman" w:hAnsi="Arial" w:cs="Arial"/>
          <w:kern w:val="0"/>
          <w:sz w:val="24"/>
          <w:szCs w:val="24"/>
          <w:lang w:eastAsia="en-GB"/>
          <w14:ligatures w14:val="none"/>
        </w:rPr>
        <w:t xml:space="preserve"> </w:t>
      </w:r>
    </w:p>
    <w:p w14:paraId="3492B138"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McSorley, E.M., Kiely, M., Cashman, K.D. and others (2020) ‘Vitamin D status and health outcomes in older adults’,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7AA57DFF" w14:textId="7BE69815"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Moola, S., Munn, Z., </w:t>
      </w:r>
      <w:proofErr w:type="spellStart"/>
      <w:r w:rsidRPr="00CB0AF9">
        <w:rPr>
          <w:rFonts w:ascii="Arial" w:eastAsia="Times New Roman" w:hAnsi="Arial" w:cs="Arial"/>
          <w:kern w:val="0"/>
          <w:sz w:val="24"/>
          <w:szCs w:val="24"/>
          <w:lang w:eastAsia="en-GB"/>
          <w14:ligatures w14:val="none"/>
        </w:rPr>
        <w:t>Tufanaru</w:t>
      </w:r>
      <w:proofErr w:type="spellEnd"/>
      <w:r w:rsidRPr="00CB0AF9">
        <w:rPr>
          <w:rFonts w:ascii="Arial" w:eastAsia="Times New Roman" w:hAnsi="Arial" w:cs="Arial"/>
          <w:kern w:val="0"/>
          <w:sz w:val="24"/>
          <w:szCs w:val="24"/>
          <w:lang w:eastAsia="en-GB"/>
          <w14:ligatures w14:val="none"/>
        </w:rPr>
        <w:t xml:space="preserve">, C., </w:t>
      </w:r>
      <w:proofErr w:type="spellStart"/>
      <w:r w:rsidRPr="00CB0AF9">
        <w:rPr>
          <w:rFonts w:ascii="Arial" w:eastAsia="Times New Roman" w:hAnsi="Arial" w:cs="Arial"/>
          <w:kern w:val="0"/>
          <w:sz w:val="24"/>
          <w:szCs w:val="24"/>
          <w:lang w:eastAsia="en-GB"/>
          <w14:ligatures w14:val="none"/>
        </w:rPr>
        <w:t>Aromataris</w:t>
      </w:r>
      <w:proofErr w:type="spellEnd"/>
      <w:r w:rsidRPr="00CB0AF9">
        <w:rPr>
          <w:rFonts w:ascii="Arial" w:eastAsia="Times New Roman" w:hAnsi="Arial" w:cs="Arial"/>
          <w:kern w:val="0"/>
          <w:sz w:val="24"/>
          <w:szCs w:val="24"/>
          <w:lang w:eastAsia="en-GB"/>
          <w14:ligatures w14:val="none"/>
        </w:rPr>
        <w:t xml:space="preserve">, E., Sears, K., Sfetcu, R., Currie, M., Qureshi, R., Mattis, P., Lisy, K. and Mu, P. (2017) ‘Systematic reviews of </w:t>
      </w:r>
      <w:proofErr w:type="spellStart"/>
      <w:r w:rsidRPr="00CB0AF9">
        <w:rPr>
          <w:rFonts w:ascii="Arial" w:eastAsia="Times New Roman" w:hAnsi="Arial" w:cs="Arial"/>
          <w:kern w:val="0"/>
          <w:sz w:val="24"/>
          <w:szCs w:val="24"/>
          <w:lang w:eastAsia="en-GB"/>
          <w14:ligatures w14:val="none"/>
        </w:rPr>
        <w:t>etiology</w:t>
      </w:r>
      <w:proofErr w:type="spellEnd"/>
      <w:r w:rsidRPr="00CB0AF9">
        <w:rPr>
          <w:rFonts w:ascii="Arial" w:eastAsia="Times New Roman" w:hAnsi="Arial" w:cs="Arial"/>
          <w:kern w:val="0"/>
          <w:sz w:val="24"/>
          <w:szCs w:val="24"/>
          <w:lang w:eastAsia="en-GB"/>
          <w14:ligatures w14:val="none"/>
        </w:rPr>
        <w:t xml:space="preserve"> and risk’, in </w:t>
      </w:r>
      <w:proofErr w:type="spellStart"/>
      <w:r w:rsidRPr="00CB0AF9">
        <w:rPr>
          <w:rFonts w:ascii="Arial" w:eastAsia="Times New Roman" w:hAnsi="Arial" w:cs="Arial"/>
          <w:kern w:val="0"/>
          <w:sz w:val="24"/>
          <w:szCs w:val="24"/>
          <w:lang w:eastAsia="en-GB"/>
          <w14:ligatures w14:val="none"/>
        </w:rPr>
        <w:t>Aromataris</w:t>
      </w:r>
      <w:proofErr w:type="spellEnd"/>
      <w:r w:rsidRPr="00CB0AF9">
        <w:rPr>
          <w:rFonts w:ascii="Arial" w:eastAsia="Times New Roman" w:hAnsi="Arial" w:cs="Arial"/>
          <w:kern w:val="0"/>
          <w:sz w:val="24"/>
          <w:szCs w:val="24"/>
          <w:lang w:eastAsia="en-GB"/>
          <w14:ligatures w14:val="none"/>
        </w:rPr>
        <w:t xml:space="preserve">, E. and Munn, Z. (eds.) </w:t>
      </w:r>
      <w:r w:rsidRPr="00CB0AF9">
        <w:rPr>
          <w:rFonts w:ascii="Arial" w:eastAsia="Times New Roman" w:hAnsi="Arial" w:cs="Arial"/>
          <w:i/>
          <w:iCs/>
          <w:kern w:val="0"/>
          <w:sz w:val="24"/>
          <w:szCs w:val="24"/>
          <w:lang w:eastAsia="en-GB"/>
          <w14:ligatures w14:val="none"/>
        </w:rPr>
        <w:t>Joanna Briggs Institute Reviewer’s Manual</w:t>
      </w:r>
      <w:r w:rsidRPr="00CB0AF9">
        <w:rPr>
          <w:rFonts w:ascii="Arial" w:eastAsia="Times New Roman" w:hAnsi="Arial" w:cs="Arial"/>
          <w:kern w:val="0"/>
          <w:sz w:val="24"/>
          <w:szCs w:val="24"/>
          <w:lang w:eastAsia="en-GB"/>
          <w14:ligatures w14:val="none"/>
        </w:rPr>
        <w:t>. Adelaide: JBI.</w:t>
      </w:r>
      <w:r w:rsidRPr="00CB0AF9">
        <w:rPr>
          <w:rFonts w:ascii="Arial" w:eastAsia="Times New Roman" w:hAnsi="Arial" w:cs="Arial"/>
          <w:kern w:val="0"/>
          <w:sz w:val="24"/>
          <w:szCs w:val="24"/>
          <w:lang w:eastAsia="en-GB"/>
          <w14:ligatures w14:val="none"/>
        </w:rPr>
        <w:br/>
      </w:r>
      <w:hyperlink r:id="rId36" w:tgtFrame="_blank" w:history="1">
        <w:r w:rsidRPr="00CB0AF9">
          <w:rPr>
            <w:rFonts w:ascii="Arial" w:eastAsia="Times New Roman" w:hAnsi="Arial" w:cs="Arial"/>
            <w:color w:val="0000FF"/>
            <w:kern w:val="0"/>
            <w:sz w:val="24"/>
            <w:szCs w:val="24"/>
            <w:u w:val="single"/>
            <w:lang w:eastAsia="en-GB"/>
            <w14:ligatures w14:val="none"/>
          </w:rPr>
          <w:t>JBI Manual</w:t>
        </w:r>
      </w:hyperlink>
      <w:r w:rsidRPr="00CB0AF9">
        <w:rPr>
          <w:rFonts w:ascii="Arial" w:eastAsia="Times New Roman" w:hAnsi="Arial" w:cs="Arial"/>
          <w:kern w:val="0"/>
          <w:sz w:val="24"/>
          <w:szCs w:val="24"/>
          <w:lang w:eastAsia="en-GB"/>
          <w14:ligatures w14:val="none"/>
        </w:rPr>
        <w:t xml:space="preserve"> </w:t>
      </w:r>
    </w:p>
    <w:p w14:paraId="17E1827E" w14:textId="7777777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Munn, Z., Moola, S., </w:t>
      </w:r>
      <w:proofErr w:type="spellStart"/>
      <w:r w:rsidRPr="00CB0AF9">
        <w:rPr>
          <w:rFonts w:ascii="Arial" w:eastAsia="Times New Roman" w:hAnsi="Arial" w:cs="Arial"/>
          <w:kern w:val="0"/>
          <w:sz w:val="24"/>
          <w:szCs w:val="24"/>
          <w:lang w:eastAsia="en-GB"/>
          <w14:ligatures w14:val="none"/>
        </w:rPr>
        <w:t>Riitano</w:t>
      </w:r>
      <w:proofErr w:type="spellEnd"/>
      <w:r w:rsidRPr="00CB0AF9">
        <w:rPr>
          <w:rFonts w:ascii="Arial" w:eastAsia="Times New Roman" w:hAnsi="Arial" w:cs="Arial"/>
          <w:kern w:val="0"/>
          <w:sz w:val="24"/>
          <w:szCs w:val="24"/>
          <w:lang w:eastAsia="en-GB"/>
          <w14:ligatures w14:val="none"/>
        </w:rPr>
        <w:t>, D. and Lisy, K. (2014) ‘The development of a critical appraisal tool for use in systematic reviews addressing questions of prevalence’, International Journal of Health Policy and Management, 3(3), pp. 123–128.</w:t>
      </w:r>
    </w:p>
    <w:p w14:paraId="5865525E" w14:textId="4157C79B"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lastRenderedPageBreak/>
        <w:t xml:space="preserve">Munn, Z., Moola, S., Lisy, K., </w:t>
      </w:r>
      <w:proofErr w:type="spellStart"/>
      <w:r w:rsidRPr="00CB0AF9">
        <w:rPr>
          <w:rFonts w:ascii="Arial" w:eastAsia="Times New Roman" w:hAnsi="Arial" w:cs="Arial"/>
          <w:kern w:val="0"/>
          <w:sz w:val="24"/>
          <w:szCs w:val="24"/>
          <w:lang w:eastAsia="en-GB"/>
          <w14:ligatures w14:val="none"/>
        </w:rPr>
        <w:t>Riitano</w:t>
      </w:r>
      <w:proofErr w:type="spellEnd"/>
      <w:r w:rsidRPr="00CB0AF9">
        <w:rPr>
          <w:rFonts w:ascii="Arial" w:eastAsia="Times New Roman" w:hAnsi="Arial" w:cs="Arial"/>
          <w:kern w:val="0"/>
          <w:sz w:val="24"/>
          <w:szCs w:val="24"/>
          <w:lang w:eastAsia="en-GB"/>
          <w14:ligatures w14:val="none"/>
        </w:rPr>
        <w:t xml:space="preserve">, D. and </w:t>
      </w:r>
      <w:proofErr w:type="spellStart"/>
      <w:r w:rsidRPr="00CB0AF9">
        <w:rPr>
          <w:rFonts w:ascii="Arial" w:eastAsia="Times New Roman" w:hAnsi="Arial" w:cs="Arial"/>
          <w:kern w:val="0"/>
          <w:sz w:val="24"/>
          <w:szCs w:val="24"/>
          <w:lang w:eastAsia="en-GB"/>
          <w14:ligatures w14:val="none"/>
        </w:rPr>
        <w:t>Tufanaru</w:t>
      </w:r>
      <w:proofErr w:type="spellEnd"/>
      <w:r w:rsidRPr="00CB0AF9">
        <w:rPr>
          <w:rFonts w:ascii="Arial" w:eastAsia="Times New Roman" w:hAnsi="Arial" w:cs="Arial"/>
          <w:kern w:val="0"/>
          <w:sz w:val="24"/>
          <w:szCs w:val="24"/>
          <w:lang w:eastAsia="en-GB"/>
          <w14:ligatures w14:val="none"/>
        </w:rPr>
        <w:t>, C. (2015) ‘Methodological guidance for systematic reviews of observational epidemiological studies reporting prevalence and cumulative incidence data’, International Journal of Evidence-Based Healthcare, 13(3), pp. 147–153.</w:t>
      </w:r>
    </w:p>
    <w:p w14:paraId="4FAB3364" w14:textId="170B731D"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Myung, S.K. and Cho, H. (2023) ‘Effects of intermittent or single high-dose vitamin D supplementation on risk of falls and fractures: a systematic review and meta-analysis’, </w:t>
      </w:r>
      <w:r w:rsidRPr="00CB0AF9">
        <w:rPr>
          <w:rFonts w:ascii="Arial" w:eastAsia="Times New Roman" w:hAnsi="Arial" w:cs="Arial"/>
          <w:i/>
          <w:iCs/>
          <w:kern w:val="0"/>
          <w:sz w:val="24"/>
          <w:szCs w:val="24"/>
          <w:lang w:eastAsia="en-GB"/>
          <w14:ligatures w14:val="none"/>
        </w:rPr>
        <w:t>Osteoporosis International</w:t>
      </w:r>
      <w:r w:rsidRPr="00CB0AF9">
        <w:rPr>
          <w:rFonts w:ascii="Arial" w:eastAsia="Times New Roman" w:hAnsi="Arial" w:cs="Arial"/>
          <w:kern w:val="0"/>
          <w:sz w:val="24"/>
          <w:szCs w:val="24"/>
          <w:lang w:eastAsia="en-GB"/>
          <w14:ligatures w14:val="none"/>
        </w:rPr>
        <w:t xml:space="preserve">, 34(8), pp. 1355–1367. </w:t>
      </w:r>
      <w:r w:rsidRPr="00CB0AF9">
        <w:rPr>
          <w:rFonts w:ascii="Arial" w:eastAsia="Times New Roman" w:hAnsi="Arial" w:cs="Arial"/>
          <w:kern w:val="0"/>
          <w:sz w:val="24"/>
          <w:szCs w:val="24"/>
          <w:lang w:eastAsia="en-GB"/>
          <w14:ligatures w14:val="none"/>
        </w:rPr>
        <w:br/>
      </w:r>
      <w:hyperlink r:id="rId37" w:tgtFrame="_blank" w:history="1">
        <w:r w:rsidRPr="00CB0AF9">
          <w:rPr>
            <w:rFonts w:ascii="Arial" w:eastAsia="Times New Roman" w:hAnsi="Arial" w:cs="Arial"/>
            <w:color w:val="0000FF"/>
            <w:kern w:val="0"/>
            <w:sz w:val="24"/>
            <w:szCs w:val="24"/>
            <w:u w:val="single"/>
            <w:lang w:eastAsia="en-GB"/>
            <w14:ligatures w14:val="none"/>
          </w:rPr>
          <w:t>PubMed</w:t>
        </w:r>
      </w:hyperlink>
    </w:p>
    <w:p w14:paraId="75DF6422"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National Institute for Health and Care Excellence (NICE) (2017) </w:t>
      </w:r>
      <w:r w:rsidRPr="00CB0AF9">
        <w:rPr>
          <w:rFonts w:ascii="Arial" w:eastAsia="Times New Roman" w:hAnsi="Arial" w:cs="Arial"/>
          <w:i/>
          <w:iCs/>
          <w:kern w:val="0"/>
          <w:sz w:val="24"/>
          <w:szCs w:val="24"/>
          <w:lang w:eastAsia="en-GB"/>
          <w14:ligatures w14:val="none"/>
        </w:rPr>
        <w:t>Falls in older people: assessing risk and prevention (CG161)</w:t>
      </w:r>
      <w:r w:rsidRPr="00CB0AF9">
        <w:rPr>
          <w:rFonts w:ascii="Arial" w:eastAsia="Times New Roman" w:hAnsi="Arial" w:cs="Arial"/>
          <w:kern w:val="0"/>
          <w:sz w:val="24"/>
          <w:szCs w:val="24"/>
          <w:lang w:eastAsia="en-GB"/>
          <w14:ligatures w14:val="none"/>
        </w:rPr>
        <w:t>. London: NICE.</w:t>
      </w:r>
      <w:r w:rsidRPr="00CB0AF9">
        <w:rPr>
          <w:rFonts w:ascii="Arial" w:eastAsia="Times New Roman" w:hAnsi="Arial" w:cs="Arial"/>
          <w:kern w:val="0"/>
          <w:sz w:val="24"/>
          <w:szCs w:val="24"/>
          <w:lang w:eastAsia="en-GB"/>
          <w14:ligatures w14:val="none"/>
        </w:rPr>
        <w:br/>
      </w:r>
      <w:hyperlink r:id="rId38" w:tgtFrame="_blank" w:history="1">
        <w:r w:rsidRPr="00CB0AF9">
          <w:rPr>
            <w:rFonts w:ascii="Arial" w:eastAsia="Times New Roman" w:hAnsi="Arial" w:cs="Arial"/>
            <w:color w:val="0000FF"/>
            <w:kern w:val="0"/>
            <w:sz w:val="24"/>
            <w:szCs w:val="24"/>
            <w:u w:val="single"/>
            <w:lang w:eastAsia="en-GB"/>
            <w14:ligatures w14:val="none"/>
          </w:rPr>
          <w:t>NICE</w:t>
        </w:r>
      </w:hyperlink>
      <w:r w:rsidRPr="00CB0AF9">
        <w:rPr>
          <w:rFonts w:ascii="Arial" w:eastAsia="Times New Roman" w:hAnsi="Arial" w:cs="Arial"/>
          <w:kern w:val="0"/>
          <w:sz w:val="24"/>
          <w:szCs w:val="24"/>
          <w:lang w:eastAsia="en-GB"/>
          <w14:ligatures w14:val="none"/>
        </w:rPr>
        <w:t xml:space="preserve"> </w:t>
      </w:r>
    </w:p>
    <w:p w14:paraId="16116045"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National Institute for Health and Care Excellence (NICE) (2019) </w:t>
      </w:r>
      <w:r w:rsidRPr="00CB0AF9">
        <w:rPr>
          <w:rFonts w:ascii="Arial" w:eastAsia="Times New Roman" w:hAnsi="Arial" w:cs="Arial"/>
          <w:i/>
          <w:iCs/>
          <w:kern w:val="0"/>
          <w:sz w:val="24"/>
          <w:szCs w:val="24"/>
          <w:lang w:eastAsia="en-GB"/>
          <w14:ligatures w14:val="none"/>
        </w:rPr>
        <w:t>Vitamin D: supplement use in at-risk groups</w:t>
      </w:r>
      <w:r w:rsidRPr="00CB0AF9">
        <w:rPr>
          <w:rFonts w:ascii="Arial" w:eastAsia="Times New Roman" w:hAnsi="Arial" w:cs="Arial"/>
          <w:kern w:val="0"/>
          <w:sz w:val="24"/>
          <w:szCs w:val="24"/>
          <w:lang w:eastAsia="en-GB"/>
          <w14:ligatures w14:val="none"/>
        </w:rPr>
        <w:t>. London: NICE.</w:t>
      </w:r>
      <w:r w:rsidRPr="00CB0AF9">
        <w:rPr>
          <w:rFonts w:ascii="Arial" w:eastAsia="Times New Roman" w:hAnsi="Arial" w:cs="Arial"/>
          <w:kern w:val="0"/>
          <w:sz w:val="24"/>
          <w:szCs w:val="24"/>
          <w:lang w:eastAsia="en-GB"/>
          <w14:ligatures w14:val="none"/>
        </w:rPr>
        <w:br/>
      </w:r>
      <w:hyperlink r:id="rId39" w:tgtFrame="_blank" w:history="1">
        <w:r w:rsidRPr="00CB0AF9">
          <w:rPr>
            <w:rFonts w:ascii="Arial" w:eastAsia="Times New Roman" w:hAnsi="Arial" w:cs="Arial"/>
            <w:color w:val="0000FF"/>
            <w:kern w:val="0"/>
            <w:sz w:val="24"/>
            <w:szCs w:val="24"/>
            <w:u w:val="single"/>
            <w:lang w:eastAsia="en-GB"/>
            <w14:ligatures w14:val="none"/>
          </w:rPr>
          <w:t>NICE</w:t>
        </w:r>
      </w:hyperlink>
      <w:r w:rsidRPr="00CB0AF9">
        <w:rPr>
          <w:rFonts w:ascii="Arial" w:eastAsia="Times New Roman" w:hAnsi="Arial" w:cs="Arial"/>
          <w:kern w:val="0"/>
          <w:sz w:val="24"/>
          <w:szCs w:val="24"/>
          <w:lang w:eastAsia="en-GB"/>
          <w14:ligatures w14:val="none"/>
        </w:rPr>
        <w:t xml:space="preserve"> </w:t>
      </w:r>
    </w:p>
    <w:p w14:paraId="33A6EA8B"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National Institute for Health and Care Excellence (NICE) (2022) </w:t>
      </w:r>
      <w:r w:rsidRPr="00CB0AF9">
        <w:rPr>
          <w:rFonts w:ascii="Arial" w:eastAsia="Times New Roman" w:hAnsi="Arial" w:cs="Arial"/>
          <w:i/>
          <w:iCs/>
          <w:kern w:val="0"/>
          <w:sz w:val="24"/>
          <w:szCs w:val="24"/>
          <w:lang w:eastAsia="en-GB"/>
          <w14:ligatures w14:val="none"/>
        </w:rPr>
        <w:t>Osteoporosis: assessing the risk of fragility fracture (CG146)</w:t>
      </w:r>
      <w:r w:rsidRPr="00CB0AF9">
        <w:rPr>
          <w:rFonts w:ascii="Arial" w:eastAsia="Times New Roman" w:hAnsi="Arial" w:cs="Arial"/>
          <w:kern w:val="0"/>
          <w:sz w:val="24"/>
          <w:szCs w:val="24"/>
          <w:lang w:eastAsia="en-GB"/>
          <w14:ligatures w14:val="none"/>
        </w:rPr>
        <w:t>. London: NICE.</w:t>
      </w:r>
      <w:r w:rsidRPr="00CB0AF9">
        <w:rPr>
          <w:rFonts w:ascii="Arial" w:eastAsia="Times New Roman" w:hAnsi="Arial" w:cs="Arial"/>
          <w:kern w:val="0"/>
          <w:sz w:val="24"/>
          <w:szCs w:val="24"/>
          <w:lang w:eastAsia="en-GB"/>
          <w14:ligatures w14:val="none"/>
        </w:rPr>
        <w:br/>
      </w:r>
      <w:hyperlink r:id="rId40" w:tgtFrame="_blank" w:history="1">
        <w:r w:rsidRPr="00CB0AF9">
          <w:rPr>
            <w:rFonts w:ascii="Arial" w:eastAsia="Times New Roman" w:hAnsi="Arial" w:cs="Arial"/>
            <w:color w:val="0000FF"/>
            <w:kern w:val="0"/>
            <w:sz w:val="24"/>
            <w:szCs w:val="24"/>
            <w:u w:val="single"/>
            <w:lang w:eastAsia="en-GB"/>
            <w14:ligatures w14:val="none"/>
          </w:rPr>
          <w:t>NICE</w:t>
        </w:r>
      </w:hyperlink>
      <w:r w:rsidRPr="00CB0AF9">
        <w:rPr>
          <w:rFonts w:ascii="Arial" w:eastAsia="Times New Roman" w:hAnsi="Arial" w:cs="Arial"/>
          <w:kern w:val="0"/>
          <w:sz w:val="24"/>
          <w:szCs w:val="24"/>
          <w:lang w:eastAsia="en-GB"/>
          <w14:ligatures w14:val="none"/>
        </w:rPr>
        <w:t xml:space="preserve"> </w:t>
      </w:r>
    </w:p>
    <w:p w14:paraId="2580A82B"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National Institute for Health and Care Excellence (NICE) (2023) </w:t>
      </w:r>
      <w:r w:rsidRPr="00CB0AF9">
        <w:rPr>
          <w:rFonts w:ascii="Arial" w:eastAsia="Times New Roman" w:hAnsi="Arial" w:cs="Arial"/>
          <w:i/>
          <w:iCs/>
          <w:kern w:val="0"/>
          <w:sz w:val="24"/>
          <w:szCs w:val="24"/>
          <w:lang w:eastAsia="en-GB"/>
          <w14:ligatures w14:val="none"/>
        </w:rPr>
        <w:t>Falls: assessment and prevention of falls in older people</w:t>
      </w:r>
      <w:r w:rsidRPr="00CB0AF9">
        <w:rPr>
          <w:rFonts w:ascii="Arial" w:eastAsia="Times New Roman" w:hAnsi="Arial" w:cs="Arial"/>
          <w:kern w:val="0"/>
          <w:sz w:val="24"/>
          <w:szCs w:val="24"/>
          <w:lang w:eastAsia="en-GB"/>
          <w14:ligatures w14:val="none"/>
        </w:rPr>
        <w:t>. London: NICE.</w:t>
      </w:r>
      <w:r w:rsidRPr="00CB0AF9">
        <w:rPr>
          <w:rFonts w:ascii="Arial" w:eastAsia="Times New Roman" w:hAnsi="Arial" w:cs="Arial"/>
          <w:kern w:val="0"/>
          <w:sz w:val="24"/>
          <w:szCs w:val="24"/>
          <w:lang w:eastAsia="en-GB"/>
          <w14:ligatures w14:val="none"/>
        </w:rPr>
        <w:br/>
      </w:r>
      <w:hyperlink r:id="rId41" w:tgtFrame="_blank" w:history="1">
        <w:r w:rsidRPr="00CB0AF9">
          <w:rPr>
            <w:rFonts w:ascii="Arial" w:eastAsia="Times New Roman" w:hAnsi="Arial" w:cs="Arial"/>
            <w:color w:val="0000FF"/>
            <w:kern w:val="0"/>
            <w:sz w:val="24"/>
            <w:szCs w:val="24"/>
            <w:u w:val="single"/>
            <w:lang w:eastAsia="en-GB"/>
            <w14:ligatures w14:val="none"/>
          </w:rPr>
          <w:t>NICE</w:t>
        </w:r>
      </w:hyperlink>
      <w:r w:rsidRPr="00CB0AF9">
        <w:rPr>
          <w:rFonts w:ascii="Arial" w:eastAsia="Times New Roman" w:hAnsi="Arial" w:cs="Arial"/>
          <w:kern w:val="0"/>
          <w:sz w:val="24"/>
          <w:szCs w:val="24"/>
          <w:lang w:eastAsia="en-GB"/>
          <w14:ligatures w14:val="none"/>
        </w:rPr>
        <w:t xml:space="preserve"> </w:t>
      </w:r>
    </w:p>
    <w:p w14:paraId="2E0ABD6A" w14:textId="6119C76D" w:rsidR="00CB0AF9"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National Health Service (NHS) (2024) </w:t>
      </w:r>
      <w:r w:rsidRPr="00CB0AF9">
        <w:rPr>
          <w:rFonts w:ascii="Arial" w:eastAsia="Times New Roman" w:hAnsi="Arial" w:cs="Arial"/>
          <w:i/>
          <w:iCs/>
          <w:kern w:val="0"/>
          <w:sz w:val="24"/>
          <w:szCs w:val="24"/>
          <w:lang w:eastAsia="en-GB"/>
          <w14:ligatures w14:val="none"/>
        </w:rPr>
        <w:t>Vitamin D</w:t>
      </w:r>
      <w:r w:rsidRPr="00CB0AF9">
        <w:rPr>
          <w:rFonts w:ascii="Arial" w:eastAsia="Times New Roman" w:hAnsi="Arial" w:cs="Arial"/>
          <w:kern w:val="0"/>
          <w:sz w:val="24"/>
          <w:szCs w:val="24"/>
          <w:lang w:eastAsia="en-GB"/>
          <w14:ligatures w14:val="none"/>
        </w:rPr>
        <w:t xml:space="preserve">. London: NHS. </w:t>
      </w:r>
      <w:r w:rsidRPr="00CB0AF9">
        <w:rPr>
          <w:rFonts w:ascii="Arial" w:eastAsia="Times New Roman" w:hAnsi="Arial" w:cs="Arial"/>
          <w:kern w:val="0"/>
          <w:sz w:val="24"/>
          <w:szCs w:val="24"/>
          <w:lang w:eastAsia="en-GB"/>
          <w14:ligatures w14:val="none"/>
        </w:rPr>
        <w:br/>
      </w:r>
      <w:hyperlink r:id="rId42" w:tgtFrame="_blank" w:history="1">
        <w:r w:rsidRPr="00CB0AF9">
          <w:rPr>
            <w:rFonts w:ascii="Arial" w:eastAsia="Times New Roman" w:hAnsi="Arial" w:cs="Arial"/>
            <w:color w:val="0000FF"/>
            <w:kern w:val="0"/>
            <w:sz w:val="24"/>
            <w:szCs w:val="24"/>
            <w:u w:val="single"/>
            <w:lang w:eastAsia="en-GB"/>
            <w14:ligatures w14:val="none"/>
          </w:rPr>
          <w:t>NHS</w:t>
        </w:r>
      </w:hyperlink>
    </w:p>
    <w:p w14:paraId="350493D7" w14:textId="65B9736B" w:rsidR="00CB0AF9" w:rsidRPr="00CB0AF9" w:rsidRDefault="00CB0AF9"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Noyes, J., Booth, A., Cargo, M., Flemming, K., Harden, A., Harris, J., Garside, R., Hannes, K., Pantoja, T. and Thomas, J. (2018) ‘Cochrane Effective Practice and Organisation of Care (EPOC) qualitative evidence synthesis protocol’, Cochrane Database of Systematic Reviews.</w:t>
      </w:r>
    </w:p>
    <w:p w14:paraId="12D7B72E"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Office for Health Improvement and Disparities (OHID) (2023) </w:t>
      </w:r>
      <w:r w:rsidRPr="00CB0AF9">
        <w:rPr>
          <w:rFonts w:ascii="Arial" w:eastAsia="Times New Roman" w:hAnsi="Arial" w:cs="Arial"/>
          <w:i/>
          <w:iCs/>
          <w:kern w:val="0"/>
          <w:sz w:val="24"/>
          <w:szCs w:val="24"/>
          <w:lang w:eastAsia="en-GB"/>
          <w14:ligatures w14:val="none"/>
        </w:rPr>
        <w:t>Vitamin D: migrant health guide</w:t>
      </w:r>
      <w:r w:rsidRPr="00CB0AF9">
        <w:rPr>
          <w:rFonts w:ascii="Arial" w:eastAsia="Times New Roman" w:hAnsi="Arial" w:cs="Arial"/>
          <w:kern w:val="0"/>
          <w:sz w:val="24"/>
          <w:szCs w:val="24"/>
          <w:lang w:eastAsia="en-GB"/>
          <w14:ligatures w14:val="none"/>
        </w:rPr>
        <w:t>. London: Department of Health and Social Care.</w:t>
      </w:r>
      <w:r w:rsidRPr="00CB0AF9">
        <w:rPr>
          <w:rFonts w:ascii="Arial" w:eastAsia="Times New Roman" w:hAnsi="Arial" w:cs="Arial"/>
          <w:kern w:val="0"/>
          <w:sz w:val="24"/>
          <w:szCs w:val="24"/>
          <w:lang w:eastAsia="en-GB"/>
          <w14:ligatures w14:val="none"/>
        </w:rPr>
        <w:br/>
        <w:t xml:space="preserve">GOV.UK </w:t>
      </w:r>
    </w:p>
    <w:p w14:paraId="789B2BAF" w14:textId="77777777"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Office for Health Improvement and Disparities (OHID) (2023) </w:t>
      </w:r>
      <w:r w:rsidRPr="00CB0AF9">
        <w:rPr>
          <w:rFonts w:ascii="Arial" w:eastAsia="Times New Roman" w:hAnsi="Arial" w:cs="Arial"/>
          <w:i/>
          <w:iCs/>
          <w:kern w:val="0"/>
          <w:sz w:val="24"/>
          <w:szCs w:val="24"/>
          <w:lang w:eastAsia="en-GB"/>
          <w14:ligatures w14:val="none"/>
        </w:rPr>
        <w:t>Vitamin D and care homes guidance</w:t>
      </w:r>
      <w:r w:rsidRPr="00CB0AF9">
        <w:rPr>
          <w:rFonts w:ascii="Arial" w:eastAsia="Times New Roman" w:hAnsi="Arial" w:cs="Arial"/>
          <w:kern w:val="0"/>
          <w:sz w:val="24"/>
          <w:szCs w:val="24"/>
          <w:lang w:eastAsia="en-GB"/>
          <w14:ligatures w14:val="none"/>
        </w:rPr>
        <w:t>. London: Department of Health and Social Care.</w:t>
      </w:r>
      <w:r w:rsidRPr="00CB0AF9">
        <w:rPr>
          <w:rFonts w:ascii="Arial" w:eastAsia="Times New Roman" w:hAnsi="Arial" w:cs="Arial"/>
          <w:kern w:val="0"/>
          <w:sz w:val="24"/>
          <w:szCs w:val="24"/>
          <w:lang w:eastAsia="en-GB"/>
          <w14:ligatures w14:val="none"/>
        </w:rPr>
        <w:br/>
      </w:r>
      <w:r w:rsidRPr="00CB0AF9">
        <w:rPr>
          <w:rFonts w:ascii="Arial" w:eastAsia="Times New Roman" w:hAnsi="Arial" w:cs="Arial"/>
          <w:kern w:val="0"/>
          <w:sz w:val="24"/>
          <w:szCs w:val="24"/>
          <w:lang w:eastAsia="en-GB"/>
          <w14:ligatures w14:val="none"/>
        </w:rPr>
        <w:br/>
      </w:r>
      <w:hyperlink r:id="rId43" w:tgtFrame="_blank" w:history="1">
        <w:r w:rsidRPr="00CB0AF9">
          <w:rPr>
            <w:rFonts w:ascii="Arial" w:eastAsia="Times New Roman" w:hAnsi="Arial" w:cs="Arial"/>
            <w:color w:val="0000FF"/>
            <w:kern w:val="0"/>
            <w:sz w:val="24"/>
            <w:szCs w:val="24"/>
            <w:u w:val="single"/>
            <w:lang w:eastAsia="en-GB"/>
            <w14:ligatures w14:val="none"/>
          </w:rPr>
          <w:t>GOV.UK guidance</w:t>
        </w:r>
      </w:hyperlink>
      <w:r w:rsidRPr="00CB0AF9">
        <w:rPr>
          <w:rFonts w:ascii="Arial" w:eastAsia="Times New Roman" w:hAnsi="Arial" w:cs="Arial"/>
          <w:kern w:val="0"/>
          <w:sz w:val="24"/>
          <w:szCs w:val="24"/>
          <w:lang w:eastAsia="en-GB"/>
          <w14:ligatures w14:val="none"/>
        </w:rPr>
        <w:t xml:space="preserve"> </w:t>
      </w:r>
    </w:p>
    <w:p w14:paraId="73E7DFD1" w14:textId="3E1D3F3E" w:rsidR="00BC00DA" w:rsidRPr="00CB0AF9" w:rsidRDefault="00BC00D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lastRenderedPageBreak/>
        <w:t>Octary</w:t>
      </w:r>
      <w:proofErr w:type="spellEnd"/>
      <w:r w:rsidRPr="00CB0AF9">
        <w:rPr>
          <w:rFonts w:ascii="Arial" w:eastAsia="Times New Roman" w:hAnsi="Arial" w:cs="Arial"/>
          <w:kern w:val="0"/>
          <w:sz w:val="24"/>
          <w:szCs w:val="24"/>
          <w:lang w:eastAsia="en-GB"/>
          <w14:ligatures w14:val="none"/>
        </w:rPr>
        <w:t xml:space="preserve">, T., Gautama, M.S.N. and Duong, H. (2023) ‘Effectiveness of vitamin D supplements in reducing the risk of falls among older adults: a meta-analysis of randomized controlled trials’, </w:t>
      </w:r>
      <w:r w:rsidRPr="00CB0AF9">
        <w:rPr>
          <w:rFonts w:ascii="Arial" w:eastAsia="Times New Roman" w:hAnsi="Arial" w:cs="Arial"/>
          <w:i/>
          <w:iCs/>
          <w:kern w:val="0"/>
          <w:sz w:val="24"/>
          <w:szCs w:val="24"/>
          <w:lang w:eastAsia="en-GB"/>
          <w14:ligatures w14:val="none"/>
        </w:rPr>
        <w:t>Annals of Geriatric Medicine and Research</w:t>
      </w:r>
      <w:r w:rsidRPr="00CB0AF9">
        <w:rPr>
          <w:rFonts w:ascii="Arial" w:eastAsia="Times New Roman" w:hAnsi="Arial" w:cs="Arial"/>
          <w:kern w:val="0"/>
          <w:sz w:val="24"/>
          <w:szCs w:val="24"/>
          <w:lang w:eastAsia="en-GB"/>
          <w14:ligatures w14:val="none"/>
        </w:rPr>
        <w:t xml:space="preserve">, 27(3), pp. 192–203. </w:t>
      </w:r>
      <w:r w:rsidRPr="00CB0AF9">
        <w:rPr>
          <w:rFonts w:ascii="Arial" w:eastAsia="Times New Roman" w:hAnsi="Arial" w:cs="Arial"/>
          <w:kern w:val="0"/>
          <w:sz w:val="24"/>
          <w:szCs w:val="24"/>
          <w:lang w:eastAsia="en-GB"/>
          <w14:ligatures w14:val="none"/>
        </w:rPr>
        <w:br/>
      </w:r>
      <w:hyperlink r:id="rId44" w:tgtFrame="_blank" w:history="1">
        <w:r w:rsidRPr="00CB0AF9">
          <w:rPr>
            <w:rFonts w:ascii="Arial" w:eastAsia="Times New Roman" w:hAnsi="Arial" w:cs="Arial"/>
            <w:color w:val="0000FF"/>
            <w:kern w:val="0"/>
            <w:sz w:val="24"/>
            <w:szCs w:val="24"/>
            <w:u w:val="single"/>
            <w:lang w:eastAsia="en-GB"/>
            <w14:ligatures w14:val="none"/>
          </w:rPr>
          <w:t>PubMed</w:t>
        </w:r>
      </w:hyperlink>
    </w:p>
    <w:p w14:paraId="03100BCA" w14:textId="2267F872" w:rsidR="00CB0AF9" w:rsidRPr="00CB0AF9" w:rsidRDefault="00CB0AF9"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Office for Health Improvement and Disparities (2023) Vitamin D and health guidance. London: Department of Health and Social Care.</w:t>
      </w:r>
    </w:p>
    <w:p w14:paraId="31F3E247"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Pilz, S., Zittermann, A., Trummer, C., Theiler-Schwetz, V., Lerchbaum, E., Keppel, M.H., Grübler, M.R., Marz, W. and März, W. (2019) ‘Vitamin D testing and treatment: a narrative review of current evidence’, </w:t>
      </w:r>
      <w:r w:rsidRPr="00CB0AF9">
        <w:rPr>
          <w:rFonts w:ascii="Arial" w:eastAsia="Times New Roman" w:hAnsi="Arial" w:cs="Arial"/>
          <w:i/>
          <w:iCs/>
          <w:kern w:val="0"/>
          <w:sz w:val="24"/>
          <w:szCs w:val="24"/>
          <w:lang w:eastAsia="en-GB"/>
          <w14:ligatures w14:val="none"/>
        </w:rPr>
        <w:t>Endocrine Connections</w:t>
      </w:r>
      <w:r w:rsidRPr="00CB0AF9">
        <w:rPr>
          <w:rFonts w:ascii="Arial" w:eastAsia="Times New Roman" w:hAnsi="Arial" w:cs="Arial"/>
          <w:kern w:val="0"/>
          <w:sz w:val="24"/>
          <w:szCs w:val="24"/>
          <w:lang w:eastAsia="en-GB"/>
          <w14:ligatures w14:val="none"/>
        </w:rPr>
        <w:t>, 8(2), pp. R27–R43.</w:t>
      </w:r>
      <w:r w:rsidRPr="00CB0AF9">
        <w:rPr>
          <w:rFonts w:ascii="Arial" w:eastAsia="Times New Roman" w:hAnsi="Arial" w:cs="Arial"/>
          <w:kern w:val="0"/>
          <w:sz w:val="24"/>
          <w:szCs w:val="24"/>
          <w:lang w:eastAsia="en-GB"/>
          <w14:ligatures w14:val="none"/>
        </w:rPr>
        <w:br/>
      </w:r>
      <w:hyperlink r:id="rId45"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743C89B1"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Pilz, S., </w:t>
      </w:r>
      <w:proofErr w:type="spellStart"/>
      <w:r w:rsidRPr="00CB0AF9">
        <w:rPr>
          <w:rFonts w:ascii="Arial" w:eastAsia="Times New Roman" w:hAnsi="Arial" w:cs="Arial"/>
          <w:kern w:val="0"/>
          <w:sz w:val="24"/>
          <w:szCs w:val="24"/>
          <w:lang w:eastAsia="en-GB"/>
          <w14:ligatures w14:val="none"/>
        </w:rPr>
        <w:t>Kienreich</w:t>
      </w:r>
      <w:proofErr w:type="spellEnd"/>
      <w:r w:rsidRPr="00CB0AF9">
        <w:rPr>
          <w:rFonts w:ascii="Arial" w:eastAsia="Times New Roman" w:hAnsi="Arial" w:cs="Arial"/>
          <w:kern w:val="0"/>
          <w:sz w:val="24"/>
          <w:szCs w:val="24"/>
          <w:lang w:eastAsia="en-GB"/>
          <w14:ligatures w14:val="none"/>
        </w:rPr>
        <w:t xml:space="preserve">, K., </w:t>
      </w:r>
      <w:proofErr w:type="spellStart"/>
      <w:r w:rsidRPr="00CB0AF9">
        <w:rPr>
          <w:rFonts w:ascii="Arial" w:eastAsia="Times New Roman" w:hAnsi="Arial" w:cs="Arial"/>
          <w:kern w:val="0"/>
          <w:sz w:val="24"/>
          <w:szCs w:val="24"/>
          <w:lang w:eastAsia="en-GB"/>
          <w14:ligatures w14:val="none"/>
        </w:rPr>
        <w:t>Tomaschitz</w:t>
      </w:r>
      <w:proofErr w:type="spellEnd"/>
      <w:r w:rsidRPr="00CB0AF9">
        <w:rPr>
          <w:rFonts w:ascii="Arial" w:eastAsia="Times New Roman" w:hAnsi="Arial" w:cs="Arial"/>
          <w:kern w:val="0"/>
          <w:sz w:val="24"/>
          <w:szCs w:val="24"/>
          <w:lang w:eastAsia="en-GB"/>
          <w14:ligatures w14:val="none"/>
        </w:rPr>
        <w:t xml:space="preserve">, A., Lerchbaum, E., </w:t>
      </w:r>
      <w:proofErr w:type="spellStart"/>
      <w:r w:rsidRPr="00CB0AF9">
        <w:rPr>
          <w:rFonts w:ascii="Arial" w:eastAsia="Times New Roman" w:hAnsi="Arial" w:cs="Arial"/>
          <w:kern w:val="0"/>
          <w:sz w:val="24"/>
          <w:szCs w:val="24"/>
          <w:lang w:eastAsia="en-GB"/>
          <w14:ligatures w14:val="none"/>
        </w:rPr>
        <w:t>Meinitzer</w:t>
      </w:r>
      <w:proofErr w:type="spellEnd"/>
      <w:r w:rsidRPr="00CB0AF9">
        <w:rPr>
          <w:rFonts w:ascii="Arial" w:eastAsia="Times New Roman" w:hAnsi="Arial" w:cs="Arial"/>
          <w:kern w:val="0"/>
          <w:sz w:val="24"/>
          <w:szCs w:val="24"/>
          <w:lang w:eastAsia="en-GB"/>
          <w14:ligatures w14:val="none"/>
        </w:rPr>
        <w:t xml:space="preserve">, A., März, W. and others (2022) ‘Vitamin D and health in older adults’,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517B4B94"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Polit, D.F. and Beck, C.T. (2021) </w:t>
      </w:r>
      <w:r w:rsidRPr="00CB0AF9">
        <w:rPr>
          <w:rFonts w:ascii="Arial" w:eastAsia="Times New Roman" w:hAnsi="Arial" w:cs="Arial"/>
          <w:i/>
          <w:iCs/>
          <w:kern w:val="0"/>
          <w:sz w:val="24"/>
          <w:szCs w:val="24"/>
          <w:lang w:eastAsia="en-GB"/>
          <w14:ligatures w14:val="none"/>
        </w:rPr>
        <w:t>Nursing Research: Generating and Assessing Evidence for Nursing Practice</w:t>
      </w:r>
      <w:r w:rsidRPr="00CB0AF9">
        <w:rPr>
          <w:rFonts w:ascii="Arial" w:eastAsia="Times New Roman" w:hAnsi="Arial" w:cs="Arial"/>
          <w:kern w:val="0"/>
          <w:sz w:val="24"/>
          <w:szCs w:val="24"/>
          <w:lang w:eastAsia="en-GB"/>
          <w14:ligatures w14:val="none"/>
        </w:rPr>
        <w:t xml:space="preserve">. 11th </w:t>
      </w:r>
      <w:proofErr w:type="spellStart"/>
      <w:r w:rsidRPr="00CB0AF9">
        <w:rPr>
          <w:rFonts w:ascii="Arial" w:eastAsia="Times New Roman" w:hAnsi="Arial" w:cs="Arial"/>
          <w:kern w:val="0"/>
          <w:sz w:val="24"/>
          <w:szCs w:val="24"/>
          <w:lang w:eastAsia="en-GB"/>
          <w14:ligatures w14:val="none"/>
        </w:rPr>
        <w:t>edn</w:t>
      </w:r>
      <w:proofErr w:type="spellEnd"/>
      <w:r w:rsidRPr="00CB0AF9">
        <w:rPr>
          <w:rFonts w:ascii="Arial" w:eastAsia="Times New Roman" w:hAnsi="Arial" w:cs="Arial"/>
          <w:kern w:val="0"/>
          <w:sz w:val="24"/>
          <w:szCs w:val="24"/>
          <w:lang w:eastAsia="en-GB"/>
          <w14:ligatures w14:val="none"/>
        </w:rPr>
        <w:t>. Philadelphia: Wolters Kluwer.</w:t>
      </w:r>
      <w:r w:rsidRPr="00CB0AF9">
        <w:rPr>
          <w:rFonts w:ascii="Arial" w:eastAsia="Times New Roman" w:hAnsi="Arial" w:cs="Arial"/>
          <w:kern w:val="0"/>
          <w:sz w:val="24"/>
          <w:szCs w:val="24"/>
          <w:lang w:eastAsia="en-GB"/>
          <w14:ligatures w14:val="none"/>
        </w:rPr>
        <w:br/>
      </w:r>
      <w:hyperlink r:id="rId46" w:tgtFrame="_blank" w:history="1">
        <w:r w:rsidRPr="00CB0AF9">
          <w:rPr>
            <w:rFonts w:ascii="Arial" w:eastAsia="Times New Roman" w:hAnsi="Arial" w:cs="Arial"/>
            <w:color w:val="0000FF"/>
            <w:kern w:val="0"/>
            <w:sz w:val="24"/>
            <w:szCs w:val="24"/>
            <w:u w:val="single"/>
            <w:lang w:eastAsia="en-GB"/>
            <w14:ligatures w14:val="none"/>
          </w:rPr>
          <w:t>Wolters Kluwer</w:t>
        </w:r>
      </w:hyperlink>
      <w:r w:rsidRPr="00CB0AF9">
        <w:rPr>
          <w:rFonts w:ascii="Arial" w:eastAsia="Times New Roman" w:hAnsi="Arial" w:cs="Arial"/>
          <w:kern w:val="0"/>
          <w:sz w:val="24"/>
          <w:szCs w:val="24"/>
          <w:lang w:eastAsia="en-GB"/>
          <w14:ligatures w14:val="none"/>
        </w:rPr>
        <w:t xml:space="preserve"> </w:t>
      </w:r>
    </w:p>
    <w:p w14:paraId="1EE67C0D" w14:textId="77EFB471"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Page, M.J., McKenzie, J.E., </w:t>
      </w:r>
      <w:proofErr w:type="spellStart"/>
      <w:r w:rsidRPr="00CB0AF9">
        <w:rPr>
          <w:rFonts w:ascii="Arial" w:eastAsia="Times New Roman" w:hAnsi="Arial" w:cs="Arial"/>
          <w:kern w:val="0"/>
          <w:sz w:val="24"/>
          <w:szCs w:val="24"/>
          <w:lang w:eastAsia="en-GB"/>
          <w14:ligatures w14:val="none"/>
        </w:rPr>
        <w:t>Bossuyt</w:t>
      </w:r>
      <w:proofErr w:type="spellEnd"/>
      <w:r w:rsidRPr="00CB0AF9">
        <w:rPr>
          <w:rFonts w:ascii="Arial" w:eastAsia="Times New Roman" w:hAnsi="Arial" w:cs="Arial"/>
          <w:kern w:val="0"/>
          <w:sz w:val="24"/>
          <w:szCs w:val="24"/>
          <w:lang w:eastAsia="en-GB"/>
          <w14:ligatures w14:val="none"/>
        </w:rPr>
        <w:t xml:space="preserve">, P.M., </w:t>
      </w:r>
      <w:proofErr w:type="spellStart"/>
      <w:r w:rsidRPr="00CB0AF9">
        <w:rPr>
          <w:rFonts w:ascii="Arial" w:eastAsia="Times New Roman" w:hAnsi="Arial" w:cs="Arial"/>
          <w:kern w:val="0"/>
          <w:sz w:val="24"/>
          <w:szCs w:val="24"/>
          <w:lang w:eastAsia="en-GB"/>
          <w14:ligatures w14:val="none"/>
        </w:rPr>
        <w:t>Boutron</w:t>
      </w:r>
      <w:proofErr w:type="spellEnd"/>
      <w:r w:rsidRPr="00CB0AF9">
        <w:rPr>
          <w:rFonts w:ascii="Arial" w:eastAsia="Times New Roman" w:hAnsi="Arial" w:cs="Arial"/>
          <w:kern w:val="0"/>
          <w:sz w:val="24"/>
          <w:szCs w:val="24"/>
          <w:lang w:eastAsia="en-GB"/>
          <w14:ligatures w14:val="none"/>
        </w:rPr>
        <w:t xml:space="preserve">, I., Hoffmann, T.C., Mulrow, C.D., et al. (2021) ‘The PRISMA 2020 statement: an updated guideline for reporting systematic reviews’, </w:t>
      </w:r>
      <w:r w:rsidRPr="00CB0AF9">
        <w:rPr>
          <w:rFonts w:ascii="Arial" w:eastAsia="Times New Roman" w:hAnsi="Arial" w:cs="Arial"/>
          <w:i/>
          <w:iCs/>
          <w:kern w:val="0"/>
          <w:sz w:val="24"/>
          <w:szCs w:val="24"/>
          <w:lang w:eastAsia="en-GB"/>
          <w14:ligatures w14:val="none"/>
        </w:rPr>
        <w:t>BMJ</w:t>
      </w:r>
      <w:r w:rsidRPr="00CB0AF9">
        <w:rPr>
          <w:rFonts w:ascii="Arial" w:eastAsia="Times New Roman" w:hAnsi="Arial" w:cs="Arial"/>
          <w:kern w:val="0"/>
          <w:sz w:val="24"/>
          <w:szCs w:val="24"/>
          <w:lang w:eastAsia="en-GB"/>
          <w14:ligatures w14:val="none"/>
        </w:rPr>
        <w:t>, 372, n71.</w:t>
      </w:r>
      <w:r w:rsidRPr="00CB0AF9">
        <w:rPr>
          <w:rFonts w:ascii="Arial" w:eastAsia="Times New Roman" w:hAnsi="Arial" w:cs="Arial"/>
          <w:kern w:val="0"/>
          <w:sz w:val="24"/>
          <w:szCs w:val="24"/>
          <w:lang w:eastAsia="en-GB"/>
          <w14:ligatures w14:val="none"/>
        </w:rPr>
        <w:br/>
      </w:r>
      <w:hyperlink r:id="rId47" w:tgtFrame="_blank" w:history="1">
        <w:r w:rsidRPr="00CB0AF9">
          <w:rPr>
            <w:rFonts w:ascii="Arial" w:eastAsia="Times New Roman" w:hAnsi="Arial" w:cs="Arial"/>
            <w:color w:val="0000FF"/>
            <w:kern w:val="0"/>
            <w:sz w:val="24"/>
            <w:szCs w:val="24"/>
            <w:u w:val="single"/>
            <w:lang w:eastAsia="en-GB"/>
            <w14:ligatures w14:val="none"/>
          </w:rPr>
          <w:t>BMJ</w:t>
        </w:r>
      </w:hyperlink>
      <w:r w:rsidRPr="00CB0AF9">
        <w:rPr>
          <w:rFonts w:ascii="Arial" w:eastAsia="Times New Roman" w:hAnsi="Arial" w:cs="Arial"/>
          <w:kern w:val="0"/>
          <w:sz w:val="24"/>
          <w:szCs w:val="24"/>
          <w:lang w:eastAsia="en-GB"/>
          <w14:ligatures w14:val="none"/>
        </w:rPr>
        <w:t xml:space="preserve"> </w:t>
      </w:r>
    </w:p>
    <w:p w14:paraId="633F00F8" w14:textId="7777777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Parker, V., Brimble, M., Cox, S., King, A. and others (2020) ‘Vitamin D deficiency in older adults: implications for clinical practice and public health’, Nutrients.</w:t>
      </w:r>
    </w:p>
    <w:p w14:paraId="41EA5B45" w14:textId="03151D1D"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Pilz, S., Zittermann, A., Trummer, C., Theiler-Schwetz, V., Lerchbaum, E., Keppel, M.H., Grübler, M.R. and März, W. (2019) ‘Vitamin D testing and treatment: a narrative review of current evidence’, Endocrine Connections, 8(2), pp. R27–R43</w:t>
      </w:r>
    </w:p>
    <w:p w14:paraId="0B31CD54"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Rombel</w:t>
      </w:r>
      <w:proofErr w:type="spellEnd"/>
      <w:r w:rsidRPr="00CB0AF9">
        <w:rPr>
          <w:rFonts w:ascii="Arial" w:eastAsia="Times New Roman" w:hAnsi="Arial" w:cs="Arial"/>
          <w:kern w:val="0"/>
          <w:sz w:val="24"/>
          <w:szCs w:val="24"/>
          <w:lang w:eastAsia="en-GB"/>
          <w14:ligatures w14:val="none"/>
        </w:rPr>
        <w:t xml:space="preserve">, N., Lim, C., Majeed, A., Abdul-Jabbar, S., McClelland, G.R. and Jones, S.A. (2025) ‘Understanding the impact of vitamin D supplement formulation, quality and provision to older adults in UK residential care homes’, </w:t>
      </w:r>
      <w:r w:rsidRPr="00CB0AF9">
        <w:rPr>
          <w:rFonts w:ascii="Arial" w:eastAsia="Times New Roman" w:hAnsi="Arial" w:cs="Arial"/>
          <w:i/>
          <w:iCs/>
          <w:kern w:val="0"/>
          <w:sz w:val="24"/>
          <w:szCs w:val="24"/>
          <w:lang w:eastAsia="en-GB"/>
          <w14:ligatures w14:val="none"/>
        </w:rPr>
        <w:t>RSC Pharmaceutics</w:t>
      </w:r>
      <w:r w:rsidRPr="00CB0AF9">
        <w:rPr>
          <w:rFonts w:ascii="Arial" w:eastAsia="Times New Roman" w:hAnsi="Arial" w:cs="Arial"/>
          <w:kern w:val="0"/>
          <w:sz w:val="24"/>
          <w:szCs w:val="24"/>
          <w:lang w:eastAsia="en-GB"/>
          <w14:ligatures w14:val="none"/>
        </w:rPr>
        <w:t xml:space="preserve">, 2(4), pp. 683–690. </w:t>
      </w:r>
      <w:r w:rsidRPr="00CB0AF9">
        <w:rPr>
          <w:rFonts w:ascii="Arial" w:eastAsia="Times New Roman" w:hAnsi="Arial" w:cs="Arial"/>
          <w:kern w:val="0"/>
          <w:sz w:val="24"/>
          <w:szCs w:val="24"/>
          <w:lang w:eastAsia="en-GB"/>
          <w14:ligatures w14:val="none"/>
        </w:rPr>
        <w:br/>
      </w:r>
      <w:hyperlink r:id="rId48" w:tgtFrame="_blank" w:history="1">
        <w:r w:rsidRPr="00CB0AF9">
          <w:rPr>
            <w:rFonts w:ascii="Arial" w:eastAsia="Times New Roman" w:hAnsi="Arial" w:cs="Arial"/>
            <w:color w:val="0000FF"/>
            <w:kern w:val="0"/>
            <w:sz w:val="24"/>
            <w:szCs w:val="24"/>
            <w:u w:val="single"/>
            <w:lang w:eastAsia="en-GB"/>
            <w14:ligatures w14:val="none"/>
          </w:rPr>
          <w:t>Royal Society of Chemistry</w:t>
        </w:r>
      </w:hyperlink>
      <w:r w:rsidRPr="00CB0AF9">
        <w:rPr>
          <w:rFonts w:ascii="Arial" w:eastAsia="Times New Roman" w:hAnsi="Arial" w:cs="Arial"/>
          <w:kern w:val="0"/>
          <w:sz w:val="24"/>
          <w:szCs w:val="24"/>
          <w:lang w:eastAsia="en-GB"/>
          <w14:ligatures w14:val="none"/>
        </w:rPr>
        <w:t xml:space="preserve"> </w:t>
      </w:r>
    </w:p>
    <w:p w14:paraId="109EC864"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lastRenderedPageBreak/>
        <w:t xml:space="preserve">Ross, A.C., Manson, J.E., Abrams, S.A., Aloia, J.F., Brannon, P.M., Clinton, S.K., Durazo-Arvizu, R.A., Gallagher, J.C., Gallo, R.L., Jones, G., Kovacs, C.S., Mayne, S.T., Rosen, C.J. and </w:t>
      </w:r>
      <w:proofErr w:type="spellStart"/>
      <w:r w:rsidRPr="00CB0AF9">
        <w:rPr>
          <w:rFonts w:ascii="Arial" w:eastAsia="Times New Roman" w:hAnsi="Arial" w:cs="Arial"/>
          <w:kern w:val="0"/>
          <w:sz w:val="24"/>
          <w:szCs w:val="24"/>
          <w:lang w:eastAsia="en-GB"/>
          <w14:ligatures w14:val="none"/>
        </w:rPr>
        <w:t>Shapses</w:t>
      </w:r>
      <w:proofErr w:type="spellEnd"/>
      <w:r w:rsidRPr="00CB0AF9">
        <w:rPr>
          <w:rFonts w:ascii="Arial" w:eastAsia="Times New Roman" w:hAnsi="Arial" w:cs="Arial"/>
          <w:kern w:val="0"/>
          <w:sz w:val="24"/>
          <w:szCs w:val="24"/>
          <w:lang w:eastAsia="en-GB"/>
          <w14:ligatures w14:val="none"/>
        </w:rPr>
        <w:t xml:space="preserve">, S.A. (2011) ‘The 2011 report on dietary reference intakes for calcium and vitamin D’, </w:t>
      </w:r>
      <w:r w:rsidRPr="00CB0AF9">
        <w:rPr>
          <w:rFonts w:ascii="Arial" w:eastAsia="Times New Roman" w:hAnsi="Arial" w:cs="Arial"/>
          <w:i/>
          <w:iCs/>
          <w:kern w:val="0"/>
          <w:sz w:val="24"/>
          <w:szCs w:val="24"/>
          <w:lang w:eastAsia="en-GB"/>
          <w14:ligatures w14:val="none"/>
        </w:rPr>
        <w:t>Journal of Clinical Endocrinology &amp; Metabolism</w:t>
      </w:r>
      <w:r w:rsidRPr="00CB0AF9">
        <w:rPr>
          <w:rFonts w:ascii="Arial" w:eastAsia="Times New Roman" w:hAnsi="Arial" w:cs="Arial"/>
          <w:kern w:val="0"/>
          <w:sz w:val="24"/>
          <w:szCs w:val="24"/>
          <w:lang w:eastAsia="en-GB"/>
          <w14:ligatures w14:val="none"/>
        </w:rPr>
        <w:t>, 96(1), pp. 53–58.</w:t>
      </w:r>
      <w:r w:rsidRPr="00CB0AF9">
        <w:rPr>
          <w:rFonts w:ascii="Arial" w:eastAsia="Times New Roman" w:hAnsi="Arial" w:cs="Arial"/>
          <w:kern w:val="0"/>
          <w:sz w:val="24"/>
          <w:szCs w:val="24"/>
          <w:lang w:eastAsia="en-GB"/>
          <w14:ligatures w14:val="none"/>
        </w:rPr>
        <w:br/>
      </w:r>
      <w:hyperlink r:id="rId49"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0DC0F46F" w14:textId="3D11B961"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Roth, D.E., Abrams, S.A., Aloia, J., Bergeron, G., Bourassa, M.W., Brown, K.H., et al. (2018) ‘Global prevalence and disease burden of vitamin D deficiency’, </w:t>
      </w:r>
      <w:r w:rsidRPr="00CB0AF9">
        <w:rPr>
          <w:rFonts w:ascii="Arial" w:eastAsia="Times New Roman" w:hAnsi="Arial" w:cs="Arial"/>
          <w:i/>
          <w:iCs/>
          <w:kern w:val="0"/>
          <w:sz w:val="24"/>
          <w:szCs w:val="24"/>
          <w:lang w:eastAsia="en-GB"/>
          <w14:ligatures w14:val="none"/>
        </w:rPr>
        <w:t>The Lancet Diabetes &amp; Endocrinology</w:t>
      </w:r>
      <w:r w:rsidRPr="00CB0AF9">
        <w:rPr>
          <w:rFonts w:ascii="Arial" w:eastAsia="Times New Roman" w:hAnsi="Arial" w:cs="Arial"/>
          <w:kern w:val="0"/>
          <w:sz w:val="24"/>
          <w:szCs w:val="24"/>
          <w:lang w:eastAsia="en-GB"/>
          <w14:ligatures w14:val="none"/>
        </w:rPr>
        <w:t>, 6(9), pp. 694–703.</w:t>
      </w:r>
      <w:r w:rsidRPr="00CB0AF9">
        <w:rPr>
          <w:rFonts w:ascii="Arial" w:eastAsia="Times New Roman" w:hAnsi="Arial" w:cs="Arial"/>
          <w:kern w:val="0"/>
          <w:sz w:val="24"/>
          <w:szCs w:val="24"/>
          <w:lang w:eastAsia="en-GB"/>
          <w14:ligatures w14:val="none"/>
        </w:rPr>
        <w:br/>
      </w:r>
      <w:hyperlink r:id="rId50" w:tgtFrame="_blank" w:history="1">
        <w:r w:rsidRPr="00CB0AF9">
          <w:rPr>
            <w:rFonts w:ascii="Arial" w:eastAsia="Times New Roman" w:hAnsi="Arial" w:cs="Arial"/>
            <w:color w:val="0000FF"/>
            <w:kern w:val="0"/>
            <w:sz w:val="24"/>
            <w:szCs w:val="24"/>
            <w:u w:val="single"/>
            <w:lang w:eastAsia="en-GB"/>
            <w14:ligatures w14:val="none"/>
          </w:rPr>
          <w:t>PubMed</w:t>
        </w:r>
      </w:hyperlink>
    </w:p>
    <w:p w14:paraId="3E6E0929"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Sahota, O., Masud, T., San, P. and Hosking, D.J. (2001) ‘Vitamin D insufficiency in a significant number of patients presenting with hip fracture’, </w:t>
      </w:r>
      <w:r w:rsidRPr="00CB0AF9">
        <w:rPr>
          <w:rFonts w:ascii="Arial" w:eastAsia="Times New Roman" w:hAnsi="Arial" w:cs="Arial"/>
          <w:i/>
          <w:iCs/>
          <w:kern w:val="0"/>
          <w:sz w:val="24"/>
          <w:szCs w:val="24"/>
          <w:lang w:eastAsia="en-GB"/>
          <w14:ligatures w14:val="none"/>
        </w:rPr>
        <w:t>Age and Ageing</w:t>
      </w:r>
      <w:r w:rsidRPr="00CB0AF9">
        <w:rPr>
          <w:rFonts w:ascii="Arial" w:eastAsia="Times New Roman" w:hAnsi="Arial" w:cs="Arial"/>
          <w:kern w:val="0"/>
          <w:sz w:val="24"/>
          <w:szCs w:val="24"/>
          <w:lang w:eastAsia="en-GB"/>
          <w14:ligatures w14:val="none"/>
        </w:rPr>
        <w:t>, 30(3), pp. 217–222.</w:t>
      </w:r>
      <w:r w:rsidRPr="00CB0AF9">
        <w:rPr>
          <w:rFonts w:ascii="Arial" w:eastAsia="Times New Roman" w:hAnsi="Arial" w:cs="Arial"/>
          <w:kern w:val="0"/>
          <w:sz w:val="24"/>
          <w:szCs w:val="24"/>
          <w:lang w:eastAsia="en-GB"/>
          <w14:ligatures w14:val="none"/>
        </w:rPr>
        <w:br/>
      </w:r>
      <w:hyperlink r:id="rId51"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1E6244A3"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Sempos</w:t>
      </w:r>
      <w:proofErr w:type="spellEnd"/>
      <w:r w:rsidRPr="00CB0AF9">
        <w:rPr>
          <w:rFonts w:ascii="Arial" w:eastAsia="Times New Roman" w:hAnsi="Arial" w:cs="Arial"/>
          <w:kern w:val="0"/>
          <w:sz w:val="24"/>
          <w:szCs w:val="24"/>
          <w:lang w:eastAsia="en-GB"/>
          <w14:ligatures w14:val="none"/>
        </w:rPr>
        <w:t xml:space="preserve">, C.T., </w:t>
      </w:r>
      <w:proofErr w:type="spellStart"/>
      <w:r w:rsidRPr="00CB0AF9">
        <w:rPr>
          <w:rFonts w:ascii="Arial" w:eastAsia="Times New Roman" w:hAnsi="Arial" w:cs="Arial"/>
          <w:kern w:val="0"/>
          <w:sz w:val="24"/>
          <w:szCs w:val="24"/>
          <w:lang w:eastAsia="en-GB"/>
          <w14:ligatures w14:val="none"/>
        </w:rPr>
        <w:t>Durazo-Arvizu</w:t>
      </w:r>
      <w:proofErr w:type="spellEnd"/>
      <w:r w:rsidRPr="00CB0AF9">
        <w:rPr>
          <w:rFonts w:ascii="Arial" w:eastAsia="Times New Roman" w:hAnsi="Arial" w:cs="Arial"/>
          <w:kern w:val="0"/>
          <w:sz w:val="24"/>
          <w:szCs w:val="24"/>
          <w:lang w:eastAsia="en-GB"/>
          <w14:ligatures w14:val="none"/>
        </w:rPr>
        <w:t xml:space="preserve">, R.A., Binkley, N., Jones, J., Merkel, J.M. and Carter, G.D. (2017) ‘Developing vitamin D dietary guidelines: why we need them and what they should contain’, </w:t>
      </w:r>
      <w:r w:rsidRPr="00CB0AF9">
        <w:rPr>
          <w:rFonts w:ascii="Arial" w:eastAsia="Times New Roman" w:hAnsi="Arial" w:cs="Arial"/>
          <w:i/>
          <w:iCs/>
          <w:kern w:val="0"/>
          <w:sz w:val="24"/>
          <w:szCs w:val="24"/>
          <w:lang w:eastAsia="en-GB"/>
          <w14:ligatures w14:val="none"/>
        </w:rPr>
        <w:t>Journal of Steroid Biochemistry and Molecular Biology</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3AEFD36B" w14:textId="5CBF64C2"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Spiro, A. and </w:t>
      </w:r>
      <w:proofErr w:type="spellStart"/>
      <w:r w:rsidRPr="00CB0AF9">
        <w:rPr>
          <w:rFonts w:ascii="Arial" w:eastAsia="Times New Roman" w:hAnsi="Arial" w:cs="Arial"/>
          <w:kern w:val="0"/>
          <w:sz w:val="24"/>
          <w:szCs w:val="24"/>
          <w:lang w:eastAsia="en-GB"/>
          <w14:ligatures w14:val="none"/>
        </w:rPr>
        <w:t>Buttriss</w:t>
      </w:r>
      <w:proofErr w:type="spellEnd"/>
      <w:r w:rsidRPr="00CB0AF9">
        <w:rPr>
          <w:rFonts w:ascii="Arial" w:eastAsia="Times New Roman" w:hAnsi="Arial" w:cs="Arial"/>
          <w:kern w:val="0"/>
          <w:sz w:val="24"/>
          <w:szCs w:val="24"/>
          <w:lang w:eastAsia="en-GB"/>
          <w14:ligatures w14:val="none"/>
        </w:rPr>
        <w:t xml:space="preserve">, J.L. (2014) ‘Vitamin D: an overview of vitamin D status and intake in Europe’, </w:t>
      </w:r>
      <w:r w:rsidRPr="00CB0AF9">
        <w:rPr>
          <w:rFonts w:ascii="Arial" w:eastAsia="Times New Roman" w:hAnsi="Arial" w:cs="Arial"/>
          <w:i/>
          <w:iCs/>
          <w:kern w:val="0"/>
          <w:sz w:val="24"/>
          <w:szCs w:val="24"/>
          <w:lang w:eastAsia="en-GB"/>
          <w14:ligatures w14:val="none"/>
        </w:rPr>
        <w:t>Nutrition Bulletin</w:t>
      </w:r>
      <w:r w:rsidRPr="00CB0AF9">
        <w:rPr>
          <w:rFonts w:ascii="Arial" w:eastAsia="Times New Roman" w:hAnsi="Arial" w:cs="Arial"/>
          <w:kern w:val="0"/>
          <w:sz w:val="24"/>
          <w:szCs w:val="24"/>
          <w:lang w:eastAsia="en-GB"/>
          <w14:ligatures w14:val="none"/>
        </w:rPr>
        <w:t>, 39(4), pp. 322–350.</w:t>
      </w:r>
      <w:r w:rsidRPr="00CB0AF9">
        <w:rPr>
          <w:rFonts w:ascii="Arial" w:eastAsia="Times New Roman" w:hAnsi="Arial" w:cs="Arial"/>
          <w:kern w:val="0"/>
          <w:sz w:val="24"/>
          <w:szCs w:val="24"/>
          <w:lang w:eastAsia="en-GB"/>
          <w14:ligatures w14:val="none"/>
        </w:rPr>
        <w:br/>
      </w:r>
      <w:hyperlink r:id="rId52" w:tgtFrame="_blank" w:history="1">
        <w:r w:rsidRPr="00CB0AF9">
          <w:rPr>
            <w:rFonts w:ascii="Arial" w:eastAsia="Times New Roman" w:hAnsi="Arial" w:cs="Arial"/>
            <w:color w:val="0000FF"/>
            <w:kern w:val="0"/>
            <w:sz w:val="24"/>
            <w:szCs w:val="24"/>
            <w:u w:val="single"/>
            <w:lang w:eastAsia="en-GB"/>
            <w14:ligatures w14:val="none"/>
          </w:rPr>
          <w:t>Wiley</w:t>
        </w:r>
      </w:hyperlink>
      <w:r w:rsidRPr="00CB0AF9">
        <w:rPr>
          <w:rFonts w:ascii="Arial" w:eastAsia="Times New Roman" w:hAnsi="Arial" w:cs="Arial"/>
          <w:kern w:val="0"/>
          <w:sz w:val="24"/>
          <w:szCs w:val="24"/>
          <w:lang w:eastAsia="en-GB"/>
          <w14:ligatures w14:val="none"/>
        </w:rPr>
        <w:t xml:space="preserve"> </w:t>
      </w:r>
    </w:p>
    <w:p w14:paraId="21D9416F" w14:textId="7777777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Sterne, J.A.C., Savović, J., Page, M.J., Elbers, R.G., </w:t>
      </w:r>
      <w:proofErr w:type="spellStart"/>
      <w:r w:rsidRPr="00CB0AF9">
        <w:rPr>
          <w:rFonts w:ascii="Arial" w:eastAsia="Times New Roman" w:hAnsi="Arial" w:cs="Arial"/>
          <w:kern w:val="0"/>
          <w:sz w:val="24"/>
          <w:szCs w:val="24"/>
          <w:lang w:eastAsia="en-GB"/>
          <w14:ligatures w14:val="none"/>
        </w:rPr>
        <w:t>Blencowe</w:t>
      </w:r>
      <w:proofErr w:type="spellEnd"/>
      <w:r w:rsidRPr="00CB0AF9">
        <w:rPr>
          <w:rFonts w:ascii="Arial" w:eastAsia="Times New Roman" w:hAnsi="Arial" w:cs="Arial"/>
          <w:kern w:val="0"/>
          <w:sz w:val="24"/>
          <w:szCs w:val="24"/>
          <w:lang w:eastAsia="en-GB"/>
          <w14:ligatures w14:val="none"/>
        </w:rPr>
        <w:t xml:space="preserve">, N.S., </w:t>
      </w:r>
      <w:proofErr w:type="spellStart"/>
      <w:r w:rsidRPr="00CB0AF9">
        <w:rPr>
          <w:rFonts w:ascii="Arial" w:eastAsia="Times New Roman" w:hAnsi="Arial" w:cs="Arial"/>
          <w:kern w:val="0"/>
          <w:sz w:val="24"/>
          <w:szCs w:val="24"/>
          <w:lang w:eastAsia="en-GB"/>
          <w14:ligatures w14:val="none"/>
        </w:rPr>
        <w:t>Boutron</w:t>
      </w:r>
      <w:proofErr w:type="spellEnd"/>
      <w:r w:rsidRPr="00CB0AF9">
        <w:rPr>
          <w:rFonts w:ascii="Arial" w:eastAsia="Times New Roman" w:hAnsi="Arial" w:cs="Arial"/>
          <w:kern w:val="0"/>
          <w:sz w:val="24"/>
          <w:szCs w:val="24"/>
          <w:lang w:eastAsia="en-GB"/>
          <w14:ligatures w14:val="none"/>
        </w:rPr>
        <w:t>, I., Cates, C.J., Cheng, H.Y., Corbett, M.S., Eldridge, S.M. and others (2019) ‘</w:t>
      </w:r>
      <w:proofErr w:type="spellStart"/>
      <w:r w:rsidRPr="00CB0AF9">
        <w:rPr>
          <w:rFonts w:ascii="Arial" w:eastAsia="Times New Roman" w:hAnsi="Arial" w:cs="Arial"/>
          <w:kern w:val="0"/>
          <w:sz w:val="24"/>
          <w:szCs w:val="24"/>
          <w:lang w:eastAsia="en-GB"/>
          <w14:ligatures w14:val="none"/>
        </w:rPr>
        <w:t>RoB</w:t>
      </w:r>
      <w:proofErr w:type="spellEnd"/>
      <w:r w:rsidRPr="00CB0AF9">
        <w:rPr>
          <w:rFonts w:ascii="Arial" w:eastAsia="Times New Roman" w:hAnsi="Arial" w:cs="Arial"/>
          <w:kern w:val="0"/>
          <w:sz w:val="24"/>
          <w:szCs w:val="24"/>
          <w:lang w:eastAsia="en-GB"/>
          <w14:ligatures w14:val="none"/>
        </w:rPr>
        <w:t xml:space="preserve"> 2: a revised tool for assessing risk of bias in randomised trials’, BMJ, 366, l4898.</w:t>
      </w:r>
    </w:p>
    <w:p w14:paraId="26B010A0" w14:textId="7777777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Sterne, J.A.C., Hernán, M.A., Reeves, B.C., Savović, J., Berkman, N.D., Viswanathan, M., Henry, D., Altman, D.G., Ansari, M.T., Boutron, I. and others (2016) ‘ROBINS-I: a tool for assessing risk of bias in non-randomised studies of interventions’, BMJ, 355, i4919.</w:t>
      </w:r>
    </w:p>
    <w:p w14:paraId="35895393" w14:textId="4B7A80AC"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Shea, B.J., Grimshaw, J.M., Wells, G.A., Boers, M., Andersson, N., Hamel, C., Porter, A.C., Tugwell, P., Moher, D. and Bouter, L.M. (2007) ‘Development of AMSTAR: a measurement tool to assess the methodological quality of systematic reviews’, BMC Medical Research Methodology, 7, 10.</w:t>
      </w:r>
    </w:p>
    <w:p w14:paraId="7E8B30B4" w14:textId="18EBDA5D"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lastRenderedPageBreak/>
        <w:t xml:space="preserve">Strain, J.J., Laird, E.J., Healy, M., et al. (2018) ‘Vitamin D status in older adults and implications for health’, </w:t>
      </w:r>
      <w:r w:rsidRPr="00CB0AF9">
        <w:rPr>
          <w:rFonts w:ascii="Arial" w:eastAsia="Times New Roman" w:hAnsi="Arial" w:cs="Arial"/>
          <w:i/>
          <w:iCs/>
          <w:kern w:val="0"/>
          <w:sz w:val="24"/>
          <w:szCs w:val="24"/>
          <w:lang w:eastAsia="en-GB"/>
          <w14:ligatures w14:val="none"/>
        </w:rPr>
        <w:t>Nutrients</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PubMed search</w:t>
      </w:r>
    </w:p>
    <w:p w14:paraId="6A9E1990" w14:textId="77777777" w:rsidR="003104F6" w:rsidRPr="00CB0AF9" w:rsidRDefault="003104F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Sanders, K.M., Stuart, A.L., Williamson, E.J., Simpson, J.A., Kotowicz, M.A., Young, D. and Nicholson, G.C. (2010) ‘Annual high-dose oral vitamin D and falls and fractures in older women: a randomized controlled trial’, JAMA, 303(18), pp. 1815–1822.</w:t>
      </w:r>
    </w:p>
    <w:p w14:paraId="4E478DDE" w14:textId="77777777" w:rsidR="003104F6" w:rsidRPr="00CB0AF9" w:rsidRDefault="003104F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Smith, H., Anderson, F., Raphael, H., Maslin, P., Crozier, S. and Cooper, C. (2007) ‘Effect of annual intramuscular vitamin D supplementation on fracture risk in elderly men and women’, Journal of Bone and Mineral Research, 22(1), pp. 119–125.</w:t>
      </w:r>
    </w:p>
    <w:p w14:paraId="2B24E6DF" w14:textId="2A1A4E59" w:rsidR="003104F6" w:rsidRPr="00CB0AF9" w:rsidRDefault="003104F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Smith, L.M., Gallagher, J.C. and Suiter, C. (2017) ‘Medium doses of vitamin D with calcium may be appropriate for older adults’, Journal of the American Geriatrics Society, 65(3), pp. 552–557.</w:t>
      </w:r>
    </w:p>
    <w:p w14:paraId="3CD8579C"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Tao, X., Yang, W., Zhang, Q., Wang, Y., Gao, F., Wang, Y., Zhang, T., Liu, H. and Chen, J. (2024) ‘Effects of intermittent overload doses of oral vitamin D3 on serum 25(OH)D concentrations and the incidence rates of fractures, falls, and mortality in elderly individuals: a systematic review and meta-analysis’, </w:t>
      </w:r>
      <w:r w:rsidRPr="00CB0AF9">
        <w:rPr>
          <w:rFonts w:ascii="Arial" w:eastAsia="Times New Roman" w:hAnsi="Arial" w:cs="Arial"/>
          <w:i/>
          <w:iCs/>
          <w:kern w:val="0"/>
          <w:sz w:val="24"/>
          <w:szCs w:val="24"/>
          <w:lang w:eastAsia="en-GB"/>
          <w14:ligatures w14:val="none"/>
        </w:rPr>
        <w:t>Biomolecules and Biomedicine</w:t>
      </w:r>
      <w:r w:rsidRPr="00CB0AF9">
        <w:rPr>
          <w:rFonts w:ascii="Arial" w:eastAsia="Times New Roman" w:hAnsi="Arial" w:cs="Arial"/>
          <w:kern w:val="0"/>
          <w:sz w:val="24"/>
          <w:szCs w:val="24"/>
          <w:lang w:eastAsia="en-GB"/>
          <w14:ligatures w14:val="none"/>
        </w:rPr>
        <w:t xml:space="preserve">, 24(5), pp. 1068–1076. </w:t>
      </w:r>
      <w:r w:rsidRPr="00CB0AF9">
        <w:rPr>
          <w:rFonts w:ascii="Arial" w:eastAsia="Times New Roman" w:hAnsi="Arial" w:cs="Arial"/>
          <w:kern w:val="0"/>
          <w:sz w:val="24"/>
          <w:szCs w:val="24"/>
          <w:lang w:eastAsia="en-GB"/>
          <w14:ligatures w14:val="none"/>
        </w:rPr>
        <w:br/>
      </w:r>
      <w:hyperlink r:id="rId53"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52A5DD01"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The Joanna Briggs Institute (2017) </w:t>
      </w:r>
      <w:r w:rsidRPr="00CB0AF9">
        <w:rPr>
          <w:rFonts w:ascii="Arial" w:eastAsia="Times New Roman" w:hAnsi="Arial" w:cs="Arial"/>
          <w:i/>
          <w:iCs/>
          <w:kern w:val="0"/>
          <w:sz w:val="24"/>
          <w:szCs w:val="24"/>
          <w:lang w:eastAsia="en-GB"/>
          <w14:ligatures w14:val="none"/>
        </w:rPr>
        <w:t>Critical Appraisal Tools</w:t>
      </w:r>
      <w:r w:rsidRPr="00CB0AF9">
        <w:rPr>
          <w:rFonts w:ascii="Arial" w:eastAsia="Times New Roman" w:hAnsi="Arial" w:cs="Arial"/>
          <w:kern w:val="0"/>
          <w:sz w:val="24"/>
          <w:szCs w:val="24"/>
          <w:lang w:eastAsia="en-GB"/>
          <w14:ligatures w14:val="none"/>
        </w:rPr>
        <w:t>. Adelaide: JBI.</w:t>
      </w:r>
      <w:r w:rsidRPr="00CB0AF9">
        <w:rPr>
          <w:rFonts w:ascii="Arial" w:eastAsia="Times New Roman" w:hAnsi="Arial" w:cs="Arial"/>
          <w:kern w:val="0"/>
          <w:sz w:val="24"/>
          <w:szCs w:val="24"/>
          <w:lang w:eastAsia="en-GB"/>
          <w14:ligatures w14:val="none"/>
        </w:rPr>
        <w:br/>
      </w:r>
      <w:hyperlink r:id="rId54" w:tgtFrame="_blank" w:history="1">
        <w:r w:rsidRPr="00CB0AF9">
          <w:rPr>
            <w:rFonts w:ascii="Arial" w:eastAsia="Times New Roman" w:hAnsi="Arial" w:cs="Arial"/>
            <w:color w:val="0000FF"/>
            <w:kern w:val="0"/>
            <w:sz w:val="24"/>
            <w:szCs w:val="24"/>
            <w:u w:val="single"/>
            <w:lang w:eastAsia="en-GB"/>
            <w14:ligatures w14:val="none"/>
          </w:rPr>
          <w:t>JBI</w:t>
        </w:r>
      </w:hyperlink>
      <w:r w:rsidRPr="00CB0AF9">
        <w:rPr>
          <w:rFonts w:ascii="Arial" w:eastAsia="Times New Roman" w:hAnsi="Arial" w:cs="Arial"/>
          <w:kern w:val="0"/>
          <w:sz w:val="24"/>
          <w:szCs w:val="24"/>
          <w:lang w:eastAsia="en-GB"/>
          <w14:ligatures w14:val="none"/>
        </w:rPr>
        <w:t xml:space="preserve"> </w:t>
      </w:r>
    </w:p>
    <w:p w14:paraId="17E944CC" w14:textId="09B8DC73"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Trivedi, D.P., Doll, R. and Khaw, K.T. (2003) ‘Effect of four monthly oral vitamin D3 supplementation on fractures and mortality in men and women living in the community’, </w:t>
      </w:r>
      <w:r w:rsidRPr="00CB0AF9">
        <w:rPr>
          <w:rFonts w:ascii="Arial" w:eastAsia="Times New Roman" w:hAnsi="Arial" w:cs="Arial"/>
          <w:i/>
          <w:iCs/>
          <w:kern w:val="0"/>
          <w:sz w:val="24"/>
          <w:szCs w:val="24"/>
          <w:lang w:eastAsia="en-GB"/>
          <w14:ligatures w14:val="none"/>
        </w:rPr>
        <w:t>BMJ</w:t>
      </w:r>
      <w:r w:rsidRPr="00CB0AF9">
        <w:rPr>
          <w:rFonts w:ascii="Arial" w:eastAsia="Times New Roman" w:hAnsi="Arial" w:cs="Arial"/>
          <w:kern w:val="0"/>
          <w:sz w:val="24"/>
          <w:szCs w:val="24"/>
          <w:lang w:eastAsia="en-GB"/>
          <w14:ligatures w14:val="none"/>
        </w:rPr>
        <w:t>, 326, pp. 469.</w:t>
      </w:r>
      <w:r w:rsidRPr="00CB0AF9">
        <w:rPr>
          <w:rFonts w:ascii="Arial" w:eastAsia="Times New Roman" w:hAnsi="Arial" w:cs="Arial"/>
          <w:kern w:val="0"/>
          <w:sz w:val="24"/>
          <w:szCs w:val="24"/>
          <w:lang w:eastAsia="en-GB"/>
          <w14:ligatures w14:val="none"/>
        </w:rPr>
        <w:br/>
      </w:r>
      <w:hyperlink r:id="rId55" w:tgtFrame="_blank" w:history="1">
        <w:r w:rsidRPr="00CB0AF9">
          <w:rPr>
            <w:rFonts w:ascii="Arial" w:eastAsia="Times New Roman" w:hAnsi="Arial" w:cs="Arial"/>
            <w:color w:val="0000FF"/>
            <w:kern w:val="0"/>
            <w:sz w:val="24"/>
            <w:szCs w:val="24"/>
            <w:u w:val="single"/>
            <w:lang w:eastAsia="en-GB"/>
            <w14:ligatures w14:val="none"/>
          </w:rPr>
          <w:t>BMJ</w:t>
        </w:r>
      </w:hyperlink>
      <w:r w:rsidRPr="00CB0AF9">
        <w:rPr>
          <w:rFonts w:ascii="Arial" w:eastAsia="Times New Roman" w:hAnsi="Arial" w:cs="Arial"/>
          <w:kern w:val="0"/>
          <w:sz w:val="24"/>
          <w:szCs w:val="24"/>
          <w:lang w:eastAsia="en-GB"/>
          <w14:ligatures w14:val="none"/>
        </w:rPr>
        <w:t xml:space="preserve"> </w:t>
      </w:r>
    </w:p>
    <w:p w14:paraId="207B06BA" w14:textId="7777777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Vitamin D supplementation and the incidence of fractures in the elderly healthy population: a meta-analysis of randomized controlled trials (2024). Available at: PubMed</w:t>
      </w:r>
    </w:p>
    <w:p w14:paraId="2ABDC578" w14:textId="7777777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Vitamin D supplementation and falls: a trial sequential meta-analysis (2014). Available at: PubMed</w:t>
      </w:r>
    </w:p>
    <w:p w14:paraId="13EDE945" w14:textId="4D4D536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Vitamin D treatment for the prevention of falls in older adults: systematic review and meta-analysis (2010). Available at: PubMed</w:t>
      </w:r>
    </w:p>
    <w:p w14:paraId="6B01136F" w14:textId="77777777"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lastRenderedPageBreak/>
        <w:t xml:space="preserve">Williams, J. and Williams, C. (2020) ‘Responsibility for vitamin D supplementation of elderly care home residents in England: falling through the gap between medicine and food’, </w:t>
      </w:r>
      <w:r w:rsidRPr="00CB0AF9">
        <w:rPr>
          <w:rFonts w:ascii="Arial" w:eastAsia="Times New Roman" w:hAnsi="Arial" w:cs="Arial"/>
          <w:i/>
          <w:iCs/>
          <w:kern w:val="0"/>
          <w:sz w:val="24"/>
          <w:szCs w:val="24"/>
          <w:lang w:eastAsia="en-GB"/>
          <w14:ligatures w14:val="none"/>
        </w:rPr>
        <w:t>BMJ Nutrition, Prevention &amp; Health</w:t>
      </w:r>
      <w:r w:rsidRPr="00CB0AF9">
        <w:rPr>
          <w:rFonts w:ascii="Arial" w:eastAsia="Times New Roman" w:hAnsi="Arial" w:cs="Arial"/>
          <w:kern w:val="0"/>
          <w:sz w:val="24"/>
          <w:szCs w:val="24"/>
          <w:lang w:eastAsia="en-GB"/>
          <w14:ligatures w14:val="none"/>
        </w:rPr>
        <w:t xml:space="preserve">, 3(2), pp. 256–262. </w:t>
      </w:r>
      <w:r w:rsidRPr="00CB0AF9">
        <w:rPr>
          <w:rFonts w:ascii="Arial" w:eastAsia="Times New Roman" w:hAnsi="Arial" w:cs="Arial"/>
          <w:kern w:val="0"/>
          <w:sz w:val="24"/>
          <w:szCs w:val="24"/>
          <w:lang w:eastAsia="en-GB"/>
          <w14:ligatures w14:val="none"/>
        </w:rPr>
        <w:br/>
      </w:r>
      <w:hyperlink r:id="rId56"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53AAF600" w14:textId="0F5BA17B"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Wimalawansa</w:t>
      </w:r>
      <w:proofErr w:type="spellEnd"/>
      <w:r w:rsidRPr="00CB0AF9">
        <w:rPr>
          <w:rFonts w:ascii="Arial" w:eastAsia="Times New Roman" w:hAnsi="Arial" w:cs="Arial"/>
          <w:kern w:val="0"/>
          <w:sz w:val="24"/>
          <w:szCs w:val="24"/>
          <w:lang w:eastAsia="en-GB"/>
          <w14:ligatures w14:val="none"/>
        </w:rPr>
        <w:t xml:space="preserve">, S.J. (2018) ‘Vitamin D deficiency: effects on oxidative stress, epigenetics, gene regulation, and aging’, </w:t>
      </w:r>
      <w:r w:rsidRPr="00CB0AF9">
        <w:rPr>
          <w:rFonts w:ascii="Arial" w:eastAsia="Times New Roman" w:hAnsi="Arial" w:cs="Arial"/>
          <w:i/>
          <w:iCs/>
          <w:kern w:val="0"/>
          <w:sz w:val="24"/>
          <w:szCs w:val="24"/>
          <w:lang w:eastAsia="en-GB"/>
          <w14:ligatures w14:val="none"/>
        </w:rPr>
        <w:t>Biology</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0E2CB513" w14:textId="3547308A" w:rsidR="008C5A5A"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CB0AF9">
        <w:rPr>
          <w:rFonts w:ascii="Arial" w:eastAsia="Times New Roman" w:hAnsi="Arial" w:cs="Arial"/>
          <w:kern w:val="0"/>
          <w:sz w:val="24"/>
          <w:szCs w:val="24"/>
          <w:lang w:eastAsia="en-GB"/>
          <w14:ligatures w14:val="none"/>
        </w:rPr>
        <w:t>Wicherts</w:t>
      </w:r>
      <w:proofErr w:type="spellEnd"/>
      <w:r w:rsidRPr="00CB0AF9">
        <w:rPr>
          <w:rFonts w:ascii="Arial" w:eastAsia="Times New Roman" w:hAnsi="Arial" w:cs="Arial"/>
          <w:kern w:val="0"/>
          <w:sz w:val="24"/>
          <w:szCs w:val="24"/>
          <w:lang w:eastAsia="en-GB"/>
          <w14:ligatures w14:val="none"/>
        </w:rPr>
        <w:t xml:space="preserve">, I.S., </w:t>
      </w:r>
      <w:proofErr w:type="spellStart"/>
      <w:r w:rsidRPr="00CB0AF9">
        <w:rPr>
          <w:rFonts w:ascii="Arial" w:eastAsia="Times New Roman" w:hAnsi="Arial" w:cs="Arial"/>
          <w:kern w:val="0"/>
          <w:sz w:val="24"/>
          <w:szCs w:val="24"/>
          <w:lang w:eastAsia="en-GB"/>
          <w14:ligatures w14:val="none"/>
        </w:rPr>
        <w:t>Boeke</w:t>
      </w:r>
      <w:proofErr w:type="spellEnd"/>
      <w:r w:rsidRPr="00CB0AF9">
        <w:rPr>
          <w:rFonts w:ascii="Arial" w:eastAsia="Times New Roman" w:hAnsi="Arial" w:cs="Arial"/>
          <w:kern w:val="0"/>
          <w:sz w:val="24"/>
          <w:szCs w:val="24"/>
          <w:lang w:eastAsia="en-GB"/>
          <w14:ligatures w14:val="none"/>
        </w:rPr>
        <w:t>, A.J.P., van der Meer, I.M., van Schoor, N.M., Knol, D.L. and Lips, P. (2007) ‘Vitamin D status predicts physical performance and its decline in older persons’, Journal of Clinical Endocrinology &amp; Metabolism, 92(6), pp. 2058–2065.</w:t>
      </w:r>
    </w:p>
    <w:p w14:paraId="6672445D" w14:textId="77777777" w:rsidR="00CB0AF9" w:rsidRPr="00CB0AF9" w:rsidRDefault="00CB0AF9"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World Health Organization (2021) Decade of Healthy Ageing: Baseline Report. Geneva: WHO.</w:t>
      </w:r>
    </w:p>
    <w:p w14:paraId="071DE35F" w14:textId="48B5875D" w:rsidR="00CB0AF9" w:rsidRPr="00CB0AF9" w:rsidRDefault="00CB0AF9"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World Health Organization (2022) Integrated care for older people: guidance for person-centred assessment and pathways in primary care. Geneva: WHO.</w:t>
      </w:r>
    </w:p>
    <w:p w14:paraId="642B4A61" w14:textId="77777777" w:rsidR="008C5A5A" w:rsidRPr="00CB0AF9" w:rsidRDefault="008C5A5A"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Witham, M.D., Nadir, M.A. and Struthers, A.D. (2009) ‘Effect of vitamin D on blood pressure: a systematic review and meta-analysis’, Journal of Hypertension, 27(10), pp. 1948–1954.</w:t>
      </w:r>
    </w:p>
    <w:p w14:paraId="4B54145A" w14:textId="0CEB0920"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Xie, J., et al. (2021) ‘Vitamin D supplementation reduces the risk of fall in vitamin D deficient elderly: an updated meta-analysis’, </w:t>
      </w:r>
      <w:r w:rsidRPr="00CB0AF9">
        <w:rPr>
          <w:rFonts w:ascii="Arial" w:eastAsia="Times New Roman" w:hAnsi="Arial" w:cs="Arial"/>
          <w:i/>
          <w:iCs/>
          <w:kern w:val="0"/>
          <w:sz w:val="24"/>
          <w:szCs w:val="24"/>
          <w:lang w:eastAsia="en-GB"/>
          <w14:ligatures w14:val="none"/>
        </w:rPr>
        <w:t>Clinical Nutrition</w:t>
      </w:r>
      <w:r w:rsidRPr="00CB0AF9">
        <w:rPr>
          <w:rFonts w:ascii="Arial" w:eastAsia="Times New Roman" w:hAnsi="Arial" w:cs="Arial"/>
          <w:kern w:val="0"/>
          <w:sz w:val="24"/>
          <w:szCs w:val="24"/>
          <w:lang w:eastAsia="en-GB"/>
          <w14:ligatures w14:val="none"/>
        </w:rPr>
        <w:t xml:space="preserve">. </w:t>
      </w:r>
      <w:r w:rsidRPr="00CB0AF9">
        <w:rPr>
          <w:rFonts w:ascii="Arial" w:eastAsia="Times New Roman" w:hAnsi="Arial" w:cs="Arial"/>
          <w:kern w:val="0"/>
          <w:sz w:val="24"/>
          <w:szCs w:val="24"/>
          <w:lang w:eastAsia="en-GB"/>
          <w14:ligatures w14:val="none"/>
        </w:rPr>
        <w:br/>
      </w:r>
      <w:hyperlink r:id="rId57" w:tgtFrame="_blank" w:history="1">
        <w:r w:rsidRPr="00CB0AF9">
          <w:rPr>
            <w:rFonts w:ascii="Arial" w:eastAsia="Times New Roman" w:hAnsi="Arial" w:cs="Arial"/>
            <w:color w:val="0000FF"/>
            <w:kern w:val="0"/>
            <w:sz w:val="24"/>
            <w:szCs w:val="24"/>
            <w:u w:val="single"/>
            <w:lang w:eastAsia="en-GB"/>
            <w14:ligatures w14:val="none"/>
          </w:rPr>
          <w:t>PubMed</w:t>
        </w:r>
      </w:hyperlink>
      <w:r w:rsidRPr="00CB0AF9">
        <w:rPr>
          <w:rFonts w:ascii="Arial" w:eastAsia="Times New Roman" w:hAnsi="Arial" w:cs="Arial"/>
          <w:kern w:val="0"/>
          <w:sz w:val="24"/>
          <w:szCs w:val="24"/>
          <w:lang w:eastAsia="en-GB"/>
          <w14:ligatures w14:val="none"/>
        </w:rPr>
        <w:t xml:space="preserve"> </w:t>
      </w:r>
    </w:p>
    <w:p w14:paraId="739DA7CB" w14:textId="3A16C55A" w:rsidR="00F10436" w:rsidRPr="00CB0AF9" w:rsidRDefault="00F10436" w:rsidP="00CB0AF9">
      <w:pPr>
        <w:pStyle w:val="ListParagraph"/>
        <w:numPr>
          <w:ilvl w:val="0"/>
          <w:numId w:val="2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 xml:space="preserve">Yao, P., Bennett, D., </w:t>
      </w:r>
      <w:proofErr w:type="spellStart"/>
      <w:r w:rsidRPr="00CB0AF9">
        <w:rPr>
          <w:rFonts w:ascii="Arial" w:eastAsia="Times New Roman" w:hAnsi="Arial" w:cs="Arial"/>
          <w:kern w:val="0"/>
          <w:sz w:val="24"/>
          <w:szCs w:val="24"/>
          <w:lang w:eastAsia="en-GB"/>
          <w14:ligatures w14:val="none"/>
        </w:rPr>
        <w:t>Mafham</w:t>
      </w:r>
      <w:proofErr w:type="spellEnd"/>
      <w:r w:rsidRPr="00CB0AF9">
        <w:rPr>
          <w:rFonts w:ascii="Arial" w:eastAsia="Times New Roman" w:hAnsi="Arial" w:cs="Arial"/>
          <w:kern w:val="0"/>
          <w:sz w:val="24"/>
          <w:szCs w:val="24"/>
          <w:lang w:eastAsia="en-GB"/>
          <w14:ligatures w14:val="none"/>
        </w:rPr>
        <w:t xml:space="preserve">, M., Lin, X., Chen, Z., Armitage, J. and Clarke, R. (2019) ‘Vitamin D and calcium for the prevention of fractures in older adults’, </w:t>
      </w:r>
      <w:r w:rsidRPr="00CB0AF9">
        <w:rPr>
          <w:rFonts w:ascii="Arial" w:eastAsia="Times New Roman" w:hAnsi="Arial" w:cs="Arial"/>
          <w:i/>
          <w:iCs/>
          <w:kern w:val="0"/>
          <w:sz w:val="24"/>
          <w:szCs w:val="24"/>
          <w:lang w:eastAsia="en-GB"/>
          <w14:ligatures w14:val="none"/>
        </w:rPr>
        <w:t>JAMA</w:t>
      </w:r>
      <w:r w:rsidRPr="00CB0AF9">
        <w:rPr>
          <w:rFonts w:ascii="Arial" w:eastAsia="Times New Roman" w:hAnsi="Arial" w:cs="Arial"/>
          <w:kern w:val="0"/>
          <w:sz w:val="24"/>
          <w:szCs w:val="24"/>
          <w:lang w:eastAsia="en-GB"/>
          <w14:ligatures w14:val="none"/>
        </w:rPr>
        <w:t>.</w:t>
      </w:r>
      <w:r w:rsidRPr="00CB0AF9">
        <w:rPr>
          <w:rFonts w:ascii="Arial" w:eastAsia="Times New Roman" w:hAnsi="Arial" w:cs="Arial"/>
          <w:kern w:val="0"/>
          <w:sz w:val="24"/>
          <w:szCs w:val="24"/>
          <w:lang w:eastAsia="en-GB"/>
          <w14:ligatures w14:val="none"/>
        </w:rPr>
        <w:br/>
        <w:t xml:space="preserve">PubMed search </w:t>
      </w:r>
    </w:p>
    <w:p w14:paraId="7DAD2A18" w14:textId="77777777" w:rsidR="008C5A5A" w:rsidRPr="00CB0AF9" w:rsidRDefault="008C5A5A" w:rsidP="00CB0AF9">
      <w:pPr>
        <w:pStyle w:val="ListParagraph"/>
        <w:numPr>
          <w:ilvl w:val="0"/>
          <w:numId w:val="26"/>
        </w:numPr>
        <w:rPr>
          <w:rFonts w:ascii="Arial" w:eastAsia="Times New Roman" w:hAnsi="Arial" w:cs="Arial"/>
          <w:kern w:val="0"/>
          <w:sz w:val="24"/>
          <w:szCs w:val="24"/>
          <w:lang w:eastAsia="en-GB"/>
          <w14:ligatures w14:val="none"/>
        </w:rPr>
      </w:pPr>
      <w:r w:rsidRPr="00CB0AF9">
        <w:rPr>
          <w:rFonts w:ascii="Arial" w:eastAsia="Times New Roman" w:hAnsi="Arial" w:cs="Arial"/>
          <w:kern w:val="0"/>
          <w:sz w:val="24"/>
          <w:szCs w:val="24"/>
          <w:lang w:eastAsia="en-GB"/>
          <w14:ligatures w14:val="none"/>
        </w:rPr>
        <w:t>Zhao, J.G., Zeng, X.T., Wang, J. and Liu, L. (2017) ‘Association between calcium or vitamin D supplementation and fracture incidence in community-dwelling older adults: a systematic review and meta-analysis’, JAMA, 318(24), pp. 2466–2472.</w:t>
      </w:r>
    </w:p>
    <w:p w14:paraId="169DE43E" w14:textId="77777777" w:rsidR="008C5A5A" w:rsidRPr="00F10436" w:rsidRDefault="008C5A5A" w:rsidP="008C5A5A">
      <w:pPr>
        <w:spacing w:before="100" w:beforeAutospacing="1" w:after="100" w:afterAutospacing="1" w:line="360" w:lineRule="auto"/>
        <w:ind w:left="720"/>
        <w:jc w:val="both"/>
        <w:rPr>
          <w:rFonts w:ascii="Arial" w:eastAsia="Times New Roman" w:hAnsi="Arial" w:cs="Arial"/>
          <w:kern w:val="0"/>
          <w:sz w:val="24"/>
          <w:szCs w:val="24"/>
          <w:lang w:eastAsia="en-GB"/>
          <w14:ligatures w14:val="none"/>
        </w:rPr>
      </w:pPr>
    </w:p>
    <w:p w14:paraId="241AA376" w14:textId="75563961" w:rsidR="00FB16B0" w:rsidRPr="00FB16B0" w:rsidRDefault="00FB16B0" w:rsidP="00BC00DA">
      <w:pPr>
        <w:spacing w:before="240" w:line="360" w:lineRule="auto"/>
        <w:ind w:left="360"/>
        <w:jc w:val="both"/>
        <w:rPr>
          <w:rFonts w:ascii="Arial" w:eastAsia="Times New Roman" w:hAnsi="Arial" w:cs="Arial"/>
          <w:color w:val="000000"/>
          <w:sz w:val="24"/>
          <w:szCs w:val="24"/>
        </w:rPr>
      </w:pPr>
    </w:p>
    <w:sectPr w:rsidR="00FB16B0" w:rsidRPr="00FB16B0" w:rsidSect="00F02E4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A368A" w14:textId="77777777" w:rsidR="00F676DD" w:rsidRDefault="00F676DD">
      <w:pPr>
        <w:spacing w:after="0" w:line="240" w:lineRule="auto"/>
      </w:pPr>
      <w:r>
        <w:separator/>
      </w:r>
    </w:p>
  </w:endnote>
  <w:endnote w:type="continuationSeparator" w:id="0">
    <w:p w14:paraId="471C9321" w14:textId="77777777" w:rsidR="00F676DD" w:rsidRDefault="00F67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B018DD" w:rsidRDefault="00B018DD">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B018DD" w:rsidRDefault="00B018DD">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4A65771D" w:rsidR="00B018DD" w:rsidRDefault="00B018DD">
    <w:pPr>
      <w:spacing w:after="0"/>
      <w:ind w:right="-3"/>
      <w:jc w:val="right"/>
    </w:pPr>
    <w:r>
      <w:fldChar w:fldCharType="begin"/>
    </w:r>
    <w:r>
      <w:instrText xml:space="preserve"> PAGE   \* MERGEFORMAT </w:instrText>
    </w:r>
    <w:r>
      <w:fldChar w:fldCharType="separate"/>
    </w:r>
    <w:r w:rsidR="00D963B1" w:rsidRPr="00D963B1">
      <w:rPr>
        <w:rFonts w:ascii="Calibri" w:eastAsia="Calibri" w:hAnsi="Calibri" w:cs="Calibri"/>
        <w:noProof/>
      </w:rPr>
      <w:t>xii</w:t>
    </w:r>
    <w:r w:rsidR="00D963B1" w:rsidRPr="00D963B1">
      <w:rPr>
        <w:rFonts w:ascii="Calibri" w:eastAsia="Calibri" w:hAnsi="Calibri" w:cs="Calibri"/>
        <w:noProof/>
      </w:rPr>
      <w:t>i</w:t>
    </w:r>
    <w:r>
      <w:rPr>
        <w:rFonts w:ascii="Calibri" w:eastAsia="Calibri" w:hAnsi="Calibri" w:cs="Calibri"/>
      </w:rPr>
      <w:fldChar w:fldCharType="end"/>
    </w:r>
    <w:r>
      <w:rPr>
        <w:rFonts w:ascii="Calibri" w:eastAsia="Calibri" w:hAnsi="Calibri" w:cs="Calibri"/>
      </w:rPr>
      <w:t xml:space="preserve"> </w:t>
    </w:r>
  </w:p>
  <w:p w14:paraId="3B69E3F4" w14:textId="1FFCB5A1" w:rsidR="00B018DD" w:rsidRDefault="00B018DD">
    <w:pPr>
      <w:tabs>
        <w:tab w:val="center" w:pos="4405"/>
      </w:tabs>
      <w:spacing w:after="0"/>
    </w:pPr>
    <w:proofErr w:type="spellStart"/>
    <w:r w:rsidRPr="000227B1">
      <w:rPr>
        <w:rFonts w:ascii="Calibri" w:eastAsia="Calibri" w:hAnsi="Calibri" w:cs="Calibri"/>
      </w:rPr>
      <w:t>Tarikul</w:t>
    </w:r>
    <w:proofErr w:type="spellEnd"/>
    <w:r w:rsidRPr="000227B1">
      <w:rPr>
        <w:rFonts w:ascii="Calibri" w:eastAsia="Calibri" w:hAnsi="Calibri" w:cs="Calibri"/>
      </w:rPr>
      <w:t xml:space="preserve"> Islam</w:t>
    </w:r>
    <w:r w:rsidRPr="001D3EA8">
      <w:rPr>
        <w:rFonts w:ascii="Calibri" w:eastAsia="Calibri" w:hAnsi="Calibri" w:cs="Calibri"/>
      </w:rPr>
      <w:tab/>
    </w:r>
    <w:r>
      <w:rPr>
        <w:rFonts w:ascii="Calibri" w:eastAsia="Calibri" w:hAnsi="Calibri" w:cs="Calibri"/>
      </w:rPr>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B018DD" w:rsidRDefault="00B018DD">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B018DD" w:rsidRDefault="00B018DD">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F19FD" w14:textId="77777777" w:rsidR="00F676DD" w:rsidRDefault="00F676DD">
      <w:pPr>
        <w:spacing w:after="0" w:line="240" w:lineRule="auto"/>
      </w:pPr>
      <w:r>
        <w:separator/>
      </w:r>
    </w:p>
  </w:footnote>
  <w:footnote w:type="continuationSeparator" w:id="0">
    <w:p w14:paraId="63208FF0" w14:textId="77777777" w:rsidR="00F676DD" w:rsidRDefault="00F67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556A"/>
    <w:multiLevelType w:val="multilevel"/>
    <w:tmpl w:val="30FC86CC"/>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F3BB5"/>
    <w:multiLevelType w:val="hybridMultilevel"/>
    <w:tmpl w:val="8306E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C1305"/>
    <w:multiLevelType w:val="multilevel"/>
    <w:tmpl w:val="BD340122"/>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D2E35"/>
    <w:multiLevelType w:val="hybridMultilevel"/>
    <w:tmpl w:val="EA929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A71D1"/>
    <w:multiLevelType w:val="hybridMultilevel"/>
    <w:tmpl w:val="76D679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6590A"/>
    <w:multiLevelType w:val="multilevel"/>
    <w:tmpl w:val="453A2FE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3D1195"/>
    <w:multiLevelType w:val="multilevel"/>
    <w:tmpl w:val="53DCBA4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4128AB"/>
    <w:multiLevelType w:val="multilevel"/>
    <w:tmpl w:val="B1B6080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CC6842"/>
    <w:multiLevelType w:val="multilevel"/>
    <w:tmpl w:val="0C568D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296D97"/>
    <w:multiLevelType w:val="hybridMultilevel"/>
    <w:tmpl w:val="FC700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986446"/>
    <w:multiLevelType w:val="multilevel"/>
    <w:tmpl w:val="1B2828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B27079"/>
    <w:multiLevelType w:val="hybridMultilevel"/>
    <w:tmpl w:val="2C425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603F0"/>
    <w:multiLevelType w:val="hybridMultilevel"/>
    <w:tmpl w:val="7FB0F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11ECF"/>
    <w:multiLevelType w:val="multilevel"/>
    <w:tmpl w:val="2962033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8D08C9"/>
    <w:multiLevelType w:val="multilevel"/>
    <w:tmpl w:val="76144B42"/>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26356B"/>
    <w:multiLevelType w:val="multilevel"/>
    <w:tmpl w:val="01AA21B8"/>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C850B7"/>
    <w:multiLevelType w:val="multilevel"/>
    <w:tmpl w:val="86C83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F156BD"/>
    <w:multiLevelType w:val="multilevel"/>
    <w:tmpl w:val="CA9C6DBA"/>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EA16AA"/>
    <w:multiLevelType w:val="multilevel"/>
    <w:tmpl w:val="5892489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1A528F"/>
    <w:multiLevelType w:val="multilevel"/>
    <w:tmpl w:val="FE96463A"/>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5D5BF8"/>
    <w:multiLevelType w:val="multilevel"/>
    <w:tmpl w:val="E6D87B98"/>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071511"/>
    <w:multiLevelType w:val="multilevel"/>
    <w:tmpl w:val="C88C388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5370D0"/>
    <w:multiLevelType w:val="multilevel"/>
    <w:tmpl w:val="6FA0A9CE"/>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E824F1"/>
    <w:multiLevelType w:val="multilevel"/>
    <w:tmpl w:val="D8F60CE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545D47"/>
    <w:multiLevelType w:val="multilevel"/>
    <w:tmpl w:val="65ECAF80"/>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B904E4"/>
    <w:multiLevelType w:val="multilevel"/>
    <w:tmpl w:val="AF82994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326AD4"/>
    <w:multiLevelType w:val="multilevel"/>
    <w:tmpl w:val="4DC4AF3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F33878"/>
    <w:multiLevelType w:val="hybridMultilevel"/>
    <w:tmpl w:val="48069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43008">
    <w:abstractNumId w:val="27"/>
  </w:num>
  <w:num w:numId="2" w16cid:durableId="477188828">
    <w:abstractNumId w:val="4"/>
  </w:num>
  <w:num w:numId="3" w16cid:durableId="1021278154">
    <w:abstractNumId w:val="16"/>
  </w:num>
  <w:num w:numId="4" w16cid:durableId="1759249855">
    <w:abstractNumId w:val="10"/>
  </w:num>
  <w:num w:numId="5" w16cid:durableId="1228684229">
    <w:abstractNumId w:val="8"/>
  </w:num>
  <w:num w:numId="6" w16cid:durableId="1284001307">
    <w:abstractNumId w:val="13"/>
  </w:num>
  <w:num w:numId="7" w16cid:durableId="977220425">
    <w:abstractNumId w:val="5"/>
  </w:num>
  <w:num w:numId="8" w16cid:durableId="179710488">
    <w:abstractNumId w:val="25"/>
  </w:num>
  <w:num w:numId="9" w16cid:durableId="740955581">
    <w:abstractNumId w:val="18"/>
  </w:num>
  <w:num w:numId="10" w16cid:durableId="401955281">
    <w:abstractNumId w:val="23"/>
  </w:num>
  <w:num w:numId="11" w16cid:durableId="1470899646">
    <w:abstractNumId w:val="21"/>
  </w:num>
  <w:num w:numId="12" w16cid:durableId="2132019121">
    <w:abstractNumId w:val="7"/>
  </w:num>
  <w:num w:numId="13" w16cid:durableId="601496163">
    <w:abstractNumId w:val="6"/>
  </w:num>
  <w:num w:numId="14" w16cid:durableId="1967464597">
    <w:abstractNumId w:val="26"/>
  </w:num>
  <w:num w:numId="15" w16cid:durableId="1146125875">
    <w:abstractNumId w:val="17"/>
  </w:num>
  <w:num w:numId="16" w16cid:durableId="1155879616">
    <w:abstractNumId w:val="24"/>
  </w:num>
  <w:num w:numId="17" w16cid:durableId="93477236">
    <w:abstractNumId w:val="19"/>
  </w:num>
  <w:num w:numId="18" w16cid:durableId="1057776093">
    <w:abstractNumId w:val="14"/>
  </w:num>
  <w:num w:numId="19" w16cid:durableId="2052918483">
    <w:abstractNumId w:val="15"/>
  </w:num>
  <w:num w:numId="20" w16cid:durableId="1675184818">
    <w:abstractNumId w:val="0"/>
  </w:num>
  <w:num w:numId="21" w16cid:durableId="1910075146">
    <w:abstractNumId w:val="22"/>
  </w:num>
  <w:num w:numId="22" w16cid:durableId="402529253">
    <w:abstractNumId w:val="20"/>
  </w:num>
  <w:num w:numId="23" w16cid:durableId="1629697692">
    <w:abstractNumId w:val="2"/>
  </w:num>
  <w:num w:numId="24" w16cid:durableId="81220151">
    <w:abstractNumId w:val="1"/>
  </w:num>
  <w:num w:numId="25" w16cid:durableId="1834830331">
    <w:abstractNumId w:val="9"/>
  </w:num>
  <w:num w:numId="26" w16cid:durableId="2106459096">
    <w:abstractNumId w:val="11"/>
  </w:num>
  <w:num w:numId="27" w16cid:durableId="520096583">
    <w:abstractNumId w:val="12"/>
  </w:num>
  <w:num w:numId="28" w16cid:durableId="43733557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4C5"/>
    <w:rsid w:val="00022344"/>
    <w:rsid w:val="000227B1"/>
    <w:rsid w:val="00036851"/>
    <w:rsid w:val="0005543D"/>
    <w:rsid w:val="000555DE"/>
    <w:rsid w:val="000625F3"/>
    <w:rsid w:val="00066B2A"/>
    <w:rsid w:val="00081EFD"/>
    <w:rsid w:val="000A7E52"/>
    <w:rsid w:val="000B6956"/>
    <w:rsid w:val="000C39D5"/>
    <w:rsid w:val="000C5C83"/>
    <w:rsid w:val="000D46FF"/>
    <w:rsid w:val="000D4EC8"/>
    <w:rsid w:val="000E1A1C"/>
    <w:rsid w:val="000F72B6"/>
    <w:rsid w:val="00113366"/>
    <w:rsid w:val="00126990"/>
    <w:rsid w:val="0013696E"/>
    <w:rsid w:val="00156C44"/>
    <w:rsid w:val="001700FE"/>
    <w:rsid w:val="0018258A"/>
    <w:rsid w:val="00196FD4"/>
    <w:rsid w:val="001A6183"/>
    <w:rsid w:val="001C476E"/>
    <w:rsid w:val="001C5965"/>
    <w:rsid w:val="001D3EA8"/>
    <w:rsid w:val="001F267D"/>
    <w:rsid w:val="001F3BE6"/>
    <w:rsid w:val="002050AD"/>
    <w:rsid w:val="00206741"/>
    <w:rsid w:val="00221188"/>
    <w:rsid w:val="002519D7"/>
    <w:rsid w:val="00270572"/>
    <w:rsid w:val="002731EC"/>
    <w:rsid w:val="002847A0"/>
    <w:rsid w:val="002B04A6"/>
    <w:rsid w:val="002B523E"/>
    <w:rsid w:val="002C538B"/>
    <w:rsid w:val="002D4F4A"/>
    <w:rsid w:val="002D5D12"/>
    <w:rsid w:val="002F2407"/>
    <w:rsid w:val="00304F3F"/>
    <w:rsid w:val="003104F6"/>
    <w:rsid w:val="00311DB4"/>
    <w:rsid w:val="00326C2D"/>
    <w:rsid w:val="00354EED"/>
    <w:rsid w:val="003613A0"/>
    <w:rsid w:val="0037262D"/>
    <w:rsid w:val="0037338D"/>
    <w:rsid w:val="00392534"/>
    <w:rsid w:val="00397204"/>
    <w:rsid w:val="003A118D"/>
    <w:rsid w:val="003A2840"/>
    <w:rsid w:val="003B57A5"/>
    <w:rsid w:val="003C020E"/>
    <w:rsid w:val="003C35D2"/>
    <w:rsid w:val="003E3696"/>
    <w:rsid w:val="003F68FC"/>
    <w:rsid w:val="00414C12"/>
    <w:rsid w:val="0041500A"/>
    <w:rsid w:val="00431464"/>
    <w:rsid w:val="004528E6"/>
    <w:rsid w:val="00462F16"/>
    <w:rsid w:val="004645B5"/>
    <w:rsid w:val="00475036"/>
    <w:rsid w:val="004858EF"/>
    <w:rsid w:val="00495573"/>
    <w:rsid w:val="00495D71"/>
    <w:rsid w:val="004A318E"/>
    <w:rsid w:val="004B2304"/>
    <w:rsid w:val="004B47D2"/>
    <w:rsid w:val="004B716B"/>
    <w:rsid w:val="004C5E1E"/>
    <w:rsid w:val="004D3D94"/>
    <w:rsid w:val="004D638F"/>
    <w:rsid w:val="00500A39"/>
    <w:rsid w:val="00511291"/>
    <w:rsid w:val="00515A87"/>
    <w:rsid w:val="00522F4C"/>
    <w:rsid w:val="00530581"/>
    <w:rsid w:val="00540B10"/>
    <w:rsid w:val="0054707B"/>
    <w:rsid w:val="0055489D"/>
    <w:rsid w:val="00560676"/>
    <w:rsid w:val="005638C3"/>
    <w:rsid w:val="00593CB9"/>
    <w:rsid w:val="00594C6F"/>
    <w:rsid w:val="00595555"/>
    <w:rsid w:val="00596232"/>
    <w:rsid w:val="005A2D42"/>
    <w:rsid w:val="005A3951"/>
    <w:rsid w:val="005A530F"/>
    <w:rsid w:val="005C0804"/>
    <w:rsid w:val="005C5396"/>
    <w:rsid w:val="005E0905"/>
    <w:rsid w:val="005E31EA"/>
    <w:rsid w:val="005E44D4"/>
    <w:rsid w:val="005E558F"/>
    <w:rsid w:val="005F1189"/>
    <w:rsid w:val="005F4515"/>
    <w:rsid w:val="0061635D"/>
    <w:rsid w:val="00623C0E"/>
    <w:rsid w:val="0063463C"/>
    <w:rsid w:val="0063476C"/>
    <w:rsid w:val="00636DA1"/>
    <w:rsid w:val="006378DD"/>
    <w:rsid w:val="0064039B"/>
    <w:rsid w:val="0064386D"/>
    <w:rsid w:val="00650CCD"/>
    <w:rsid w:val="00651977"/>
    <w:rsid w:val="00653AA3"/>
    <w:rsid w:val="00654543"/>
    <w:rsid w:val="00683E12"/>
    <w:rsid w:val="00693217"/>
    <w:rsid w:val="006A0C92"/>
    <w:rsid w:val="006A207D"/>
    <w:rsid w:val="006B7953"/>
    <w:rsid w:val="006C35A5"/>
    <w:rsid w:val="006C45C3"/>
    <w:rsid w:val="006C5761"/>
    <w:rsid w:val="006D3483"/>
    <w:rsid w:val="006D3606"/>
    <w:rsid w:val="006E14D9"/>
    <w:rsid w:val="006E479F"/>
    <w:rsid w:val="006F4D0F"/>
    <w:rsid w:val="0070167D"/>
    <w:rsid w:val="007019CE"/>
    <w:rsid w:val="0070279F"/>
    <w:rsid w:val="0071526A"/>
    <w:rsid w:val="00716627"/>
    <w:rsid w:val="00716F77"/>
    <w:rsid w:val="00721611"/>
    <w:rsid w:val="00723CAC"/>
    <w:rsid w:val="00732F64"/>
    <w:rsid w:val="007446D0"/>
    <w:rsid w:val="00756F75"/>
    <w:rsid w:val="00777B75"/>
    <w:rsid w:val="007843AD"/>
    <w:rsid w:val="00797FE6"/>
    <w:rsid w:val="007A0A22"/>
    <w:rsid w:val="007A457C"/>
    <w:rsid w:val="007E3114"/>
    <w:rsid w:val="007F1C8A"/>
    <w:rsid w:val="007F3292"/>
    <w:rsid w:val="007F6B71"/>
    <w:rsid w:val="00830205"/>
    <w:rsid w:val="00835611"/>
    <w:rsid w:val="00836DF3"/>
    <w:rsid w:val="00843E0D"/>
    <w:rsid w:val="00844758"/>
    <w:rsid w:val="00851D37"/>
    <w:rsid w:val="008768B4"/>
    <w:rsid w:val="008819FD"/>
    <w:rsid w:val="008942E7"/>
    <w:rsid w:val="008A2552"/>
    <w:rsid w:val="008A397A"/>
    <w:rsid w:val="008A39E4"/>
    <w:rsid w:val="008A73BC"/>
    <w:rsid w:val="008B62E7"/>
    <w:rsid w:val="008C4893"/>
    <w:rsid w:val="008C4942"/>
    <w:rsid w:val="008C5A5A"/>
    <w:rsid w:val="008D6BF7"/>
    <w:rsid w:val="00901DD0"/>
    <w:rsid w:val="009031ED"/>
    <w:rsid w:val="009179A0"/>
    <w:rsid w:val="00925B52"/>
    <w:rsid w:val="00930D2E"/>
    <w:rsid w:val="00935836"/>
    <w:rsid w:val="0094511B"/>
    <w:rsid w:val="00951A14"/>
    <w:rsid w:val="009536FC"/>
    <w:rsid w:val="00954E4C"/>
    <w:rsid w:val="0096159D"/>
    <w:rsid w:val="00964869"/>
    <w:rsid w:val="00964DF4"/>
    <w:rsid w:val="009679F6"/>
    <w:rsid w:val="0097048A"/>
    <w:rsid w:val="009706D0"/>
    <w:rsid w:val="00972973"/>
    <w:rsid w:val="00977288"/>
    <w:rsid w:val="00986A40"/>
    <w:rsid w:val="00993B35"/>
    <w:rsid w:val="00997918"/>
    <w:rsid w:val="009A1B64"/>
    <w:rsid w:val="009A6425"/>
    <w:rsid w:val="009B146A"/>
    <w:rsid w:val="009C23A2"/>
    <w:rsid w:val="009D0101"/>
    <w:rsid w:val="009D0DC2"/>
    <w:rsid w:val="009F192E"/>
    <w:rsid w:val="009F2E7E"/>
    <w:rsid w:val="009F3C7F"/>
    <w:rsid w:val="009F64C5"/>
    <w:rsid w:val="009F7348"/>
    <w:rsid w:val="00A05FA5"/>
    <w:rsid w:val="00A20D6C"/>
    <w:rsid w:val="00A22C52"/>
    <w:rsid w:val="00A24B29"/>
    <w:rsid w:val="00A42418"/>
    <w:rsid w:val="00A4529F"/>
    <w:rsid w:val="00A45AC0"/>
    <w:rsid w:val="00A51014"/>
    <w:rsid w:val="00A54221"/>
    <w:rsid w:val="00A72FC0"/>
    <w:rsid w:val="00A81631"/>
    <w:rsid w:val="00A9635A"/>
    <w:rsid w:val="00AA49CF"/>
    <w:rsid w:val="00AB7AED"/>
    <w:rsid w:val="00AC2C80"/>
    <w:rsid w:val="00B00384"/>
    <w:rsid w:val="00B018DD"/>
    <w:rsid w:val="00B03F0C"/>
    <w:rsid w:val="00B1391A"/>
    <w:rsid w:val="00B21395"/>
    <w:rsid w:val="00B4152D"/>
    <w:rsid w:val="00B42798"/>
    <w:rsid w:val="00B435F9"/>
    <w:rsid w:val="00B92BDA"/>
    <w:rsid w:val="00B95409"/>
    <w:rsid w:val="00B963A2"/>
    <w:rsid w:val="00B97FEE"/>
    <w:rsid w:val="00BC00DA"/>
    <w:rsid w:val="00BC67C0"/>
    <w:rsid w:val="00BD18B3"/>
    <w:rsid w:val="00BE4215"/>
    <w:rsid w:val="00BE5383"/>
    <w:rsid w:val="00BF4E64"/>
    <w:rsid w:val="00C1628F"/>
    <w:rsid w:val="00C1695C"/>
    <w:rsid w:val="00C23F28"/>
    <w:rsid w:val="00C365C4"/>
    <w:rsid w:val="00C3736A"/>
    <w:rsid w:val="00C40D21"/>
    <w:rsid w:val="00C40F7A"/>
    <w:rsid w:val="00C648A7"/>
    <w:rsid w:val="00C67849"/>
    <w:rsid w:val="00C82AB3"/>
    <w:rsid w:val="00C870CC"/>
    <w:rsid w:val="00C87388"/>
    <w:rsid w:val="00C874C3"/>
    <w:rsid w:val="00C900F5"/>
    <w:rsid w:val="00CA7DBC"/>
    <w:rsid w:val="00CB01D0"/>
    <w:rsid w:val="00CB0243"/>
    <w:rsid w:val="00CB0AF9"/>
    <w:rsid w:val="00CB2BA4"/>
    <w:rsid w:val="00CC4CBC"/>
    <w:rsid w:val="00CC6791"/>
    <w:rsid w:val="00CE5F90"/>
    <w:rsid w:val="00CF40A1"/>
    <w:rsid w:val="00D26BB0"/>
    <w:rsid w:val="00D326B5"/>
    <w:rsid w:val="00D33F1B"/>
    <w:rsid w:val="00D36A6D"/>
    <w:rsid w:val="00D50343"/>
    <w:rsid w:val="00D75659"/>
    <w:rsid w:val="00D86A15"/>
    <w:rsid w:val="00D8735D"/>
    <w:rsid w:val="00D90FA2"/>
    <w:rsid w:val="00D963B1"/>
    <w:rsid w:val="00DA7A7A"/>
    <w:rsid w:val="00DC389B"/>
    <w:rsid w:val="00DC5BCD"/>
    <w:rsid w:val="00DD2F6E"/>
    <w:rsid w:val="00DD7AA5"/>
    <w:rsid w:val="00DD7EC2"/>
    <w:rsid w:val="00DE4331"/>
    <w:rsid w:val="00E124C2"/>
    <w:rsid w:val="00E329DB"/>
    <w:rsid w:val="00E33A15"/>
    <w:rsid w:val="00E35BD1"/>
    <w:rsid w:val="00E63D8B"/>
    <w:rsid w:val="00E81174"/>
    <w:rsid w:val="00E82608"/>
    <w:rsid w:val="00E90C7A"/>
    <w:rsid w:val="00E92B18"/>
    <w:rsid w:val="00EA3204"/>
    <w:rsid w:val="00EA7A23"/>
    <w:rsid w:val="00EC51ED"/>
    <w:rsid w:val="00ED33F8"/>
    <w:rsid w:val="00F0183F"/>
    <w:rsid w:val="00F02E4F"/>
    <w:rsid w:val="00F10436"/>
    <w:rsid w:val="00F15516"/>
    <w:rsid w:val="00F24400"/>
    <w:rsid w:val="00F27D82"/>
    <w:rsid w:val="00F30754"/>
    <w:rsid w:val="00F43869"/>
    <w:rsid w:val="00F55794"/>
    <w:rsid w:val="00F56DA8"/>
    <w:rsid w:val="00F57902"/>
    <w:rsid w:val="00F64EE1"/>
    <w:rsid w:val="00F676DD"/>
    <w:rsid w:val="00F74152"/>
    <w:rsid w:val="00F832B2"/>
    <w:rsid w:val="00F87CC8"/>
    <w:rsid w:val="00FA17BE"/>
    <w:rsid w:val="00FA68B0"/>
    <w:rsid w:val="00FB16B0"/>
    <w:rsid w:val="00FC028B"/>
    <w:rsid w:val="00FC204D"/>
    <w:rsid w:val="00FC64BB"/>
    <w:rsid w:val="00FC661F"/>
    <w:rsid w:val="00FC7ADE"/>
    <w:rsid w:val="00FD076F"/>
    <w:rsid w:val="00FD0BDD"/>
    <w:rsid w:val="00FE630D"/>
    <w:rsid w:val="00FF5D3C"/>
    <w:rsid w:val="00FF71D8"/>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EC2"/>
  </w:style>
  <w:style w:type="paragraph" w:styleId="Heading1">
    <w:name w:val="heading 1"/>
    <w:next w:val="Normal"/>
    <w:link w:val="Heading1Char"/>
    <w:autoRedefine/>
    <w:uiPriority w:val="9"/>
    <w:qFormat/>
    <w:rsid w:val="00462F16"/>
    <w:pPr>
      <w:keepNext/>
      <w:keepLines/>
      <w:spacing w:after="152" w:line="265" w:lineRule="auto"/>
      <w:ind w:right="2"/>
      <w:jc w:val="center"/>
      <w:outlineLvl w:val="0"/>
    </w:pPr>
    <w:rPr>
      <w:rFonts w:ascii="Arial" w:eastAsia="Times New Roman" w:hAnsi="Arial" w:cs="Times New Roman"/>
      <w:b/>
      <w:color w:val="000000"/>
      <w:sz w:val="32"/>
    </w:rPr>
  </w:style>
  <w:style w:type="paragraph" w:styleId="Heading2">
    <w:name w:val="heading 2"/>
    <w:next w:val="Normal"/>
    <w:link w:val="Heading2Char"/>
    <w:autoRedefine/>
    <w:uiPriority w:val="9"/>
    <w:unhideWhenUsed/>
    <w:qFormat/>
    <w:rsid w:val="00FC661F"/>
    <w:pPr>
      <w:keepNext/>
      <w:keepLines/>
      <w:spacing w:after="152" w:line="265" w:lineRule="auto"/>
      <w:ind w:left="10" w:right="2" w:hanging="10"/>
      <w:jc w:val="both"/>
      <w:outlineLvl w:val="1"/>
    </w:pPr>
    <w:rPr>
      <w:rFonts w:ascii="Arial" w:eastAsia="Times New Roman" w:hAnsi="Arial" w:cs="Times New Roman"/>
      <w:b/>
      <w:color w:val="000000"/>
      <w:sz w:val="28"/>
    </w:rPr>
  </w:style>
  <w:style w:type="paragraph" w:styleId="Heading3">
    <w:name w:val="heading 3"/>
    <w:next w:val="Normal"/>
    <w:link w:val="Heading3Char"/>
    <w:autoRedefine/>
    <w:uiPriority w:val="9"/>
    <w:unhideWhenUsed/>
    <w:qFormat/>
    <w:rsid w:val="00B42798"/>
    <w:pPr>
      <w:keepNext/>
      <w:keepLines/>
      <w:spacing w:after="181" w:line="360" w:lineRule="auto"/>
      <w:jc w:val="both"/>
      <w:outlineLvl w:val="2"/>
    </w:pPr>
    <w:rPr>
      <w:rFonts w:ascii="Arial" w:eastAsia="Times New Roman" w:hAnsi="Arial" w:cs="Times New Roman"/>
      <w:b/>
      <w:color w:val="000000"/>
      <w:sz w:val="24"/>
      <w:u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F16"/>
    <w:rPr>
      <w:rFonts w:ascii="Arial" w:eastAsia="Times New Roman" w:hAnsi="Arial" w:cs="Times New Roman"/>
      <w:b/>
      <w:color w:val="000000"/>
      <w:sz w:val="32"/>
    </w:rPr>
  </w:style>
  <w:style w:type="character" w:customStyle="1" w:styleId="Heading2Char">
    <w:name w:val="Heading 2 Char"/>
    <w:basedOn w:val="DefaultParagraphFont"/>
    <w:link w:val="Heading2"/>
    <w:uiPriority w:val="9"/>
    <w:rsid w:val="00FC661F"/>
    <w:rPr>
      <w:rFonts w:ascii="Arial" w:eastAsia="Times New Roman" w:hAnsi="Arial" w:cs="Times New Roman"/>
      <w:b/>
      <w:color w:val="000000"/>
      <w:sz w:val="28"/>
    </w:rPr>
  </w:style>
  <w:style w:type="character" w:customStyle="1" w:styleId="Heading3Char">
    <w:name w:val="Heading 3 Char"/>
    <w:basedOn w:val="DefaultParagraphFont"/>
    <w:link w:val="Heading3"/>
    <w:uiPriority w:val="9"/>
    <w:rsid w:val="00B42798"/>
    <w:rPr>
      <w:rFonts w:ascii="Arial" w:eastAsia="Times New Roman" w:hAnsi="Arial" w:cs="Times New Roman"/>
      <w:b/>
      <w:color w:val="000000"/>
      <w:sz w:val="24"/>
      <w:u w:color="000000"/>
      <w:lang w:eastAsia="en-GB"/>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ListParagraph">
    <w:name w:val="List Paragraph"/>
    <w:basedOn w:val="Normal"/>
    <w:uiPriority w:val="34"/>
    <w:qFormat/>
    <w:rsid w:val="00997918"/>
    <w:pPr>
      <w:ind w:left="720"/>
      <w:contextualSpacing/>
    </w:pPr>
  </w:style>
  <w:style w:type="paragraph" w:styleId="Header">
    <w:name w:val="header"/>
    <w:basedOn w:val="Normal"/>
    <w:link w:val="HeaderChar"/>
    <w:uiPriority w:val="99"/>
    <w:unhideWhenUsed/>
    <w:rsid w:val="001D3E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EA8"/>
  </w:style>
  <w:style w:type="character" w:styleId="Hyperlink">
    <w:name w:val="Hyperlink"/>
    <w:basedOn w:val="DefaultParagraphFont"/>
    <w:uiPriority w:val="99"/>
    <w:unhideWhenUsed/>
    <w:rsid w:val="002050AD"/>
    <w:rPr>
      <w:color w:val="0563C1" w:themeColor="hyperlink"/>
      <w:u w:val="single"/>
    </w:rPr>
  </w:style>
  <w:style w:type="paragraph" w:styleId="TOCHeading">
    <w:name w:val="TOC Heading"/>
    <w:basedOn w:val="Heading1"/>
    <w:next w:val="Normal"/>
    <w:uiPriority w:val="39"/>
    <w:unhideWhenUsed/>
    <w:qFormat/>
    <w:rsid w:val="00B95409"/>
    <w:pPr>
      <w:spacing w:before="240" w:after="0" w:line="259" w:lineRule="auto"/>
      <w:ind w:right="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2">
    <w:name w:val="toc 2"/>
    <w:basedOn w:val="Normal"/>
    <w:next w:val="Normal"/>
    <w:autoRedefine/>
    <w:uiPriority w:val="39"/>
    <w:unhideWhenUsed/>
    <w:rsid w:val="00B95409"/>
    <w:pPr>
      <w:spacing w:after="100"/>
      <w:ind w:left="220"/>
    </w:pPr>
  </w:style>
  <w:style w:type="paragraph" w:styleId="TOC3">
    <w:name w:val="toc 3"/>
    <w:basedOn w:val="Normal"/>
    <w:next w:val="Normal"/>
    <w:autoRedefine/>
    <w:uiPriority w:val="39"/>
    <w:unhideWhenUsed/>
    <w:rsid w:val="00B95409"/>
    <w:pPr>
      <w:spacing w:after="100"/>
      <w:ind w:left="440"/>
    </w:pPr>
  </w:style>
  <w:style w:type="table" w:styleId="TableGrid">
    <w:name w:val="Table Grid"/>
    <w:basedOn w:val="TableNormal"/>
    <w:uiPriority w:val="39"/>
    <w:rsid w:val="00FD07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35"/>
    <w:unhideWhenUsed/>
    <w:qFormat/>
    <w:rsid w:val="00C40F7A"/>
    <w:pPr>
      <w:spacing w:after="200" w:line="240" w:lineRule="auto"/>
      <w:jc w:val="both"/>
    </w:pPr>
    <w:rPr>
      <w:rFonts w:ascii="Arial" w:hAnsi="Arial"/>
      <w:i/>
      <w:iCs/>
      <w:color w:val="44546A" w:themeColor="text2"/>
      <w:sz w:val="24"/>
      <w:szCs w:val="18"/>
    </w:rPr>
  </w:style>
  <w:style w:type="paragraph" w:styleId="TableofFigures">
    <w:name w:val="table of figures"/>
    <w:basedOn w:val="Normal"/>
    <w:next w:val="Normal"/>
    <w:uiPriority w:val="99"/>
    <w:unhideWhenUsed/>
    <w:rsid w:val="00A72FC0"/>
    <w:pPr>
      <w:spacing w:after="0"/>
    </w:pPr>
  </w:style>
  <w:style w:type="paragraph" w:styleId="Index1">
    <w:name w:val="index 1"/>
    <w:basedOn w:val="Normal"/>
    <w:next w:val="Normal"/>
    <w:autoRedefine/>
    <w:uiPriority w:val="99"/>
    <w:semiHidden/>
    <w:unhideWhenUsed/>
    <w:rsid w:val="00A72FC0"/>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15509">
      <w:bodyDiv w:val="1"/>
      <w:marLeft w:val="0"/>
      <w:marRight w:val="0"/>
      <w:marTop w:val="0"/>
      <w:marBottom w:val="0"/>
      <w:divBdr>
        <w:top w:val="none" w:sz="0" w:space="0" w:color="auto"/>
        <w:left w:val="none" w:sz="0" w:space="0" w:color="auto"/>
        <w:bottom w:val="none" w:sz="0" w:space="0" w:color="auto"/>
        <w:right w:val="none" w:sz="0" w:space="0" w:color="auto"/>
      </w:divBdr>
    </w:div>
    <w:div w:id="298000788">
      <w:bodyDiv w:val="1"/>
      <w:marLeft w:val="0"/>
      <w:marRight w:val="0"/>
      <w:marTop w:val="0"/>
      <w:marBottom w:val="0"/>
      <w:divBdr>
        <w:top w:val="none" w:sz="0" w:space="0" w:color="auto"/>
        <w:left w:val="none" w:sz="0" w:space="0" w:color="auto"/>
        <w:bottom w:val="none" w:sz="0" w:space="0" w:color="auto"/>
        <w:right w:val="none" w:sz="0" w:space="0" w:color="auto"/>
      </w:divBdr>
    </w:div>
    <w:div w:id="350911336">
      <w:bodyDiv w:val="1"/>
      <w:marLeft w:val="0"/>
      <w:marRight w:val="0"/>
      <w:marTop w:val="0"/>
      <w:marBottom w:val="0"/>
      <w:divBdr>
        <w:top w:val="none" w:sz="0" w:space="0" w:color="auto"/>
        <w:left w:val="none" w:sz="0" w:space="0" w:color="auto"/>
        <w:bottom w:val="none" w:sz="0" w:space="0" w:color="auto"/>
        <w:right w:val="none" w:sz="0" w:space="0" w:color="auto"/>
      </w:divBdr>
    </w:div>
    <w:div w:id="379398906">
      <w:bodyDiv w:val="1"/>
      <w:marLeft w:val="0"/>
      <w:marRight w:val="0"/>
      <w:marTop w:val="0"/>
      <w:marBottom w:val="0"/>
      <w:divBdr>
        <w:top w:val="none" w:sz="0" w:space="0" w:color="auto"/>
        <w:left w:val="none" w:sz="0" w:space="0" w:color="auto"/>
        <w:bottom w:val="none" w:sz="0" w:space="0" w:color="auto"/>
        <w:right w:val="none" w:sz="0" w:space="0" w:color="auto"/>
      </w:divBdr>
    </w:div>
    <w:div w:id="431711118">
      <w:bodyDiv w:val="1"/>
      <w:marLeft w:val="0"/>
      <w:marRight w:val="0"/>
      <w:marTop w:val="0"/>
      <w:marBottom w:val="0"/>
      <w:divBdr>
        <w:top w:val="none" w:sz="0" w:space="0" w:color="auto"/>
        <w:left w:val="none" w:sz="0" w:space="0" w:color="auto"/>
        <w:bottom w:val="none" w:sz="0" w:space="0" w:color="auto"/>
        <w:right w:val="none" w:sz="0" w:space="0" w:color="auto"/>
      </w:divBdr>
    </w:div>
    <w:div w:id="526141695">
      <w:bodyDiv w:val="1"/>
      <w:marLeft w:val="0"/>
      <w:marRight w:val="0"/>
      <w:marTop w:val="0"/>
      <w:marBottom w:val="0"/>
      <w:divBdr>
        <w:top w:val="none" w:sz="0" w:space="0" w:color="auto"/>
        <w:left w:val="none" w:sz="0" w:space="0" w:color="auto"/>
        <w:bottom w:val="none" w:sz="0" w:space="0" w:color="auto"/>
        <w:right w:val="none" w:sz="0" w:space="0" w:color="auto"/>
      </w:divBdr>
    </w:div>
    <w:div w:id="784498105">
      <w:bodyDiv w:val="1"/>
      <w:marLeft w:val="0"/>
      <w:marRight w:val="0"/>
      <w:marTop w:val="0"/>
      <w:marBottom w:val="0"/>
      <w:divBdr>
        <w:top w:val="none" w:sz="0" w:space="0" w:color="auto"/>
        <w:left w:val="none" w:sz="0" w:space="0" w:color="auto"/>
        <w:bottom w:val="none" w:sz="0" w:space="0" w:color="auto"/>
        <w:right w:val="none" w:sz="0" w:space="0" w:color="auto"/>
      </w:divBdr>
    </w:div>
    <w:div w:id="886842392">
      <w:bodyDiv w:val="1"/>
      <w:marLeft w:val="0"/>
      <w:marRight w:val="0"/>
      <w:marTop w:val="0"/>
      <w:marBottom w:val="0"/>
      <w:divBdr>
        <w:top w:val="none" w:sz="0" w:space="0" w:color="auto"/>
        <w:left w:val="none" w:sz="0" w:space="0" w:color="auto"/>
        <w:bottom w:val="none" w:sz="0" w:space="0" w:color="auto"/>
        <w:right w:val="none" w:sz="0" w:space="0" w:color="auto"/>
      </w:divBdr>
    </w:div>
    <w:div w:id="960381947">
      <w:bodyDiv w:val="1"/>
      <w:marLeft w:val="0"/>
      <w:marRight w:val="0"/>
      <w:marTop w:val="0"/>
      <w:marBottom w:val="0"/>
      <w:divBdr>
        <w:top w:val="none" w:sz="0" w:space="0" w:color="auto"/>
        <w:left w:val="none" w:sz="0" w:space="0" w:color="auto"/>
        <w:bottom w:val="none" w:sz="0" w:space="0" w:color="auto"/>
        <w:right w:val="none" w:sz="0" w:space="0" w:color="auto"/>
      </w:divBdr>
    </w:div>
    <w:div w:id="1624535487">
      <w:bodyDiv w:val="1"/>
      <w:marLeft w:val="0"/>
      <w:marRight w:val="0"/>
      <w:marTop w:val="0"/>
      <w:marBottom w:val="0"/>
      <w:divBdr>
        <w:top w:val="none" w:sz="0" w:space="0" w:color="auto"/>
        <w:left w:val="none" w:sz="0" w:space="0" w:color="auto"/>
        <w:bottom w:val="none" w:sz="0" w:space="0" w:color="auto"/>
        <w:right w:val="none" w:sz="0" w:space="0" w:color="auto"/>
      </w:divBdr>
      <w:divsChild>
        <w:div w:id="594366763">
          <w:blockQuote w:val="1"/>
          <w:marLeft w:val="720"/>
          <w:marRight w:val="720"/>
          <w:marTop w:val="100"/>
          <w:marBottom w:val="100"/>
          <w:divBdr>
            <w:top w:val="none" w:sz="0" w:space="0" w:color="auto"/>
            <w:left w:val="none" w:sz="0" w:space="0" w:color="auto"/>
            <w:bottom w:val="none" w:sz="0" w:space="0" w:color="auto"/>
            <w:right w:val="none" w:sz="0" w:space="0" w:color="auto"/>
          </w:divBdr>
        </w:div>
        <w:div w:id="240339366">
          <w:blockQuote w:val="1"/>
          <w:marLeft w:val="720"/>
          <w:marRight w:val="720"/>
          <w:marTop w:val="100"/>
          <w:marBottom w:val="100"/>
          <w:divBdr>
            <w:top w:val="none" w:sz="0" w:space="0" w:color="auto"/>
            <w:left w:val="none" w:sz="0" w:space="0" w:color="auto"/>
            <w:bottom w:val="none" w:sz="0" w:space="0" w:color="auto"/>
            <w:right w:val="none" w:sz="0" w:space="0" w:color="auto"/>
          </w:divBdr>
        </w:div>
        <w:div w:id="704453823">
          <w:marLeft w:val="0"/>
          <w:marRight w:val="0"/>
          <w:marTop w:val="0"/>
          <w:marBottom w:val="0"/>
          <w:divBdr>
            <w:top w:val="none" w:sz="0" w:space="0" w:color="auto"/>
            <w:left w:val="none" w:sz="0" w:space="0" w:color="auto"/>
            <w:bottom w:val="none" w:sz="0" w:space="0" w:color="auto"/>
            <w:right w:val="none" w:sz="0" w:space="0" w:color="auto"/>
          </w:divBdr>
          <w:divsChild>
            <w:div w:id="41826369">
              <w:marLeft w:val="0"/>
              <w:marRight w:val="0"/>
              <w:marTop w:val="0"/>
              <w:marBottom w:val="0"/>
              <w:divBdr>
                <w:top w:val="none" w:sz="0" w:space="0" w:color="auto"/>
                <w:left w:val="none" w:sz="0" w:space="0" w:color="auto"/>
                <w:bottom w:val="none" w:sz="0" w:space="0" w:color="auto"/>
                <w:right w:val="none" w:sz="0" w:space="0" w:color="auto"/>
              </w:divBdr>
            </w:div>
          </w:divsChild>
        </w:div>
        <w:div w:id="273288369">
          <w:marLeft w:val="0"/>
          <w:marRight w:val="0"/>
          <w:marTop w:val="0"/>
          <w:marBottom w:val="0"/>
          <w:divBdr>
            <w:top w:val="none" w:sz="0" w:space="0" w:color="auto"/>
            <w:left w:val="none" w:sz="0" w:space="0" w:color="auto"/>
            <w:bottom w:val="none" w:sz="0" w:space="0" w:color="auto"/>
            <w:right w:val="none" w:sz="0" w:space="0" w:color="auto"/>
          </w:divBdr>
          <w:divsChild>
            <w:div w:id="803887851">
              <w:marLeft w:val="0"/>
              <w:marRight w:val="0"/>
              <w:marTop w:val="0"/>
              <w:marBottom w:val="0"/>
              <w:divBdr>
                <w:top w:val="none" w:sz="0" w:space="0" w:color="auto"/>
                <w:left w:val="none" w:sz="0" w:space="0" w:color="auto"/>
                <w:bottom w:val="none" w:sz="0" w:space="0" w:color="auto"/>
                <w:right w:val="none" w:sz="0" w:space="0" w:color="auto"/>
              </w:divBdr>
            </w:div>
          </w:divsChild>
        </w:div>
        <w:div w:id="1326323497">
          <w:marLeft w:val="0"/>
          <w:marRight w:val="0"/>
          <w:marTop w:val="0"/>
          <w:marBottom w:val="0"/>
          <w:divBdr>
            <w:top w:val="none" w:sz="0" w:space="0" w:color="auto"/>
            <w:left w:val="none" w:sz="0" w:space="0" w:color="auto"/>
            <w:bottom w:val="none" w:sz="0" w:space="0" w:color="auto"/>
            <w:right w:val="none" w:sz="0" w:space="0" w:color="auto"/>
          </w:divBdr>
          <w:divsChild>
            <w:div w:id="1173761963">
              <w:marLeft w:val="0"/>
              <w:marRight w:val="0"/>
              <w:marTop w:val="0"/>
              <w:marBottom w:val="0"/>
              <w:divBdr>
                <w:top w:val="none" w:sz="0" w:space="0" w:color="auto"/>
                <w:left w:val="none" w:sz="0" w:space="0" w:color="auto"/>
                <w:bottom w:val="none" w:sz="0" w:space="0" w:color="auto"/>
                <w:right w:val="none" w:sz="0" w:space="0" w:color="auto"/>
              </w:divBdr>
            </w:div>
          </w:divsChild>
        </w:div>
        <w:div w:id="1067385295">
          <w:marLeft w:val="0"/>
          <w:marRight w:val="0"/>
          <w:marTop w:val="0"/>
          <w:marBottom w:val="0"/>
          <w:divBdr>
            <w:top w:val="none" w:sz="0" w:space="0" w:color="auto"/>
            <w:left w:val="none" w:sz="0" w:space="0" w:color="auto"/>
            <w:bottom w:val="none" w:sz="0" w:space="0" w:color="auto"/>
            <w:right w:val="none" w:sz="0" w:space="0" w:color="auto"/>
          </w:divBdr>
          <w:divsChild>
            <w:div w:id="1000306394">
              <w:marLeft w:val="0"/>
              <w:marRight w:val="0"/>
              <w:marTop w:val="0"/>
              <w:marBottom w:val="0"/>
              <w:divBdr>
                <w:top w:val="none" w:sz="0" w:space="0" w:color="auto"/>
                <w:left w:val="none" w:sz="0" w:space="0" w:color="auto"/>
                <w:bottom w:val="none" w:sz="0" w:space="0" w:color="auto"/>
                <w:right w:val="none" w:sz="0" w:space="0" w:color="auto"/>
              </w:divBdr>
            </w:div>
          </w:divsChild>
        </w:div>
        <w:div w:id="197506366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757832">
          <w:marLeft w:val="0"/>
          <w:marRight w:val="0"/>
          <w:marTop w:val="0"/>
          <w:marBottom w:val="0"/>
          <w:divBdr>
            <w:top w:val="none" w:sz="0" w:space="0" w:color="auto"/>
            <w:left w:val="none" w:sz="0" w:space="0" w:color="auto"/>
            <w:bottom w:val="none" w:sz="0" w:space="0" w:color="auto"/>
            <w:right w:val="none" w:sz="0" w:space="0" w:color="auto"/>
          </w:divBdr>
          <w:divsChild>
            <w:div w:id="1438525334">
              <w:marLeft w:val="0"/>
              <w:marRight w:val="0"/>
              <w:marTop w:val="0"/>
              <w:marBottom w:val="0"/>
              <w:divBdr>
                <w:top w:val="none" w:sz="0" w:space="0" w:color="auto"/>
                <w:left w:val="none" w:sz="0" w:space="0" w:color="auto"/>
                <w:bottom w:val="none" w:sz="0" w:space="0" w:color="auto"/>
                <w:right w:val="none" w:sz="0" w:space="0" w:color="auto"/>
              </w:divBdr>
            </w:div>
          </w:divsChild>
        </w:div>
        <w:div w:id="512382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044885">
          <w:marLeft w:val="0"/>
          <w:marRight w:val="0"/>
          <w:marTop w:val="0"/>
          <w:marBottom w:val="0"/>
          <w:divBdr>
            <w:top w:val="none" w:sz="0" w:space="0" w:color="auto"/>
            <w:left w:val="none" w:sz="0" w:space="0" w:color="auto"/>
            <w:bottom w:val="none" w:sz="0" w:space="0" w:color="auto"/>
            <w:right w:val="none" w:sz="0" w:space="0" w:color="auto"/>
          </w:divBdr>
          <w:divsChild>
            <w:div w:id="1212883125">
              <w:marLeft w:val="0"/>
              <w:marRight w:val="0"/>
              <w:marTop w:val="0"/>
              <w:marBottom w:val="0"/>
              <w:divBdr>
                <w:top w:val="none" w:sz="0" w:space="0" w:color="auto"/>
                <w:left w:val="none" w:sz="0" w:space="0" w:color="auto"/>
                <w:bottom w:val="none" w:sz="0" w:space="0" w:color="auto"/>
                <w:right w:val="none" w:sz="0" w:space="0" w:color="auto"/>
              </w:divBdr>
            </w:div>
          </w:divsChild>
        </w:div>
        <w:div w:id="331028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5814020">
      <w:bodyDiv w:val="1"/>
      <w:marLeft w:val="0"/>
      <w:marRight w:val="0"/>
      <w:marTop w:val="0"/>
      <w:marBottom w:val="0"/>
      <w:divBdr>
        <w:top w:val="none" w:sz="0" w:space="0" w:color="auto"/>
        <w:left w:val="none" w:sz="0" w:space="0" w:color="auto"/>
        <w:bottom w:val="none" w:sz="0" w:space="0" w:color="auto"/>
        <w:right w:val="none" w:sz="0" w:space="0" w:color="auto"/>
      </w:divBdr>
      <w:divsChild>
        <w:div w:id="2063286316">
          <w:blockQuote w:val="1"/>
          <w:marLeft w:val="720"/>
          <w:marRight w:val="720"/>
          <w:marTop w:val="100"/>
          <w:marBottom w:val="100"/>
          <w:divBdr>
            <w:top w:val="none" w:sz="0" w:space="0" w:color="auto"/>
            <w:left w:val="none" w:sz="0" w:space="0" w:color="auto"/>
            <w:bottom w:val="none" w:sz="0" w:space="0" w:color="auto"/>
            <w:right w:val="none" w:sz="0" w:space="0" w:color="auto"/>
          </w:divBdr>
        </w:div>
        <w:div w:id="851647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6551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982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0980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086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465606">
      <w:bodyDiv w:val="1"/>
      <w:marLeft w:val="0"/>
      <w:marRight w:val="0"/>
      <w:marTop w:val="0"/>
      <w:marBottom w:val="0"/>
      <w:divBdr>
        <w:top w:val="none" w:sz="0" w:space="0" w:color="auto"/>
        <w:left w:val="none" w:sz="0" w:space="0" w:color="auto"/>
        <w:bottom w:val="none" w:sz="0" w:space="0" w:color="auto"/>
        <w:right w:val="none" w:sz="0" w:space="0" w:color="auto"/>
      </w:divBdr>
    </w:div>
    <w:div w:id="1830093489">
      <w:bodyDiv w:val="1"/>
      <w:marLeft w:val="0"/>
      <w:marRight w:val="0"/>
      <w:marTop w:val="0"/>
      <w:marBottom w:val="0"/>
      <w:divBdr>
        <w:top w:val="none" w:sz="0" w:space="0" w:color="auto"/>
        <w:left w:val="none" w:sz="0" w:space="0" w:color="auto"/>
        <w:bottom w:val="none" w:sz="0" w:space="0" w:color="auto"/>
        <w:right w:val="none" w:sz="0" w:space="0" w:color="auto"/>
      </w:divBdr>
    </w:div>
    <w:div w:id="1847282758">
      <w:bodyDiv w:val="1"/>
      <w:marLeft w:val="0"/>
      <w:marRight w:val="0"/>
      <w:marTop w:val="0"/>
      <w:marBottom w:val="0"/>
      <w:divBdr>
        <w:top w:val="none" w:sz="0" w:space="0" w:color="auto"/>
        <w:left w:val="none" w:sz="0" w:space="0" w:color="auto"/>
        <w:bottom w:val="none" w:sz="0" w:space="0" w:color="auto"/>
        <w:right w:val="none" w:sz="0" w:space="0" w:color="auto"/>
      </w:divBdr>
    </w:div>
    <w:div w:id="1935672003">
      <w:bodyDiv w:val="1"/>
      <w:marLeft w:val="0"/>
      <w:marRight w:val="0"/>
      <w:marTop w:val="0"/>
      <w:marBottom w:val="0"/>
      <w:divBdr>
        <w:top w:val="none" w:sz="0" w:space="0" w:color="auto"/>
        <w:left w:val="none" w:sz="0" w:space="0" w:color="auto"/>
        <w:bottom w:val="none" w:sz="0" w:space="0" w:color="auto"/>
        <w:right w:val="none" w:sz="0" w:space="0" w:color="auto"/>
      </w:divBdr>
    </w:div>
    <w:div w:id="2031105929">
      <w:bodyDiv w:val="1"/>
      <w:marLeft w:val="0"/>
      <w:marRight w:val="0"/>
      <w:marTop w:val="0"/>
      <w:marBottom w:val="0"/>
      <w:divBdr>
        <w:top w:val="none" w:sz="0" w:space="0" w:color="auto"/>
        <w:left w:val="none" w:sz="0" w:space="0" w:color="auto"/>
        <w:bottom w:val="none" w:sz="0" w:space="0" w:color="auto"/>
        <w:right w:val="none" w:sz="0" w:space="0" w:color="auto"/>
      </w:divBdr>
    </w:div>
    <w:div w:id="2103991781">
      <w:bodyDiv w:val="1"/>
      <w:marLeft w:val="0"/>
      <w:marRight w:val="0"/>
      <w:marTop w:val="0"/>
      <w:marBottom w:val="0"/>
      <w:divBdr>
        <w:top w:val="none" w:sz="0" w:space="0" w:color="auto"/>
        <w:left w:val="none" w:sz="0" w:space="0" w:color="auto"/>
        <w:bottom w:val="none" w:sz="0" w:space="0" w:color="auto"/>
        <w:right w:val="none" w:sz="0" w:space="0" w:color="auto"/>
      </w:divBdr>
      <w:divsChild>
        <w:div w:id="1613980236">
          <w:blockQuote w:val="1"/>
          <w:marLeft w:val="720"/>
          <w:marRight w:val="720"/>
          <w:marTop w:val="100"/>
          <w:marBottom w:val="100"/>
          <w:divBdr>
            <w:top w:val="none" w:sz="0" w:space="0" w:color="auto"/>
            <w:left w:val="none" w:sz="0" w:space="0" w:color="auto"/>
            <w:bottom w:val="none" w:sz="0" w:space="0" w:color="auto"/>
            <w:right w:val="none" w:sz="0" w:space="0" w:color="auto"/>
          </w:divBdr>
        </w:div>
        <w:div w:id="946892596">
          <w:marLeft w:val="0"/>
          <w:marRight w:val="0"/>
          <w:marTop w:val="0"/>
          <w:marBottom w:val="0"/>
          <w:divBdr>
            <w:top w:val="none" w:sz="0" w:space="0" w:color="auto"/>
            <w:left w:val="none" w:sz="0" w:space="0" w:color="auto"/>
            <w:bottom w:val="none" w:sz="0" w:space="0" w:color="auto"/>
            <w:right w:val="none" w:sz="0" w:space="0" w:color="auto"/>
          </w:divBdr>
          <w:divsChild>
            <w:div w:id="857693205">
              <w:marLeft w:val="0"/>
              <w:marRight w:val="0"/>
              <w:marTop w:val="0"/>
              <w:marBottom w:val="0"/>
              <w:divBdr>
                <w:top w:val="none" w:sz="0" w:space="0" w:color="auto"/>
                <w:left w:val="none" w:sz="0" w:space="0" w:color="auto"/>
                <w:bottom w:val="none" w:sz="0" w:space="0" w:color="auto"/>
                <w:right w:val="none" w:sz="0" w:space="0" w:color="auto"/>
              </w:divBdr>
            </w:div>
          </w:divsChild>
        </w:div>
        <w:div w:id="974795944">
          <w:marLeft w:val="0"/>
          <w:marRight w:val="0"/>
          <w:marTop w:val="0"/>
          <w:marBottom w:val="0"/>
          <w:divBdr>
            <w:top w:val="none" w:sz="0" w:space="0" w:color="auto"/>
            <w:left w:val="none" w:sz="0" w:space="0" w:color="auto"/>
            <w:bottom w:val="none" w:sz="0" w:space="0" w:color="auto"/>
            <w:right w:val="none" w:sz="0" w:space="0" w:color="auto"/>
          </w:divBdr>
          <w:divsChild>
            <w:div w:id="341276415">
              <w:marLeft w:val="0"/>
              <w:marRight w:val="0"/>
              <w:marTop w:val="0"/>
              <w:marBottom w:val="0"/>
              <w:divBdr>
                <w:top w:val="none" w:sz="0" w:space="0" w:color="auto"/>
                <w:left w:val="none" w:sz="0" w:space="0" w:color="auto"/>
                <w:bottom w:val="none" w:sz="0" w:space="0" w:color="auto"/>
                <w:right w:val="none" w:sz="0" w:space="0" w:color="auto"/>
              </w:divBdr>
            </w:div>
          </w:divsChild>
        </w:div>
        <w:div w:id="1985961186">
          <w:marLeft w:val="0"/>
          <w:marRight w:val="0"/>
          <w:marTop w:val="0"/>
          <w:marBottom w:val="0"/>
          <w:divBdr>
            <w:top w:val="none" w:sz="0" w:space="0" w:color="auto"/>
            <w:left w:val="none" w:sz="0" w:space="0" w:color="auto"/>
            <w:bottom w:val="none" w:sz="0" w:space="0" w:color="auto"/>
            <w:right w:val="none" w:sz="0" w:space="0" w:color="auto"/>
          </w:divBdr>
          <w:divsChild>
            <w:div w:id="1589384974">
              <w:marLeft w:val="0"/>
              <w:marRight w:val="0"/>
              <w:marTop w:val="0"/>
              <w:marBottom w:val="0"/>
              <w:divBdr>
                <w:top w:val="none" w:sz="0" w:space="0" w:color="auto"/>
                <w:left w:val="none" w:sz="0" w:space="0" w:color="auto"/>
                <w:bottom w:val="none" w:sz="0" w:space="0" w:color="auto"/>
                <w:right w:val="none" w:sz="0" w:space="0" w:color="auto"/>
              </w:divBdr>
            </w:div>
          </w:divsChild>
        </w:div>
        <w:div w:id="7610987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 /><Relationship Id="rId18" Type="http://schemas.openxmlformats.org/officeDocument/2006/relationships/hyperlink" Target="https://pubmed.ncbi.nlm.nih.gov/30266530/?utm_source=chatgpt.com" TargetMode="External" /><Relationship Id="rId26" Type="http://schemas.openxmlformats.org/officeDocument/2006/relationships/hyperlink" Target="https://www.nhs.uk/conditions/vitamins-and-minerals/vitamin-d/?utm_source=chatgpt.com" TargetMode="External" /><Relationship Id="rId39" Type="http://schemas.openxmlformats.org/officeDocument/2006/relationships/hyperlink" Target="https://www.nice.org.uk/?utm_source=chatgpt.com" TargetMode="External" /><Relationship Id="rId21" Type="http://schemas.openxmlformats.org/officeDocument/2006/relationships/hyperlink" Target="https://pubmed.ncbi.nlm.nih.gov/26864360/?utm_source=chatgpt.com" TargetMode="External" /><Relationship Id="rId34" Type="http://schemas.openxmlformats.org/officeDocument/2006/relationships/hyperlink" Target="https://pubmed.ncbi.nlm.nih.gov/33235973/?utm_source=chatgpt.com" TargetMode="External" /><Relationship Id="rId42" Type="http://schemas.openxmlformats.org/officeDocument/2006/relationships/hyperlink" Target="https://www.nhs.uk/conditions/vitamins-and-minerals/vitamin-d/?utm_source=chatgpt.com" TargetMode="External" /><Relationship Id="rId47" Type="http://schemas.openxmlformats.org/officeDocument/2006/relationships/hyperlink" Target="https://www.bmj.com/content/372/bmj.n71?utm_source=chatgpt.com" TargetMode="External" /><Relationship Id="rId50" Type="http://schemas.openxmlformats.org/officeDocument/2006/relationships/hyperlink" Target="https://pubmed.ncbi.nlm.nih.gov/29685819/?utm_source=chatgpt.com" TargetMode="External" /><Relationship Id="rId55" Type="http://schemas.openxmlformats.org/officeDocument/2006/relationships/hyperlink" Target="https://www.bmj.com/content/326/7387/469?utm_source=chatgpt.com" TargetMode="External" /><Relationship Id="rId7" Type="http://schemas.openxmlformats.org/officeDocument/2006/relationships/endnotes" Target="endnotes.xml" /><Relationship Id="rId12" Type="http://schemas.openxmlformats.org/officeDocument/2006/relationships/image" Target="media/image3.emf" /><Relationship Id="rId17" Type="http://schemas.openxmlformats.org/officeDocument/2006/relationships/footer" Target="footer3.xml" /><Relationship Id="rId25" Type="http://schemas.openxmlformats.org/officeDocument/2006/relationships/hyperlink" Target="https://www.endocrine.org/clinical-practice-guidelines/vitamin-d-for-prevention-of-disease?utm_source=chatgpt.com" TargetMode="External" /><Relationship Id="rId33" Type="http://schemas.openxmlformats.org/officeDocument/2006/relationships/hyperlink" Target="https://pubmed.ncbi.nlm.nih.gov/33798465/?utm_source=chatgpt.com" TargetMode="External" /><Relationship Id="rId38" Type="http://schemas.openxmlformats.org/officeDocument/2006/relationships/hyperlink" Target="https://www.nice.org.uk/guidance/cg161?utm_source=chatgpt.com" TargetMode="External" /><Relationship Id="rId46" Type="http://schemas.openxmlformats.org/officeDocument/2006/relationships/hyperlink" Target="https://www.wolterskluwer.com/?utm_source=chatgpt.com" TargetMode="External" /><Relationship Id="rId59"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oter" Target="footer2.xml" /><Relationship Id="rId20" Type="http://schemas.openxmlformats.org/officeDocument/2006/relationships/hyperlink" Target="https://www.bgs.org.uk/?utm_source=chatgpt.com" TargetMode="External" /><Relationship Id="rId29" Type="http://schemas.openxmlformats.org/officeDocument/2006/relationships/hyperlink" Target="https://pubmed.ncbi.nlm.nih.gov/28296981/?utm_source=chatgpt.com" TargetMode="External" /><Relationship Id="rId41" Type="http://schemas.openxmlformats.org/officeDocument/2006/relationships/hyperlink" Target="https://www.nice.org.uk/guidance/ng249?utm_source=chatgpt.com" TargetMode="External" /><Relationship Id="rId54" Type="http://schemas.openxmlformats.org/officeDocument/2006/relationships/hyperlink" Target="https://jbi.global/critical-appraisal-tools?utm_source=chatgp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ustomXml" Target="ink/ink2.xml" /><Relationship Id="rId24" Type="http://schemas.openxmlformats.org/officeDocument/2006/relationships/hyperlink" Target="https://pubmed.ncbi.nlm.nih.gov/14728632/?utm_source=chatgpt.com" TargetMode="External" /><Relationship Id="rId32" Type="http://schemas.openxmlformats.org/officeDocument/2006/relationships/hyperlink" Target="https://jbi-global-wiki.refined.site/space/MANUAL?utm_source=chatgpt.com" TargetMode="External" /><Relationship Id="rId37" Type="http://schemas.openxmlformats.org/officeDocument/2006/relationships/hyperlink" Target="https://pubmed.ncbi.nlm.nih.gov/37120684/?utm_source=chatgpt.com" TargetMode="External" /><Relationship Id="rId40" Type="http://schemas.openxmlformats.org/officeDocument/2006/relationships/hyperlink" Target="https://www.nice.org.uk/guidance/cg146?utm_source=chatgpt.com" TargetMode="External" /><Relationship Id="rId45" Type="http://schemas.openxmlformats.org/officeDocument/2006/relationships/hyperlink" Target="https://pubmed.ncbi.nlm.nih.gov/30578247/?utm_source=chatgpt.com" TargetMode="External" /><Relationship Id="rId53" Type="http://schemas.openxmlformats.org/officeDocument/2006/relationships/hyperlink" Target="https://pubmed.ncbi.nlm.nih.gov/38615341/?utm_source=chatgpt.com" TargetMode="External" /><Relationship Id="rId58"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footer" Target="footer1.xml" /><Relationship Id="rId23" Type="http://schemas.openxmlformats.org/officeDocument/2006/relationships/hyperlink" Target="https://pubmed.ncbi.nlm.nih.gov/25207356/?utm_source=chatgpt.com" TargetMode="External" /><Relationship Id="rId28" Type="http://schemas.openxmlformats.org/officeDocument/2006/relationships/hyperlink" Target="https://pubmed.ncbi.nlm.nih.gov/32215556/?utm_source=chatgpt.com" TargetMode="External" /><Relationship Id="rId36" Type="http://schemas.openxmlformats.org/officeDocument/2006/relationships/hyperlink" Target="https://jbi-global-wiki.refined.site/space/MANUAL?utm_source=chatgpt.com" TargetMode="External" /><Relationship Id="rId49" Type="http://schemas.openxmlformats.org/officeDocument/2006/relationships/hyperlink" Target="https://pubmed.ncbi.nlm.nih.gov/21118827/?utm_source=chatgpt.com" TargetMode="External" /><Relationship Id="rId57" Type="http://schemas.openxmlformats.org/officeDocument/2006/relationships/hyperlink" Target="https://pubmed.ncbi.nlm.nih.gov/34656949/?utm_source=chatgpt.com" TargetMode="External" /><Relationship Id="rId10" Type="http://schemas.openxmlformats.org/officeDocument/2006/relationships/image" Target="media/image2.emf" /><Relationship Id="rId19" Type="http://schemas.openxmlformats.org/officeDocument/2006/relationships/hyperlink" Target="https://pubmed.ncbi.nlm.nih.gov/30624921/?utm_source=chatgpt.com" TargetMode="External" /><Relationship Id="rId31" Type="http://schemas.openxmlformats.org/officeDocument/2006/relationships/hyperlink" Target="https://jbi.global/critical-appraisal-tools?utm_source=chatgpt.com" TargetMode="External" /><Relationship Id="rId44" Type="http://schemas.openxmlformats.org/officeDocument/2006/relationships/hyperlink" Target="https://pubmed.ncbi.nlm.nih.gov/37654099/?utm_source=chatgpt.com" TargetMode="External" /><Relationship Id="rId52" Type="http://schemas.openxmlformats.org/officeDocument/2006/relationships/hyperlink" Target="https://doi.org/10.1111/nbu.12108?utm_source=chatgpt.com" TargetMode="External" /><Relationship Id="rId4" Type="http://schemas.openxmlformats.org/officeDocument/2006/relationships/settings" Target="settings.xml" /><Relationship Id="rId9" Type="http://schemas.openxmlformats.org/officeDocument/2006/relationships/customXml" Target="ink/ink1.xml" /><Relationship Id="rId14" Type="http://schemas.openxmlformats.org/officeDocument/2006/relationships/customXml" Target="ink/ink4.xml" /><Relationship Id="rId22" Type="http://schemas.openxmlformats.org/officeDocument/2006/relationships/hyperlink" Target="https://pubmed.ncbi.nlm.nih.gov/18058048/?utm_source=chatgpt.com" TargetMode="External" /><Relationship Id="rId27" Type="http://schemas.openxmlformats.org/officeDocument/2006/relationships/hyperlink" Target="https://pubmed.ncbi.nlm.nih.gov/36367832/?utm_source=chatgpt.com" TargetMode="External" /><Relationship Id="rId30" Type="http://schemas.openxmlformats.org/officeDocument/2006/relationships/hyperlink" Target="https://pubmed.ncbi.nlm.nih.gov/17634462/?utm_source=chatgpt.com" TargetMode="External" /><Relationship Id="rId35" Type="http://schemas.openxmlformats.org/officeDocument/2006/relationships/hyperlink" Target="https://www.cambridge.org/core/journals/proceedings-of-the-nutrition-society/article/vitamin-d-supplement-use-in-care-home-residents-in-northern-ireland/ECE5DCF0C973DAD28EF2144FAFEBE40A?utm_source=chatgpt.com" TargetMode="External" /><Relationship Id="rId43" Type="http://schemas.openxmlformats.org/officeDocument/2006/relationships/hyperlink" Target="https://www.gov.uk/government/publications/vitamin-d-for-vulnerable-groups/vitamin-d-and-care-homes-guidance?utm_source=chatgpt.com" TargetMode="External" /><Relationship Id="rId48" Type="http://schemas.openxmlformats.org/officeDocument/2006/relationships/hyperlink" Target="https://pubs.rsc.org/en/content/articlelanding/2025/pm/d5pm00003c?utm_source=chatgpt.com" TargetMode="External" /><Relationship Id="rId56" Type="http://schemas.openxmlformats.org/officeDocument/2006/relationships/hyperlink" Target="https://pubmed.ncbi.nlm.nih.gov/33521536/?utm_source=chatgpt.com" TargetMode="External" /><Relationship Id="rId8" Type="http://schemas.openxmlformats.org/officeDocument/2006/relationships/image" Target="media/image1.png" /><Relationship Id="rId51" Type="http://schemas.openxmlformats.org/officeDocument/2006/relationships/hyperlink" Target="https://pubmed.ncbi.nlm.nih.gov/11443035/?utm_source=chatgpt.com" TargetMode="External" /><Relationship Id="rId3" Type="http://schemas.openxmlformats.org/officeDocument/2006/relationships/styles" Target="styles.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EEAC7-AFED-47C6-AA2D-1AD071D760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23778</Words>
  <Characters>135537</Characters>
  <Application>Microsoft Office Word</Application>
  <DocSecurity>0</DocSecurity>
  <Lines>1129</Lines>
  <Paragraphs>317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Tarikul Islam</dc:creator>
  <cp:keywords/>
  <dc:description/>
  <cp:lastModifiedBy>Tarikul Islam</cp:lastModifiedBy>
  <cp:revision>2</cp:revision>
  <cp:lastPrinted>2023-09-21T02:18:00Z</cp:lastPrinted>
  <dcterms:created xsi:type="dcterms:W3CDTF">2026-09-24T12:45:00Z</dcterms:created>
  <dcterms:modified xsi:type="dcterms:W3CDTF">2026-09-24T12:45:00Z</dcterms:modified>
</cp:coreProperties>
</file>