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80D77" w14:textId="77777777" w:rsidR="005E32D9" w:rsidRDefault="005E32D9" w:rsidP="000633D7">
      <w:pPr>
        <w:rPr>
          <w:b/>
          <w:bCs/>
          <w:sz w:val="36"/>
          <w:szCs w:val="32"/>
        </w:rPr>
      </w:pPr>
    </w:p>
    <w:p w14:paraId="250C850E" w14:textId="77777777" w:rsidR="000633D7" w:rsidRDefault="000633D7" w:rsidP="000633D7">
      <w:pPr>
        <w:rPr>
          <w:b/>
          <w:bCs/>
          <w:sz w:val="36"/>
          <w:szCs w:val="32"/>
        </w:rPr>
      </w:pPr>
    </w:p>
    <w:p w14:paraId="118937AB" w14:textId="6952A7A7" w:rsidR="007F2122" w:rsidRDefault="000633D7" w:rsidP="005E32D9">
      <w:pPr>
        <w:jc w:val="center"/>
        <w:rPr>
          <w:b/>
          <w:bCs/>
          <w:sz w:val="36"/>
          <w:szCs w:val="32"/>
        </w:rPr>
      </w:pPr>
      <w:r>
        <w:rPr>
          <w:b/>
          <w:bCs/>
          <w:sz w:val="36"/>
          <w:szCs w:val="32"/>
        </w:rPr>
        <w:t xml:space="preserve">Financial management </w:t>
      </w:r>
    </w:p>
    <w:p w14:paraId="6A01CCFD" w14:textId="0715336C" w:rsidR="000633D7" w:rsidRDefault="000633D7" w:rsidP="005E32D9">
      <w:pPr>
        <w:jc w:val="center"/>
        <w:rPr>
          <w:b/>
          <w:bCs/>
          <w:sz w:val="36"/>
          <w:szCs w:val="32"/>
        </w:rPr>
      </w:pPr>
      <w:r>
        <w:rPr>
          <w:b/>
          <w:bCs/>
          <w:sz w:val="36"/>
          <w:szCs w:val="32"/>
        </w:rPr>
        <w:t xml:space="preserve">Name: </w:t>
      </w:r>
      <w:r w:rsidRPr="000633D7">
        <w:rPr>
          <w:b/>
          <w:bCs/>
          <w:sz w:val="36"/>
          <w:szCs w:val="32"/>
        </w:rPr>
        <w:t xml:space="preserve">Jay </w:t>
      </w:r>
      <w:proofErr w:type="spellStart"/>
      <w:r>
        <w:rPr>
          <w:b/>
          <w:bCs/>
          <w:sz w:val="36"/>
          <w:szCs w:val="32"/>
        </w:rPr>
        <w:t>S</w:t>
      </w:r>
      <w:r w:rsidRPr="000633D7">
        <w:rPr>
          <w:b/>
          <w:bCs/>
          <w:sz w:val="36"/>
          <w:szCs w:val="32"/>
        </w:rPr>
        <w:t>haileshbhai</w:t>
      </w:r>
      <w:proofErr w:type="spellEnd"/>
      <w:r w:rsidRPr="000633D7">
        <w:rPr>
          <w:b/>
          <w:bCs/>
          <w:sz w:val="36"/>
          <w:szCs w:val="32"/>
        </w:rPr>
        <w:t xml:space="preserve"> Patel</w:t>
      </w:r>
    </w:p>
    <w:p w14:paraId="03975AF0" w14:textId="1303DBE8" w:rsidR="000633D7" w:rsidRDefault="000633D7" w:rsidP="005E32D9">
      <w:pPr>
        <w:jc w:val="center"/>
        <w:rPr>
          <w:b/>
          <w:bCs/>
          <w:sz w:val="36"/>
          <w:szCs w:val="32"/>
        </w:rPr>
      </w:pPr>
      <w:r>
        <w:rPr>
          <w:b/>
          <w:bCs/>
          <w:sz w:val="36"/>
          <w:szCs w:val="32"/>
        </w:rPr>
        <w:t xml:space="preserve">Student ID: </w:t>
      </w:r>
      <w:r w:rsidRPr="000633D7">
        <w:rPr>
          <w:b/>
          <w:bCs/>
          <w:sz w:val="36"/>
          <w:szCs w:val="32"/>
        </w:rPr>
        <w:t>2529400</w:t>
      </w:r>
    </w:p>
    <w:p w14:paraId="188A8B56" w14:textId="37623495" w:rsidR="000633D7" w:rsidRPr="000633D7" w:rsidRDefault="000633D7" w:rsidP="000633D7">
      <w:pPr>
        <w:jc w:val="center"/>
        <w:rPr>
          <w:b/>
          <w:bCs/>
          <w:sz w:val="36"/>
          <w:szCs w:val="32"/>
        </w:rPr>
      </w:pPr>
      <w:r>
        <w:rPr>
          <w:b/>
          <w:bCs/>
          <w:sz w:val="36"/>
          <w:szCs w:val="32"/>
        </w:rPr>
        <w:t xml:space="preserve">Lecturer: Isaiah </w:t>
      </w:r>
      <w:proofErr w:type="spellStart"/>
      <w:r>
        <w:rPr>
          <w:b/>
          <w:bCs/>
          <w:sz w:val="36"/>
          <w:szCs w:val="32"/>
        </w:rPr>
        <w:t>Oino</w:t>
      </w:r>
      <w:proofErr w:type="spellEnd"/>
    </w:p>
    <w:p w14:paraId="536DF0F7" w14:textId="6C59292C" w:rsidR="005E32D9" w:rsidRDefault="000633D7" w:rsidP="005E32D9">
      <w:pPr>
        <w:jc w:val="center"/>
        <w:rPr>
          <w:b/>
          <w:bCs/>
          <w:sz w:val="36"/>
          <w:szCs w:val="32"/>
        </w:rPr>
      </w:pPr>
      <w:r>
        <w:rPr>
          <w:b/>
          <w:bCs/>
          <w:sz w:val="36"/>
          <w:szCs w:val="32"/>
        </w:rPr>
        <w:t xml:space="preserve">Assessment: </w:t>
      </w:r>
      <w:r w:rsidR="00A3578D" w:rsidRPr="005E32D9">
        <w:rPr>
          <w:b/>
          <w:bCs/>
          <w:sz w:val="36"/>
          <w:szCs w:val="32"/>
        </w:rPr>
        <w:t>Strategic Financial Turnaround and Value Creation Plan for Tesla Inc.: A Comprehensive CFO Analysis (2021–2025</w:t>
      </w:r>
      <w:r>
        <w:rPr>
          <w:b/>
          <w:bCs/>
          <w:sz w:val="36"/>
          <w:szCs w:val="32"/>
        </w:rPr>
        <w:t xml:space="preserve">) </w:t>
      </w:r>
    </w:p>
    <w:p w14:paraId="3839BDE6" w14:textId="4CB97CED" w:rsidR="000633D7" w:rsidRPr="005E32D9" w:rsidRDefault="000633D7" w:rsidP="000633D7">
      <w:pPr>
        <w:jc w:val="center"/>
        <w:rPr>
          <w:sz w:val="36"/>
          <w:szCs w:val="32"/>
        </w:rPr>
      </w:pPr>
      <w:r w:rsidRPr="005E32D9">
        <w:rPr>
          <w:b/>
          <w:bCs/>
          <w:sz w:val="36"/>
          <w:szCs w:val="32"/>
        </w:rPr>
        <w:t>Word: 5,0</w:t>
      </w:r>
      <w:r>
        <w:rPr>
          <w:b/>
          <w:bCs/>
          <w:sz w:val="36"/>
          <w:szCs w:val="32"/>
        </w:rPr>
        <w:t>5</w:t>
      </w:r>
      <w:r w:rsidRPr="005E32D9">
        <w:rPr>
          <w:b/>
          <w:bCs/>
          <w:sz w:val="36"/>
          <w:szCs w:val="32"/>
        </w:rPr>
        <w:t xml:space="preserve">0 </w:t>
      </w:r>
    </w:p>
    <w:p w14:paraId="21F7B6B3" w14:textId="77777777" w:rsidR="000633D7" w:rsidRPr="005E32D9" w:rsidRDefault="000633D7" w:rsidP="005E32D9">
      <w:pPr>
        <w:jc w:val="center"/>
        <w:rPr>
          <w:sz w:val="36"/>
          <w:szCs w:val="32"/>
        </w:rPr>
      </w:pPr>
    </w:p>
    <w:p w14:paraId="3BC20B06" w14:textId="77777777" w:rsidR="005E32D9" w:rsidRPr="005E32D9" w:rsidRDefault="005E32D9" w:rsidP="005E32D9"/>
    <w:p w14:paraId="1E2DB01C" w14:textId="77777777" w:rsidR="005E32D9" w:rsidRDefault="00A3578D">
      <w:pPr>
        <w:spacing w:line="259" w:lineRule="auto"/>
        <w:jc w:val="left"/>
        <w:rPr>
          <w:b/>
          <w:bCs/>
        </w:rPr>
      </w:pPr>
      <w:r>
        <w:rPr>
          <w:b/>
          <w:bCs/>
        </w:rPr>
        <w:br w:type="page"/>
      </w:r>
    </w:p>
    <w:sdt>
      <w:sdtPr>
        <w:rPr>
          <w:rFonts w:ascii="Times New Roman" w:eastAsiaTheme="minorHAnsi" w:hAnsi="Times New Roman" w:cs="Times New Roman"/>
          <w:b/>
          <w:bCs/>
          <w:color w:val="000000" w:themeColor="text1"/>
          <w:sz w:val="24"/>
          <w:szCs w:val="22"/>
          <w:lang w:eastAsia="en-US"/>
          <w14:ligatures w14:val="standardContextual"/>
        </w:rPr>
        <w:id w:val="-156382431"/>
        <w:docPartObj>
          <w:docPartGallery w:val="Table of Contents"/>
          <w:docPartUnique/>
        </w:docPartObj>
      </w:sdtPr>
      <w:sdtEndPr>
        <w:rPr>
          <w:rFonts w:cstheme="minorBidi"/>
        </w:rPr>
      </w:sdtEndPr>
      <w:sdtContent>
        <w:p w14:paraId="59C9EE39" w14:textId="77777777" w:rsidR="007F2122" w:rsidRPr="007F2122" w:rsidRDefault="00A3578D" w:rsidP="00B6435E">
          <w:pPr>
            <w:pStyle w:val="TOCHeading"/>
            <w:spacing w:line="360" w:lineRule="auto"/>
            <w:jc w:val="center"/>
            <w:rPr>
              <w:rFonts w:ascii="Times New Roman" w:hAnsi="Times New Roman" w:cs="Times New Roman"/>
              <w:b/>
              <w:bCs/>
            </w:rPr>
          </w:pPr>
          <w:r w:rsidRPr="007F2122">
            <w:rPr>
              <w:rFonts w:ascii="Times New Roman" w:hAnsi="Times New Roman" w:cs="Times New Roman"/>
              <w:b/>
              <w:bCs/>
            </w:rPr>
            <w:t>Table of Contents</w:t>
          </w:r>
        </w:p>
        <w:p w14:paraId="45969EEE" w14:textId="5BA33158" w:rsidR="007222A2" w:rsidRDefault="00A3578D">
          <w:pPr>
            <w:pStyle w:val="TOC1"/>
            <w:tabs>
              <w:tab w:val="right" w:leader="dot" w:pos="9016"/>
            </w:tabs>
            <w:rPr>
              <w:rFonts w:asciiTheme="minorHAnsi" w:eastAsiaTheme="minorEastAsia" w:hAnsiTheme="minorHAnsi"/>
              <w:noProof/>
              <w:color w:val="auto"/>
              <w:kern w:val="2"/>
              <w:szCs w:val="24"/>
              <w:lang w:val="en-IN" w:eastAsia="en-GB"/>
            </w:rPr>
          </w:pPr>
          <w:r>
            <w:fldChar w:fldCharType="begin"/>
          </w:r>
          <w:r>
            <w:instrText xml:space="preserve"> TOC \o "1-3" \h \z \u </w:instrText>
          </w:r>
          <w:r>
            <w:fldChar w:fldCharType="separate"/>
          </w:r>
          <w:r w:rsidR="007222A2">
            <w:rPr>
              <w:noProof/>
            </w:rPr>
            <w:fldChar w:fldCharType="begin"/>
          </w:r>
          <w:r w:rsidR="007222A2">
            <w:rPr>
              <w:noProof/>
            </w:rPr>
            <w:instrText>HYPERLINK \l "_Toc227676765"</w:instrText>
          </w:r>
          <w:r w:rsidR="000633D7">
            <w:rPr>
              <w:noProof/>
            </w:rPr>
          </w:r>
          <w:r w:rsidR="007222A2">
            <w:rPr>
              <w:noProof/>
            </w:rPr>
            <w:fldChar w:fldCharType="separate"/>
          </w:r>
          <w:r w:rsidR="007222A2" w:rsidRPr="00116994">
            <w:rPr>
              <w:rStyle w:val="Hyperlink"/>
              <w:noProof/>
            </w:rPr>
            <w:t>1. Introduction</w:t>
          </w:r>
          <w:r w:rsidR="007222A2">
            <w:rPr>
              <w:noProof/>
              <w:webHidden/>
            </w:rPr>
            <w:tab/>
          </w:r>
          <w:r w:rsidR="007222A2">
            <w:rPr>
              <w:noProof/>
              <w:webHidden/>
            </w:rPr>
            <w:fldChar w:fldCharType="begin"/>
          </w:r>
          <w:r w:rsidR="007222A2">
            <w:rPr>
              <w:noProof/>
              <w:webHidden/>
            </w:rPr>
            <w:instrText xml:space="preserve"> PAGEREF _Toc227676765 \h </w:instrText>
          </w:r>
          <w:r w:rsidR="007222A2">
            <w:rPr>
              <w:noProof/>
              <w:webHidden/>
            </w:rPr>
          </w:r>
          <w:r w:rsidR="007222A2">
            <w:rPr>
              <w:noProof/>
              <w:webHidden/>
            </w:rPr>
            <w:fldChar w:fldCharType="separate"/>
          </w:r>
          <w:r w:rsidR="000633D7">
            <w:rPr>
              <w:noProof/>
              <w:webHidden/>
            </w:rPr>
            <w:t>3</w:t>
          </w:r>
          <w:r w:rsidR="007222A2">
            <w:rPr>
              <w:noProof/>
              <w:webHidden/>
            </w:rPr>
            <w:fldChar w:fldCharType="end"/>
          </w:r>
          <w:r w:rsidR="007222A2">
            <w:rPr>
              <w:noProof/>
            </w:rPr>
            <w:fldChar w:fldCharType="end"/>
          </w:r>
        </w:p>
        <w:p w14:paraId="3E5BDA1E" w14:textId="356BBECE" w:rsidR="007222A2" w:rsidRDefault="007222A2">
          <w:pPr>
            <w:pStyle w:val="TOC1"/>
            <w:tabs>
              <w:tab w:val="right" w:leader="dot" w:pos="9016"/>
            </w:tabs>
            <w:rPr>
              <w:rFonts w:asciiTheme="minorHAnsi" w:eastAsiaTheme="minorEastAsia" w:hAnsiTheme="minorHAnsi"/>
              <w:noProof/>
              <w:color w:val="auto"/>
              <w:kern w:val="2"/>
              <w:szCs w:val="24"/>
              <w:lang w:val="en-IN" w:eastAsia="en-GB"/>
            </w:rPr>
          </w:pPr>
          <w:hyperlink w:anchor="_Toc227676766" w:history="1">
            <w:r w:rsidRPr="00116994">
              <w:rPr>
                <w:rStyle w:val="Hyperlink"/>
                <w:noProof/>
              </w:rPr>
              <w:t>2. Financial Health Check – Tesla Inc. (2021–2025)</w:t>
            </w:r>
            <w:r>
              <w:rPr>
                <w:noProof/>
                <w:webHidden/>
              </w:rPr>
              <w:tab/>
            </w:r>
            <w:r>
              <w:rPr>
                <w:noProof/>
                <w:webHidden/>
              </w:rPr>
              <w:fldChar w:fldCharType="begin"/>
            </w:r>
            <w:r>
              <w:rPr>
                <w:noProof/>
                <w:webHidden/>
              </w:rPr>
              <w:instrText xml:space="preserve"> PAGEREF _Toc227676766 \h </w:instrText>
            </w:r>
            <w:r>
              <w:rPr>
                <w:noProof/>
                <w:webHidden/>
              </w:rPr>
            </w:r>
            <w:r>
              <w:rPr>
                <w:noProof/>
                <w:webHidden/>
              </w:rPr>
              <w:fldChar w:fldCharType="separate"/>
            </w:r>
            <w:r w:rsidR="000633D7">
              <w:rPr>
                <w:noProof/>
                <w:webHidden/>
              </w:rPr>
              <w:t>4</w:t>
            </w:r>
            <w:r>
              <w:rPr>
                <w:noProof/>
                <w:webHidden/>
              </w:rPr>
              <w:fldChar w:fldCharType="end"/>
            </w:r>
          </w:hyperlink>
        </w:p>
        <w:p w14:paraId="64CB7994" w14:textId="0C01D83E" w:rsidR="007222A2" w:rsidRDefault="007222A2">
          <w:pPr>
            <w:pStyle w:val="TOC1"/>
            <w:tabs>
              <w:tab w:val="right" w:leader="dot" w:pos="9016"/>
            </w:tabs>
            <w:rPr>
              <w:rFonts w:asciiTheme="minorHAnsi" w:eastAsiaTheme="minorEastAsia" w:hAnsiTheme="minorHAnsi"/>
              <w:noProof/>
              <w:color w:val="auto"/>
              <w:kern w:val="2"/>
              <w:szCs w:val="24"/>
              <w:lang w:val="en-IN" w:eastAsia="en-GB"/>
            </w:rPr>
          </w:pPr>
          <w:hyperlink w:anchor="_Toc227676767" w:history="1">
            <w:r w:rsidRPr="00116994">
              <w:rPr>
                <w:rStyle w:val="Hyperlink"/>
                <w:noProof/>
              </w:rPr>
              <w:t>3. Working Capital Management Analysis</w:t>
            </w:r>
            <w:r>
              <w:rPr>
                <w:noProof/>
                <w:webHidden/>
              </w:rPr>
              <w:tab/>
            </w:r>
            <w:r>
              <w:rPr>
                <w:noProof/>
                <w:webHidden/>
              </w:rPr>
              <w:fldChar w:fldCharType="begin"/>
            </w:r>
            <w:r>
              <w:rPr>
                <w:noProof/>
                <w:webHidden/>
              </w:rPr>
              <w:instrText xml:space="preserve"> PAGEREF _Toc227676767 \h </w:instrText>
            </w:r>
            <w:r>
              <w:rPr>
                <w:noProof/>
                <w:webHidden/>
              </w:rPr>
            </w:r>
            <w:r>
              <w:rPr>
                <w:noProof/>
                <w:webHidden/>
              </w:rPr>
              <w:fldChar w:fldCharType="separate"/>
            </w:r>
            <w:r w:rsidR="000633D7">
              <w:rPr>
                <w:noProof/>
                <w:webHidden/>
              </w:rPr>
              <w:t>13</w:t>
            </w:r>
            <w:r>
              <w:rPr>
                <w:noProof/>
                <w:webHidden/>
              </w:rPr>
              <w:fldChar w:fldCharType="end"/>
            </w:r>
          </w:hyperlink>
        </w:p>
        <w:p w14:paraId="6D0403F2" w14:textId="58273F21" w:rsidR="007222A2" w:rsidRDefault="007222A2">
          <w:pPr>
            <w:pStyle w:val="TOC1"/>
            <w:tabs>
              <w:tab w:val="right" w:leader="dot" w:pos="9016"/>
            </w:tabs>
            <w:rPr>
              <w:rFonts w:asciiTheme="minorHAnsi" w:eastAsiaTheme="minorEastAsia" w:hAnsiTheme="minorHAnsi"/>
              <w:noProof/>
              <w:color w:val="auto"/>
              <w:kern w:val="2"/>
              <w:szCs w:val="24"/>
              <w:lang w:val="en-IN" w:eastAsia="en-GB"/>
            </w:rPr>
          </w:pPr>
          <w:hyperlink w:anchor="_Toc227676768" w:history="1">
            <w:r w:rsidRPr="00116994">
              <w:rPr>
                <w:rStyle w:val="Hyperlink"/>
                <w:noProof/>
              </w:rPr>
              <w:t>4. Strategic Financial Restructuring Plan</w:t>
            </w:r>
            <w:r>
              <w:rPr>
                <w:noProof/>
                <w:webHidden/>
              </w:rPr>
              <w:tab/>
            </w:r>
            <w:r>
              <w:rPr>
                <w:noProof/>
                <w:webHidden/>
              </w:rPr>
              <w:fldChar w:fldCharType="begin"/>
            </w:r>
            <w:r>
              <w:rPr>
                <w:noProof/>
                <w:webHidden/>
              </w:rPr>
              <w:instrText xml:space="preserve"> PAGEREF _Toc227676768 \h </w:instrText>
            </w:r>
            <w:r>
              <w:rPr>
                <w:noProof/>
                <w:webHidden/>
              </w:rPr>
            </w:r>
            <w:r>
              <w:rPr>
                <w:noProof/>
                <w:webHidden/>
              </w:rPr>
              <w:fldChar w:fldCharType="separate"/>
            </w:r>
            <w:r w:rsidR="000633D7">
              <w:rPr>
                <w:noProof/>
                <w:webHidden/>
              </w:rPr>
              <w:t>16</w:t>
            </w:r>
            <w:r>
              <w:rPr>
                <w:noProof/>
                <w:webHidden/>
              </w:rPr>
              <w:fldChar w:fldCharType="end"/>
            </w:r>
          </w:hyperlink>
        </w:p>
        <w:p w14:paraId="4E184B4E" w14:textId="77B32F1A" w:rsidR="007222A2" w:rsidRDefault="007222A2">
          <w:pPr>
            <w:pStyle w:val="TOC1"/>
            <w:tabs>
              <w:tab w:val="right" w:leader="dot" w:pos="9016"/>
            </w:tabs>
            <w:rPr>
              <w:rFonts w:asciiTheme="minorHAnsi" w:eastAsiaTheme="minorEastAsia" w:hAnsiTheme="minorHAnsi"/>
              <w:noProof/>
              <w:color w:val="auto"/>
              <w:kern w:val="2"/>
              <w:szCs w:val="24"/>
              <w:lang w:val="en-IN" w:eastAsia="en-GB"/>
            </w:rPr>
          </w:pPr>
          <w:hyperlink w:anchor="_Toc227676769" w:history="1">
            <w:r w:rsidRPr="00116994">
              <w:rPr>
                <w:rStyle w:val="Hyperlink"/>
                <w:noProof/>
              </w:rPr>
              <w:t>5. Investment Appraisal and Capital Budgeting</w:t>
            </w:r>
            <w:r>
              <w:rPr>
                <w:noProof/>
                <w:webHidden/>
              </w:rPr>
              <w:tab/>
            </w:r>
            <w:r>
              <w:rPr>
                <w:noProof/>
                <w:webHidden/>
              </w:rPr>
              <w:fldChar w:fldCharType="begin"/>
            </w:r>
            <w:r>
              <w:rPr>
                <w:noProof/>
                <w:webHidden/>
              </w:rPr>
              <w:instrText xml:space="preserve"> PAGEREF _Toc227676769 \h </w:instrText>
            </w:r>
            <w:r>
              <w:rPr>
                <w:noProof/>
                <w:webHidden/>
              </w:rPr>
            </w:r>
            <w:r>
              <w:rPr>
                <w:noProof/>
                <w:webHidden/>
              </w:rPr>
              <w:fldChar w:fldCharType="separate"/>
            </w:r>
            <w:r w:rsidR="000633D7">
              <w:rPr>
                <w:noProof/>
                <w:webHidden/>
              </w:rPr>
              <w:t>20</w:t>
            </w:r>
            <w:r>
              <w:rPr>
                <w:noProof/>
                <w:webHidden/>
              </w:rPr>
              <w:fldChar w:fldCharType="end"/>
            </w:r>
          </w:hyperlink>
        </w:p>
        <w:p w14:paraId="150DDADC" w14:textId="21E72701" w:rsidR="007222A2" w:rsidRDefault="007222A2">
          <w:pPr>
            <w:pStyle w:val="TOC1"/>
            <w:tabs>
              <w:tab w:val="right" w:leader="dot" w:pos="9016"/>
            </w:tabs>
            <w:rPr>
              <w:rFonts w:asciiTheme="minorHAnsi" w:eastAsiaTheme="minorEastAsia" w:hAnsiTheme="minorHAnsi"/>
              <w:noProof/>
              <w:color w:val="auto"/>
              <w:kern w:val="2"/>
              <w:szCs w:val="24"/>
              <w:lang w:val="en-IN" w:eastAsia="en-GB"/>
            </w:rPr>
          </w:pPr>
          <w:hyperlink w:anchor="_Toc227676770" w:history="1">
            <w:r w:rsidRPr="00116994">
              <w:rPr>
                <w:rStyle w:val="Hyperlink"/>
                <w:noProof/>
              </w:rPr>
              <w:t>6. Conclusion</w:t>
            </w:r>
            <w:r>
              <w:rPr>
                <w:noProof/>
                <w:webHidden/>
              </w:rPr>
              <w:tab/>
            </w:r>
            <w:r>
              <w:rPr>
                <w:noProof/>
                <w:webHidden/>
              </w:rPr>
              <w:fldChar w:fldCharType="begin"/>
            </w:r>
            <w:r>
              <w:rPr>
                <w:noProof/>
                <w:webHidden/>
              </w:rPr>
              <w:instrText xml:space="preserve"> PAGEREF _Toc227676770 \h </w:instrText>
            </w:r>
            <w:r>
              <w:rPr>
                <w:noProof/>
                <w:webHidden/>
              </w:rPr>
            </w:r>
            <w:r>
              <w:rPr>
                <w:noProof/>
                <w:webHidden/>
              </w:rPr>
              <w:fldChar w:fldCharType="separate"/>
            </w:r>
            <w:r w:rsidR="000633D7">
              <w:rPr>
                <w:noProof/>
                <w:webHidden/>
              </w:rPr>
              <w:t>28</w:t>
            </w:r>
            <w:r>
              <w:rPr>
                <w:noProof/>
                <w:webHidden/>
              </w:rPr>
              <w:fldChar w:fldCharType="end"/>
            </w:r>
          </w:hyperlink>
        </w:p>
        <w:p w14:paraId="4F91F67F" w14:textId="68AE20DE" w:rsidR="007222A2" w:rsidRDefault="007222A2">
          <w:pPr>
            <w:pStyle w:val="TOC1"/>
            <w:tabs>
              <w:tab w:val="right" w:leader="dot" w:pos="9016"/>
            </w:tabs>
            <w:rPr>
              <w:rFonts w:asciiTheme="minorHAnsi" w:eastAsiaTheme="minorEastAsia" w:hAnsiTheme="minorHAnsi"/>
              <w:noProof/>
              <w:color w:val="auto"/>
              <w:kern w:val="2"/>
              <w:szCs w:val="24"/>
              <w:lang w:val="en-IN" w:eastAsia="en-GB"/>
            </w:rPr>
          </w:pPr>
          <w:hyperlink w:anchor="_Toc227676771" w:history="1">
            <w:r w:rsidRPr="00116994">
              <w:rPr>
                <w:rStyle w:val="Hyperlink"/>
                <w:noProof/>
              </w:rPr>
              <w:t>References</w:t>
            </w:r>
            <w:r>
              <w:rPr>
                <w:noProof/>
                <w:webHidden/>
              </w:rPr>
              <w:tab/>
            </w:r>
            <w:r>
              <w:rPr>
                <w:noProof/>
                <w:webHidden/>
              </w:rPr>
              <w:fldChar w:fldCharType="begin"/>
            </w:r>
            <w:r>
              <w:rPr>
                <w:noProof/>
                <w:webHidden/>
              </w:rPr>
              <w:instrText xml:space="preserve"> PAGEREF _Toc227676771 \h </w:instrText>
            </w:r>
            <w:r>
              <w:rPr>
                <w:noProof/>
                <w:webHidden/>
              </w:rPr>
            </w:r>
            <w:r>
              <w:rPr>
                <w:noProof/>
                <w:webHidden/>
              </w:rPr>
              <w:fldChar w:fldCharType="separate"/>
            </w:r>
            <w:r w:rsidR="000633D7">
              <w:rPr>
                <w:noProof/>
                <w:webHidden/>
              </w:rPr>
              <w:t>29</w:t>
            </w:r>
            <w:r>
              <w:rPr>
                <w:noProof/>
                <w:webHidden/>
              </w:rPr>
              <w:fldChar w:fldCharType="end"/>
            </w:r>
          </w:hyperlink>
        </w:p>
        <w:p w14:paraId="2DAA5867" w14:textId="25D31F66" w:rsidR="007222A2" w:rsidRDefault="007222A2">
          <w:pPr>
            <w:pStyle w:val="TOC1"/>
            <w:tabs>
              <w:tab w:val="right" w:leader="dot" w:pos="9016"/>
            </w:tabs>
            <w:rPr>
              <w:rFonts w:asciiTheme="minorHAnsi" w:eastAsiaTheme="minorEastAsia" w:hAnsiTheme="minorHAnsi"/>
              <w:noProof/>
              <w:color w:val="auto"/>
              <w:kern w:val="2"/>
              <w:szCs w:val="24"/>
              <w:lang w:val="en-IN" w:eastAsia="en-GB"/>
            </w:rPr>
          </w:pPr>
          <w:hyperlink w:anchor="_Toc227676772" w:history="1">
            <w:r w:rsidRPr="00116994">
              <w:rPr>
                <w:rStyle w:val="Hyperlink"/>
                <w:noProof/>
              </w:rPr>
              <w:t>Appendices</w:t>
            </w:r>
            <w:r>
              <w:rPr>
                <w:noProof/>
                <w:webHidden/>
              </w:rPr>
              <w:tab/>
            </w:r>
            <w:r>
              <w:rPr>
                <w:noProof/>
                <w:webHidden/>
              </w:rPr>
              <w:fldChar w:fldCharType="begin"/>
            </w:r>
            <w:r>
              <w:rPr>
                <w:noProof/>
                <w:webHidden/>
              </w:rPr>
              <w:instrText xml:space="preserve"> PAGEREF _Toc227676772 \h </w:instrText>
            </w:r>
            <w:r>
              <w:rPr>
                <w:noProof/>
                <w:webHidden/>
              </w:rPr>
            </w:r>
            <w:r>
              <w:rPr>
                <w:noProof/>
                <w:webHidden/>
              </w:rPr>
              <w:fldChar w:fldCharType="separate"/>
            </w:r>
            <w:r w:rsidR="000633D7">
              <w:rPr>
                <w:noProof/>
                <w:webHidden/>
              </w:rPr>
              <w:t>32</w:t>
            </w:r>
            <w:r>
              <w:rPr>
                <w:noProof/>
                <w:webHidden/>
              </w:rPr>
              <w:fldChar w:fldCharType="end"/>
            </w:r>
          </w:hyperlink>
        </w:p>
        <w:p w14:paraId="49FA9F83" w14:textId="7B0E4154" w:rsidR="007F2122" w:rsidRDefault="00A3578D" w:rsidP="00B6435E">
          <w:pPr>
            <w:spacing w:line="360" w:lineRule="auto"/>
          </w:pPr>
          <w:r>
            <w:rPr>
              <w:b/>
              <w:bCs/>
            </w:rPr>
            <w:fldChar w:fldCharType="end"/>
          </w:r>
        </w:p>
      </w:sdtContent>
    </w:sdt>
    <w:p w14:paraId="2EC632AB" w14:textId="77777777" w:rsidR="005E32D9" w:rsidRDefault="00A3578D" w:rsidP="00637E1D">
      <w:pPr>
        <w:spacing w:line="360" w:lineRule="auto"/>
        <w:jc w:val="left"/>
        <w:rPr>
          <w:b/>
          <w:bCs/>
        </w:rPr>
      </w:pPr>
      <w:r>
        <w:rPr>
          <w:b/>
          <w:bCs/>
        </w:rPr>
        <w:br w:type="page"/>
      </w:r>
    </w:p>
    <w:p w14:paraId="049287F1" w14:textId="77777777" w:rsidR="005E32D9" w:rsidRPr="005E32D9" w:rsidRDefault="00A3578D" w:rsidP="00637E1D">
      <w:pPr>
        <w:pStyle w:val="Heading1"/>
        <w:spacing w:line="360" w:lineRule="auto"/>
      </w:pPr>
      <w:bookmarkStart w:id="0" w:name="_Toc227676765"/>
      <w:r w:rsidRPr="005E32D9">
        <w:lastRenderedPageBreak/>
        <w:t>1. Introduction</w:t>
      </w:r>
      <w:bookmarkEnd w:id="0"/>
    </w:p>
    <w:p w14:paraId="0475D669" w14:textId="574FFF34" w:rsidR="005E32D9" w:rsidRPr="005E32D9" w:rsidRDefault="00DB41E4" w:rsidP="00637E1D">
      <w:pPr>
        <w:spacing w:line="360" w:lineRule="auto"/>
      </w:pPr>
      <w:r w:rsidRPr="00DB41E4">
        <w:t>Financial health analysis is not only a measurement tool but a decision-making model</w:t>
      </w:r>
      <w:r>
        <w:t xml:space="preserve">. This </w:t>
      </w:r>
      <w:r w:rsidRPr="00DB41E4">
        <w:t xml:space="preserve">is applied to determine whether a company is generating sustainable shareholder value or increasing revenues at the cost of efficiency and returns. </w:t>
      </w:r>
      <w:r w:rsidRPr="005E32D9">
        <w:t xml:space="preserve">It is based on using financial statements and ratios to determine performance and risk exposure. </w:t>
      </w:r>
      <w:r w:rsidRPr="00DB41E4">
        <w:t>However, rapid revenue growth does not always indicate financial effectiveness</w:t>
      </w:r>
      <w:r w:rsidR="00637E1D">
        <w:t>,</w:t>
      </w:r>
      <w:r w:rsidRPr="00DB41E4">
        <w:t xml:space="preserve"> and Tesla has dropped its profitability and cash efficiency even in growth periods</w:t>
      </w:r>
      <w:r>
        <w:rPr>
          <w:color w:val="FF0000"/>
        </w:rPr>
        <w:t xml:space="preserve"> </w:t>
      </w:r>
      <w:r w:rsidR="00D25F46">
        <w:t>(</w:t>
      </w:r>
      <w:r w:rsidR="00D25F46" w:rsidRPr="00D25F46">
        <w:t>Olayinka, 2022</w:t>
      </w:r>
      <w:r w:rsidR="00D25F46">
        <w:t>)</w:t>
      </w:r>
      <w:r w:rsidRPr="005E32D9">
        <w:t xml:space="preserve">. Tesla Inc. has a high rate of innovation and increased cost pressures. The current performance indicates revenue stability and decreasing profitability, which is a concern in terms of efficiency and </w:t>
      </w:r>
      <w:r w:rsidR="00565FBF" w:rsidRPr="00565FBF">
        <w:t xml:space="preserve">margin </w:t>
      </w:r>
      <w:r w:rsidRPr="005E32D9">
        <w:t xml:space="preserve">sustainability. Financial strength is also challenged by competitive pressures and strategic price cuts. </w:t>
      </w:r>
    </w:p>
    <w:p w14:paraId="37AF33EA" w14:textId="652D2228" w:rsidR="005E32D9" w:rsidRDefault="00A3578D" w:rsidP="00637E1D">
      <w:pPr>
        <w:spacing w:line="360" w:lineRule="auto"/>
      </w:pPr>
      <w:r w:rsidRPr="005E32D9">
        <w:t xml:space="preserve">In this report, a critical analysis of Tesla’s financial performance over the past five years will be performed. It will evaluate trends in the income statement, balance sheet and cash flow to determine the key changes. It will use profitability, liquidity, efficiency and gearing ratios to determine financial stability. Additionally, this report will analyse cash flow and investment ratios to describe value creation and sustainability. It will determine strengths, such as </w:t>
      </w:r>
      <w:r w:rsidR="00565FBF">
        <w:t>growth driven by</w:t>
      </w:r>
      <w:r w:rsidRPr="005E32D9">
        <w:t xml:space="preserve"> innovation and </w:t>
      </w:r>
      <w:r w:rsidR="000C432B" w:rsidRPr="000C432B">
        <w:t>strong cash generation</w:t>
      </w:r>
      <w:r w:rsidRPr="005E32D9">
        <w:t>. Moreover, this report will explain key threats like margin pressure, increasing cost</w:t>
      </w:r>
      <w:r w:rsidR="000C432B">
        <w:t>s</w:t>
      </w:r>
      <w:r w:rsidRPr="005E32D9">
        <w:t xml:space="preserve"> and competition. Lastly, it will justify Tesla's overall financial performance and future financial status.</w:t>
      </w:r>
    </w:p>
    <w:p w14:paraId="2867449E" w14:textId="6515DA7F" w:rsidR="000C2901" w:rsidRDefault="000C2901" w:rsidP="00637E1D">
      <w:pPr>
        <w:spacing w:line="360" w:lineRule="auto"/>
        <w:jc w:val="center"/>
      </w:pPr>
      <w:r>
        <w:rPr>
          <w:noProof/>
          <w:lang w:val="en-IN" w:eastAsia="en-IN"/>
        </w:rPr>
        <w:drawing>
          <wp:inline distT="0" distB="0" distL="0" distR="0" wp14:anchorId="126C261D" wp14:editId="487E804D">
            <wp:extent cx="4137426" cy="2770505"/>
            <wp:effectExtent l="38100" t="38100" r="34925" b="29845"/>
            <wp:docPr id="694825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825895" name="Picture 694825895"/>
                    <pic:cNvPicPr/>
                  </pic:nvPicPr>
                  <pic:blipFill>
                    <a:blip r:embed="rId8" cstate="print">
                      <a:extLst>
                        <a:ext uri="{28A0092B-C50C-407E-A947-70E740481C1C}">
                          <a14:useLocalDpi xmlns:a14="http://schemas.microsoft.com/office/drawing/2010/main"/>
                        </a:ext>
                      </a:extLst>
                    </a:blip>
                    <a:stretch>
                      <a:fillRect/>
                    </a:stretch>
                  </pic:blipFill>
                  <pic:spPr>
                    <a:xfrm>
                      <a:off x="0" y="0"/>
                      <a:ext cx="4145264" cy="2775753"/>
                    </a:xfrm>
                    <a:prstGeom prst="rect">
                      <a:avLst/>
                    </a:prstGeom>
                    <a:ln w="28575">
                      <a:solidFill>
                        <a:schemeClr val="tx1"/>
                      </a:solidFill>
                    </a:ln>
                  </pic:spPr>
                </pic:pic>
              </a:graphicData>
            </a:graphic>
          </wp:inline>
        </w:drawing>
      </w:r>
    </w:p>
    <w:p w14:paraId="540C226E" w14:textId="1099BC0B" w:rsidR="000C2901" w:rsidRPr="000C2901" w:rsidRDefault="000C2901" w:rsidP="00637E1D">
      <w:pPr>
        <w:spacing w:line="360" w:lineRule="auto"/>
        <w:jc w:val="center"/>
        <w:rPr>
          <w:b/>
          <w:bCs/>
        </w:rPr>
      </w:pPr>
      <w:r w:rsidRPr="000C2901">
        <w:rPr>
          <w:b/>
          <w:bCs/>
        </w:rPr>
        <w:t>Figure</w:t>
      </w:r>
      <w:r w:rsidR="00D064AC">
        <w:rPr>
          <w:b/>
          <w:bCs/>
        </w:rPr>
        <w:t xml:space="preserve"> 1</w:t>
      </w:r>
      <w:r w:rsidRPr="000C2901">
        <w:rPr>
          <w:b/>
          <w:bCs/>
        </w:rPr>
        <w:t xml:space="preserve">: Tesla Company Logo </w:t>
      </w:r>
    </w:p>
    <w:p w14:paraId="4B6E4974" w14:textId="2B99FF4F" w:rsidR="000C2901" w:rsidRPr="005E32D9" w:rsidRDefault="000C2901" w:rsidP="00637E1D">
      <w:pPr>
        <w:spacing w:line="360" w:lineRule="auto"/>
        <w:jc w:val="center"/>
      </w:pPr>
      <w:r w:rsidRPr="000C2901">
        <w:rPr>
          <w:b/>
          <w:bCs/>
        </w:rPr>
        <w:t>Source:</w:t>
      </w:r>
      <w:r>
        <w:t xml:space="preserve"> (Tesla, 2025)</w:t>
      </w:r>
    </w:p>
    <w:p w14:paraId="57677392" w14:textId="32FE5898" w:rsidR="005E32D9" w:rsidRDefault="005E32D9" w:rsidP="00637E1D">
      <w:pPr>
        <w:spacing w:line="360" w:lineRule="auto"/>
        <w:jc w:val="left"/>
        <w:rPr>
          <w:rFonts w:eastAsiaTheme="majorEastAsia" w:cstheme="majorBidi"/>
          <w:b/>
          <w:sz w:val="28"/>
          <w:szCs w:val="32"/>
        </w:rPr>
      </w:pPr>
    </w:p>
    <w:p w14:paraId="36C98088" w14:textId="77777777" w:rsidR="005E32D9" w:rsidRPr="005E32D9" w:rsidRDefault="00A3578D" w:rsidP="00637E1D">
      <w:pPr>
        <w:pStyle w:val="Heading1"/>
        <w:spacing w:line="360" w:lineRule="auto"/>
      </w:pPr>
      <w:bookmarkStart w:id="1" w:name="_Toc227676766"/>
      <w:r w:rsidRPr="005E32D9">
        <w:t>2. Financial Health Check – Tesla Inc. (2021–2025)</w:t>
      </w:r>
      <w:bookmarkEnd w:id="1"/>
    </w:p>
    <w:p w14:paraId="5A7C4172" w14:textId="77777777" w:rsidR="00565FBF" w:rsidRDefault="00565FBF" w:rsidP="00637E1D">
      <w:pPr>
        <w:spacing w:line="360" w:lineRule="auto"/>
        <w:rPr>
          <w:b/>
          <w:bCs/>
          <w:u w:val="single"/>
        </w:rPr>
      </w:pPr>
      <w:r w:rsidRPr="00565FBF">
        <w:rPr>
          <w:b/>
          <w:bCs/>
          <w:u w:val="single"/>
        </w:rPr>
        <w:t>Summary of Five-Year Financial Performance</w:t>
      </w:r>
    </w:p>
    <w:p w14:paraId="59EDBA00" w14:textId="7FDF2812" w:rsidR="000C2901" w:rsidRDefault="000C2901" w:rsidP="00637E1D">
      <w:pPr>
        <w:spacing w:line="360" w:lineRule="auto"/>
        <w:jc w:val="center"/>
        <w:rPr>
          <w:b/>
          <w:bCs/>
          <w:u w:val="single"/>
        </w:rPr>
      </w:pPr>
      <w:r>
        <w:rPr>
          <w:noProof/>
          <w:lang w:val="en-IN" w:eastAsia="en-IN"/>
        </w:rPr>
        <w:drawing>
          <wp:inline distT="0" distB="0" distL="0" distR="0" wp14:anchorId="2439F6D2" wp14:editId="47BD6953">
            <wp:extent cx="4751527" cy="3780082"/>
            <wp:effectExtent l="38100" t="38100" r="30480" b="30480"/>
            <wp:docPr id="1777242125" name="Picture 4" descr="Infographic: Tesla Sales Drop in Europ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fographic: Tesla Sales Drop in Europe | Statista"/>
                    <pic:cNvPicPr>
                      <a:picLocks noChangeAspect="1" noChangeArrowheads="1"/>
                    </pic:cNvPicPr>
                  </pic:nvPicPr>
                  <pic:blipFill rotWithShape="1">
                    <a:blip r:embed="rId9" cstate="print">
                      <a:extLst>
                        <a:ext uri="{28A0092B-C50C-407E-A947-70E740481C1C}">
                          <a14:useLocalDpi xmlns:a14="http://schemas.microsoft.com/office/drawing/2010/main"/>
                        </a:ext>
                      </a:extLst>
                    </a:blip>
                    <a:srcRect/>
                    <a:stretch/>
                  </pic:blipFill>
                  <pic:spPr bwMode="auto">
                    <a:xfrm>
                      <a:off x="0" y="0"/>
                      <a:ext cx="4762375" cy="3788712"/>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7DD04106" w14:textId="5F702915" w:rsidR="000C2901" w:rsidRPr="000C2901" w:rsidRDefault="000C2901" w:rsidP="00637E1D">
      <w:pPr>
        <w:spacing w:line="360" w:lineRule="auto"/>
        <w:jc w:val="center"/>
        <w:rPr>
          <w:b/>
          <w:bCs/>
        </w:rPr>
      </w:pPr>
      <w:r w:rsidRPr="000C2901">
        <w:rPr>
          <w:b/>
          <w:bCs/>
        </w:rPr>
        <w:t>Figure</w:t>
      </w:r>
      <w:r w:rsidR="00D064AC">
        <w:rPr>
          <w:b/>
          <w:bCs/>
        </w:rPr>
        <w:t xml:space="preserve"> 2</w:t>
      </w:r>
      <w:r w:rsidRPr="000C2901">
        <w:rPr>
          <w:b/>
          <w:bCs/>
        </w:rPr>
        <w:t>: Tesla Sales Drop in Europe</w:t>
      </w:r>
    </w:p>
    <w:p w14:paraId="354DEC4B" w14:textId="307D533C" w:rsidR="000C2901" w:rsidRPr="000C2901" w:rsidRDefault="000C2901" w:rsidP="00637E1D">
      <w:pPr>
        <w:spacing w:line="360" w:lineRule="auto"/>
        <w:jc w:val="center"/>
      </w:pPr>
      <w:r w:rsidRPr="000C2901">
        <w:rPr>
          <w:b/>
          <w:bCs/>
        </w:rPr>
        <w:t xml:space="preserve">Source: </w:t>
      </w:r>
      <w:r w:rsidRPr="000C2901">
        <w:t>(Fleck, 2025)</w:t>
      </w:r>
    </w:p>
    <w:p w14:paraId="29DA3181" w14:textId="70951D63" w:rsidR="005E32D9" w:rsidRDefault="00A3578D" w:rsidP="00637E1D">
      <w:pPr>
        <w:spacing w:line="360" w:lineRule="auto"/>
      </w:pPr>
      <w:r w:rsidRPr="005E32D9">
        <w:t xml:space="preserve">Financial </w:t>
      </w:r>
      <w:r w:rsidR="00565FBF" w:rsidRPr="00565FBF">
        <w:t xml:space="preserve">statements </w:t>
      </w:r>
      <w:r w:rsidRPr="005E32D9">
        <w:t xml:space="preserve">consist of income, balance sheet and cash flow statements. </w:t>
      </w:r>
      <w:r w:rsidR="00DB41E4" w:rsidRPr="00DB41E4">
        <w:t>Though Tesla is increasing its revenues between 2021 and 2024, this is supported by growing its prices, not its volumes, which raises the question of whether demand-led growth can be sustained</w:t>
      </w:r>
      <w:r w:rsidR="00286BDC" w:rsidRPr="009515F8">
        <w:rPr>
          <w:color w:val="FF0000"/>
        </w:rPr>
        <w:t xml:space="preserve"> </w:t>
      </w:r>
      <w:r w:rsidR="00286BDC">
        <w:t>(Tesla, 2025)</w:t>
      </w:r>
      <w:r w:rsidRPr="005E32D9">
        <w:t xml:space="preserve">. The growth rate decreased in 2025 while the revenue declined marginally to $94.8bn. The deceleration indicates demand saturation and competitive pricing. </w:t>
      </w:r>
      <w:r w:rsidR="00DB41E4" w:rsidRPr="00DB41E4">
        <w:t>The net income increased to its highest point in 2023 but then dropped considerably, indicating that the previous growth in profitability was not structurally viable and due to the temporary cost of advantage.</w:t>
      </w:r>
      <w:r w:rsidR="00DB41E4">
        <w:rPr>
          <w:color w:val="FF0000"/>
        </w:rPr>
        <w:t xml:space="preserve"> </w:t>
      </w:r>
      <w:r w:rsidRPr="005E32D9">
        <w:t xml:space="preserve">However, profits decreased to $3.8bn in 2025. An increase in assets was attributed to expansion investments. Tesla invested in plants, AI and batteries. However, the growth of assets exceeded the growth of profits beyond 2023. This </w:t>
      </w:r>
      <w:r w:rsidR="00565FBF" w:rsidRPr="00565FBF">
        <w:t>reduced overall efficiency</w:t>
      </w:r>
      <w:r w:rsidRPr="005E32D9">
        <w:t xml:space="preserve">. </w:t>
      </w:r>
      <w:r w:rsidR="00DB41E4" w:rsidRPr="00DB41E4">
        <w:t xml:space="preserve">Though cash flow is positive, the volatility is rising, implying that </w:t>
      </w:r>
      <w:r w:rsidR="00637E1D">
        <w:t xml:space="preserve">the </w:t>
      </w:r>
      <w:r w:rsidR="00DB41E4" w:rsidRPr="00DB41E4">
        <w:t xml:space="preserve">internal funding ability of Tesla </w:t>
      </w:r>
      <w:r w:rsidR="00DB41E4" w:rsidRPr="00DB41E4">
        <w:lastRenderedPageBreak/>
        <w:t>is becoming less predictable, increasing the risk of long-term investment.</w:t>
      </w:r>
      <w:r w:rsidR="00DB41E4">
        <w:rPr>
          <w:color w:val="FF0000"/>
        </w:rPr>
        <w:t xml:space="preserve"> </w:t>
      </w:r>
      <w:r w:rsidRPr="005E32D9">
        <w:t>Additionally, the large capital expenditure lowered the stability of cash flow. It indicates the aggressive growth strategy of Tesla</w:t>
      </w:r>
      <w:r w:rsidR="000574C0">
        <w:t xml:space="preserve"> </w:t>
      </w:r>
      <w:r w:rsidR="00286BDC">
        <w:t>(</w:t>
      </w:r>
      <w:r w:rsidR="00286BDC" w:rsidRPr="00286BDC">
        <w:t>Qadir,</w:t>
      </w:r>
      <w:r w:rsidR="00286BDC">
        <w:t xml:space="preserve"> </w:t>
      </w:r>
      <w:r w:rsidR="00286BDC" w:rsidRPr="00286BDC">
        <w:t>2025</w:t>
      </w:r>
      <w:r w:rsidR="00286BDC">
        <w:t>)</w:t>
      </w:r>
      <w:r w:rsidRPr="005E32D9">
        <w:t xml:space="preserve">. A </w:t>
      </w:r>
      <w:r w:rsidR="00565FBF" w:rsidRPr="00565FBF">
        <w:t>shift in financial performance indicates a transition to consolidation</w:t>
      </w:r>
      <w:r w:rsidR="00565FBF">
        <w:t xml:space="preserve"> </w:t>
      </w:r>
      <w:r w:rsidRPr="005E32D9">
        <w:t>rather than growth</w:t>
      </w:r>
      <w:r w:rsidR="00286BDC">
        <w:t xml:space="preserve"> (</w:t>
      </w:r>
      <w:proofErr w:type="spellStart"/>
      <w:r w:rsidR="00286BDC" w:rsidRPr="00286BDC">
        <w:t>Nasution</w:t>
      </w:r>
      <w:proofErr w:type="spellEnd"/>
      <w:r w:rsidR="00286BDC">
        <w:t xml:space="preserve"> </w:t>
      </w:r>
      <w:r w:rsidR="00286BDC" w:rsidRPr="00286BDC">
        <w:t xml:space="preserve">and </w:t>
      </w:r>
      <w:proofErr w:type="spellStart"/>
      <w:r w:rsidR="00286BDC" w:rsidRPr="00286BDC">
        <w:t>Yusleny</w:t>
      </w:r>
      <w:proofErr w:type="spellEnd"/>
      <w:r w:rsidR="00286BDC" w:rsidRPr="00286BDC">
        <w:t>, 2023</w:t>
      </w:r>
      <w:r w:rsidR="00286BDC">
        <w:t>)</w:t>
      </w:r>
      <w:r w:rsidRPr="005E32D9">
        <w:t>.</w:t>
      </w:r>
    </w:p>
    <w:p w14:paraId="7F215A15" w14:textId="77777777" w:rsidR="00637E1D" w:rsidRPr="005E32D9" w:rsidRDefault="00637E1D" w:rsidP="00637E1D">
      <w:pPr>
        <w:spacing w:line="360" w:lineRule="auto"/>
      </w:pPr>
    </w:p>
    <w:p w14:paraId="504E23E1" w14:textId="49256D5F" w:rsidR="005E32D9" w:rsidRDefault="00A3578D" w:rsidP="00637E1D">
      <w:pPr>
        <w:spacing w:line="360" w:lineRule="auto"/>
        <w:rPr>
          <w:b/>
          <w:bCs/>
          <w:u w:val="single"/>
        </w:rPr>
      </w:pPr>
      <w:r w:rsidRPr="005E32D9">
        <w:rPr>
          <w:b/>
          <w:bCs/>
          <w:u w:val="single"/>
        </w:rPr>
        <w:t>Profitability Ratios</w:t>
      </w:r>
    </w:p>
    <w:p w14:paraId="52884EC5" w14:textId="26F68F6F" w:rsidR="000B0D71" w:rsidRDefault="000B0D71" w:rsidP="00637E1D">
      <w:pPr>
        <w:spacing w:line="360" w:lineRule="auto"/>
        <w:jc w:val="center"/>
        <w:rPr>
          <w:b/>
          <w:bCs/>
          <w:u w:val="single"/>
        </w:rPr>
      </w:pPr>
      <w:r>
        <w:rPr>
          <w:noProof/>
          <w:lang w:val="en-IN" w:eastAsia="en-IN"/>
        </w:rPr>
        <w:drawing>
          <wp:inline distT="0" distB="0" distL="0" distR="0" wp14:anchorId="5BE94D12" wp14:editId="2AB0F266">
            <wp:extent cx="6006465" cy="2208627"/>
            <wp:effectExtent l="0" t="0" r="635" b="1270"/>
            <wp:docPr id="932539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539780" name=""/>
                    <pic:cNvPicPr/>
                  </pic:nvPicPr>
                  <pic:blipFill>
                    <a:blip r:embed="rId10"/>
                    <a:stretch>
                      <a:fillRect/>
                    </a:stretch>
                  </pic:blipFill>
                  <pic:spPr>
                    <a:xfrm>
                      <a:off x="0" y="0"/>
                      <a:ext cx="6051413" cy="2225155"/>
                    </a:xfrm>
                    <a:prstGeom prst="rect">
                      <a:avLst/>
                    </a:prstGeom>
                  </pic:spPr>
                </pic:pic>
              </a:graphicData>
            </a:graphic>
          </wp:inline>
        </w:drawing>
      </w:r>
    </w:p>
    <w:p w14:paraId="24BE9A06" w14:textId="018FA80C" w:rsidR="00D064AC" w:rsidRDefault="00D064AC" w:rsidP="00637E1D">
      <w:pPr>
        <w:spacing w:line="360" w:lineRule="auto"/>
        <w:jc w:val="center"/>
        <w:rPr>
          <w:b/>
          <w:bCs/>
        </w:rPr>
      </w:pPr>
      <w:r>
        <w:rPr>
          <w:b/>
          <w:bCs/>
        </w:rPr>
        <w:t>Figure 3: Gross Margin%</w:t>
      </w:r>
    </w:p>
    <w:p w14:paraId="7C75551E" w14:textId="77777777" w:rsidR="00637E1D" w:rsidRPr="00D064AC" w:rsidRDefault="00637E1D" w:rsidP="00637E1D">
      <w:pPr>
        <w:spacing w:line="360" w:lineRule="auto"/>
        <w:jc w:val="center"/>
        <w:rPr>
          <w:b/>
          <w:bCs/>
        </w:rPr>
      </w:pPr>
    </w:p>
    <w:p w14:paraId="1422F19F" w14:textId="4DD82B84" w:rsidR="000B0D71" w:rsidRDefault="000B0D71" w:rsidP="00637E1D">
      <w:pPr>
        <w:spacing w:line="360" w:lineRule="auto"/>
        <w:jc w:val="center"/>
        <w:rPr>
          <w:b/>
          <w:bCs/>
          <w:u w:val="single"/>
        </w:rPr>
      </w:pPr>
      <w:r>
        <w:rPr>
          <w:noProof/>
          <w:lang w:val="en-IN" w:eastAsia="en-IN"/>
        </w:rPr>
        <w:drawing>
          <wp:inline distT="0" distB="0" distL="0" distR="0" wp14:anchorId="790A45E2" wp14:editId="53D601E9">
            <wp:extent cx="6004682" cy="1955410"/>
            <wp:effectExtent l="0" t="0" r="2540" b="635"/>
            <wp:docPr id="88356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66952" name=""/>
                    <pic:cNvPicPr/>
                  </pic:nvPicPr>
                  <pic:blipFill>
                    <a:blip r:embed="rId11"/>
                    <a:stretch>
                      <a:fillRect/>
                    </a:stretch>
                  </pic:blipFill>
                  <pic:spPr>
                    <a:xfrm>
                      <a:off x="0" y="0"/>
                      <a:ext cx="6108958" cy="1989367"/>
                    </a:xfrm>
                    <a:prstGeom prst="rect">
                      <a:avLst/>
                    </a:prstGeom>
                  </pic:spPr>
                </pic:pic>
              </a:graphicData>
            </a:graphic>
          </wp:inline>
        </w:drawing>
      </w:r>
    </w:p>
    <w:p w14:paraId="6F2B8A83" w14:textId="12BA2280" w:rsidR="00D064AC" w:rsidRDefault="00D064AC" w:rsidP="00637E1D">
      <w:pPr>
        <w:spacing w:line="360" w:lineRule="auto"/>
        <w:jc w:val="center"/>
        <w:rPr>
          <w:b/>
          <w:bCs/>
        </w:rPr>
      </w:pPr>
      <w:r>
        <w:rPr>
          <w:b/>
          <w:bCs/>
        </w:rPr>
        <w:t>Figure 4:</w:t>
      </w:r>
      <w:r w:rsidR="008C26A4">
        <w:rPr>
          <w:b/>
          <w:bCs/>
        </w:rPr>
        <w:t xml:space="preserve"> Operating</w:t>
      </w:r>
      <w:r>
        <w:rPr>
          <w:b/>
          <w:bCs/>
        </w:rPr>
        <w:t xml:space="preserve"> Margin%</w:t>
      </w:r>
    </w:p>
    <w:p w14:paraId="68F3BD1C" w14:textId="77777777" w:rsidR="00637E1D" w:rsidRPr="00D064AC" w:rsidRDefault="00637E1D" w:rsidP="00637E1D">
      <w:pPr>
        <w:spacing w:line="360" w:lineRule="auto"/>
        <w:jc w:val="center"/>
        <w:rPr>
          <w:b/>
          <w:bCs/>
        </w:rPr>
      </w:pPr>
    </w:p>
    <w:p w14:paraId="5CFA345B" w14:textId="263A44D4" w:rsidR="000B0D71" w:rsidRDefault="000B0D71" w:rsidP="00637E1D">
      <w:pPr>
        <w:spacing w:line="360" w:lineRule="auto"/>
        <w:jc w:val="center"/>
        <w:rPr>
          <w:b/>
          <w:bCs/>
          <w:u w:val="single"/>
        </w:rPr>
      </w:pPr>
      <w:r>
        <w:rPr>
          <w:noProof/>
          <w:lang w:val="en-IN" w:eastAsia="en-IN"/>
        </w:rPr>
        <w:lastRenderedPageBreak/>
        <w:drawing>
          <wp:inline distT="0" distB="0" distL="0" distR="0" wp14:anchorId="246F3AA8" wp14:editId="3BEE33E2">
            <wp:extent cx="5731510" cy="2298700"/>
            <wp:effectExtent l="0" t="0" r="0" b="0"/>
            <wp:docPr id="780068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68868" name=""/>
                    <pic:cNvPicPr/>
                  </pic:nvPicPr>
                  <pic:blipFill>
                    <a:blip r:embed="rId12"/>
                    <a:stretch>
                      <a:fillRect/>
                    </a:stretch>
                  </pic:blipFill>
                  <pic:spPr>
                    <a:xfrm>
                      <a:off x="0" y="0"/>
                      <a:ext cx="5731510" cy="2298700"/>
                    </a:xfrm>
                    <a:prstGeom prst="rect">
                      <a:avLst/>
                    </a:prstGeom>
                  </pic:spPr>
                </pic:pic>
              </a:graphicData>
            </a:graphic>
          </wp:inline>
        </w:drawing>
      </w:r>
    </w:p>
    <w:p w14:paraId="475F0A4A" w14:textId="2B549B27" w:rsidR="00F47278" w:rsidRDefault="00F47278" w:rsidP="00637E1D">
      <w:pPr>
        <w:spacing w:line="360" w:lineRule="auto"/>
        <w:jc w:val="center"/>
        <w:rPr>
          <w:b/>
          <w:bCs/>
        </w:rPr>
      </w:pPr>
      <w:r>
        <w:rPr>
          <w:b/>
          <w:bCs/>
        </w:rPr>
        <w:t>Figure 5: Net profit %</w:t>
      </w:r>
    </w:p>
    <w:p w14:paraId="0D72E079" w14:textId="77777777" w:rsidR="00637E1D" w:rsidRPr="00F47278" w:rsidRDefault="00637E1D" w:rsidP="00637E1D">
      <w:pPr>
        <w:spacing w:line="360" w:lineRule="auto"/>
        <w:jc w:val="center"/>
        <w:rPr>
          <w:b/>
          <w:bCs/>
        </w:rPr>
      </w:pPr>
    </w:p>
    <w:p w14:paraId="542575F4" w14:textId="3961BA9D" w:rsidR="000B0D71" w:rsidRDefault="000B0D71" w:rsidP="00637E1D">
      <w:pPr>
        <w:spacing w:line="360" w:lineRule="auto"/>
        <w:jc w:val="center"/>
        <w:rPr>
          <w:b/>
          <w:bCs/>
          <w:u w:val="single"/>
        </w:rPr>
      </w:pPr>
      <w:r>
        <w:rPr>
          <w:noProof/>
          <w:lang w:val="en-IN" w:eastAsia="en-IN"/>
        </w:rPr>
        <w:drawing>
          <wp:inline distT="0" distB="0" distL="0" distR="0" wp14:anchorId="7540D8CC" wp14:editId="227E2E64">
            <wp:extent cx="5731510" cy="2095500"/>
            <wp:effectExtent l="0" t="0" r="0" b="0"/>
            <wp:docPr id="1125520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20445" name=""/>
                    <pic:cNvPicPr/>
                  </pic:nvPicPr>
                  <pic:blipFill>
                    <a:blip r:embed="rId13"/>
                    <a:stretch>
                      <a:fillRect/>
                    </a:stretch>
                  </pic:blipFill>
                  <pic:spPr>
                    <a:xfrm>
                      <a:off x="0" y="0"/>
                      <a:ext cx="5731510" cy="2095500"/>
                    </a:xfrm>
                    <a:prstGeom prst="rect">
                      <a:avLst/>
                    </a:prstGeom>
                  </pic:spPr>
                </pic:pic>
              </a:graphicData>
            </a:graphic>
          </wp:inline>
        </w:drawing>
      </w:r>
    </w:p>
    <w:p w14:paraId="307F7F91" w14:textId="57F27D77" w:rsidR="008C26A4" w:rsidRPr="008C26A4" w:rsidRDefault="008C26A4" w:rsidP="00637E1D">
      <w:pPr>
        <w:spacing w:line="360" w:lineRule="auto"/>
        <w:jc w:val="center"/>
        <w:rPr>
          <w:b/>
          <w:bCs/>
        </w:rPr>
      </w:pPr>
      <w:r>
        <w:rPr>
          <w:b/>
          <w:bCs/>
        </w:rPr>
        <w:t xml:space="preserve">Figure </w:t>
      </w:r>
      <w:r w:rsidR="00F47278">
        <w:rPr>
          <w:b/>
          <w:bCs/>
        </w:rPr>
        <w:t>6</w:t>
      </w:r>
      <w:r>
        <w:rPr>
          <w:b/>
          <w:bCs/>
        </w:rPr>
        <w:t>: ROA%</w:t>
      </w:r>
    </w:p>
    <w:p w14:paraId="082367D4" w14:textId="15AC7E28" w:rsidR="000B0D71" w:rsidRDefault="000B0D71" w:rsidP="00637E1D">
      <w:pPr>
        <w:spacing w:line="360" w:lineRule="auto"/>
        <w:jc w:val="center"/>
        <w:rPr>
          <w:b/>
          <w:bCs/>
          <w:u w:val="single"/>
        </w:rPr>
      </w:pPr>
      <w:r>
        <w:rPr>
          <w:noProof/>
          <w:lang w:val="en-IN" w:eastAsia="en-IN"/>
        </w:rPr>
        <w:drawing>
          <wp:inline distT="0" distB="0" distL="0" distR="0" wp14:anchorId="157079F5" wp14:editId="76EDA8AD">
            <wp:extent cx="5731510" cy="2120900"/>
            <wp:effectExtent l="0" t="0" r="0" b="0"/>
            <wp:docPr id="407261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61693" name=""/>
                    <pic:cNvPicPr/>
                  </pic:nvPicPr>
                  <pic:blipFill>
                    <a:blip r:embed="rId14"/>
                    <a:stretch>
                      <a:fillRect/>
                    </a:stretch>
                  </pic:blipFill>
                  <pic:spPr>
                    <a:xfrm>
                      <a:off x="0" y="0"/>
                      <a:ext cx="5731510" cy="2120900"/>
                    </a:xfrm>
                    <a:prstGeom prst="rect">
                      <a:avLst/>
                    </a:prstGeom>
                  </pic:spPr>
                </pic:pic>
              </a:graphicData>
            </a:graphic>
          </wp:inline>
        </w:drawing>
      </w:r>
    </w:p>
    <w:p w14:paraId="3C364C6E" w14:textId="5DECCD65" w:rsidR="008C26A4" w:rsidRPr="008C26A4" w:rsidRDefault="008C26A4" w:rsidP="00637E1D">
      <w:pPr>
        <w:spacing w:line="360" w:lineRule="auto"/>
        <w:jc w:val="center"/>
        <w:rPr>
          <w:b/>
          <w:bCs/>
        </w:rPr>
      </w:pPr>
      <w:r>
        <w:rPr>
          <w:b/>
          <w:bCs/>
        </w:rPr>
        <w:t xml:space="preserve">Figure </w:t>
      </w:r>
      <w:r w:rsidR="00F47278">
        <w:rPr>
          <w:b/>
          <w:bCs/>
        </w:rPr>
        <w:t>7</w:t>
      </w:r>
      <w:r>
        <w:rPr>
          <w:b/>
          <w:bCs/>
        </w:rPr>
        <w:t>: ROE%</w:t>
      </w:r>
    </w:p>
    <w:p w14:paraId="4BC1DC30" w14:textId="27ECC7CC" w:rsidR="005E32D9" w:rsidRPr="005E32D9" w:rsidRDefault="00A3578D" w:rsidP="00637E1D">
      <w:pPr>
        <w:spacing w:line="360" w:lineRule="auto"/>
      </w:pPr>
      <w:r w:rsidRPr="005E32D9">
        <w:lastRenderedPageBreak/>
        <w:t xml:space="preserve">The highest gross margin of Tesla was in 2022, followed by a significant drop. </w:t>
      </w:r>
      <w:r w:rsidR="00565FBF" w:rsidRPr="00565FBF">
        <w:t>Price reductions decreased revenue per unit.</w:t>
      </w:r>
      <w:r w:rsidR="00565FBF">
        <w:t xml:space="preserve"> </w:t>
      </w:r>
      <w:r w:rsidRPr="005E32D9">
        <w:t xml:space="preserve">An increase in material costs also </w:t>
      </w:r>
      <w:r w:rsidR="000C432B">
        <w:t>reduced</w:t>
      </w:r>
      <w:r w:rsidRPr="005E32D9">
        <w:t xml:space="preserve"> margins</w:t>
      </w:r>
      <w:r w:rsidR="00DB41E4">
        <w:t xml:space="preserve">. </w:t>
      </w:r>
      <w:r w:rsidR="003700C5" w:rsidRPr="00DB41E4">
        <w:t>The drop in margins after 2023 indicates that Tesla’s pricing power</w:t>
      </w:r>
      <w:r w:rsidR="00DB41E4" w:rsidRPr="00DB41E4">
        <w:t xml:space="preserve"> </w:t>
      </w:r>
      <w:r w:rsidR="003700C5" w:rsidRPr="00DB41E4">
        <w:t xml:space="preserve">is diminishing in a more competitive EV market, especially when compared to low-cost Chinese producers. </w:t>
      </w:r>
      <w:r w:rsidR="00DB41E4" w:rsidRPr="00DB41E4">
        <w:t>Compared to BYD, Tesla’s declining margin trend is sharper, suggesting stronger pricing pressure in Western markets.</w:t>
      </w:r>
      <w:r w:rsidR="00DB41E4">
        <w:t xml:space="preserve"> </w:t>
      </w:r>
      <w:r w:rsidRPr="005E32D9">
        <w:t xml:space="preserve">The cost-volume-profit theory indicates that declining margins lead to a lower contribution per unit. </w:t>
      </w:r>
      <w:r w:rsidR="003700C5" w:rsidRPr="003700C5">
        <w:t>The decreased ROA and ROE is a sign of poor asset utilisation where growth in the asset base has not equated to a corresponding increase in shareholder returns. Therefore, there are some chances of over-investment.</w:t>
      </w:r>
      <w:r w:rsidR="003700C5">
        <w:rPr>
          <w:color w:val="FF0000"/>
        </w:rPr>
        <w:t xml:space="preserve"> </w:t>
      </w:r>
      <w:r w:rsidRPr="005E32D9">
        <w:t>The growth in assets failed to create commensurate returns, implying ineffective capital utilisation. The agency theory indicates the possibility of the management over-investing in growth projects. This decreases shareholder value during declining returns. Comprehensively, structural pressure is indicated by profitability deterioration. Tesla experiences cost inflation and competitive pricing. Long-term investments in innovation decrease short-term income.</w:t>
      </w:r>
    </w:p>
    <w:p w14:paraId="5CBB84FF" w14:textId="610E7265" w:rsidR="005E32D9" w:rsidRDefault="00A3578D" w:rsidP="00637E1D">
      <w:pPr>
        <w:spacing w:line="360" w:lineRule="auto"/>
        <w:rPr>
          <w:b/>
          <w:bCs/>
          <w:u w:val="single"/>
        </w:rPr>
      </w:pPr>
      <w:r w:rsidRPr="005E32D9">
        <w:rPr>
          <w:b/>
          <w:bCs/>
          <w:u w:val="single"/>
        </w:rPr>
        <w:t>Liquidity Ratios</w:t>
      </w:r>
    </w:p>
    <w:p w14:paraId="341CE0F3" w14:textId="3A9D4C97" w:rsidR="005470F3" w:rsidRDefault="00D064AC" w:rsidP="00637E1D">
      <w:pPr>
        <w:spacing w:line="360" w:lineRule="auto"/>
        <w:jc w:val="center"/>
        <w:rPr>
          <w:b/>
          <w:bCs/>
          <w:u w:val="single"/>
        </w:rPr>
      </w:pPr>
      <w:r w:rsidRPr="00D064AC">
        <w:rPr>
          <w:b/>
          <w:bCs/>
          <w:noProof/>
          <w:u w:val="single"/>
          <w:lang w:val="en-IN" w:eastAsia="en-IN"/>
        </w:rPr>
        <w:drawing>
          <wp:inline distT="0" distB="0" distL="0" distR="0" wp14:anchorId="3F900935" wp14:editId="6016C50C">
            <wp:extent cx="5731510" cy="3425825"/>
            <wp:effectExtent l="0" t="0" r="0" b="3175"/>
            <wp:docPr id="69333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32967" name=""/>
                    <pic:cNvPicPr/>
                  </pic:nvPicPr>
                  <pic:blipFill>
                    <a:blip r:embed="rId15"/>
                    <a:stretch>
                      <a:fillRect/>
                    </a:stretch>
                  </pic:blipFill>
                  <pic:spPr>
                    <a:xfrm>
                      <a:off x="0" y="0"/>
                      <a:ext cx="5731510" cy="3425825"/>
                    </a:xfrm>
                    <a:prstGeom prst="rect">
                      <a:avLst/>
                    </a:prstGeom>
                  </pic:spPr>
                </pic:pic>
              </a:graphicData>
            </a:graphic>
          </wp:inline>
        </w:drawing>
      </w:r>
    </w:p>
    <w:p w14:paraId="218F2D5B" w14:textId="3C121392" w:rsidR="00F47278" w:rsidRPr="00F47278" w:rsidRDefault="00F47278" w:rsidP="00637E1D">
      <w:pPr>
        <w:spacing w:line="360" w:lineRule="auto"/>
        <w:jc w:val="center"/>
        <w:rPr>
          <w:b/>
          <w:bCs/>
        </w:rPr>
      </w:pPr>
      <w:r>
        <w:rPr>
          <w:b/>
          <w:bCs/>
        </w:rPr>
        <w:t>Figure 8: Current Ratio</w:t>
      </w:r>
    </w:p>
    <w:p w14:paraId="1BBD61DA" w14:textId="0905A5AE" w:rsidR="00D064AC" w:rsidRDefault="00D064AC" w:rsidP="00637E1D">
      <w:pPr>
        <w:spacing w:line="360" w:lineRule="auto"/>
        <w:rPr>
          <w:b/>
          <w:bCs/>
          <w:u w:val="single"/>
        </w:rPr>
      </w:pPr>
      <w:r w:rsidRPr="00D064AC">
        <w:rPr>
          <w:b/>
          <w:bCs/>
          <w:noProof/>
          <w:u w:val="single"/>
          <w:lang w:val="en-IN" w:eastAsia="en-IN"/>
        </w:rPr>
        <w:lastRenderedPageBreak/>
        <w:drawing>
          <wp:inline distT="0" distB="0" distL="0" distR="0" wp14:anchorId="38B1AE06" wp14:editId="6EE2C8DE">
            <wp:extent cx="5731510" cy="3302000"/>
            <wp:effectExtent l="0" t="0" r="0" b="0"/>
            <wp:docPr id="183508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89989" name=""/>
                    <pic:cNvPicPr/>
                  </pic:nvPicPr>
                  <pic:blipFill>
                    <a:blip r:embed="rId16"/>
                    <a:stretch>
                      <a:fillRect/>
                    </a:stretch>
                  </pic:blipFill>
                  <pic:spPr>
                    <a:xfrm>
                      <a:off x="0" y="0"/>
                      <a:ext cx="5731510" cy="3302000"/>
                    </a:xfrm>
                    <a:prstGeom prst="rect">
                      <a:avLst/>
                    </a:prstGeom>
                  </pic:spPr>
                </pic:pic>
              </a:graphicData>
            </a:graphic>
          </wp:inline>
        </w:drawing>
      </w:r>
    </w:p>
    <w:p w14:paraId="38A344BD" w14:textId="4C23F687" w:rsidR="000B0D71" w:rsidRPr="006D7A8A" w:rsidRDefault="00F47278" w:rsidP="00637E1D">
      <w:pPr>
        <w:spacing w:line="360" w:lineRule="auto"/>
        <w:jc w:val="center"/>
        <w:rPr>
          <w:b/>
          <w:bCs/>
        </w:rPr>
      </w:pPr>
      <w:r>
        <w:rPr>
          <w:b/>
          <w:bCs/>
        </w:rPr>
        <w:t>Figure 9: Quick Ratio</w:t>
      </w:r>
    </w:p>
    <w:p w14:paraId="0E5E2AEB" w14:textId="23A4F0C1" w:rsidR="005E32D9" w:rsidRPr="005470F3" w:rsidRDefault="00A3578D" w:rsidP="00637E1D">
      <w:pPr>
        <w:spacing w:line="360" w:lineRule="auto"/>
        <w:rPr>
          <w:b/>
          <w:bCs/>
          <w:u w:val="single"/>
        </w:rPr>
      </w:pPr>
      <w:r w:rsidRPr="005E32D9">
        <w:t>Tesla's current ratio improved in 202</w:t>
      </w:r>
      <w:r w:rsidR="002A1791">
        <w:t>2</w:t>
      </w:r>
      <w:r w:rsidRPr="005E32D9">
        <w:t xml:space="preserve"> but decreased in 202</w:t>
      </w:r>
      <w:r w:rsidR="002A1791">
        <w:t>5</w:t>
      </w:r>
      <w:r w:rsidRPr="005E32D9">
        <w:t xml:space="preserve"> and 2025. Similar movement is seen in the quick ratio, without the effects of inventory. A ratio above 1 indicates enough liquidity. However, declining ratio</w:t>
      </w:r>
      <w:r w:rsidR="002A1791">
        <w:t xml:space="preserve"> in </w:t>
      </w:r>
      <w:r w:rsidRPr="005E32D9">
        <w:t>202</w:t>
      </w:r>
      <w:r w:rsidR="002A1791">
        <w:t>5</w:t>
      </w:r>
      <w:r w:rsidRPr="005E32D9">
        <w:t xml:space="preserve"> show increased pressure on working capital. The level of inventory rose because of reduced demand growth. </w:t>
      </w:r>
      <w:r w:rsidR="00565FBF" w:rsidRPr="00565FBF">
        <w:t>Excess liquidity reduces risk but lowers returns</w:t>
      </w:r>
      <w:r w:rsidRPr="005E32D9">
        <w:t>. To prevent future risks, it is vital to manage the working capital effectively</w:t>
      </w:r>
      <w:r w:rsidR="00DB41E4">
        <w:t xml:space="preserve"> (</w:t>
      </w:r>
      <w:r w:rsidR="00DB41E4" w:rsidRPr="00286BDC">
        <w:t>Gunawan, 2023</w:t>
      </w:r>
      <w:r w:rsidR="00DB41E4">
        <w:t>)</w:t>
      </w:r>
      <w:r w:rsidRPr="005E32D9">
        <w:t>.</w:t>
      </w:r>
    </w:p>
    <w:p w14:paraId="1F7FCE53" w14:textId="57F9B6BB" w:rsidR="005E32D9" w:rsidRDefault="00A3578D" w:rsidP="00637E1D">
      <w:pPr>
        <w:spacing w:line="360" w:lineRule="auto"/>
        <w:rPr>
          <w:b/>
          <w:bCs/>
          <w:u w:val="single"/>
        </w:rPr>
      </w:pPr>
      <w:r w:rsidRPr="005E32D9">
        <w:rPr>
          <w:b/>
          <w:bCs/>
          <w:u w:val="single"/>
        </w:rPr>
        <w:t>Efficiency Ratios</w:t>
      </w:r>
    </w:p>
    <w:p w14:paraId="6F2D4960" w14:textId="4930A019" w:rsidR="000B0D71" w:rsidRDefault="000B0D71" w:rsidP="00637E1D">
      <w:pPr>
        <w:spacing w:line="360" w:lineRule="auto"/>
        <w:jc w:val="center"/>
        <w:rPr>
          <w:b/>
          <w:bCs/>
          <w:u w:val="single"/>
        </w:rPr>
      </w:pPr>
      <w:r>
        <w:rPr>
          <w:noProof/>
          <w:lang w:val="en-IN" w:eastAsia="en-IN"/>
        </w:rPr>
        <w:drawing>
          <wp:inline distT="0" distB="0" distL="0" distR="0" wp14:anchorId="697AC0A3" wp14:editId="73FF3B6F">
            <wp:extent cx="5731510" cy="1972310"/>
            <wp:effectExtent l="0" t="0" r="0" b="0"/>
            <wp:docPr id="1385587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87208" name=""/>
                    <pic:cNvPicPr/>
                  </pic:nvPicPr>
                  <pic:blipFill>
                    <a:blip r:embed="rId17"/>
                    <a:stretch>
                      <a:fillRect/>
                    </a:stretch>
                  </pic:blipFill>
                  <pic:spPr>
                    <a:xfrm>
                      <a:off x="0" y="0"/>
                      <a:ext cx="5731510" cy="1972310"/>
                    </a:xfrm>
                    <a:prstGeom prst="rect">
                      <a:avLst/>
                    </a:prstGeom>
                  </pic:spPr>
                </pic:pic>
              </a:graphicData>
            </a:graphic>
          </wp:inline>
        </w:drawing>
      </w:r>
    </w:p>
    <w:p w14:paraId="274DA9B9" w14:textId="759F22B3" w:rsidR="006D7A8A" w:rsidRPr="006D7A8A" w:rsidRDefault="006D7A8A" w:rsidP="00637E1D">
      <w:pPr>
        <w:spacing w:line="360" w:lineRule="auto"/>
        <w:jc w:val="center"/>
        <w:rPr>
          <w:b/>
          <w:bCs/>
        </w:rPr>
      </w:pPr>
      <w:r>
        <w:rPr>
          <w:b/>
          <w:bCs/>
        </w:rPr>
        <w:t>Figure 10: Asset Turnover</w:t>
      </w:r>
    </w:p>
    <w:p w14:paraId="69ABF9B2" w14:textId="10D7A2F6" w:rsidR="000B0D71" w:rsidRDefault="000B0D71" w:rsidP="00637E1D">
      <w:pPr>
        <w:spacing w:line="360" w:lineRule="auto"/>
        <w:jc w:val="center"/>
        <w:rPr>
          <w:b/>
          <w:bCs/>
          <w:u w:val="single"/>
        </w:rPr>
      </w:pPr>
      <w:r>
        <w:rPr>
          <w:noProof/>
          <w:lang w:val="en-IN" w:eastAsia="en-IN"/>
        </w:rPr>
        <w:lastRenderedPageBreak/>
        <w:drawing>
          <wp:inline distT="0" distB="0" distL="0" distR="0" wp14:anchorId="3B93618D" wp14:editId="707AA431">
            <wp:extent cx="5731510" cy="2489200"/>
            <wp:effectExtent l="0" t="0" r="0" b="0"/>
            <wp:docPr id="1759297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97504" name=""/>
                    <pic:cNvPicPr/>
                  </pic:nvPicPr>
                  <pic:blipFill>
                    <a:blip r:embed="rId18"/>
                    <a:stretch>
                      <a:fillRect/>
                    </a:stretch>
                  </pic:blipFill>
                  <pic:spPr>
                    <a:xfrm>
                      <a:off x="0" y="0"/>
                      <a:ext cx="5731510" cy="2489200"/>
                    </a:xfrm>
                    <a:prstGeom prst="rect">
                      <a:avLst/>
                    </a:prstGeom>
                  </pic:spPr>
                </pic:pic>
              </a:graphicData>
            </a:graphic>
          </wp:inline>
        </w:drawing>
      </w:r>
    </w:p>
    <w:p w14:paraId="3513285E" w14:textId="0DD76163" w:rsidR="006D7A8A" w:rsidRPr="006D7A8A" w:rsidRDefault="006D7A8A" w:rsidP="00637E1D">
      <w:pPr>
        <w:spacing w:line="360" w:lineRule="auto"/>
        <w:jc w:val="center"/>
        <w:rPr>
          <w:b/>
          <w:bCs/>
        </w:rPr>
      </w:pPr>
      <w:r>
        <w:rPr>
          <w:b/>
          <w:bCs/>
        </w:rPr>
        <w:t>Figure 11: Inventory Turnover</w:t>
      </w:r>
    </w:p>
    <w:p w14:paraId="03EBDC0E" w14:textId="631FF895" w:rsidR="005E32D9" w:rsidRPr="005470F3" w:rsidRDefault="003700C5" w:rsidP="00637E1D">
      <w:pPr>
        <w:spacing w:line="360" w:lineRule="auto"/>
        <w:rPr>
          <w:b/>
          <w:bCs/>
          <w:u w:val="single"/>
        </w:rPr>
      </w:pPr>
      <w:r w:rsidRPr="003700C5">
        <w:t>Reducing asset turnover implies that Tesla is not yet fully earning the capital it has grown its assets, indicating that there are inefficiencies in the capacity utilisation and over-invest</w:t>
      </w:r>
      <w:r w:rsidR="00AE5901">
        <w:t>ment</w:t>
      </w:r>
      <w:r w:rsidRPr="003700C5">
        <w:t xml:space="preserve"> in production capacity</w:t>
      </w:r>
      <w:r w:rsidR="000C432B" w:rsidRPr="003700C5">
        <w:t>.</w:t>
      </w:r>
      <w:r w:rsidR="000C432B" w:rsidRPr="003700C5">
        <w:rPr>
          <w:color w:val="FF0000"/>
        </w:rPr>
        <w:t xml:space="preserve"> </w:t>
      </w:r>
      <w:r w:rsidR="000C432B" w:rsidRPr="005E32D9">
        <w:t xml:space="preserve">New plants </w:t>
      </w:r>
      <w:r w:rsidR="000C432B" w:rsidRPr="000C432B">
        <w:t>may not operate at full capacity</w:t>
      </w:r>
      <w:r w:rsidR="000C432B" w:rsidRPr="005E32D9">
        <w:t>. Additionally, there was also a decrease in inventory turnover, showing reduced demand or excess production. This increases holding costs and risk of obsolescence. Tesla's growth plan could have resulted in surplus capacity. Overall, the efficiency ratios highlight operational issues, as well as ineffective proportional gains due to growth investments</w:t>
      </w:r>
      <w:r w:rsidR="00286BDC">
        <w:t xml:space="preserve"> (</w:t>
      </w:r>
      <w:r w:rsidR="00286BDC" w:rsidRPr="00286BDC">
        <w:t>Hu,</w:t>
      </w:r>
      <w:r w:rsidR="00286BDC">
        <w:t xml:space="preserve"> et. al</w:t>
      </w:r>
      <w:r w:rsidR="00286BDC" w:rsidRPr="00286BDC">
        <w:t>., 2022</w:t>
      </w:r>
      <w:r w:rsidR="00286BDC">
        <w:t>)</w:t>
      </w:r>
      <w:r w:rsidR="000C432B" w:rsidRPr="005E32D9">
        <w:t>.</w:t>
      </w:r>
    </w:p>
    <w:p w14:paraId="5B5236CC" w14:textId="64508689" w:rsidR="005E32D9" w:rsidRDefault="00A3578D" w:rsidP="00637E1D">
      <w:pPr>
        <w:spacing w:line="360" w:lineRule="auto"/>
        <w:rPr>
          <w:b/>
          <w:bCs/>
          <w:u w:val="single"/>
        </w:rPr>
      </w:pPr>
      <w:r w:rsidRPr="005E32D9">
        <w:rPr>
          <w:b/>
          <w:bCs/>
          <w:u w:val="single"/>
        </w:rPr>
        <w:t>Gearing Ratios</w:t>
      </w:r>
    </w:p>
    <w:p w14:paraId="7761779F" w14:textId="492F025E" w:rsidR="000B0D71" w:rsidRDefault="000B0D71" w:rsidP="00637E1D">
      <w:pPr>
        <w:spacing w:line="360" w:lineRule="auto"/>
        <w:jc w:val="center"/>
        <w:rPr>
          <w:b/>
          <w:bCs/>
          <w:u w:val="single"/>
        </w:rPr>
      </w:pPr>
      <w:r>
        <w:rPr>
          <w:noProof/>
          <w:lang w:val="en-IN" w:eastAsia="en-IN"/>
        </w:rPr>
        <w:drawing>
          <wp:inline distT="0" distB="0" distL="0" distR="0" wp14:anchorId="2B7A9948" wp14:editId="06EB7A95">
            <wp:extent cx="5731510" cy="2501900"/>
            <wp:effectExtent l="0" t="0" r="0" b="0"/>
            <wp:docPr id="214013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134802" name=""/>
                    <pic:cNvPicPr/>
                  </pic:nvPicPr>
                  <pic:blipFill>
                    <a:blip r:embed="rId19"/>
                    <a:stretch>
                      <a:fillRect/>
                    </a:stretch>
                  </pic:blipFill>
                  <pic:spPr>
                    <a:xfrm>
                      <a:off x="0" y="0"/>
                      <a:ext cx="5731510" cy="2501900"/>
                    </a:xfrm>
                    <a:prstGeom prst="rect">
                      <a:avLst/>
                    </a:prstGeom>
                  </pic:spPr>
                </pic:pic>
              </a:graphicData>
            </a:graphic>
          </wp:inline>
        </w:drawing>
      </w:r>
    </w:p>
    <w:p w14:paraId="42D79EB6" w14:textId="7F9D1A66" w:rsidR="00CF3DD2" w:rsidRDefault="00CF3DD2" w:rsidP="00637E1D">
      <w:pPr>
        <w:spacing w:line="360" w:lineRule="auto"/>
        <w:jc w:val="center"/>
        <w:rPr>
          <w:b/>
          <w:bCs/>
        </w:rPr>
      </w:pPr>
      <w:r>
        <w:rPr>
          <w:b/>
          <w:bCs/>
        </w:rPr>
        <w:t>Figure 12: Debt-to-Equity</w:t>
      </w:r>
    </w:p>
    <w:p w14:paraId="7632F41E" w14:textId="77777777" w:rsidR="00637E1D" w:rsidRDefault="00637E1D" w:rsidP="00637E1D">
      <w:pPr>
        <w:spacing w:line="360" w:lineRule="auto"/>
        <w:jc w:val="center"/>
        <w:rPr>
          <w:b/>
          <w:bCs/>
        </w:rPr>
      </w:pPr>
    </w:p>
    <w:p w14:paraId="00C4B5B2" w14:textId="77777777" w:rsidR="00637E1D" w:rsidRPr="00CF3DD2" w:rsidRDefault="00637E1D" w:rsidP="00637E1D">
      <w:pPr>
        <w:spacing w:line="360" w:lineRule="auto"/>
        <w:jc w:val="center"/>
        <w:rPr>
          <w:b/>
          <w:bCs/>
        </w:rPr>
      </w:pPr>
    </w:p>
    <w:p w14:paraId="7137D717" w14:textId="6E61514A" w:rsidR="005470F3" w:rsidRDefault="000B0D71" w:rsidP="00637E1D">
      <w:pPr>
        <w:spacing w:line="360" w:lineRule="auto"/>
        <w:jc w:val="center"/>
        <w:rPr>
          <w:b/>
          <w:bCs/>
          <w:u w:val="single"/>
        </w:rPr>
      </w:pPr>
      <w:r>
        <w:rPr>
          <w:noProof/>
          <w:lang w:val="en-IN" w:eastAsia="en-IN"/>
        </w:rPr>
        <w:drawing>
          <wp:inline distT="0" distB="0" distL="0" distR="0" wp14:anchorId="267876F9" wp14:editId="7B36C97E">
            <wp:extent cx="5232400" cy="2209800"/>
            <wp:effectExtent l="0" t="0" r="0" b="0"/>
            <wp:docPr id="1973743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43591" name=""/>
                    <pic:cNvPicPr/>
                  </pic:nvPicPr>
                  <pic:blipFill>
                    <a:blip r:embed="rId20"/>
                    <a:stretch>
                      <a:fillRect/>
                    </a:stretch>
                  </pic:blipFill>
                  <pic:spPr>
                    <a:xfrm>
                      <a:off x="0" y="0"/>
                      <a:ext cx="5232400" cy="2209800"/>
                    </a:xfrm>
                    <a:prstGeom prst="rect">
                      <a:avLst/>
                    </a:prstGeom>
                  </pic:spPr>
                </pic:pic>
              </a:graphicData>
            </a:graphic>
          </wp:inline>
        </w:drawing>
      </w:r>
    </w:p>
    <w:p w14:paraId="60C1A1F0" w14:textId="2BA3C88D" w:rsidR="00CF3DD2" w:rsidRPr="00CF3DD2" w:rsidRDefault="00CF3DD2" w:rsidP="00637E1D">
      <w:pPr>
        <w:spacing w:line="360" w:lineRule="auto"/>
        <w:jc w:val="center"/>
        <w:rPr>
          <w:b/>
          <w:bCs/>
        </w:rPr>
      </w:pPr>
      <w:r>
        <w:rPr>
          <w:b/>
          <w:bCs/>
        </w:rPr>
        <w:t>Figure 13: Interest Cover</w:t>
      </w:r>
    </w:p>
    <w:p w14:paraId="0D8AF7B4" w14:textId="77777777" w:rsidR="00AE5901" w:rsidRDefault="005470F3" w:rsidP="00637E1D">
      <w:pPr>
        <w:spacing w:line="360" w:lineRule="auto"/>
      </w:pPr>
      <w:r w:rsidRPr="005E32D9">
        <w:t xml:space="preserve">Tesla’s debt-to-equity ratio was low until 2023. This implies reduced financial risk and better capital structure. However, there is a minor </w:t>
      </w:r>
      <w:r w:rsidR="00AE5901">
        <w:t>increa</w:t>
      </w:r>
      <w:r w:rsidRPr="005E32D9">
        <w:t xml:space="preserve">se after 2023, </w:t>
      </w:r>
      <w:r w:rsidR="00AE5901">
        <w:t>suggest</w:t>
      </w:r>
      <w:r w:rsidRPr="005E32D9">
        <w:t xml:space="preserve">ing a renewed </w:t>
      </w:r>
      <w:r w:rsidR="00AE5901">
        <w:t>relia</w:t>
      </w:r>
      <w:r w:rsidRPr="005E32D9">
        <w:t>nce on debt. Cover of interest decreased significantly beyond 2023. Declining earnings decreased the capacity to make debt payments</w:t>
      </w:r>
      <w:r w:rsidR="00286BDC">
        <w:t xml:space="preserve"> (</w:t>
      </w:r>
      <w:r w:rsidR="00286BDC" w:rsidRPr="00286BDC">
        <w:t>Dai</w:t>
      </w:r>
      <w:r w:rsidR="00286BDC">
        <w:t xml:space="preserve"> et. al</w:t>
      </w:r>
      <w:r w:rsidR="00286BDC" w:rsidRPr="00286BDC">
        <w:t>., 2024</w:t>
      </w:r>
      <w:r w:rsidR="00286BDC">
        <w:t>)</w:t>
      </w:r>
      <w:r w:rsidRPr="005E32D9">
        <w:t>.</w:t>
      </w:r>
    </w:p>
    <w:p w14:paraId="02FE077A" w14:textId="424C8B5B" w:rsidR="005E32D9" w:rsidRPr="005470F3" w:rsidRDefault="005470F3" w:rsidP="00637E1D">
      <w:pPr>
        <w:spacing w:line="360" w:lineRule="auto"/>
        <w:rPr>
          <w:b/>
          <w:bCs/>
          <w:u w:val="single"/>
        </w:rPr>
      </w:pPr>
      <w:r w:rsidRPr="005E32D9">
        <w:t xml:space="preserve">Additionally, the theory of trade-off implies optimal debt balances in terms of tax benefits and risk. </w:t>
      </w:r>
      <w:r w:rsidR="003700C5" w:rsidRPr="003700C5">
        <w:t xml:space="preserve">Despite the low gearing, </w:t>
      </w:r>
      <w:r w:rsidR="00AE5901">
        <w:t xml:space="preserve">the </w:t>
      </w:r>
      <w:r w:rsidR="003700C5" w:rsidRPr="003700C5">
        <w:t>constant reduction in the interest coverage indicates that a slight debt exposure can be risky in case profitability is further diminishing.</w:t>
      </w:r>
      <w:r w:rsidRPr="003700C5">
        <w:rPr>
          <w:color w:val="FF0000"/>
        </w:rPr>
        <w:t xml:space="preserve"> </w:t>
      </w:r>
      <w:r w:rsidRPr="005E32D9">
        <w:t xml:space="preserve">However, the decreasing income </w:t>
      </w:r>
      <w:r w:rsidR="000C432B" w:rsidRPr="000C432B">
        <w:t>increases the firm’s financial vulnerability</w:t>
      </w:r>
      <w:r w:rsidRPr="005E32D9">
        <w:t xml:space="preserve">. </w:t>
      </w:r>
    </w:p>
    <w:p w14:paraId="17AB2C22" w14:textId="3A5DEC21" w:rsidR="005E32D9" w:rsidRDefault="00A3578D" w:rsidP="00637E1D">
      <w:pPr>
        <w:spacing w:line="360" w:lineRule="auto"/>
        <w:rPr>
          <w:b/>
          <w:bCs/>
          <w:u w:val="single"/>
        </w:rPr>
      </w:pPr>
      <w:r w:rsidRPr="005E32D9">
        <w:rPr>
          <w:b/>
          <w:bCs/>
          <w:u w:val="single"/>
        </w:rPr>
        <w:t>Investment and Cash Flow Ratios</w:t>
      </w:r>
    </w:p>
    <w:p w14:paraId="641D7BDA" w14:textId="4DFB8055" w:rsidR="000B0D71" w:rsidRDefault="000B0D71" w:rsidP="00637E1D">
      <w:pPr>
        <w:spacing w:line="360" w:lineRule="auto"/>
        <w:jc w:val="center"/>
        <w:rPr>
          <w:b/>
          <w:bCs/>
          <w:u w:val="single"/>
        </w:rPr>
      </w:pPr>
      <w:r>
        <w:rPr>
          <w:noProof/>
          <w:lang w:val="en-IN" w:eastAsia="en-IN"/>
        </w:rPr>
        <w:drawing>
          <wp:inline distT="0" distB="0" distL="0" distR="0" wp14:anchorId="44772853" wp14:editId="667ACC4F">
            <wp:extent cx="5731510" cy="2460625"/>
            <wp:effectExtent l="0" t="0" r="2540" b="0"/>
            <wp:docPr id="254521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521459" name=""/>
                    <pic:cNvPicPr/>
                  </pic:nvPicPr>
                  <pic:blipFill>
                    <a:blip r:embed="rId21"/>
                    <a:stretch>
                      <a:fillRect/>
                    </a:stretch>
                  </pic:blipFill>
                  <pic:spPr>
                    <a:xfrm>
                      <a:off x="0" y="0"/>
                      <a:ext cx="5731510" cy="2460625"/>
                    </a:xfrm>
                    <a:prstGeom prst="rect">
                      <a:avLst/>
                    </a:prstGeom>
                  </pic:spPr>
                </pic:pic>
              </a:graphicData>
            </a:graphic>
          </wp:inline>
        </w:drawing>
      </w:r>
    </w:p>
    <w:p w14:paraId="4B985026" w14:textId="63ADBF3D" w:rsidR="00CF3DD2" w:rsidRPr="00CF3DD2" w:rsidRDefault="00CF3DD2" w:rsidP="00637E1D">
      <w:pPr>
        <w:spacing w:line="360" w:lineRule="auto"/>
        <w:jc w:val="center"/>
        <w:rPr>
          <w:b/>
          <w:bCs/>
        </w:rPr>
      </w:pPr>
      <w:r>
        <w:rPr>
          <w:b/>
          <w:bCs/>
        </w:rPr>
        <w:t>Figure 14: Operating cash flow ratio</w:t>
      </w:r>
    </w:p>
    <w:p w14:paraId="6CD5D2EC" w14:textId="77777777" w:rsidR="000B0D71" w:rsidRDefault="000B0D71" w:rsidP="00637E1D">
      <w:pPr>
        <w:spacing w:line="360" w:lineRule="auto"/>
      </w:pPr>
      <w:r>
        <w:rPr>
          <w:noProof/>
          <w:lang w:val="en-IN" w:eastAsia="en-IN"/>
        </w:rPr>
        <w:lastRenderedPageBreak/>
        <w:drawing>
          <wp:inline distT="0" distB="0" distL="0" distR="0" wp14:anchorId="21C67838" wp14:editId="6F223568">
            <wp:extent cx="5731510" cy="2311400"/>
            <wp:effectExtent l="0" t="0" r="0" b="0"/>
            <wp:docPr id="1400740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40105" name=""/>
                    <pic:cNvPicPr/>
                  </pic:nvPicPr>
                  <pic:blipFill>
                    <a:blip r:embed="rId22"/>
                    <a:stretch>
                      <a:fillRect/>
                    </a:stretch>
                  </pic:blipFill>
                  <pic:spPr>
                    <a:xfrm>
                      <a:off x="0" y="0"/>
                      <a:ext cx="5731510" cy="2311400"/>
                    </a:xfrm>
                    <a:prstGeom prst="rect">
                      <a:avLst/>
                    </a:prstGeom>
                  </pic:spPr>
                </pic:pic>
              </a:graphicData>
            </a:graphic>
          </wp:inline>
        </w:drawing>
      </w:r>
    </w:p>
    <w:p w14:paraId="37B8B4A6" w14:textId="3A9710AA" w:rsidR="00CF3DD2" w:rsidRPr="00CF3DD2" w:rsidRDefault="00CF3DD2" w:rsidP="00637E1D">
      <w:pPr>
        <w:spacing w:line="360" w:lineRule="auto"/>
        <w:jc w:val="center"/>
        <w:rPr>
          <w:b/>
          <w:bCs/>
        </w:rPr>
      </w:pPr>
      <w:r>
        <w:rPr>
          <w:b/>
          <w:bCs/>
        </w:rPr>
        <w:t>Figure 15: Free cash flow</w:t>
      </w:r>
    </w:p>
    <w:p w14:paraId="3C02F55A" w14:textId="77777777" w:rsidR="00CF3DD2" w:rsidRDefault="000B0D71" w:rsidP="00637E1D">
      <w:pPr>
        <w:spacing w:line="360" w:lineRule="auto"/>
      </w:pPr>
      <w:r>
        <w:rPr>
          <w:noProof/>
          <w:lang w:val="en-IN" w:eastAsia="en-IN"/>
        </w:rPr>
        <w:drawing>
          <wp:inline distT="0" distB="0" distL="0" distR="0" wp14:anchorId="2A5E1CA4" wp14:editId="7E63BB08">
            <wp:extent cx="5731510" cy="3124200"/>
            <wp:effectExtent l="0" t="0" r="0" b="0"/>
            <wp:docPr id="115765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58227" name=""/>
                    <pic:cNvPicPr/>
                  </pic:nvPicPr>
                  <pic:blipFill>
                    <a:blip r:embed="rId23"/>
                    <a:stretch>
                      <a:fillRect/>
                    </a:stretch>
                  </pic:blipFill>
                  <pic:spPr>
                    <a:xfrm>
                      <a:off x="0" y="0"/>
                      <a:ext cx="5731510" cy="3124200"/>
                    </a:xfrm>
                    <a:prstGeom prst="rect">
                      <a:avLst/>
                    </a:prstGeom>
                  </pic:spPr>
                </pic:pic>
              </a:graphicData>
            </a:graphic>
          </wp:inline>
        </w:drawing>
      </w:r>
    </w:p>
    <w:p w14:paraId="588B5D4D" w14:textId="06556BB4" w:rsidR="00CF3DD2" w:rsidRPr="00CF3DD2" w:rsidRDefault="00CF3DD2" w:rsidP="00637E1D">
      <w:pPr>
        <w:spacing w:line="360" w:lineRule="auto"/>
        <w:jc w:val="center"/>
        <w:rPr>
          <w:b/>
          <w:bCs/>
        </w:rPr>
      </w:pPr>
      <w:r>
        <w:rPr>
          <w:b/>
          <w:bCs/>
        </w:rPr>
        <w:t>Figure 15: EPS</w:t>
      </w:r>
    </w:p>
    <w:p w14:paraId="461BC9AA" w14:textId="34E47901" w:rsidR="005E32D9" w:rsidRDefault="002B068B" w:rsidP="00637E1D">
      <w:pPr>
        <w:spacing w:line="360" w:lineRule="auto"/>
      </w:pPr>
      <w:r w:rsidRPr="005E32D9">
        <w:t>The operating cash flow ratio decreased in 202</w:t>
      </w:r>
      <w:r w:rsidR="002A1791">
        <w:t>5</w:t>
      </w:r>
      <w:r w:rsidRPr="005E32D9">
        <w:t>.</w:t>
      </w:r>
      <w:r w:rsidR="00DB41E4">
        <w:t xml:space="preserve"> </w:t>
      </w:r>
      <w:r w:rsidRPr="005E32D9">
        <w:t xml:space="preserve">This trend was due to falling profits. </w:t>
      </w:r>
      <w:r w:rsidR="003700C5" w:rsidRPr="003700C5">
        <w:t>The high volatility in the amount of free cash flow indicates that Tesla is now focusing on its future expansion at the expense of short-term financial stability, making investors more uncertain</w:t>
      </w:r>
      <w:r w:rsidRPr="003700C5">
        <w:t>.</w:t>
      </w:r>
      <w:r w:rsidRPr="003700C5">
        <w:rPr>
          <w:color w:val="FF0000"/>
        </w:rPr>
        <w:t xml:space="preserve"> </w:t>
      </w:r>
      <w:r w:rsidRPr="005E32D9">
        <w:t>Capital expenditure was high and decreased stability. Tesla heavily invests in future technologies. The earnings per share decreased sharply post-2023. This minimises investor payoffs and investor confidence. According to the shareholder value theory, investors lose confidence in a company due to decreasing EPS. Overall, Tesla has high cash flows but is volatile. Short-term returns are affected by the intensity of investment</w:t>
      </w:r>
      <w:r w:rsidR="000574C0">
        <w:t xml:space="preserve"> (</w:t>
      </w:r>
      <w:r w:rsidR="000574C0" w:rsidRPr="00286BDC">
        <w:t>Zhang, 2025</w:t>
      </w:r>
      <w:r w:rsidR="000574C0">
        <w:t>)</w:t>
      </w:r>
      <w:r w:rsidRPr="005E32D9">
        <w:t>.</w:t>
      </w:r>
    </w:p>
    <w:p w14:paraId="6B2B94BB" w14:textId="77777777" w:rsidR="00AE5901" w:rsidRPr="002B068B" w:rsidRDefault="00AE5901" w:rsidP="00637E1D">
      <w:pPr>
        <w:spacing w:line="360" w:lineRule="auto"/>
        <w:rPr>
          <w:b/>
          <w:bCs/>
          <w:u w:val="single"/>
        </w:rPr>
      </w:pPr>
    </w:p>
    <w:p w14:paraId="33145F6B" w14:textId="77777777" w:rsidR="005E32D9" w:rsidRPr="005E32D9" w:rsidRDefault="00A3578D" w:rsidP="00637E1D">
      <w:pPr>
        <w:spacing w:line="360" w:lineRule="auto"/>
      </w:pPr>
      <w:r w:rsidRPr="005E32D9">
        <w:rPr>
          <w:b/>
          <w:bCs/>
          <w:u w:val="single"/>
        </w:rPr>
        <w:t>Key Trends, Strengths and Threats</w:t>
      </w:r>
    </w:p>
    <w:p w14:paraId="2F9D4B7D" w14:textId="150EDD19" w:rsidR="005E32D9" w:rsidRPr="003700C5" w:rsidRDefault="00A3578D" w:rsidP="00637E1D">
      <w:pPr>
        <w:spacing w:line="360" w:lineRule="auto"/>
      </w:pPr>
      <w:r w:rsidRPr="005E32D9">
        <w:t>Financial trends indicate changing performance over the years. Tesla has a high growth in revenues and market dominance. Diversification is facilitated by expansion into energy storage, minimising automotive sales. High cash flow operations are helpful in long-term investments</w:t>
      </w:r>
      <w:r w:rsidR="00286BDC">
        <w:t xml:space="preserve"> (</w:t>
      </w:r>
      <w:r w:rsidR="00286BDC" w:rsidRPr="00286BDC">
        <w:t>Barnabas</w:t>
      </w:r>
      <w:r w:rsidR="00286BDC">
        <w:t xml:space="preserve"> </w:t>
      </w:r>
      <w:r w:rsidR="00286BDC" w:rsidRPr="00286BDC">
        <w:t>and Oloyede, 2024</w:t>
      </w:r>
      <w:r w:rsidR="00286BDC">
        <w:t>)</w:t>
      </w:r>
      <w:r w:rsidRPr="005E32D9">
        <w:t>. The future competitiveness is enabled by innovation in AI and autonomous driving. However, there are some threats, such as a decline in the growth of automotive revenues. Margins have been lowered by cuts in prices. There is an increase in the competition among international EV companies. Additionally, increasing the cost of R&amp;D affects the budget. Such investments cannot provide short-term returns. Additional costs are created by inflation and supply chain disruptions. The most critical one is margin compression. A decrease in profitability impacts the flexibility of financial performance</w:t>
      </w:r>
      <w:r w:rsidR="00286BDC">
        <w:t xml:space="preserve"> (</w:t>
      </w:r>
      <w:r w:rsidR="00286BDC" w:rsidRPr="00286BDC">
        <w:t>Wu</w:t>
      </w:r>
      <w:r w:rsidR="00286BDC">
        <w:t xml:space="preserve"> et. al</w:t>
      </w:r>
      <w:r w:rsidR="00286BDC" w:rsidRPr="00286BDC">
        <w:t>., 2024</w:t>
      </w:r>
      <w:r w:rsidR="00286BDC">
        <w:t>)</w:t>
      </w:r>
      <w:r w:rsidRPr="005E32D9">
        <w:t xml:space="preserve">. This reduces the shock-absorbing capacity of the firm. </w:t>
      </w:r>
      <w:r w:rsidRPr="003700C5">
        <w:t>Overall</w:t>
      </w:r>
      <w:r w:rsidR="003700C5" w:rsidRPr="003700C5">
        <w:t>, Tesla is characterised by a clear gap between strategic aspirations and financial results, with the current tendency of long-term investments in innovation to undermine the short-term profitability and operational efficiency.</w:t>
      </w:r>
    </w:p>
    <w:p w14:paraId="4065B60E" w14:textId="77777777" w:rsidR="005E32D9" w:rsidRPr="005E32D9" w:rsidRDefault="00A3578D" w:rsidP="00637E1D">
      <w:pPr>
        <w:spacing w:line="360" w:lineRule="auto"/>
      </w:pPr>
      <w:r w:rsidRPr="005E32D9">
        <w:rPr>
          <w:b/>
          <w:bCs/>
          <w:u w:val="single"/>
        </w:rPr>
        <w:t>Summary of Overall Financial Health</w:t>
      </w:r>
    </w:p>
    <w:p w14:paraId="1906010B" w14:textId="22AC1473" w:rsidR="005E32D9" w:rsidRDefault="00A3578D" w:rsidP="00637E1D">
      <w:pPr>
        <w:spacing w:line="360" w:lineRule="auto"/>
      </w:pPr>
      <w:r w:rsidRPr="005E32D9">
        <w:t>Financial health indicates the capacity of a firm to grow and stay stable. Tesla has a good revenue generation and market presence. However, the profitability has, over the past few years, dropped substantially. Return on investment and efficiency have been compromised. There is sufficient liquidity with early indications of strain. The level of cash flow is high and fluctuating. Additionally, the investment level is high, which decreases short-term financial stability. Gearing is low</w:t>
      </w:r>
      <w:r w:rsidR="00AE5901">
        <w:t>,</w:t>
      </w:r>
      <w:r w:rsidRPr="005E32D9">
        <w:t xml:space="preserve"> and it minimises financial risk. However, low profits undermine the amount of debt services. </w:t>
      </w:r>
      <w:r w:rsidRPr="003700C5">
        <w:t xml:space="preserve">Overall, </w:t>
      </w:r>
      <w:r w:rsidR="003700C5" w:rsidRPr="003700C5">
        <w:t xml:space="preserve">Tesla is not yet financially efficient in its strict shareholder-value sense because its revenue growth and liquidity status </w:t>
      </w:r>
      <w:r w:rsidR="00AE5901">
        <w:t>are</w:t>
      </w:r>
      <w:r w:rsidR="003700C5" w:rsidRPr="003700C5">
        <w:t xml:space="preserve"> outweighed by decreasing profitability, decreasing efficiency and unstable cash flows</w:t>
      </w:r>
      <w:r w:rsidRPr="003700C5">
        <w:t>.</w:t>
      </w:r>
      <w:r w:rsidRPr="003700C5">
        <w:rPr>
          <w:color w:val="FF0000"/>
        </w:rPr>
        <w:t xml:space="preserve"> </w:t>
      </w:r>
      <w:r w:rsidR="000574C0" w:rsidRPr="000574C0">
        <w:t>Tesla’s financial structure shows a clear divergence between revenue growth and declining returns.</w:t>
      </w:r>
      <w:r w:rsidR="000574C0">
        <w:rPr>
          <w:color w:val="FF0000"/>
        </w:rPr>
        <w:t xml:space="preserve"> </w:t>
      </w:r>
      <w:r w:rsidRPr="005E32D9">
        <w:t>The pressure of profitability and the decline of efficiency need to be adjusted strategically. To achieve long-term success, a balance between innovation, cost control and operational efficiency is needed.</w:t>
      </w:r>
    </w:p>
    <w:p w14:paraId="646F3524" w14:textId="4DB0DCAE" w:rsidR="00F0599A" w:rsidRDefault="00F0599A" w:rsidP="00637E1D">
      <w:pPr>
        <w:spacing w:line="360" w:lineRule="auto"/>
      </w:pPr>
      <w:r w:rsidRPr="00F0599A">
        <w:t>One of the most important issues that arise</w:t>
      </w:r>
      <w:r w:rsidR="00AE5901">
        <w:t>s</w:t>
      </w:r>
      <w:r w:rsidRPr="00F0599A">
        <w:t xml:space="preserve"> out of this analysis is that Tesla</w:t>
      </w:r>
      <w:r w:rsidR="00AE5901">
        <w:t>’s</w:t>
      </w:r>
      <w:r w:rsidRPr="00F0599A">
        <w:t xml:space="preserve"> development plan </w:t>
      </w:r>
      <w:r>
        <w:t>is</w:t>
      </w:r>
      <w:r w:rsidRPr="00F0599A">
        <w:t xml:space="preserve"> more inconsistent with the principles of value creation. </w:t>
      </w:r>
      <w:r>
        <w:t>The g</w:t>
      </w:r>
      <w:r w:rsidRPr="00F0599A">
        <w:t xml:space="preserve">rowth in revenue and investment in innovation </w:t>
      </w:r>
      <w:r w:rsidR="00AE5901">
        <w:t>is</w:t>
      </w:r>
      <w:r w:rsidRPr="00F0599A">
        <w:t xml:space="preserve"> a positive indicator of long-term strategic motivation</w:t>
      </w:r>
      <w:r>
        <w:t xml:space="preserve">. However, the </w:t>
      </w:r>
      <w:r w:rsidRPr="00F0599A">
        <w:t xml:space="preserve">trend of an all-time reduction in profitability and efficiency is an indication that growth is </w:t>
      </w:r>
      <w:r w:rsidRPr="00F0599A">
        <w:lastRenderedPageBreak/>
        <w:t>being pursued at the cost of financial discipline. This increases the chances of value dilution</w:t>
      </w:r>
      <w:r w:rsidR="00AE5901">
        <w:t>,</w:t>
      </w:r>
      <w:r w:rsidRPr="00F0599A">
        <w:t xml:space="preserve"> whereby capital is invested in projects that do not yield sufficient returns in comparison to its expenditure. This</w:t>
      </w:r>
      <w:r w:rsidR="00AE5901">
        <w:t>,</w:t>
      </w:r>
      <w:r w:rsidRPr="00F0599A">
        <w:t xml:space="preserve"> as a CFO</w:t>
      </w:r>
      <w:r w:rsidR="00AE5901">
        <w:t>,</w:t>
      </w:r>
      <w:r w:rsidRPr="00F0599A">
        <w:t xml:space="preserve"> means it could be a change in shareholder value maximisation to market dominance</w:t>
      </w:r>
      <w:r w:rsidR="00AE5901">
        <w:t>,</w:t>
      </w:r>
      <w:r w:rsidRPr="00F0599A">
        <w:t xml:space="preserve"> which may not be sustainable in a highly competitive and price</w:t>
      </w:r>
      <w:r w:rsidR="00AE5901">
        <w:t>-</w:t>
      </w:r>
      <w:r w:rsidRPr="00F0599A">
        <w:t>sensitive EV market. Thus, there is a need to reposition the organi</w:t>
      </w:r>
      <w:r w:rsidR="00AE5901">
        <w:t>s</w:t>
      </w:r>
      <w:r w:rsidRPr="00F0599A">
        <w:t>ation at once to create a balance of growth, profitability and capital efficiency.</w:t>
      </w:r>
    </w:p>
    <w:p w14:paraId="4D5B5242" w14:textId="77777777" w:rsidR="00AE5901" w:rsidRPr="005E32D9" w:rsidRDefault="00AE5901" w:rsidP="00637E1D">
      <w:pPr>
        <w:spacing w:line="360" w:lineRule="auto"/>
      </w:pPr>
    </w:p>
    <w:p w14:paraId="1662C130" w14:textId="77777777" w:rsidR="005E32D9" w:rsidRPr="005E32D9" w:rsidRDefault="00A3578D" w:rsidP="00637E1D">
      <w:pPr>
        <w:pStyle w:val="Heading1"/>
        <w:spacing w:line="360" w:lineRule="auto"/>
      </w:pPr>
      <w:bookmarkStart w:id="2" w:name="_Toc227676767"/>
      <w:r w:rsidRPr="005E32D9">
        <w:t>3. Working Capital Management Analysis</w:t>
      </w:r>
      <w:bookmarkEnd w:id="2"/>
    </w:p>
    <w:p w14:paraId="659A1F22" w14:textId="77777777" w:rsidR="005E32D9" w:rsidRPr="005E32D9" w:rsidRDefault="00A3578D" w:rsidP="00637E1D">
      <w:pPr>
        <w:spacing w:line="360" w:lineRule="auto"/>
      </w:pPr>
      <w:r w:rsidRPr="005E32D9">
        <w:rPr>
          <w:b/>
          <w:bCs/>
          <w:u w:val="single"/>
        </w:rPr>
        <w:t>Cash Operating Cycle Assessment (2024 vs 2025)</w:t>
      </w:r>
    </w:p>
    <w:p w14:paraId="64A94D3E" w14:textId="4AF4BFB9" w:rsidR="005E32D9" w:rsidRPr="005E32D9" w:rsidRDefault="00A3578D" w:rsidP="00637E1D">
      <w:pPr>
        <w:spacing w:line="360" w:lineRule="auto"/>
      </w:pPr>
      <w:r w:rsidRPr="005E32D9">
        <w:t>The cash operating cycle is used to determine the time it takes to convert working capital into cash. It consists of inventory days, receivables days and payables days. A shorter cycle enhances liquidity, whereas a longer cycle increases financing requirements (</w:t>
      </w:r>
      <w:proofErr w:type="spellStart"/>
      <w:r w:rsidR="005E6B2A" w:rsidRPr="005E6B2A">
        <w:t>Akpadaka</w:t>
      </w:r>
      <w:proofErr w:type="spellEnd"/>
      <w:r w:rsidR="005E6B2A" w:rsidRPr="005E6B2A">
        <w:t xml:space="preserve"> and </w:t>
      </w:r>
      <w:proofErr w:type="spellStart"/>
      <w:r w:rsidR="005E6B2A" w:rsidRPr="005E6B2A">
        <w:t>Edeh</w:t>
      </w:r>
      <w:proofErr w:type="spellEnd"/>
      <w:r w:rsidR="005E6B2A" w:rsidRPr="005E6B2A">
        <w:t>, 2024</w:t>
      </w:r>
      <w:r w:rsidRPr="005E32D9">
        <w:t>).</w:t>
      </w:r>
    </w:p>
    <w:p w14:paraId="4E0520F5" w14:textId="77777777" w:rsidR="005E32D9" w:rsidRDefault="00A3578D" w:rsidP="00637E1D">
      <w:pPr>
        <w:spacing w:line="360" w:lineRule="auto"/>
        <w:rPr>
          <w:b/>
          <w:bCs/>
          <w:u w:val="single"/>
        </w:rPr>
      </w:pPr>
      <w:r w:rsidRPr="005E32D9">
        <w:rPr>
          <w:b/>
          <w:bCs/>
          <w:u w:val="single"/>
        </w:rPr>
        <w:t>Key Calculations</w:t>
      </w:r>
    </w:p>
    <w:p w14:paraId="268D58EC" w14:textId="3FB4DFB6" w:rsidR="002B068B" w:rsidRDefault="000B0D71" w:rsidP="00637E1D">
      <w:pPr>
        <w:spacing w:line="360" w:lineRule="auto"/>
        <w:jc w:val="center"/>
        <w:rPr>
          <w:b/>
          <w:bCs/>
          <w:u w:val="single"/>
        </w:rPr>
      </w:pPr>
      <w:r>
        <w:rPr>
          <w:noProof/>
          <w:lang w:val="en-IN" w:eastAsia="en-IN"/>
        </w:rPr>
        <w:drawing>
          <wp:inline distT="0" distB="0" distL="0" distR="0" wp14:anchorId="18F7219C" wp14:editId="6507A9A3">
            <wp:extent cx="5731510" cy="1658620"/>
            <wp:effectExtent l="0" t="0" r="2540" b="0"/>
            <wp:docPr id="1121838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38330" name=""/>
                    <pic:cNvPicPr/>
                  </pic:nvPicPr>
                  <pic:blipFill>
                    <a:blip r:embed="rId24"/>
                    <a:stretch>
                      <a:fillRect/>
                    </a:stretch>
                  </pic:blipFill>
                  <pic:spPr>
                    <a:xfrm>
                      <a:off x="0" y="0"/>
                      <a:ext cx="5731510" cy="1658620"/>
                    </a:xfrm>
                    <a:prstGeom prst="rect">
                      <a:avLst/>
                    </a:prstGeom>
                  </pic:spPr>
                </pic:pic>
              </a:graphicData>
            </a:graphic>
          </wp:inline>
        </w:drawing>
      </w:r>
    </w:p>
    <w:p w14:paraId="1B8A500B" w14:textId="42711F5E" w:rsidR="0025394F" w:rsidRPr="0025394F" w:rsidRDefault="0025394F" w:rsidP="00637E1D">
      <w:pPr>
        <w:spacing w:line="360" w:lineRule="auto"/>
        <w:jc w:val="center"/>
        <w:rPr>
          <w:b/>
          <w:bCs/>
        </w:rPr>
      </w:pPr>
      <w:r>
        <w:rPr>
          <w:b/>
          <w:bCs/>
        </w:rPr>
        <w:t xml:space="preserve">Figure 17: </w:t>
      </w:r>
      <w:r w:rsidRPr="0025394F">
        <w:rPr>
          <w:b/>
          <w:bCs/>
        </w:rPr>
        <w:t>Cash Operating Cycle Assessment (2024 vs 2025)</w:t>
      </w:r>
    </w:p>
    <w:p w14:paraId="439720AB" w14:textId="77777777" w:rsidR="0025394F" w:rsidRDefault="000B0D71" w:rsidP="00637E1D">
      <w:pPr>
        <w:spacing w:line="360" w:lineRule="auto"/>
      </w:pPr>
      <w:r>
        <w:rPr>
          <w:noProof/>
          <w:lang w:val="en-IN" w:eastAsia="en-IN"/>
        </w:rPr>
        <w:drawing>
          <wp:inline distT="0" distB="0" distL="0" distR="0" wp14:anchorId="28DA9FCA" wp14:editId="0B9DDE0F">
            <wp:extent cx="5731510" cy="1035050"/>
            <wp:effectExtent l="0" t="0" r="2540" b="0"/>
            <wp:docPr id="74106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6711" name=""/>
                    <pic:cNvPicPr/>
                  </pic:nvPicPr>
                  <pic:blipFill>
                    <a:blip r:embed="rId25"/>
                    <a:stretch>
                      <a:fillRect/>
                    </a:stretch>
                  </pic:blipFill>
                  <pic:spPr>
                    <a:xfrm>
                      <a:off x="0" y="0"/>
                      <a:ext cx="5731510" cy="1035050"/>
                    </a:xfrm>
                    <a:prstGeom prst="rect">
                      <a:avLst/>
                    </a:prstGeom>
                  </pic:spPr>
                </pic:pic>
              </a:graphicData>
            </a:graphic>
          </wp:inline>
        </w:drawing>
      </w:r>
    </w:p>
    <w:p w14:paraId="31DFCA3F" w14:textId="57A6D978" w:rsidR="0025394F" w:rsidRPr="0025394F" w:rsidRDefault="0025394F" w:rsidP="00637E1D">
      <w:pPr>
        <w:spacing w:line="360" w:lineRule="auto"/>
        <w:jc w:val="center"/>
        <w:rPr>
          <w:b/>
          <w:bCs/>
        </w:rPr>
      </w:pPr>
      <w:r>
        <w:rPr>
          <w:b/>
          <w:bCs/>
        </w:rPr>
        <w:t xml:space="preserve">Figure 18: </w:t>
      </w:r>
      <w:r w:rsidRPr="0025394F">
        <w:rPr>
          <w:b/>
          <w:bCs/>
        </w:rPr>
        <w:t xml:space="preserve">Cash </w:t>
      </w:r>
      <w:r>
        <w:rPr>
          <w:b/>
          <w:bCs/>
        </w:rPr>
        <w:t>Conversion</w:t>
      </w:r>
      <w:r w:rsidRPr="0025394F">
        <w:rPr>
          <w:b/>
          <w:bCs/>
        </w:rPr>
        <w:t xml:space="preserve"> Cycle </w:t>
      </w:r>
    </w:p>
    <w:p w14:paraId="3F0B5E05" w14:textId="08CD35D7" w:rsidR="005E32D9" w:rsidRPr="005E32D9" w:rsidRDefault="000B0D71" w:rsidP="00637E1D">
      <w:pPr>
        <w:spacing w:line="360" w:lineRule="auto"/>
      </w:pPr>
      <w:r w:rsidRPr="005E32D9">
        <w:t xml:space="preserve">Increased inventory days indicate decreased inventory turnover and poor demand. The inventory days at Tesla </w:t>
      </w:r>
      <w:r w:rsidR="000C432B" w:rsidRPr="000C432B">
        <w:t xml:space="preserve">increased from </w:t>
      </w:r>
      <w:r w:rsidR="002A1791">
        <w:t>55</w:t>
      </w:r>
      <w:r w:rsidR="000C432B" w:rsidRPr="000C432B">
        <w:t xml:space="preserve"> to </w:t>
      </w:r>
      <w:r w:rsidR="002A1791">
        <w:t>58</w:t>
      </w:r>
      <w:r w:rsidR="000C432B" w:rsidRPr="000C432B">
        <w:t xml:space="preserve"> days</w:t>
      </w:r>
      <w:r w:rsidRPr="005E32D9">
        <w:t>, showcasing a surplus stock. The increase in inventory amounts to holding costs and decreased operational efficiency.</w:t>
      </w:r>
    </w:p>
    <w:p w14:paraId="3222B53E" w14:textId="0CD98BE2" w:rsidR="005E32D9" w:rsidRPr="005E32D9" w:rsidRDefault="000C432B" w:rsidP="00637E1D">
      <w:pPr>
        <w:spacing w:line="360" w:lineRule="auto"/>
      </w:pPr>
      <w:r w:rsidRPr="000C432B">
        <w:lastRenderedPageBreak/>
        <w:t xml:space="preserve">Receivables days increased to </w:t>
      </w:r>
      <w:r w:rsidRPr="005E32D9">
        <w:t>21 days as a result of slow customer payments. This could be in the form of long-term credit to boost demand. However, delayed collections decrease cash flows and reduce liquidity</w:t>
      </w:r>
      <w:r w:rsidR="005E6B2A">
        <w:t xml:space="preserve"> (</w:t>
      </w:r>
      <w:proofErr w:type="spellStart"/>
      <w:r w:rsidR="005E6B2A" w:rsidRPr="005E6B2A">
        <w:t>Bessonova</w:t>
      </w:r>
      <w:proofErr w:type="spellEnd"/>
      <w:r w:rsidR="00AE5901">
        <w:t xml:space="preserve"> </w:t>
      </w:r>
      <w:r w:rsidR="005E6B2A">
        <w:t>et. al</w:t>
      </w:r>
      <w:r w:rsidR="005E6B2A" w:rsidRPr="005E6B2A">
        <w:t>., 2024</w:t>
      </w:r>
      <w:r w:rsidR="005E6B2A">
        <w:t>)</w:t>
      </w:r>
      <w:r w:rsidRPr="005E32D9">
        <w:t>.</w:t>
      </w:r>
    </w:p>
    <w:p w14:paraId="788FD3AD" w14:textId="6C56F311" w:rsidR="005E32D9" w:rsidRPr="005E32D9" w:rsidRDefault="000C432B" w:rsidP="00637E1D">
      <w:pPr>
        <w:spacing w:line="360" w:lineRule="auto"/>
      </w:pPr>
      <w:r>
        <w:t>The</w:t>
      </w:r>
      <w:r w:rsidRPr="005E32D9">
        <w:t xml:space="preserve"> firm experienced a reduction in the number of payables days (72 to 69 days) with supplier payments being expedited. There can be an improvement in the supplier relationships, although short-term liquidity is weak.</w:t>
      </w:r>
    </w:p>
    <w:p w14:paraId="40B890FA" w14:textId="71B36BAF" w:rsidR="005E32D9" w:rsidRDefault="00A3578D" w:rsidP="00637E1D">
      <w:pPr>
        <w:spacing w:line="360" w:lineRule="auto"/>
      </w:pPr>
      <w:r w:rsidRPr="005E32D9">
        <w:t xml:space="preserve">The cash conversion cycle rose to 25 days, as compared to 13 days. </w:t>
      </w:r>
      <w:r w:rsidR="005E6B2A">
        <w:t>It</w:t>
      </w:r>
      <w:r w:rsidR="005E6B2A" w:rsidRPr="005E32D9">
        <w:t xml:space="preserve"> highlights</w:t>
      </w:r>
      <w:r w:rsidRPr="005E32D9">
        <w:t xml:space="preserve"> reduced cash collection and increased working capital needs. In the liquidity preference theory, longer periods lead to more dependence on external funding. Tesla’s liquidity position </w:t>
      </w:r>
      <w:r w:rsidR="000C432B" w:rsidRPr="000C432B">
        <w:t>weakens</w:t>
      </w:r>
      <w:r w:rsidR="000C432B">
        <w:t xml:space="preserve"> </w:t>
      </w:r>
      <w:r w:rsidRPr="005E32D9">
        <w:t xml:space="preserve">as the </w:t>
      </w:r>
      <w:r w:rsidR="000C432B" w:rsidRPr="000C432B">
        <w:t>cash is more tied up in operations</w:t>
      </w:r>
      <w:r w:rsidRPr="005E32D9">
        <w:t>.</w:t>
      </w:r>
    </w:p>
    <w:p w14:paraId="4B2EF8E1" w14:textId="77777777" w:rsidR="00AE5901" w:rsidRPr="005E32D9" w:rsidRDefault="00AE5901" w:rsidP="00637E1D">
      <w:pPr>
        <w:spacing w:line="360" w:lineRule="auto"/>
      </w:pPr>
    </w:p>
    <w:p w14:paraId="039EADDA" w14:textId="77777777" w:rsidR="005E32D9" w:rsidRPr="005E32D9" w:rsidRDefault="00A3578D" w:rsidP="00637E1D">
      <w:pPr>
        <w:spacing w:line="360" w:lineRule="auto"/>
      </w:pPr>
      <w:r w:rsidRPr="005E32D9">
        <w:rPr>
          <w:b/>
          <w:bCs/>
          <w:u w:val="single"/>
        </w:rPr>
        <w:t>Trends in Working Capital Components</w:t>
      </w:r>
    </w:p>
    <w:p w14:paraId="79802E4D" w14:textId="640EA30F" w:rsidR="005E32D9" w:rsidRPr="005E32D9" w:rsidRDefault="00A3578D" w:rsidP="00637E1D">
      <w:pPr>
        <w:spacing w:line="360" w:lineRule="auto"/>
      </w:pPr>
      <w:r w:rsidRPr="005E32D9">
        <w:t xml:space="preserve">The elements of working capital are inventory, receivables and payables. Operational efficiency and financial strategy are represented in their movement. The stock levels were high with falling auto volumes. This implies overproduction, while excessive inventory raises storage costs and obsolescence. Weak demand forecasting is also an indication. There was moderate growth in the receivables with increased exposure to credit. Selling on credit can help increase sales. However, it decreases cash flow stability. This is a trade-off between sales expansion and liquidity, which can be explained by the trade-off theory. Therefore, Tesla </w:t>
      </w:r>
      <w:r w:rsidR="000C432B" w:rsidRPr="000C432B">
        <w:t xml:space="preserve">appears to prioritise sales over cash discipline </w:t>
      </w:r>
      <w:r w:rsidR="005E6B2A">
        <w:t>(</w:t>
      </w:r>
      <w:proofErr w:type="spellStart"/>
      <w:r w:rsidR="005E6B2A" w:rsidRPr="005E6B2A">
        <w:t>Toušek</w:t>
      </w:r>
      <w:proofErr w:type="spellEnd"/>
      <w:r w:rsidR="005E6B2A">
        <w:t xml:space="preserve"> et. al</w:t>
      </w:r>
      <w:r w:rsidR="005E6B2A" w:rsidRPr="005E6B2A">
        <w:t>., 2023</w:t>
      </w:r>
      <w:r w:rsidR="005E6B2A">
        <w:t>)</w:t>
      </w:r>
      <w:r w:rsidRPr="005E32D9">
        <w:t>.</w:t>
      </w:r>
    </w:p>
    <w:p w14:paraId="457D4352" w14:textId="77777777" w:rsidR="005E32D9" w:rsidRPr="005E32D9" w:rsidRDefault="00A3578D" w:rsidP="00637E1D">
      <w:pPr>
        <w:spacing w:line="360" w:lineRule="auto"/>
      </w:pPr>
      <w:r w:rsidRPr="005E32D9">
        <w:t>There was a slight drop in payables, which decreased supplier financing benefits. Reduced payables minimised flexibility in short-term funding. However, early payments can contribute to the stability of supply chains. Overall, there is a downward trend in working capital efficiency. Slow collections and accumulation of inventory decrease liquidity strength. Moreover, the operational strategy is not aligned with the present demand conditions.</w:t>
      </w:r>
    </w:p>
    <w:p w14:paraId="718C8AA9" w14:textId="77777777" w:rsidR="005E32D9" w:rsidRPr="005E32D9" w:rsidRDefault="00A3578D" w:rsidP="00637E1D">
      <w:pPr>
        <w:spacing w:line="360" w:lineRule="auto"/>
      </w:pPr>
      <w:r w:rsidRPr="005E32D9">
        <w:rPr>
          <w:b/>
          <w:bCs/>
          <w:u w:val="single"/>
        </w:rPr>
        <w:t>Recommendations for Working Capital Improvement</w:t>
      </w:r>
    </w:p>
    <w:p w14:paraId="37B0687C" w14:textId="244889FE" w:rsidR="005E32D9" w:rsidRPr="005E32D9" w:rsidRDefault="00A3578D" w:rsidP="00637E1D">
      <w:pPr>
        <w:spacing w:line="360" w:lineRule="auto"/>
      </w:pPr>
      <w:r w:rsidRPr="005E32D9">
        <w:t>Working capital management is directed towards enhancing liquidity and minimising financial costs. Efficiency and stability of cash flows can be improved through strategic changes. Just- in-Time (JIT) inventory can match the demand to minimise stock and holding expenses</w:t>
      </w:r>
      <w:r w:rsidR="005E6B2A">
        <w:t xml:space="preserve"> (</w:t>
      </w:r>
      <w:proofErr w:type="spellStart"/>
      <w:r w:rsidR="005E6B2A" w:rsidRPr="005E6B2A">
        <w:t>Folinas</w:t>
      </w:r>
      <w:proofErr w:type="spellEnd"/>
      <w:r w:rsidR="005E6B2A" w:rsidRPr="005E6B2A">
        <w:t>,</w:t>
      </w:r>
      <w:r w:rsidR="005E6B2A">
        <w:t xml:space="preserve"> et. al</w:t>
      </w:r>
      <w:r w:rsidR="005E6B2A" w:rsidRPr="005E6B2A">
        <w:t>., 2025</w:t>
      </w:r>
      <w:r w:rsidR="005E6B2A">
        <w:t>)</w:t>
      </w:r>
      <w:r w:rsidRPr="005E32D9">
        <w:t xml:space="preserve">. Data analytics can help Tesla to better predict. The lean management </w:t>
      </w:r>
      <w:r w:rsidRPr="005E32D9">
        <w:lastRenderedPageBreak/>
        <w:t>theory advocates waste minimisation through efficient production systems. Moreover, better supplier terms can help to extend payables without ruining relationships. Tesla can negotiate with major suppliers for a longer period of credit. This will enhance trade credit and minimise instant cash payments. However, delays can be counterproductive to supplier trust.</w:t>
      </w:r>
    </w:p>
    <w:p w14:paraId="05A536E4" w14:textId="151496BD" w:rsidR="005E32D9" w:rsidRPr="005E32D9" w:rsidRDefault="00A3578D" w:rsidP="00637E1D">
      <w:pPr>
        <w:spacing w:line="360" w:lineRule="auto"/>
      </w:pPr>
      <w:r w:rsidRPr="005E32D9">
        <w:t xml:space="preserve">Rigorous credit management can enhance receivables management. Tesla can implement stricter credit and payment terms. Additionally, </w:t>
      </w:r>
      <w:r w:rsidR="005E6B2A">
        <w:t>o</w:t>
      </w:r>
      <w:r w:rsidRPr="005E32D9">
        <w:t>nline payment methods can make payments easier</w:t>
      </w:r>
      <w:r w:rsidR="005E6B2A">
        <w:t xml:space="preserve"> (</w:t>
      </w:r>
      <w:r w:rsidR="005E6B2A" w:rsidRPr="005E6B2A">
        <w:t>Calderon, 2025</w:t>
      </w:r>
      <w:r w:rsidR="005E6B2A">
        <w:t>)</w:t>
      </w:r>
      <w:r w:rsidRPr="005E32D9">
        <w:t>. This enhances cash inflows and minimises default risk. These reforms reduce the cash conversion cycle. A decrease in cycle time also decreases dependence on external funding, enhancing liquidity and operational resilience.</w:t>
      </w:r>
    </w:p>
    <w:p w14:paraId="2E377423" w14:textId="77777777" w:rsidR="005E32D9" w:rsidRPr="005E32D9" w:rsidRDefault="00A3578D" w:rsidP="00637E1D">
      <w:pPr>
        <w:spacing w:line="360" w:lineRule="auto"/>
      </w:pPr>
      <w:r w:rsidRPr="005E32D9">
        <w:rPr>
          <w:b/>
          <w:bCs/>
          <w:u w:val="single"/>
        </w:rPr>
        <w:t>Short-Term vs Long-Term Financing Options</w:t>
      </w:r>
    </w:p>
    <w:p w14:paraId="206F3C1B" w14:textId="38D56EF6" w:rsidR="005E32D9" w:rsidRPr="005E32D9" w:rsidRDefault="00A3578D" w:rsidP="00637E1D">
      <w:pPr>
        <w:spacing w:line="360" w:lineRule="auto"/>
      </w:pPr>
      <w:r w:rsidRPr="005E32D9">
        <w:t>Funding choices establish how companies fund their working capital and expansion. Overdrafts and trade credit are considered short-term financing. Equity and long-term debt are part of the long-term financing</w:t>
      </w:r>
      <w:r w:rsidR="005E6B2A">
        <w:t xml:space="preserve"> (</w:t>
      </w:r>
      <w:proofErr w:type="spellStart"/>
      <w:r w:rsidR="005E6B2A" w:rsidRPr="005E6B2A">
        <w:t>Oganda</w:t>
      </w:r>
      <w:proofErr w:type="spellEnd"/>
      <w:r w:rsidR="005E6B2A" w:rsidRPr="005E6B2A">
        <w:t>, 2023</w:t>
      </w:r>
      <w:r w:rsidR="005E6B2A">
        <w:t>)</w:t>
      </w:r>
      <w:r w:rsidRPr="005E32D9">
        <w:t xml:space="preserve">. Short-term financing is flexible and fast in accessing funds. Additionally, it helps to finance short-term working capital requirements. However, it raises the refinancing risk and interest rate risk. The matching </w:t>
      </w:r>
      <w:r w:rsidR="005E6B2A" w:rsidRPr="005E32D9">
        <w:t>principal</w:t>
      </w:r>
      <w:r w:rsidRPr="005E32D9">
        <w:t xml:space="preserve"> theory indicates that short-term assets must be financed using short-term funds.</w:t>
      </w:r>
    </w:p>
    <w:p w14:paraId="6661A608" w14:textId="20924FB1" w:rsidR="005E32D9" w:rsidRPr="005E32D9" w:rsidRDefault="00A3578D" w:rsidP="00637E1D">
      <w:pPr>
        <w:spacing w:line="360" w:lineRule="auto"/>
      </w:pPr>
      <w:r w:rsidRPr="005E32D9">
        <w:t>The long-term financing is stable and facilitates long-term investments. Equity minimises financial risk at the expense of ownership. Debt has tax advantages and raises fixed liabilities. The trade-off theory focuses on the trade-off between risk and return. The cash cycle is longer at Tesla</w:t>
      </w:r>
      <w:r w:rsidR="00AE5901">
        <w:t>,</w:t>
      </w:r>
      <w:r w:rsidRPr="005E32D9">
        <w:t xml:space="preserve"> and it enhances liquidity risk. Moreover, overdependence on short-term funding can be very vulnerable. Long-term financing helps in stability and minimises flexibility and is more appropriate to take a moderate course</w:t>
      </w:r>
      <w:r w:rsidR="005E6B2A">
        <w:t xml:space="preserve"> (</w:t>
      </w:r>
      <w:proofErr w:type="spellStart"/>
      <w:r w:rsidR="005E6B2A" w:rsidRPr="005E6B2A">
        <w:t>Kostyna</w:t>
      </w:r>
      <w:proofErr w:type="spellEnd"/>
      <w:r w:rsidR="005E6B2A" w:rsidRPr="005E6B2A">
        <w:t>, 2025</w:t>
      </w:r>
      <w:r w:rsidR="005E6B2A">
        <w:t>)</w:t>
      </w:r>
      <w:r w:rsidRPr="005E32D9">
        <w:t>. Short-term financing should be used to finance Tesla's short-term requirements. Capital investments and innovation should be financed through a long-term fund to mitigate financial risk and ensure sustainable growth.</w:t>
      </w:r>
    </w:p>
    <w:p w14:paraId="4B2B7306" w14:textId="77777777" w:rsidR="005E32D9" w:rsidRPr="005E32D9" w:rsidRDefault="00A3578D" w:rsidP="00637E1D">
      <w:pPr>
        <w:spacing w:line="360" w:lineRule="auto"/>
      </w:pPr>
      <w:r w:rsidRPr="005E32D9">
        <w:rPr>
          <w:b/>
          <w:bCs/>
          <w:u w:val="single"/>
        </w:rPr>
        <w:t>Summary of Working Capital Position</w:t>
      </w:r>
    </w:p>
    <w:p w14:paraId="5CE87928" w14:textId="2807F997" w:rsidR="005E32D9" w:rsidRPr="005E32D9" w:rsidRDefault="00A3578D" w:rsidP="00637E1D">
      <w:pPr>
        <w:spacing w:line="360" w:lineRule="auto"/>
      </w:pPr>
      <w:r w:rsidRPr="005E32D9">
        <w:t>Working capital management demonstrates a firm's capability to keep liquid and efficient. Tesla has a higher cash conversion cycle, which shows that it is performing poorly in terms of liquidity. Holding inventory and decreased collection of receivables decreases cash flow efficiency</w:t>
      </w:r>
      <w:r w:rsidR="00AE5901">
        <w:t>,</w:t>
      </w:r>
      <w:r w:rsidRPr="005E32D9">
        <w:t xml:space="preserve"> and reduced payments on creditors contribute to more financial strain.</w:t>
      </w:r>
    </w:p>
    <w:p w14:paraId="5D7CD469" w14:textId="77777777" w:rsidR="005E32D9" w:rsidRDefault="00A3578D" w:rsidP="00637E1D">
      <w:pPr>
        <w:spacing w:line="360" w:lineRule="auto"/>
      </w:pPr>
      <w:r w:rsidRPr="005E32D9">
        <w:t xml:space="preserve">Operational inefficiencies are a mismatch between production and demand. Liquidity can be enhanced through strategic changes like JIT inventory, better supplier terms and enhanced </w:t>
      </w:r>
      <w:r w:rsidRPr="005E32D9">
        <w:lastRenderedPageBreak/>
        <w:t>credit control. Financing decisions need to be balanced to reduce risk. In summary, Tesla’s working capital position is stable and less efficient. Liquidity needs to be maintained with the help of better management to facilitate future growth.</w:t>
      </w:r>
    </w:p>
    <w:p w14:paraId="525E1B6C" w14:textId="77777777" w:rsidR="00AE5901" w:rsidRPr="005E32D9" w:rsidRDefault="00AE5901" w:rsidP="00637E1D">
      <w:pPr>
        <w:spacing w:line="360" w:lineRule="auto"/>
      </w:pPr>
    </w:p>
    <w:p w14:paraId="18EDBB08" w14:textId="77777777" w:rsidR="005E32D9" w:rsidRPr="005E32D9" w:rsidRDefault="00A3578D" w:rsidP="00637E1D">
      <w:pPr>
        <w:pStyle w:val="Heading1"/>
        <w:spacing w:line="360" w:lineRule="auto"/>
      </w:pPr>
      <w:bookmarkStart w:id="3" w:name="_Toc227676768"/>
      <w:r w:rsidRPr="005E32D9">
        <w:t>4. Strategic Financial Restructuring Plan</w:t>
      </w:r>
      <w:bookmarkEnd w:id="3"/>
    </w:p>
    <w:p w14:paraId="732CD12F" w14:textId="16546D48" w:rsidR="005E32D9" w:rsidRPr="005E32D9" w:rsidRDefault="00A3578D" w:rsidP="00637E1D">
      <w:pPr>
        <w:spacing w:line="360" w:lineRule="auto"/>
      </w:pPr>
      <w:r w:rsidRPr="005E32D9">
        <w:t>Financial restructuring is an alteration of the capital structure and operations. It is effective in enhancing efficiency, minimising risk and long-term growth. Restructuring is embraced by firms when there is a time of performance pressure or at a strategic transition. An effective restructuring increases shareholder value and financial flexibility (</w:t>
      </w:r>
      <w:r w:rsidR="005E6B2A" w:rsidRPr="005E6B2A">
        <w:t>Yanti,</w:t>
      </w:r>
      <w:r w:rsidR="005E6B2A">
        <w:t xml:space="preserve"> et. al</w:t>
      </w:r>
      <w:r w:rsidR="005E6B2A" w:rsidRPr="005E6B2A">
        <w:t>., 2022</w:t>
      </w:r>
      <w:r w:rsidRPr="005E32D9">
        <w:t>).</w:t>
      </w:r>
    </w:p>
    <w:p w14:paraId="1961E985" w14:textId="2DBC147C" w:rsidR="005E32D9" w:rsidRDefault="00A3578D" w:rsidP="00637E1D">
      <w:pPr>
        <w:spacing w:line="360" w:lineRule="auto"/>
      </w:pPr>
      <w:r w:rsidRPr="005E32D9">
        <w:t xml:space="preserve">Tesla is experiencing a lack of profitability and increased investment requirements in AI technologies. Revenue </w:t>
      </w:r>
      <w:r w:rsidR="000C432B" w:rsidRPr="000C432B">
        <w:t>growth has slowed</w:t>
      </w:r>
      <w:r w:rsidRPr="005E32D9">
        <w:t>, but margins are being affected. These are the reasons why a strategic restructuring approach is justified. By being innovative, a balanced plan can sustain financial stability.</w:t>
      </w:r>
    </w:p>
    <w:p w14:paraId="10E08A44" w14:textId="77777777" w:rsidR="00AE5901" w:rsidRPr="005E32D9" w:rsidRDefault="00AE5901" w:rsidP="00637E1D">
      <w:pPr>
        <w:spacing w:line="360" w:lineRule="auto"/>
      </w:pPr>
    </w:p>
    <w:p w14:paraId="5C484717" w14:textId="77777777" w:rsidR="005E32D9" w:rsidRPr="005E32D9" w:rsidRDefault="00A3578D" w:rsidP="00637E1D">
      <w:pPr>
        <w:spacing w:line="360" w:lineRule="auto"/>
      </w:pPr>
      <w:r w:rsidRPr="005E32D9">
        <w:rPr>
          <w:b/>
          <w:bCs/>
          <w:u w:val="single"/>
        </w:rPr>
        <w:t>Recommended Restructuring Options</w:t>
      </w:r>
    </w:p>
    <w:p w14:paraId="5BDC2AE6" w14:textId="45483F15" w:rsidR="005E32D9" w:rsidRPr="005E32D9" w:rsidRDefault="00A3578D" w:rsidP="00637E1D">
      <w:pPr>
        <w:spacing w:line="360" w:lineRule="auto"/>
      </w:pPr>
      <w:r w:rsidRPr="005E32D9">
        <w:t>Restructuring alternatives are asset reallocation, financing alternatives and strategic alliances. Both choices have an impact on the cost structure, investment potential and competitive stance</w:t>
      </w:r>
      <w:r w:rsidR="005E6B2A">
        <w:t xml:space="preserve"> (</w:t>
      </w:r>
      <w:proofErr w:type="spellStart"/>
      <w:r w:rsidR="005E6B2A" w:rsidRPr="005E6B2A">
        <w:t>Jerab</w:t>
      </w:r>
      <w:proofErr w:type="spellEnd"/>
      <w:r w:rsidR="005E6B2A" w:rsidRPr="005E6B2A">
        <w:t xml:space="preserve"> and Mabrouk, 2023</w:t>
      </w:r>
      <w:r w:rsidR="005E6B2A">
        <w:t>)</w:t>
      </w:r>
      <w:r w:rsidRPr="005E32D9">
        <w:t>.</w:t>
      </w:r>
    </w:p>
    <w:p w14:paraId="2866A8D3" w14:textId="77777777" w:rsidR="005E32D9" w:rsidRPr="005E32D9" w:rsidRDefault="00A3578D" w:rsidP="00637E1D">
      <w:pPr>
        <w:spacing w:line="360" w:lineRule="auto"/>
      </w:pPr>
      <w:r w:rsidRPr="005E32D9">
        <w:rPr>
          <w:b/>
          <w:bCs/>
        </w:rPr>
        <w:t>Key Options and Strategic Purpose</w:t>
      </w:r>
    </w:p>
    <w:tbl>
      <w:tblPr>
        <w:tblStyle w:val="GridTable6ColourfulAccent6"/>
        <w:tblW w:w="0" w:type="auto"/>
        <w:jc w:val="center"/>
        <w:tblLook w:val="04A0" w:firstRow="1" w:lastRow="0" w:firstColumn="1" w:lastColumn="0" w:noHBand="0" w:noVBand="1"/>
      </w:tblPr>
      <w:tblGrid>
        <w:gridCol w:w="2503"/>
        <w:gridCol w:w="2636"/>
        <w:gridCol w:w="3329"/>
      </w:tblGrid>
      <w:tr w:rsidR="00F91EB6" w14:paraId="6030E2D6" w14:textId="77777777" w:rsidTr="00F91EB6">
        <w:trPr>
          <w:cnfStyle w:val="100000000000" w:firstRow="1" w:lastRow="0" w:firstColumn="0" w:lastColumn="0" w:oddVBand="0" w:evenVBand="0" w:oddHBand="0"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677661" w14:textId="77777777" w:rsidR="005E32D9" w:rsidRPr="005E32D9" w:rsidRDefault="00A3578D" w:rsidP="00637E1D">
            <w:pPr>
              <w:spacing w:after="160" w:line="360" w:lineRule="auto"/>
              <w:jc w:val="center"/>
            </w:pPr>
            <w:r w:rsidRPr="005E32D9">
              <w:t>Strategy</w:t>
            </w:r>
          </w:p>
        </w:tc>
        <w:tc>
          <w:tcPr>
            <w:tcW w:w="0" w:type="auto"/>
            <w:hideMark/>
          </w:tcPr>
          <w:p w14:paraId="6D3524E7" w14:textId="77777777" w:rsidR="005E32D9" w:rsidRPr="005E32D9" w:rsidRDefault="00A3578D"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5E32D9">
              <w:t>Purpose</w:t>
            </w:r>
          </w:p>
        </w:tc>
        <w:tc>
          <w:tcPr>
            <w:tcW w:w="0" w:type="auto"/>
            <w:hideMark/>
          </w:tcPr>
          <w:p w14:paraId="2AD59E91" w14:textId="77777777" w:rsidR="005E32D9" w:rsidRPr="005E32D9" w:rsidRDefault="00A3578D"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5E32D9">
              <w:t>Expected Effect</w:t>
            </w:r>
          </w:p>
        </w:tc>
      </w:tr>
      <w:tr w:rsidR="00F91EB6" w14:paraId="211217DD" w14:textId="77777777" w:rsidTr="00F91EB6">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7B147E" w14:textId="77777777" w:rsidR="005E32D9" w:rsidRPr="005E32D9" w:rsidRDefault="00A3578D" w:rsidP="00637E1D">
            <w:pPr>
              <w:spacing w:after="160" w:line="360" w:lineRule="auto"/>
              <w:jc w:val="center"/>
            </w:pPr>
            <w:r w:rsidRPr="005E32D9">
              <w:t>Selective divestitures</w:t>
            </w:r>
          </w:p>
        </w:tc>
        <w:tc>
          <w:tcPr>
            <w:tcW w:w="0" w:type="auto"/>
            <w:hideMark/>
          </w:tcPr>
          <w:p w14:paraId="62CDFD10"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Remove non-core assets</w:t>
            </w:r>
          </w:p>
        </w:tc>
        <w:tc>
          <w:tcPr>
            <w:tcW w:w="0" w:type="auto"/>
            <w:hideMark/>
          </w:tcPr>
          <w:p w14:paraId="1372401B"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Improve efficiency and liquidity</w:t>
            </w:r>
          </w:p>
        </w:tc>
      </w:tr>
      <w:tr w:rsidR="00F91EB6" w14:paraId="41700954" w14:textId="77777777" w:rsidTr="00F91EB6">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2A3AC6" w14:textId="77777777" w:rsidR="005E32D9" w:rsidRPr="005E32D9" w:rsidRDefault="00A3578D" w:rsidP="00637E1D">
            <w:pPr>
              <w:spacing w:after="160" w:line="360" w:lineRule="auto"/>
              <w:jc w:val="center"/>
            </w:pPr>
            <w:r w:rsidRPr="005E32D9">
              <w:t>Equity injection</w:t>
            </w:r>
          </w:p>
        </w:tc>
        <w:tc>
          <w:tcPr>
            <w:tcW w:w="0" w:type="auto"/>
            <w:hideMark/>
          </w:tcPr>
          <w:p w14:paraId="451D8E54"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Fund AI and innovation</w:t>
            </w:r>
          </w:p>
        </w:tc>
        <w:tc>
          <w:tcPr>
            <w:tcW w:w="0" w:type="auto"/>
            <w:hideMark/>
          </w:tcPr>
          <w:p w14:paraId="19EA0289"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Reduce financial risk</w:t>
            </w:r>
          </w:p>
        </w:tc>
      </w:tr>
      <w:tr w:rsidR="00F91EB6" w14:paraId="38296E04" w14:textId="77777777" w:rsidTr="00F91EB6">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22A0E7" w14:textId="77777777" w:rsidR="005E32D9" w:rsidRPr="005E32D9" w:rsidRDefault="00A3578D" w:rsidP="00637E1D">
            <w:pPr>
              <w:spacing w:after="160" w:line="360" w:lineRule="auto"/>
              <w:jc w:val="center"/>
            </w:pPr>
            <w:r w:rsidRPr="005E32D9">
              <w:t>Strategic partnerships</w:t>
            </w:r>
          </w:p>
        </w:tc>
        <w:tc>
          <w:tcPr>
            <w:tcW w:w="0" w:type="auto"/>
            <w:hideMark/>
          </w:tcPr>
          <w:p w14:paraId="0583790A"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Share costs and expertise</w:t>
            </w:r>
          </w:p>
        </w:tc>
        <w:tc>
          <w:tcPr>
            <w:tcW w:w="0" w:type="auto"/>
            <w:hideMark/>
          </w:tcPr>
          <w:p w14:paraId="1FC7342D"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Enhance innovation capacity</w:t>
            </w:r>
          </w:p>
        </w:tc>
      </w:tr>
      <w:tr w:rsidR="00AE5901" w14:paraId="5E422663" w14:textId="77777777" w:rsidTr="00F91EB6">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tcPr>
          <w:p w14:paraId="54C7524F" w14:textId="77777777" w:rsidR="00AE5901" w:rsidRPr="005E32D9" w:rsidRDefault="00AE5901" w:rsidP="00637E1D">
            <w:pPr>
              <w:spacing w:line="360" w:lineRule="auto"/>
              <w:jc w:val="center"/>
            </w:pPr>
          </w:p>
        </w:tc>
        <w:tc>
          <w:tcPr>
            <w:tcW w:w="0" w:type="auto"/>
          </w:tcPr>
          <w:p w14:paraId="7DAD9117" w14:textId="77777777" w:rsidR="00AE5901" w:rsidRPr="005E32D9" w:rsidRDefault="00AE5901" w:rsidP="00637E1D">
            <w:pPr>
              <w:spacing w:line="360" w:lineRule="auto"/>
              <w:jc w:val="center"/>
              <w:cnfStyle w:val="000000000000" w:firstRow="0" w:lastRow="0" w:firstColumn="0" w:lastColumn="0" w:oddVBand="0" w:evenVBand="0" w:oddHBand="0" w:evenHBand="0" w:firstRowFirstColumn="0" w:firstRowLastColumn="0" w:lastRowFirstColumn="0" w:lastRowLastColumn="0"/>
            </w:pPr>
          </w:p>
        </w:tc>
        <w:tc>
          <w:tcPr>
            <w:tcW w:w="0" w:type="auto"/>
          </w:tcPr>
          <w:p w14:paraId="06A40AE2" w14:textId="77777777" w:rsidR="00AE5901" w:rsidRPr="005E32D9" w:rsidRDefault="00AE5901" w:rsidP="00637E1D">
            <w:pPr>
              <w:spacing w:line="360" w:lineRule="auto"/>
              <w:jc w:val="center"/>
              <w:cnfStyle w:val="000000000000" w:firstRow="0" w:lastRow="0" w:firstColumn="0" w:lastColumn="0" w:oddVBand="0" w:evenVBand="0" w:oddHBand="0" w:evenHBand="0" w:firstRowFirstColumn="0" w:firstRowLastColumn="0" w:lastRowFirstColumn="0" w:lastRowLastColumn="0"/>
            </w:pPr>
          </w:p>
        </w:tc>
      </w:tr>
    </w:tbl>
    <w:p w14:paraId="5552BD75" w14:textId="77777777" w:rsidR="00AE5901" w:rsidRDefault="00AE5901" w:rsidP="00637E1D">
      <w:pPr>
        <w:spacing w:line="360" w:lineRule="auto"/>
      </w:pPr>
    </w:p>
    <w:p w14:paraId="286E6B94" w14:textId="3650D045" w:rsidR="005E32D9" w:rsidRPr="005E32D9" w:rsidRDefault="00A3578D" w:rsidP="00637E1D">
      <w:pPr>
        <w:spacing w:line="360" w:lineRule="auto"/>
      </w:pPr>
      <w:r w:rsidRPr="005E32D9">
        <w:t>Selective divestitures are the sales of underperforming or non-core assets. This simplifies operation</w:t>
      </w:r>
      <w:r w:rsidR="000C432B">
        <w:t>s</w:t>
      </w:r>
      <w:r w:rsidRPr="005E32D9">
        <w:t xml:space="preserve"> and liberates capital. Tesla has the option of selling off low-margin business units or excess assets. A </w:t>
      </w:r>
      <w:r w:rsidR="000C432B" w:rsidRPr="000C432B">
        <w:t xml:space="preserve">lower </w:t>
      </w:r>
      <w:r w:rsidR="000C432B" w:rsidRPr="005E32D9">
        <w:t xml:space="preserve">asset base </w:t>
      </w:r>
      <w:r w:rsidR="000C432B">
        <w:t>improves</w:t>
      </w:r>
      <w:r w:rsidRPr="005E32D9">
        <w:t xml:space="preserve"> return on assets and focuses on operations. </w:t>
      </w:r>
      <w:r w:rsidRPr="005E32D9">
        <w:lastRenderedPageBreak/>
        <w:t>Portfolio theory advocates the focus on high-</w:t>
      </w:r>
      <w:r w:rsidR="00140F79">
        <w:t>return</w:t>
      </w:r>
      <w:r w:rsidRPr="005E32D9">
        <w:t xml:space="preserve"> areas. Equity </w:t>
      </w:r>
      <w:r w:rsidR="000C432B" w:rsidRPr="000C432B">
        <w:t>financing</w:t>
      </w:r>
      <w:r w:rsidR="000C432B">
        <w:t xml:space="preserve"> </w:t>
      </w:r>
      <w:r w:rsidRPr="005E32D9">
        <w:t>means raising funds by way of the issue of shares</w:t>
      </w:r>
      <w:r w:rsidR="005E6B2A">
        <w:t xml:space="preserve"> (</w:t>
      </w:r>
      <w:r w:rsidR="00F36D17" w:rsidRPr="00F36D17">
        <w:t>Hu and Hong, 2023</w:t>
      </w:r>
      <w:r w:rsidR="005E6B2A">
        <w:t>)</w:t>
      </w:r>
      <w:r w:rsidRPr="005E32D9">
        <w:t xml:space="preserve">. This contributes to AI, autonomous driving and energy storage investments. Equity lowers the risk of financial leverage and is a way of lowering bankruptcy risk. However, </w:t>
      </w:r>
      <w:r w:rsidR="00F36D17">
        <w:t xml:space="preserve">it dilutes the ownership of existing shareholders. </w:t>
      </w:r>
      <w:r w:rsidRPr="005E32D9">
        <w:t>The pecking order theory has it that firms would use internal funds, then debt and then equity. Tesla can prefer equity because of falling profitability and increasing risk.</w:t>
      </w:r>
    </w:p>
    <w:p w14:paraId="2F21DFF0" w14:textId="01DD675F" w:rsidR="005E32D9" w:rsidRDefault="00A3578D" w:rsidP="00637E1D">
      <w:pPr>
        <w:spacing w:line="360" w:lineRule="auto"/>
      </w:pPr>
      <w:r w:rsidRPr="005E32D9">
        <w:t>Strategic alliances can be related to working with technology or energy companies. Alliances minimise the development expenses risk. Tesla has the opportunity to cooperate in the field of development of AI or batteries. Resource-based theory encourages taking advantage of external abilities to gain a competitive advantage</w:t>
      </w:r>
      <w:r w:rsidR="00F36D17">
        <w:t xml:space="preserve"> (</w:t>
      </w:r>
      <w:r w:rsidR="00F36D17" w:rsidRPr="00F36D17">
        <w:t>Lubis, 2022</w:t>
      </w:r>
      <w:r w:rsidR="00F36D17">
        <w:t>)</w:t>
      </w:r>
      <w:r w:rsidRPr="005E32D9">
        <w:t>. These restructuring alternatives enhance liquidity, minimise risk and promote innovation. However, both alternatives have their trade-offs between control, cost and long-term value.</w:t>
      </w:r>
    </w:p>
    <w:p w14:paraId="63F83ED4" w14:textId="77777777" w:rsidR="007D6BB1" w:rsidRPr="005E32D9" w:rsidRDefault="007D6BB1" w:rsidP="00637E1D">
      <w:pPr>
        <w:spacing w:line="360" w:lineRule="auto"/>
      </w:pPr>
    </w:p>
    <w:p w14:paraId="4198C57E" w14:textId="77777777" w:rsidR="005E32D9" w:rsidRPr="005E32D9" w:rsidRDefault="00A3578D" w:rsidP="00637E1D">
      <w:pPr>
        <w:spacing w:line="360" w:lineRule="auto"/>
      </w:pPr>
      <w:r w:rsidRPr="005E32D9">
        <w:rPr>
          <w:b/>
          <w:bCs/>
          <w:u w:val="single"/>
        </w:rPr>
        <w:t>Impact on Shareholder Value, Debt Structure and Operational Flexibility</w:t>
      </w:r>
    </w:p>
    <w:p w14:paraId="1CDD3B4E" w14:textId="77777777" w:rsidR="005E32D9" w:rsidRPr="005E32D9" w:rsidRDefault="00A3578D" w:rsidP="00637E1D">
      <w:pPr>
        <w:spacing w:line="360" w:lineRule="auto"/>
      </w:pPr>
      <w:r w:rsidRPr="005E32D9">
        <w:t>The financial restructuring influences the major financial aspects such as shareholder value, capital structure and operational efficiency.</w:t>
      </w:r>
    </w:p>
    <w:p w14:paraId="6E38F294" w14:textId="77777777" w:rsidR="005E32D9" w:rsidRPr="005E32D9" w:rsidRDefault="00A3578D" w:rsidP="00637E1D">
      <w:pPr>
        <w:spacing w:line="360" w:lineRule="auto"/>
      </w:pPr>
      <w:r w:rsidRPr="005E32D9">
        <w:rPr>
          <w:b/>
          <w:bCs/>
        </w:rPr>
        <w:t>Impact Evaluation</w:t>
      </w:r>
    </w:p>
    <w:tbl>
      <w:tblPr>
        <w:tblStyle w:val="GridTable6Colourful"/>
        <w:tblW w:w="0" w:type="auto"/>
        <w:jc w:val="center"/>
        <w:tblLook w:val="04A0" w:firstRow="1" w:lastRow="0" w:firstColumn="1" w:lastColumn="0" w:noHBand="0" w:noVBand="1"/>
      </w:tblPr>
      <w:tblGrid>
        <w:gridCol w:w="2556"/>
        <w:gridCol w:w="2882"/>
        <w:gridCol w:w="3296"/>
      </w:tblGrid>
      <w:tr w:rsidR="00F91EB6" w14:paraId="127BA2C0" w14:textId="77777777" w:rsidTr="00F91EB6">
        <w:trPr>
          <w:cnfStyle w:val="100000000000" w:firstRow="1" w:lastRow="0" w:firstColumn="0" w:lastColumn="0" w:oddVBand="0" w:evenVBand="0" w:oddHBand="0"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BF1067" w14:textId="77777777" w:rsidR="005E32D9" w:rsidRPr="005E32D9" w:rsidRDefault="00A3578D" w:rsidP="00637E1D">
            <w:pPr>
              <w:spacing w:after="160" w:line="360" w:lineRule="auto"/>
              <w:jc w:val="center"/>
            </w:pPr>
            <w:r w:rsidRPr="005E32D9">
              <w:t>Area</w:t>
            </w:r>
          </w:p>
        </w:tc>
        <w:tc>
          <w:tcPr>
            <w:tcW w:w="0" w:type="auto"/>
            <w:hideMark/>
          </w:tcPr>
          <w:p w14:paraId="51E503FA" w14:textId="77777777" w:rsidR="005E32D9" w:rsidRPr="005E32D9" w:rsidRDefault="00A3578D"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5E32D9">
              <w:t>Effect</w:t>
            </w:r>
          </w:p>
        </w:tc>
        <w:tc>
          <w:tcPr>
            <w:tcW w:w="0" w:type="auto"/>
            <w:hideMark/>
          </w:tcPr>
          <w:p w14:paraId="59D66F60" w14:textId="77777777" w:rsidR="005E32D9" w:rsidRPr="005E32D9" w:rsidRDefault="00A3578D"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5E32D9">
              <w:t>Impact</w:t>
            </w:r>
          </w:p>
        </w:tc>
      </w:tr>
      <w:tr w:rsidR="00F91EB6" w14:paraId="7BFCF3D2" w14:textId="77777777" w:rsidTr="00F91EB6">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1F504E" w14:textId="77777777" w:rsidR="005E32D9" w:rsidRPr="005E32D9" w:rsidRDefault="00A3578D" w:rsidP="00637E1D">
            <w:pPr>
              <w:spacing w:after="160" w:line="360" w:lineRule="auto"/>
              <w:jc w:val="center"/>
            </w:pPr>
            <w:r w:rsidRPr="005E32D9">
              <w:t>Shareholder Value</w:t>
            </w:r>
          </w:p>
        </w:tc>
        <w:tc>
          <w:tcPr>
            <w:tcW w:w="0" w:type="auto"/>
            <w:hideMark/>
          </w:tcPr>
          <w:p w14:paraId="48588EC9"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Improved long-term returns</w:t>
            </w:r>
          </w:p>
        </w:tc>
        <w:tc>
          <w:tcPr>
            <w:tcW w:w="0" w:type="auto"/>
            <w:hideMark/>
          </w:tcPr>
          <w:p w14:paraId="086A95AE"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Short-term dilution risk</w:t>
            </w:r>
          </w:p>
        </w:tc>
      </w:tr>
      <w:tr w:rsidR="00F91EB6" w14:paraId="1ACD8F51" w14:textId="77777777" w:rsidTr="00F91EB6">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22C7A9" w14:textId="77777777" w:rsidR="005E32D9" w:rsidRPr="005E32D9" w:rsidRDefault="00A3578D" w:rsidP="00637E1D">
            <w:pPr>
              <w:spacing w:after="160" w:line="360" w:lineRule="auto"/>
              <w:jc w:val="center"/>
            </w:pPr>
            <w:r w:rsidRPr="005E32D9">
              <w:t>Debt Structure</w:t>
            </w:r>
          </w:p>
        </w:tc>
        <w:tc>
          <w:tcPr>
            <w:tcW w:w="0" w:type="auto"/>
            <w:hideMark/>
          </w:tcPr>
          <w:p w14:paraId="7B526858"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Reduced leverage</w:t>
            </w:r>
          </w:p>
        </w:tc>
        <w:tc>
          <w:tcPr>
            <w:tcW w:w="0" w:type="auto"/>
            <w:hideMark/>
          </w:tcPr>
          <w:p w14:paraId="237A02E3"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Lower financial risk</w:t>
            </w:r>
          </w:p>
        </w:tc>
      </w:tr>
      <w:tr w:rsidR="00F91EB6" w14:paraId="1FD0141A" w14:textId="77777777" w:rsidTr="00F91EB6">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AFFC987" w14:textId="77777777" w:rsidR="005E32D9" w:rsidRPr="005E32D9" w:rsidRDefault="00A3578D" w:rsidP="00637E1D">
            <w:pPr>
              <w:spacing w:after="160" w:line="360" w:lineRule="auto"/>
              <w:jc w:val="center"/>
            </w:pPr>
            <w:r w:rsidRPr="005E32D9">
              <w:t>Operational Flexibility</w:t>
            </w:r>
          </w:p>
        </w:tc>
        <w:tc>
          <w:tcPr>
            <w:tcW w:w="0" w:type="auto"/>
            <w:hideMark/>
          </w:tcPr>
          <w:p w14:paraId="21E3153D"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Increased adaptability</w:t>
            </w:r>
          </w:p>
        </w:tc>
        <w:tc>
          <w:tcPr>
            <w:tcW w:w="0" w:type="auto"/>
            <w:hideMark/>
          </w:tcPr>
          <w:p w14:paraId="1FB28CCB"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Higher coordination complexity</w:t>
            </w:r>
          </w:p>
        </w:tc>
      </w:tr>
    </w:tbl>
    <w:p w14:paraId="10AA4410" w14:textId="77777777" w:rsidR="00AE5901" w:rsidRDefault="00AE5901" w:rsidP="00637E1D">
      <w:pPr>
        <w:spacing w:line="360" w:lineRule="auto"/>
      </w:pPr>
    </w:p>
    <w:p w14:paraId="0C9FE072" w14:textId="623B1BE6" w:rsidR="005E32D9" w:rsidRPr="005E32D9" w:rsidRDefault="00A3578D" w:rsidP="00637E1D">
      <w:pPr>
        <w:spacing w:line="360" w:lineRule="auto"/>
      </w:pPr>
      <w:r w:rsidRPr="005E32D9">
        <w:t xml:space="preserve">The shareholder value means returns to the investors. Restructuring has the potential to create greater value in the long term by enhancing efficiency and growth. Divestitures are a way to become more profitable by eliminating low-return assets. High-growth projects that are backed by equity funding include AI. However, </w:t>
      </w:r>
      <w:r w:rsidR="000C432B" w:rsidRPr="000C432B">
        <w:t>equity issuance dilutes ownership</w:t>
      </w:r>
      <w:r w:rsidRPr="005E32D9">
        <w:t>. This can negatively impact the earnings per share in the short run. Shareholder value theory holds that investors are interested in long-term returns, as opposed to short-term dilution</w:t>
      </w:r>
      <w:r w:rsidR="00F36D17">
        <w:t xml:space="preserve"> (</w:t>
      </w:r>
      <w:r w:rsidR="00F36D17" w:rsidRPr="00F36D17">
        <w:t>Morin, 2024</w:t>
      </w:r>
      <w:r w:rsidR="00F36D17">
        <w:t>)</w:t>
      </w:r>
      <w:r w:rsidRPr="005E32D9">
        <w:t>. This trade-off is worthwhile by virtue of the innovation focus at Tesla.</w:t>
      </w:r>
    </w:p>
    <w:p w14:paraId="6C723553" w14:textId="70FC9F61" w:rsidR="005E32D9" w:rsidRDefault="00A3578D" w:rsidP="00637E1D">
      <w:pPr>
        <w:spacing w:line="360" w:lineRule="auto"/>
      </w:pPr>
      <w:r w:rsidRPr="005E32D9">
        <w:lastRenderedPageBreak/>
        <w:t xml:space="preserve">Financial risk and cost of capital are dependent on the debt structure. Debt reduction enhances financial stability and decreases default risk. Tesla is already at low leverage. Additional reduction contributes to the resiliency in economic uncertainty. However, when overly dependent on equity, the cost of capital is raised. The trade-off theory implies that the debt and equity balance </w:t>
      </w:r>
      <w:proofErr w:type="gramStart"/>
      <w:r w:rsidRPr="005E32D9">
        <w:t>ha</w:t>
      </w:r>
      <w:r w:rsidR="007D6BB1">
        <w:t>s</w:t>
      </w:r>
      <w:proofErr w:type="gramEnd"/>
      <w:r w:rsidRPr="005E32D9">
        <w:t xml:space="preserve"> an optimal capital structure. Tesla ought to have moderate leverage to enjoy tax benefits. Operational flexibility is the capacity to adjust to changes in the market. Partnerships and divestitures make things more flexible as they lessen internal constraints. This </w:t>
      </w:r>
      <w:r w:rsidR="000C432B" w:rsidRPr="000C432B">
        <w:t>enables the firm to specialise</w:t>
      </w:r>
      <w:r w:rsidR="000C432B">
        <w:t xml:space="preserve"> </w:t>
      </w:r>
      <w:r w:rsidRPr="005E32D9">
        <w:t>in areas like core innovation and share external risks. However, collaborations enhance complexity in coordination. Lack of alignment between the partners can lead to decreased efficiency. Agency theory brings out the possible conflict of the stakeholders</w:t>
      </w:r>
      <w:r w:rsidR="00F36D17">
        <w:t xml:space="preserve"> (</w:t>
      </w:r>
      <w:r w:rsidR="00F36D17" w:rsidRPr="00F36D17">
        <w:t>Namazi</w:t>
      </w:r>
      <w:r w:rsidR="00F36D17">
        <w:t xml:space="preserve"> </w:t>
      </w:r>
      <w:r w:rsidR="00F36D17" w:rsidRPr="00F36D17">
        <w:t>and Rezaei, 2024</w:t>
      </w:r>
      <w:r w:rsidR="00F36D17">
        <w:t>)</w:t>
      </w:r>
      <w:r w:rsidRPr="005E32D9">
        <w:t xml:space="preserve">. There is a need to have proper governance systems. Overall, restructuring enhances performance in the long run, but causes short-term difficulties. A </w:t>
      </w:r>
      <w:r w:rsidR="00F36D17">
        <w:t xml:space="preserve">strategic </w:t>
      </w:r>
      <w:r w:rsidRPr="005E32D9">
        <w:t>balance is necessary to realise maximum benefits.</w:t>
      </w:r>
    </w:p>
    <w:p w14:paraId="225FD662" w14:textId="77777777" w:rsidR="007D6BB1" w:rsidRPr="005E32D9" w:rsidRDefault="007D6BB1" w:rsidP="00637E1D">
      <w:pPr>
        <w:spacing w:line="360" w:lineRule="auto"/>
      </w:pPr>
    </w:p>
    <w:p w14:paraId="7474AF07" w14:textId="77777777" w:rsidR="005E32D9" w:rsidRPr="005E32D9" w:rsidRDefault="00A3578D" w:rsidP="00637E1D">
      <w:pPr>
        <w:spacing w:line="360" w:lineRule="auto"/>
      </w:pPr>
      <w:r w:rsidRPr="005E32D9">
        <w:rPr>
          <w:b/>
          <w:bCs/>
          <w:u w:val="single"/>
        </w:rPr>
        <w:t>International and Ethical Considerations</w:t>
      </w:r>
    </w:p>
    <w:p w14:paraId="3B6BA5BD" w14:textId="6C9D3D65" w:rsidR="005E32D9" w:rsidRPr="005E32D9" w:rsidRDefault="00A3578D" w:rsidP="00637E1D">
      <w:pPr>
        <w:spacing w:line="360" w:lineRule="auto"/>
      </w:pPr>
      <w:r w:rsidRPr="005E32D9">
        <w:t xml:space="preserve">International business </w:t>
      </w:r>
      <w:r w:rsidR="008348B8">
        <w:t>creates</w:t>
      </w:r>
      <w:r w:rsidRPr="005E32D9">
        <w:t xml:space="preserve"> </w:t>
      </w:r>
      <w:r w:rsidR="008348B8" w:rsidRPr="005E32D9">
        <w:t xml:space="preserve">monetary and moral risks </w:t>
      </w:r>
      <w:r w:rsidR="008348B8">
        <w:t xml:space="preserve">for </w:t>
      </w:r>
      <w:r w:rsidRPr="005E32D9">
        <w:t>companies. These are currency variations, taxation, inflation, political instability and corporate responsibility</w:t>
      </w:r>
      <w:r w:rsidR="008348B8">
        <w:t xml:space="preserve"> (</w:t>
      </w:r>
      <w:proofErr w:type="spellStart"/>
      <w:r w:rsidR="008348B8" w:rsidRPr="008348B8">
        <w:t>Rumasukun</w:t>
      </w:r>
      <w:proofErr w:type="spellEnd"/>
      <w:r w:rsidR="008348B8" w:rsidRPr="008348B8">
        <w:t>, 2024</w:t>
      </w:r>
      <w:r w:rsidR="008348B8">
        <w:t>)</w:t>
      </w:r>
      <w:r w:rsidRPr="005E32D9">
        <w:t>.</w:t>
      </w:r>
    </w:p>
    <w:p w14:paraId="2BC229CA" w14:textId="77777777" w:rsidR="005E32D9" w:rsidRPr="005E32D9" w:rsidRDefault="00A3578D" w:rsidP="00637E1D">
      <w:pPr>
        <w:spacing w:line="360" w:lineRule="auto"/>
      </w:pPr>
      <w:r w:rsidRPr="005E32D9">
        <w:rPr>
          <w:b/>
          <w:bCs/>
        </w:rPr>
        <w:t>Key Risks and Implications</w:t>
      </w:r>
    </w:p>
    <w:tbl>
      <w:tblPr>
        <w:tblStyle w:val="GridTable6ColourfulAccent1"/>
        <w:tblW w:w="0" w:type="auto"/>
        <w:jc w:val="center"/>
        <w:tblLook w:val="04A0" w:firstRow="1" w:lastRow="0" w:firstColumn="1" w:lastColumn="0" w:noHBand="0" w:noVBand="1"/>
      </w:tblPr>
      <w:tblGrid>
        <w:gridCol w:w="1844"/>
        <w:gridCol w:w="3096"/>
        <w:gridCol w:w="2842"/>
      </w:tblGrid>
      <w:tr w:rsidR="00F91EB6" w14:paraId="22B6DCB7" w14:textId="77777777" w:rsidTr="00F91EB6">
        <w:trPr>
          <w:cnfStyle w:val="100000000000" w:firstRow="1" w:lastRow="0" w:firstColumn="0" w:lastColumn="0" w:oddVBand="0" w:evenVBand="0" w:oddHBand="0"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C9F3F6" w14:textId="77777777" w:rsidR="005E32D9" w:rsidRPr="005E32D9" w:rsidRDefault="00A3578D" w:rsidP="00637E1D">
            <w:pPr>
              <w:spacing w:after="160" w:line="360" w:lineRule="auto"/>
              <w:jc w:val="center"/>
            </w:pPr>
            <w:r w:rsidRPr="005E32D9">
              <w:t>Factor</w:t>
            </w:r>
          </w:p>
        </w:tc>
        <w:tc>
          <w:tcPr>
            <w:tcW w:w="0" w:type="auto"/>
            <w:hideMark/>
          </w:tcPr>
          <w:p w14:paraId="28A10C72" w14:textId="77777777" w:rsidR="005E32D9" w:rsidRPr="005E32D9" w:rsidRDefault="00A3578D"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5E32D9">
              <w:t>Effect</w:t>
            </w:r>
          </w:p>
        </w:tc>
        <w:tc>
          <w:tcPr>
            <w:tcW w:w="0" w:type="auto"/>
            <w:hideMark/>
          </w:tcPr>
          <w:p w14:paraId="4567305B" w14:textId="77777777" w:rsidR="005E32D9" w:rsidRPr="005E32D9" w:rsidRDefault="00A3578D"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5E32D9">
              <w:t>Impact</w:t>
            </w:r>
          </w:p>
        </w:tc>
      </w:tr>
      <w:tr w:rsidR="00F91EB6" w14:paraId="190688C5" w14:textId="77777777" w:rsidTr="00F91EB6">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3E2129" w14:textId="77777777" w:rsidR="005E32D9" w:rsidRPr="005E32D9" w:rsidRDefault="00A3578D" w:rsidP="00637E1D">
            <w:pPr>
              <w:spacing w:after="160" w:line="360" w:lineRule="auto"/>
              <w:jc w:val="center"/>
            </w:pPr>
            <w:r w:rsidRPr="005E32D9">
              <w:t>Currency Risk</w:t>
            </w:r>
          </w:p>
        </w:tc>
        <w:tc>
          <w:tcPr>
            <w:tcW w:w="0" w:type="auto"/>
            <w:hideMark/>
          </w:tcPr>
          <w:p w14:paraId="568B0313"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Exchange rate fluctuations</w:t>
            </w:r>
          </w:p>
        </w:tc>
        <w:tc>
          <w:tcPr>
            <w:tcW w:w="0" w:type="auto"/>
            <w:hideMark/>
          </w:tcPr>
          <w:p w14:paraId="2E01E04C"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Revenue volatility</w:t>
            </w:r>
          </w:p>
        </w:tc>
      </w:tr>
      <w:tr w:rsidR="00F91EB6" w14:paraId="428BECBE" w14:textId="77777777" w:rsidTr="00F91EB6">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B9BA25" w14:textId="77777777" w:rsidR="005E32D9" w:rsidRPr="005E32D9" w:rsidRDefault="00A3578D" w:rsidP="00637E1D">
            <w:pPr>
              <w:spacing w:after="160" w:line="360" w:lineRule="auto"/>
              <w:jc w:val="center"/>
            </w:pPr>
            <w:r w:rsidRPr="005E32D9">
              <w:t>Taxation</w:t>
            </w:r>
          </w:p>
        </w:tc>
        <w:tc>
          <w:tcPr>
            <w:tcW w:w="0" w:type="auto"/>
            <w:hideMark/>
          </w:tcPr>
          <w:p w14:paraId="3226E958"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Changing tax policies</w:t>
            </w:r>
          </w:p>
        </w:tc>
        <w:tc>
          <w:tcPr>
            <w:tcW w:w="0" w:type="auto"/>
            <w:hideMark/>
          </w:tcPr>
          <w:p w14:paraId="19D2AEE3"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Profit uncertainty</w:t>
            </w:r>
          </w:p>
        </w:tc>
      </w:tr>
      <w:tr w:rsidR="00F91EB6" w14:paraId="25E0118D" w14:textId="77777777" w:rsidTr="00F91EB6">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060A4C" w14:textId="77777777" w:rsidR="005E32D9" w:rsidRPr="005E32D9" w:rsidRDefault="00A3578D" w:rsidP="00637E1D">
            <w:pPr>
              <w:spacing w:after="160" w:line="360" w:lineRule="auto"/>
              <w:jc w:val="center"/>
            </w:pPr>
            <w:r w:rsidRPr="005E32D9">
              <w:t>Inflation</w:t>
            </w:r>
          </w:p>
        </w:tc>
        <w:tc>
          <w:tcPr>
            <w:tcW w:w="0" w:type="auto"/>
            <w:hideMark/>
          </w:tcPr>
          <w:p w14:paraId="3BC5ADD9"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Rising costs</w:t>
            </w:r>
          </w:p>
        </w:tc>
        <w:tc>
          <w:tcPr>
            <w:tcW w:w="0" w:type="auto"/>
            <w:hideMark/>
          </w:tcPr>
          <w:p w14:paraId="29AB2611"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Margin pressure</w:t>
            </w:r>
          </w:p>
        </w:tc>
      </w:tr>
      <w:tr w:rsidR="00F91EB6" w14:paraId="3AC9643A" w14:textId="77777777" w:rsidTr="00F91EB6">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0E0A9E" w14:textId="77777777" w:rsidR="005E32D9" w:rsidRPr="005E32D9" w:rsidRDefault="00A3578D" w:rsidP="00637E1D">
            <w:pPr>
              <w:spacing w:after="160" w:line="360" w:lineRule="auto"/>
              <w:jc w:val="center"/>
            </w:pPr>
            <w:r w:rsidRPr="005E32D9">
              <w:t>Political Risk</w:t>
            </w:r>
          </w:p>
        </w:tc>
        <w:tc>
          <w:tcPr>
            <w:tcW w:w="0" w:type="auto"/>
            <w:hideMark/>
          </w:tcPr>
          <w:p w14:paraId="55BA124F"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Regulatory changes</w:t>
            </w:r>
          </w:p>
        </w:tc>
        <w:tc>
          <w:tcPr>
            <w:tcW w:w="0" w:type="auto"/>
            <w:hideMark/>
          </w:tcPr>
          <w:p w14:paraId="5E5D4267" w14:textId="77777777" w:rsidR="005E32D9" w:rsidRPr="005E32D9" w:rsidRDefault="00A3578D"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5E32D9">
              <w:t>Operational disruption</w:t>
            </w:r>
          </w:p>
        </w:tc>
      </w:tr>
      <w:tr w:rsidR="00F91EB6" w14:paraId="3665EFF1" w14:textId="77777777" w:rsidTr="00F91EB6">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16D3BE" w14:textId="77777777" w:rsidR="005E32D9" w:rsidRPr="005E32D9" w:rsidRDefault="00A3578D" w:rsidP="00637E1D">
            <w:pPr>
              <w:spacing w:after="160" w:line="360" w:lineRule="auto"/>
              <w:jc w:val="center"/>
            </w:pPr>
            <w:r w:rsidRPr="005E32D9">
              <w:t>CSR and Ethics</w:t>
            </w:r>
          </w:p>
        </w:tc>
        <w:tc>
          <w:tcPr>
            <w:tcW w:w="0" w:type="auto"/>
            <w:hideMark/>
          </w:tcPr>
          <w:p w14:paraId="15C61597"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Social responsibility demands</w:t>
            </w:r>
          </w:p>
        </w:tc>
        <w:tc>
          <w:tcPr>
            <w:tcW w:w="0" w:type="auto"/>
            <w:hideMark/>
          </w:tcPr>
          <w:p w14:paraId="6B36F51B" w14:textId="77777777" w:rsidR="005E32D9" w:rsidRPr="005E32D9" w:rsidRDefault="00A3578D"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5E32D9">
              <w:t>Reputation and compliance</w:t>
            </w:r>
          </w:p>
        </w:tc>
      </w:tr>
    </w:tbl>
    <w:p w14:paraId="0021805F" w14:textId="77777777" w:rsidR="007D6BB1" w:rsidRDefault="007D6BB1" w:rsidP="00637E1D">
      <w:pPr>
        <w:spacing w:line="360" w:lineRule="auto"/>
      </w:pPr>
    </w:p>
    <w:p w14:paraId="05175D87" w14:textId="46B0CC33" w:rsidR="005E32D9" w:rsidRDefault="00A3578D" w:rsidP="00637E1D">
      <w:pPr>
        <w:spacing w:line="360" w:lineRule="auto"/>
      </w:pPr>
      <w:r w:rsidRPr="005E32D9">
        <w:t xml:space="preserve">The international sales and production create currency risk. The fluctuations in exchange rates have an impact on revenue and costs. Tesla has several key areas where it operates, such as China and Europe. The exposure to the currency can be minimised through hedging strategies. </w:t>
      </w:r>
      <w:r w:rsidRPr="005E32D9">
        <w:lastRenderedPageBreak/>
        <w:t>Risk management is favoured by the international finance theory using derivatives. Taxation policy affects investment and profitability</w:t>
      </w:r>
      <w:r w:rsidR="008348B8">
        <w:t xml:space="preserve"> (</w:t>
      </w:r>
      <w:r w:rsidR="008348B8" w:rsidRPr="008348B8">
        <w:t>Rely,</w:t>
      </w:r>
      <w:r w:rsidR="008348B8">
        <w:t xml:space="preserve"> </w:t>
      </w:r>
      <w:r w:rsidR="008348B8" w:rsidRPr="008348B8">
        <w:t>2022</w:t>
      </w:r>
      <w:r w:rsidR="008348B8">
        <w:t>)</w:t>
      </w:r>
      <w:r w:rsidRPr="005E32D9">
        <w:t>. Alterations in the international tax laws add uncertainty. Tesla needs to maximise tax planning and</w:t>
      </w:r>
      <w:r w:rsidR="007D6BB1">
        <w:t>,</w:t>
      </w:r>
      <w:r w:rsidRPr="005E32D9">
        <w:t xml:space="preserve"> at the same time</w:t>
      </w:r>
      <w:r w:rsidR="007D6BB1">
        <w:t>,</w:t>
      </w:r>
      <w:r w:rsidRPr="005E32D9">
        <w:t xml:space="preserve"> ensure </w:t>
      </w:r>
      <w:r w:rsidR="00140F79" w:rsidRPr="00140F79">
        <w:t>compliance with regulations</w:t>
      </w:r>
      <w:r w:rsidRPr="005E32D9">
        <w:t xml:space="preserve">. </w:t>
      </w:r>
      <w:r w:rsidR="000C432B" w:rsidRPr="000C432B">
        <w:t>Aggressive taxation strategies</w:t>
      </w:r>
      <w:r w:rsidR="000C432B">
        <w:t xml:space="preserve"> </w:t>
      </w:r>
      <w:r w:rsidRPr="005E32D9">
        <w:t xml:space="preserve">can be damaging to a reputation. Inflation pushes up production and labour costs. The increased costs decrease the profit margins and pricing flexibility. Tesla's price cuts restrict its capacity to transfer the costs to consumers. The need to control costs arises when there is inflation. Regulatory changes and trade restrictions are considered to be political risk. Tesla's activities in China put it at risk of geopolitical conflicts. The instability of the political sphere can prevent supply chains and access to the market. Exposure </w:t>
      </w:r>
      <w:r w:rsidR="00140F79" w:rsidRPr="00140F79">
        <w:t>can be minimised through diversification.</w:t>
      </w:r>
      <w:r w:rsidR="00140F79">
        <w:t xml:space="preserve"> </w:t>
      </w:r>
      <w:r w:rsidRPr="005E32D9">
        <w:t xml:space="preserve">Tesla highly depends on corporate social responsibility (CSR). Lithium and cobalt are some of the raw materials used in the production of batteries. To prevent environmental and human rights problems, </w:t>
      </w:r>
      <w:r w:rsidR="00140F79" w:rsidRPr="00140F79">
        <w:t>ethical sourcing is required</w:t>
      </w:r>
      <w:r w:rsidRPr="005E32D9">
        <w:t>. Stakeholder theory is a theory of balance between profit and social responsibility. The evolution of AI poses ethical issues in terms of data applications and automation</w:t>
      </w:r>
      <w:r w:rsidR="008348B8">
        <w:t xml:space="preserve"> (</w:t>
      </w:r>
      <w:r w:rsidR="008348B8" w:rsidRPr="008348B8">
        <w:t>Kamila</w:t>
      </w:r>
      <w:r w:rsidR="008348B8">
        <w:t xml:space="preserve"> </w:t>
      </w:r>
      <w:r w:rsidR="008348B8" w:rsidRPr="008348B8">
        <w:t xml:space="preserve">and </w:t>
      </w:r>
      <w:proofErr w:type="spellStart"/>
      <w:r w:rsidR="008348B8" w:rsidRPr="008348B8">
        <w:t>Jasrotia</w:t>
      </w:r>
      <w:proofErr w:type="spellEnd"/>
      <w:r w:rsidR="008348B8" w:rsidRPr="008348B8">
        <w:t>, 2025</w:t>
      </w:r>
      <w:r w:rsidR="008348B8">
        <w:t>)</w:t>
      </w:r>
      <w:r w:rsidRPr="005E32D9">
        <w:t>. There is transparency and fairness in responsible AI practices. Lack of ethics can hurt a brand name and investor confidence. Overall, there are international and ethical factors which have a massive impact on the financial performance. Good management minimises risk and increases sustainability.</w:t>
      </w:r>
    </w:p>
    <w:p w14:paraId="5F424A0F" w14:textId="77777777" w:rsidR="007D6BB1" w:rsidRPr="005E32D9" w:rsidRDefault="007D6BB1" w:rsidP="00637E1D">
      <w:pPr>
        <w:spacing w:line="360" w:lineRule="auto"/>
      </w:pPr>
    </w:p>
    <w:p w14:paraId="6C6BB006" w14:textId="77777777" w:rsidR="005E32D9" w:rsidRPr="005E32D9" w:rsidRDefault="00A3578D" w:rsidP="00637E1D">
      <w:pPr>
        <w:spacing w:line="360" w:lineRule="auto"/>
      </w:pPr>
      <w:r w:rsidRPr="005E32D9">
        <w:rPr>
          <w:b/>
          <w:bCs/>
          <w:u w:val="single"/>
        </w:rPr>
        <w:t>Summary of Strategic Restructuring Plan</w:t>
      </w:r>
    </w:p>
    <w:p w14:paraId="7A4CC7EB" w14:textId="079698F2" w:rsidR="005E32D9" w:rsidRPr="005E32D9" w:rsidRDefault="00A3578D" w:rsidP="00637E1D">
      <w:pPr>
        <w:spacing w:line="360" w:lineRule="auto"/>
      </w:pPr>
      <w:r w:rsidRPr="005E32D9">
        <w:t>Restructuring finances facilitates the long-term growth and stability in changing conditions. Tesla is experiencing pressure on profitability and increased investment requirements. To be competitive, strategic moves are required. Selective divestitures enhance efficiency and unlock capital to do core business. Equity injection is beneficial in terms of innovation and the minimisation of financial risk. Strategic alliances increase technological capacities</w:t>
      </w:r>
      <w:r w:rsidR="007D6BB1">
        <w:t>,</w:t>
      </w:r>
      <w:r w:rsidRPr="005E32D9">
        <w:t xml:space="preserve"> and the cost of development is shared. Restructuring enhances shareholder value in the long term but can lead to short-term dilution. Debt reduction helps to increase stability, whereas balanced financing boosts optimal capital structure. Operational flexibility is enhanced by strategy focus and external partnerships.</w:t>
      </w:r>
    </w:p>
    <w:p w14:paraId="6E9E7861" w14:textId="77777777" w:rsidR="005E32D9" w:rsidRDefault="00A3578D" w:rsidP="00637E1D">
      <w:pPr>
        <w:spacing w:line="360" w:lineRule="auto"/>
      </w:pPr>
      <w:r w:rsidRPr="005E32D9">
        <w:t xml:space="preserve">Ethical and international risks need to be handled. Financial performance is subject to currency fluctuations, inflation and political uncertainty. Supply chains and AI development are ethical practices which enhance reputation and compliance. In summary, Tesla needs a moderate </w:t>
      </w:r>
      <w:r w:rsidRPr="005E32D9">
        <w:lastRenderedPageBreak/>
        <w:t>reorganisation strategy. A mix of financial discipline and investment in innovation guarantees sustainable growth and long-term value.</w:t>
      </w:r>
    </w:p>
    <w:p w14:paraId="2361C4BB" w14:textId="77777777" w:rsidR="007D6BB1" w:rsidRPr="005E32D9" w:rsidRDefault="007D6BB1" w:rsidP="00637E1D">
      <w:pPr>
        <w:spacing w:line="360" w:lineRule="auto"/>
      </w:pPr>
    </w:p>
    <w:p w14:paraId="507D24BD" w14:textId="77777777" w:rsidR="005E32D9" w:rsidRPr="005E32D9" w:rsidRDefault="00A3578D" w:rsidP="00637E1D">
      <w:pPr>
        <w:pStyle w:val="Heading1"/>
        <w:spacing w:line="360" w:lineRule="auto"/>
      </w:pPr>
      <w:bookmarkStart w:id="4" w:name="_Toc227676769"/>
      <w:r w:rsidRPr="005E32D9">
        <w:t>5. Investment Appraisal and Capital Budgeting</w:t>
      </w:r>
      <w:bookmarkEnd w:id="4"/>
    </w:p>
    <w:p w14:paraId="2E2DCB60" w14:textId="37763C47" w:rsidR="008D47A4" w:rsidRPr="008D47A4" w:rsidRDefault="008D47A4" w:rsidP="00637E1D">
      <w:pPr>
        <w:spacing w:line="360" w:lineRule="auto"/>
      </w:pPr>
      <w:r w:rsidRPr="008D47A4">
        <w:t>The investment appraisal is employed to determine whether the projects will bring about shareholder value. It supports efficient allocation of scarce capital under uncertainty, ensuring only value-creating projects are selected.</w:t>
      </w:r>
      <w:r>
        <w:t xml:space="preserve"> </w:t>
      </w:r>
      <w:r w:rsidRPr="008D47A4">
        <w:t>In the given case, Tesla will have to consider three mutually exclusive projects. PBP, ARR, NPV, PI</w:t>
      </w:r>
      <w:r>
        <w:t xml:space="preserve"> </w:t>
      </w:r>
      <w:r w:rsidRPr="008D47A4">
        <w:t>and IRR are applied to assess both risk-adjusted returns and value creation under a 10% cost of capital.</w:t>
      </w:r>
      <w:r>
        <w:t xml:space="preserve"> </w:t>
      </w:r>
      <w:r w:rsidRPr="008D47A4">
        <w:t>Accounting-based measures assume that depreciation is straight-line to zero (Huang et. al., 2022).</w:t>
      </w:r>
    </w:p>
    <w:p w14:paraId="06465DC6" w14:textId="77777777" w:rsidR="005E32D9" w:rsidRPr="005E32D9" w:rsidRDefault="00A3578D" w:rsidP="00637E1D">
      <w:pPr>
        <w:spacing w:line="360" w:lineRule="auto"/>
      </w:pPr>
      <w:r w:rsidRPr="005E32D9">
        <w:rPr>
          <w:b/>
          <w:bCs/>
          <w:u w:val="single"/>
        </w:rPr>
        <w:t>Project Data and Assumptions</w:t>
      </w:r>
    </w:p>
    <w:p w14:paraId="54882721" w14:textId="77777777" w:rsidR="005E32D9" w:rsidRDefault="00A3578D" w:rsidP="00637E1D">
      <w:pPr>
        <w:spacing w:line="360" w:lineRule="auto"/>
        <w:rPr>
          <w:b/>
          <w:bCs/>
        </w:rPr>
      </w:pPr>
      <w:r w:rsidRPr="005E32D9">
        <w:rPr>
          <w:b/>
          <w:bCs/>
        </w:rPr>
        <w:t>Initial Investment and Cash Flows (£ million)</w:t>
      </w:r>
    </w:p>
    <w:p w14:paraId="3EE4D1AC" w14:textId="788D9A8E" w:rsidR="0025394F" w:rsidRDefault="0025394F" w:rsidP="00637E1D">
      <w:pPr>
        <w:spacing w:line="360" w:lineRule="auto"/>
        <w:jc w:val="center"/>
        <w:rPr>
          <w:b/>
          <w:bCs/>
        </w:rPr>
      </w:pPr>
      <w:r w:rsidRPr="0025394F">
        <w:rPr>
          <w:b/>
          <w:bCs/>
          <w:noProof/>
          <w:lang w:val="en-IN" w:eastAsia="en-IN"/>
        </w:rPr>
        <w:drawing>
          <wp:inline distT="0" distB="0" distL="0" distR="0" wp14:anchorId="6B6F2E19" wp14:editId="4CC10E3A">
            <wp:extent cx="4965700" cy="2878455"/>
            <wp:effectExtent l="0" t="0" r="0" b="4445"/>
            <wp:docPr id="1184613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13180" name=""/>
                    <pic:cNvPicPr/>
                  </pic:nvPicPr>
                  <pic:blipFill>
                    <a:blip r:embed="rId26"/>
                    <a:stretch>
                      <a:fillRect/>
                    </a:stretch>
                  </pic:blipFill>
                  <pic:spPr>
                    <a:xfrm>
                      <a:off x="0" y="0"/>
                      <a:ext cx="4977074" cy="2885048"/>
                    </a:xfrm>
                    <a:prstGeom prst="rect">
                      <a:avLst/>
                    </a:prstGeom>
                  </pic:spPr>
                </pic:pic>
              </a:graphicData>
            </a:graphic>
          </wp:inline>
        </w:drawing>
      </w:r>
    </w:p>
    <w:p w14:paraId="243F1C16" w14:textId="379DE19B" w:rsidR="0025394F" w:rsidRPr="0025394F" w:rsidRDefault="0025394F" w:rsidP="00637E1D">
      <w:pPr>
        <w:spacing w:line="360" w:lineRule="auto"/>
        <w:jc w:val="center"/>
        <w:rPr>
          <w:b/>
          <w:bCs/>
        </w:rPr>
      </w:pPr>
      <w:r>
        <w:rPr>
          <w:b/>
          <w:bCs/>
        </w:rPr>
        <w:t xml:space="preserve">Figure 19: </w:t>
      </w:r>
      <w:r w:rsidRPr="005E32D9">
        <w:rPr>
          <w:b/>
          <w:bCs/>
        </w:rPr>
        <w:t>Initial Investment and Cash Flows</w:t>
      </w:r>
    </w:p>
    <w:p w14:paraId="3C44535E" w14:textId="77777777" w:rsidR="0025394F" w:rsidRDefault="0025394F" w:rsidP="00637E1D">
      <w:pPr>
        <w:spacing w:line="360" w:lineRule="auto"/>
        <w:rPr>
          <w:b/>
          <w:bCs/>
          <w:u w:val="single"/>
        </w:rPr>
      </w:pPr>
    </w:p>
    <w:p w14:paraId="3A4413BC" w14:textId="77777777" w:rsidR="007D6BB1" w:rsidRDefault="007D6BB1" w:rsidP="00637E1D">
      <w:pPr>
        <w:spacing w:line="360" w:lineRule="auto"/>
        <w:rPr>
          <w:b/>
          <w:bCs/>
          <w:u w:val="single"/>
        </w:rPr>
      </w:pPr>
    </w:p>
    <w:p w14:paraId="6B25DBE0" w14:textId="77777777" w:rsidR="007D6BB1" w:rsidRDefault="007D6BB1" w:rsidP="00637E1D">
      <w:pPr>
        <w:spacing w:line="360" w:lineRule="auto"/>
        <w:rPr>
          <w:b/>
          <w:bCs/>
          <w:u w:val="single"/>
        </w:rPr>
      </w:pPr>
    </w:p>
    <w:p w14:paraId="5D20FDC1" w14:textId="77777777" w:rsidR="007D6BB1" w:rsidRDefault="007D6BB1" w:rsidP="00637E1D">
      <w:pPr>
        <w:spacing w:line="360" w:lineRule="auto"/>
        <w:rPr>
          <w:b/>
          <w:bCs/>
          <w:u w:val="single"/>
        </w:rPr>
      </w:pPr>
    </w:p>
    <w:p w14:paraId="6CB29120" w14:textId="77777777" w:rsidR="007D6BB1" w:rsidRDefault="007D6BB1" w:rsidP="00637E1D">
      <w:pPr>
        <w:spacing w:line="360" w:lineRule="auto"/>
        <w:rPr>
          <w:b/>
          <w:bCs/>
          <w:u w:val="single"/>
        </w:rPr>
      </w:pPr>
    </w:p>
    <w:p w14:paraId="6DCD33CD" w14:textId="77777777" w:rsidR="007D6BB1" w:rsidRDefault="007D6BB1" w:rsidP="00637E1D">
      <w:pPr>
        <w:spacing w:line="360" w:lineRule="auto"/>
        <w:rPr>
          <w:b/>
          <w:bCs/>
          <w:u w:val="single"/>
        </w:rPr>
      </w:pPr>
    </w:p>
    <w:p w14:paraId="7A8E1F88" w14:textId="6F7D7D7F" w:rsidR="005E32D9" w:rsidRDefault="00A3578D" w:rsidP="00637E1D">
      <w:pPr>
        <w:spacing w:line="360" w:lineRule="auto"/>
        <w:rPr>
          <w:b/>
          <w:bCs/>
          <w:u w:val="single"/>
        </w:rPr>
      </w:pPr>
      <w:r w:rsidRPr="005E32D9">
        <w:rPr>
          <w:b/>
          <w:bCs/>
          <w:u w:val="single"/>
        </w:rPr>
        <w:t>Payback Period (PBP) and Accounting Rate of Return (ARR)</w:t>
      </w:r>
    </w:p>
    <w:p w14:paraId="7830BE4D" w14:textId="1A38C5DA" w:rsidR="002A1791" w:rsidRDefault="002A1791" w:rsidP="00637E1D">
      <w:pPr>
        <w:spacing w:line="360" w:lineRule="auto"/>
        <w:jc w:val="center"/>
      </w:pPr>
      <w:r>
        <w:rPr>
          <w:noProof/>
          <w:lang w:val="en-IN" w:eastAsia="en-IN"/>
        </w:rPr>
        <w:drawing>
          <wp:inline distT="0" distB="0" distL="0" distR="0" wp14:anchorId="0F0AFDC3" wp14:editId="63AC9A5B">
            <wp:extent cx="5245100" cy="3581400"/>
            <wp:effectExtent l="0" t="0" r="0" b="0"/>
            <wp:docPr id="1523811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1686" name=""/>
                    <pic:cNvPicPr/>
                  </pic:nvPicPr>
                  <pic:blipFill rotWithShape="1">
                    <a:blip r:embed="rId27">
                      <a:extLst>
                        <a:ext uri="{28A0092B-C50C-407E-A947-70E740481C1C}">
                          <a14:useLocalDpi xmlns:a14="http://schemas.microsoft.com/office/drawing/2010/main"/>
                        </a:ext>
                      </a:extLst>
                    </a:blip>
                    <a:srcRect b="1828"/>
                    <a:stretch>
                      <a:fillRect/>
                    </a:stretch>
                  </pic:blipFill>
                  <pic:spPr bwMode="auto">
                    <a:xfrm>
                      <a:off x="0" y="0"/>
                      <a:ext cx="5245100" cy="3581400"/>
                    </a:xfrm>
                    <a:prstGeom prst="rect">
                      <a:avLst/>
                    </a:prstGeom>
                    <a:ln>
                      <a:noFill/>
                    </a:ln>
                    <a:extLst>
                      <a:ext uri="{53640926-AAD7-44D8-BBD7-CCE9431645EC}">
                        <a14:shadowObscured xmlns:a14="http://schemas.microsoft.com/office/drawing/2010/main"/>
                      </a:ext>
                    </a:extLst>
                  </pic:spPr>
                </pic:pic>
              </a:graphicData>
            </a:graphic>
          </wp:inline>
        </w:drawing>
      </w:r>
    </w:p>
    <w:p w14:paraId="22927A66" w14:textId="7CF1C9D6" w:rsidR="002A1791" w:rsidRDefault="002A1791" w:rsidP="00637E1D">
      <w:pPr>
        <w:spacing w:line="360" w:lineRule="auto"/>
        <w:jc w:val="center"/>
      </w:pPr>
      <w:r>
        <w:rPr>
          <w:noProof/>
          <w:lang w:val="en-IN" w:eastAsia="en-IN"/>
        </w:rPr>
        <w:drawing>
          <wp:inline distT="0" distB="0" distL="0" distR="0" wp14:anchorId="62D90376" wp14:editId="49865F08">
            <wp:extent cx="5156200" cy="1441450"/>
            <wp:effectExtent l="0" t="0" r="0" b="6350"/>
            <wp:docPr id="1483858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858755" name=""/>
                    <pic:cNvPicPr/>
                  </pic:nvPicPr>
                  <pic:blipFill rotWithShape="1">
                    <a:blip r:embed="rId28">
                      <a:extLst>
                        <a:ext uri="{28A0092B-C50C-407E-A947-70E740481C1C}">
                          <a14:useLocalDpi xmlns:a14="http://schemas.microsoft.com/office/drawing/2010/main"/>
                        </a:ext>
                      </a:extLst>
                    </a:blip>
                    <a:srcRect l="-204"/>
                    <a:stretch>
                      <a:fillRect/>
                    </a:stretch>
                  </pic:blipFill>
                  <pic:spPr bwMode="auto">
                    <a:xfrm>
                      <a:off x="0" y="0"/>
                      <a:ext cx="5156200" cy="1441450"/>
                    </a:xfrm>
                    <a:prstGeom prst="rect">
                      <a:avLst/>
                    </a:prstGeom>
                    <a:ln>
                      <a:noFill/>
                    </a:ln>
                    <a:extLst>
                      <a:ext uri="{53640926-AAD7-44D8-BBD7-CCE9431645EC}">
                        <a14:shadowObscured xmlns:a14="http://schemas.microsoft.com/office/drawing/2010/main"/>
                      </a:ext>
                    </a:extLst>
                  </pic:spPr>
                </pic:pic>
              </a:graphicData>
            </a:graphic>
          </wp:inline>
        </w:drawing>
      </w:r>
    </w:p>
    <w:p w14:paraId="4E8BF8F9" w14:textId="2780A06D" w:rsidR="0025394F" w:rsidRPr="0025394F" w:rsidRDefault="0025394F" w:rsidP="00637E1D">
      <w:pPr>
        <w:spacing w:line="360" w:lineRule="auto"/>
        <w:jc w:val="center"/>
        <w:rPr>
          <w:b/>
          <w:bCs/>
        </w:rPr>
      </w:pPr>
      <w:r>
        <w:rPr>
          <w:b/>
          <w:bCs/>
        </w:rPr>
        <w:t>Figure 20: Payback Period</w:t>
      </w:r>
    </w:p>
    <w:p w14:paraId="6BB1E4FD" w14:textId="0FA44B67" w:rsidR="002A1791" w:rsidRDefault="002A1791" w:rsidP="00637E1D">
      <w:pPr>
        <w:spacing w:line="360" w:lineRule="auto"/>
        <w:jc w:val="center"/>
      </w:pPr>
      <w:r>
        <w:rPr>
          <w:noProof/>
          <w:lang w:val="en-IN" w:eastAsia="en-IN"/>
        </w:rPr>
        <w:lastRenderedPageBreak/>
        <w:drawing>
          <wp:inline distT="0" distB="0" distL="0" distR="0" wp14:anchorId="2CED6950" wp14:editId="2AEDF310">
            <wp:extent cx="5381625" cy="2676525"/>
            <wp:effectExtent l="0" t="0" r="9525" b="9525"/>
            <wp:docPr id="41471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715833" name=""/>
                    <pic:cNvPicPr/>
                  </pic:nvPicPr>
                  <pic:blipFill>
                    <a:blip r:embed="rId29"/>
                    <a:stretch>
                      <a:fillRect/>
                    </a:stretch>
                  </pic:blipFill>
                  <pic:spPr>
                    <a:xfrm>
                      <a:off x="0" y="0"/>
                      <a:ext cx="5381625" cy="2676525"/>
                    </a:xfrm>
                    <a:prstGeom prst="rect">
                      <a:avLst/>
                    </a:prstGeom>
                  </pic:spPr>
                </pic:pic>
              </a:graphicData>
            </a:graphic>
          </wp:inline>
        </w:drawing>
      </w:r>
    </w:p>
    <w:p w14:paraId="7C2CD1E7" w14:textId="01EE852E" w:rsidR="002A1791" w:rsidRDefault="002A1791" w:rsidP="00637E1D">
      <w:pPr>
        <w:spacing w:line="360" w:lineRule="auto"/>
        <w:jc w:val="center"/>
      </w:pPr>
      <w:r>
        <w:rPr>
          <w:noProof/>
          <w:lang w:val="en-IN" w:eastAsia="en-IN"/>
        </w:rPr>
        <w:drawing>
          <wp:inline distT="0" distB="0" distL="0" distR="0" wp14:anchorId="3677F8EC" wp14:editId="33954CF4">
            <wp:extent cx="5334000" cy="2314575"/>
            <wp:effectExtent l="0" t="0" r="0" b="9525"/>
            <wp:docPr id="1711082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82082" name=""/>
                    <pic:cNvPicPr/>
                  </pic:nvPicPr>
                  <pic:blipFill>
                    <a:blip r:embed="rId30"/>
                    <a:stretch>
                      <a:fillRect/>
                    </a:stretch>
                  </pic:blipFill>
                  <pic:spPr>
                    <a:xfrm>
                      <a:off x="0" y="0"/>
                      <a:ext cx="5334000" cy="2314575"/>
                    </a:xfrm>
                    <a:prstGeom prst="rect">
                      <a:avLst/>
                    </a:prstGeom>
                  </pic:spPr>
                </pic:pic>
              </a:graphicData>
            </a:graphic>
          </wp:inline>
        </w:drawing>
      </w:r>
    </w:p>
    <w:p w14:paraId="4C1EFAAA" w14:textId="631A71F6" w:rsidR="002A1791" w:rsidRDefault="002A1791" w:rsidP="00637E1D">
      <w:pPr>
        <w:spacing w:line="360" w:lineRule="auto"/>
        <w:jc w:val="center"/>
      </w:pPr>
      <w:r>
        <w:rPr>
          <w:noProof/>
          <w:lang w:val="en-IN" w:eastAsia="en-IN"/>
        </w:rPr>
        <w:drawing>
          <wp:inline distT="0" distB="0" distL="0" distR="0" wp14:anchorId="0892C51C" wp14:editId="01A07561">
            <wp:extent cx="5181600" cy="2266950"/>
            <wp:effectExtent l="0" t="0" r="0" b="0"/>
            <wp:docPr id="1280708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08985" name=""/>
                    <pic:cNvPicPr/>
                  </pic:nvPicPr>
                  <pic:blipFill>
                    <a:blip r:embed="rId31"/>
                    <a:stretch>
                      <a:fillRect/>
                    </a:stretch>
                  </pic:blipFill>
                  <pic:spPr>
                    <a:xfrm>
                      <a:off x="0" y="0"/>
                      <a:ext cx="5181600" cy="2266950"/>
                    </a:xfrm>
                    <a:prstGeom prst="rect">
                      <a:avLst/>
                    </a:prstGeom>
                  </pic:spPr>
                </pic:pic>
              </a:graphicData>
            </a:graphic>
          </wp:inline>
        </w:drawing>
      </w:r>
    </w:p>
    <w:p w14:paraId="1FFD45B8" w14:textId="2437E65D" w:rsidR="0025394F" w:rsidRPr="0025394F" w:rsidRDefault="0025394F" w:rsidP="00637E1D">
      <w:pPr>
        <w:spacing w:line="360" w:lineRule="auto"/>
        <w:jc w:val="center"/>
        <w:rPr>
          <w:b/>
          <w:bCs/>
        </w:rPr>
      </w:pPr>
      <w:r>
        <w:rPr>
          <w:b/>
          <w:bCs/>
        </w:rPr>
        <w:t>Figure 21: ARR</w:t>
      </w:r>
    </w:p>
    <w:p w14:paraId="05FED20B" w14:textId="336226FE" w:rsidR="008D47A4" w:rsidRDefault="008D47A4" w:rsidP="00637E1D">
      <w:pPr>
        <w:spacing w:line="360" w:lineRule="auto"/>
      </w:pPr>
      <w:r>
        <w:lastRenderedPageBreak/>
        <w:t xml:space="preserve">The payback period of project A is the shortest (approximately 3 years). This minimises liquidity risk in the short-term. </w:t>
      </w:r>
      <w:r w:rsidR="0066793C">
        <w:t>However,</w:t>
      </w:r>
      <w:r>
        <w:t xml:space="preserve"> it disregards the creation of value over the long term. It is thus ineffective as a decision tool.</w:t>
      </w:r>
    </w:p>
    <w:p w14:paraId="13CAD497" w14:textId="4D0BD7FA" w:rsidR="008D47A4" w:rsidRDefault="008D47A4" w:rsidP="00637E1D">
      <w:pPr>
        <w:spacing w:line="360" w:lineRule="auto"/>
      </w:pPr>
      <w:r>
        <w:t>Project B offers consistent inflows in terms of profits. It minimises the volatility risk. However, it fails to create high growth in value.</w:t>
      </w:r>
    </w:p>
    <w:p w14:paraId="2BA9D55A" w14:textId="4472472D" w:rsidR="008D47A4" w:rsidRDefault="008D47A4" w:rsidP="00637E1D">
      <w:pPr>
        <w:spacing w:line="360" w:lineRule="auto"/>
      </w:pPr>
      <w:r w:rsidRPr="008D47A4">
        <w:t>Project C has the longest payback period, increasing short-term liquidity exposure. However, this is compensated by higher long-term cash flow generation.</w:t>
      </w:r>
      <w:r>
        <w:t xml:space="preserve"> </w:t>
      </w:r>
    </w:p>
    <w:p w14:paraId="7058083A" w14:textId="576F2727" w:rsidR="008D47A4" w:rsidRDefault="008D47A4" w:rsidP="00637E1D">
      <w:pPr>
        <w:spacing w:line="360" w:lineRule="auto"/>
      </w:pPr>
      <w:r w:rsidRPr="008D47A4">
        <w:t>ARR is highest in Project C, indicating stronger accounting profitability. However, this does not translate into economic value creation as it ignores timing and risk of cash flows.</w:t>
      </w:r>
      <w:r>
        <w:t xml:space="preserve"> It can exaggerate the performance of later-stage cash-rich projects.</w:t>
      </w:r>
    </w:p>
    <w:p w14:paraId="0AF35E07" w14:textId="42F8845B" w:rsidR="008D47A4" w:rsidRDefault="008D47A4" w:rsidP="00637E1D">
      <w:pPr>
        <w:spacing w:line="360" w:lineRule="auto"/>
      </w:pPr>
      <w:r w:rsidRPr="008D47A4">
        <w:t>Overall, PBP and ARR are screening tools only and are insufficient for final investment appraisal in capital-intensive industries such as EV manufacturing.</w:t>
      </w:r>
      <w:r>
        <w:t xml:space="preserve"> They can be used to screen only. They are not in favour of enduring investment choice in capital-intensive sectors such as EV production (Sinaga et. al., 2023).</w:t>
      </w:r>
    </w:p>
    <w:p w14:paraId="6DCF8D75" w14:textId="77777777" w:rsidR="007D6BB1" w:rsidRDefault="007D6BB1" w:rsidP="00637E1D">
      <w:pPr>
        <w:spacing w:line="360" w:lineRule="auto"/>
      </w:pPr>
    </w:p>
    <w:p w14:paraId="5306662F" w14:textId="77777777" w:rsidR="005E32D9" w:rsidRDefault="00A3578D" w:rsidP="00637E1D">
      <w:pPr>
        <w:spacing w:line="360" w:lineRule="auto"/>
        <w:rPr>
          <w:b/>
          <w:bCs/>
          <w:u w:val="single"/>
        </w:rPr>
      </w:pPr>
      <w:r w:rsidRPr="005E32D9">
        <w:rPr>
          <w:b/>
          <w:bCs/>
          <w:u w:val="single"/>
        </w:rPr>
        <w:t>Net Present Value (NPV) and Profitability Index (PI)</w:t>
      </w:r>
    </w:p>
    <w:p w14:paraId="397410BA" w14:textId="353DD89D" w:rsidR="002A1791" w:rsidRDefault="002A1791" w:rsidP="00637E1D">
      <w:pPr>
        <w:spacing w:line="360" w:lineRule="auto"/>
        <w:jc w:val="center"/>
        <w:rPr>
          <w:b/>
          <w:bCs/>
          <w:u w:val="single"/>
        </w:rPr>
      </w:pPr>
      <w:r>
        <w:rPr>
          <w:noProof/>
          <w:lang w:val="en-IN" w:eastAsia="en-IN"/>
        </w:rPr>
        <w:drawing>
          <wp:inline distT="0" distB="0" distL="0" distR="0" wp14:anchorId="20ABC71E" wp14:editId="008066CF">
            <wp:extent cx="5731510" cy="2469515"/>
            <wp:effectExtent l="0" t="0" r="2540" b="6985"/>
            <wp:docPr id="798790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90864" name=""/>
                    <pic:cNvPicPr/>
                  </pic:nvPicPr>
                  <pic:blipFill>
                    <a:blip r:embed="rId32"/>
                    <a:stretch>
                      <a:fillRect/>
                    </a:stretch>
                  </pic:blipFill>
                  <pic:spPr>
                    <a:xfrm>
                      <a:off x="0" y="0"/>
                      <a:ext cx="5731510" cy="2469515"/>
                    </a:xfrm>
                    <a:prstGeom prst="rect">
                      <a:avLst/>
                    </a:prstGeom>
                  </pic:spPr>
                </pic:pic>
              </a:graphicData>
            </a:graphic>
          </wp:inline>
        </w:drawing>
      </w:r>
    </w:p>
    <w:p w14:paraId="3EEFE99F" w14:textId="6EBB1B7A" w:rsidR="002A1791" w:rsidRDefault="002A1791" w:rsidP="00637E1D">
      <w:pPr>
        <w:spacing w:line="360" w:lineRule="auto"/>
        <w:jc w:val="center"/>
        <w:rPr>
          <w:b/>
          <w:bCs/>
          <w:u w:val="single"/>
        </w:rPr>
      </w:pPr>
      <w:r>
        <w:rPr>
          <w:noProof/>
          <w:lang w:val="en-IN" w:eastAsia="en-IN"/>
        </w:rPr>
        <w:lastRenderedPageBreak/>
        <w:drawing>
          <wp:inline distT="0" distB="0" distL="0" distR="0" wp14:anchorId="1B1A0DB6" wp14:editId="38B4B37B">
            <wp:extent cx="5429250" cy="3594735"/>
            <wp:effectExtent l="0" t="0" r="0" b="5715"/>
            <wp:docPr id="1761627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27495" name=""/>
                    <pic:cNvPicPr/>
                  </pic:nvPicPr>
                  <pic:blipFill rotWithShape="1">
                    <a:blip r:embed="rId33">
                      <a:extLst>
                        <a:ext uri="{28A0092B-C50C-407E-A947-70E740481C1C}">
                          <a14:useLocalDpi xmlns:a14="http://schemas.microsoft.com/office/drawing/2010/main"/>
                        </a:ext>
                      </a:extLst>
                    </a:blip>
                    <a:srcRect r="5274"/>
                    <a:stretch>
                      <a:fillRect/>
                    </a:stretch>
                  </pic:blipFill>
                  <pic:spPr bwMode="auto">
                    <a:xfrm>
                      <a:off x="0" y="0"/>
                      <a:ext cx="5429250" cy="3594735"/>
                    </a:xfrm>
                    <a:prstGeom prst="rect">
                      <a:avLst/>
                    </a:prstGeom>
                    <a:ln>
                      <a:noFill/>
                    </a:ln>
                    <a:extLst>
                      <a:ext uri="{53640926-AAD7-44D8-BBD7-CCE9431645EC}">
                        <a14:shadowObscured xmlns:a14="http://schemas.microsoft.com/office/drawing/2010/main"/>
                      </a:ext>
                    </a:extLst>
                  </pic:spPr>
                </pic:pic>
              </a:graphicData>
            </a:graphic>
          </wp:inline>
        </w:drawing>
      </w:r>
    </w:p>
    <w:p w14:paraId="3AAF9A96" w14:textId="7167FE89" w:rsidR="0025394F" w:rsidRPr="0025394F" w:rsidRDefault="0025394F" w:rsidP="00637E1D">
      <w:pPr>
        <w:spacing w:line="360" w:lineRule="auto"/>
        <w:jc w:val="center"/>
        <w:rPr>
          <w:b/>
          <w:bCs/>
        </w:rPr>
      </w:pPr>
      <w:r>
        <w:rPr>
          <w:b/>
          <w:bCs/>
        </w:rPr>
        <w:t>Figure 22: NPV &amp; PI</w:t>
      </w:r>
    </w:p>
    <w:p w14:paraId="09185366" w14:textId="3F34A12C" w:rsidR="008D47A4" w:rsidRDefault="00ED57D1" w:rsidP="00637E1D">
      <w:pPr>
        <w:spacing w:line="360" w:lineRule="auto"/>
      </w:pPr>
      <w:r w:rsidRPr="00ED57D1">
        <w:t>According to shareholder wealth maximisation theory, only positive NPV projects should be accepted, as they increase firm value.</w:t>
      </w:r>
      <w:r>
        <w:t xml:space="preserve"> </w:t>
      </w:r>
      <w:r w:rsidR="008D47A4" w:rsidRPr="008D47A4">
        <w:t>All projects generate negative NPV at a 10% discount rate, indicating value destruction under current assumptions.</w:t>
      </w:r>
      <w:r w:rsidR="008D47A4">
        <w:t xml:space="preserve"> </w:t>
      </w:r>
      <w:r w:rsidR="0066793C" w:rsidRPr="0066793C">
        <w:t>The consistent negative NPV across all projects suggests not project selection failure, but a structural overestimation of future EV cash flows or an overly conservative cost of capital assumption.</w:t>
      </w:r>
      <w:r w:rsidR="0066793C">
        <w:t xml:space="preserve"> </w:t>
      </w:r>
      <w:r w:rsidR="008D47A4">
        <w:t>It implies that the value of all projects is destroyed at a discount rate of 10%.</w:t>
      </w:r>
    </w:p>
    <w:p w14:paraId="20B539DC" w14:textId="4E72A382" w:rsidR="008D47A4" w:rsidRDefault="008D47A4" w:rsidP="00637E1D">
      <w:pPr>
        <w:spacing w:line="360" w:lineRule="auto"/>
      </w:pPr>
      <w:r>
        <w:t xml:space="preserve">Project B </w:t>
      </w:r>
      <w:r w:rsidR="00ED57D1" w:rsidRPr="00ED57D1">
        <w:t>is the least value-destructive option, as it produces the smallest negative NPV</w:t>
      </w:r>
      <w:r>
        <w:t>. It thus symbolises the most destruction of value.</w:t>
      </w:r>
    </w:p>
    <w:p w14:paraId="42FDF485" w14:textId="77777777" w:rsidR="008D47A4" w:rsidRDefault="008D47A4" w:rsidP="00637E1D">
      <w:pPr>
        <w:spacing w:line="360" w:lineRule="auto"/>
      </w:pPr>
      <w:r>
        <w:t>Project A is the worst project because the inflows are low, and the timing is ineffective. Operationally, Project C is a bit superior, but the cash flows are skewed in the back and cannot be used to cover up risk.</w:t>
      </w:r>
    </w:p>
    <w:p w14:paraId="753CD752" w14:textId="77777777" w:rsidR="008D47A4" w:rsidRDefault="008D47A4" w:rsidP="00637E1D">
      <w:pPr>
        <w:spacing w:line="360" w:lineRule="auto"/>
      </w:pPr>
      <w:r>
        <w:t>PI attests the same conclusion. Each of the values is less than 1. This shows that none of the projects has a high value creation per unit of investment.</w:t>
      </w:r>
    </w:p>
    <w:p w14:paraId="01DB65FA" w14:textId="3F7A4FAE" w:rsidR="008D47A4" w:rsidRDefault="00ED57D1" w:rsidP="00637E1D">
      <w:pPr>
        <w:spacing w:line="360" w:lineRule="auto"/>
      </w:pPr>
      <w:r w:rsidRPr="00ED57D1">
        <w:t>This signals a structural investment problem, where projected cash inflows are insufficient relative to the cost of capital.</w:t>
      </w:r>
      <w:r>
        <w:t xml:space="preserve"> </w:t>
      </w:r>
      <w:r w:rsidR="008D47A4">
        <w:t xml:space="preserve">This indicates that Tesla does not necessarily have the potential </w:t>
      </w:r>
      <w:r w:rsidR="008D47A4">
        <w:lastRenderedPageBreak/>
        <w:t>to give a good payoff on its investments now. The cost structures are either excessive or the ash flows projected are excessive.</w:t>
      </w:r>
    </w:p>
    <w:p w14:paraId="677EF939" w14:textId="3E5465A8" w:rsidR="005E32D9" w:rsidRDefault="008D47A4" w:rsidP="00637E1D">
      <w:pPr>
        <w:spacing w:line="360" w:lineRule="auto"/>
        <w:rPr>
          <w:b/>
          <w:bCs/>
          <w:u w:val="single"/>
        </w:rPr>
      </w:pPr>
      <w:r w:rsidRPr="008D47A4">
        <w:rPr>
          <w:b/>
          <w:bCs/>
          <w:u w:val="single"/>
        </w:rPr>
        <w:t>Internal Rate of Return (IRR)</w:t>
      </w:r>
    </w:p>
    <w:p w14:paraId="55C6961E" w14:textId="63A3D5EA" w:rsidR="002A1791" w:rsidRDefault="002A1791" w:rsidP="00637E1D">
      <w:pPr>
        <w:spacing w:line="360" w:lineRule="auto"/>
        <w:jc w:val="center"/>
        <w:rPr>
          <w:b/>
          <w:bCs/>
          <w:u w:val="single"/>
        </w:rPr>
      </w:pPr>
      <w:r>
        <w:rPr>
          <w:noProof/>
          <w:lang w:val="en-IN" w:eastAsia="en-IN"/>
        </w:rPr>
        <w:drawing>
          <wp:inline distT="0" distB="0" distL="0" distR="0" wp14:anchorId="1F5253DE" wp14:editId="34BE4436">
            <wp:extent cx="3987800" cy="3493135"/>
            <wp:effectExtent l="0" t="0" r="0" b="0"/>
            <wp:docPr id="1994221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221306" name=""/>
                    <pic:cNvPicPr/>
                  </pic:nvPicPr>
                  <pic:blipFill rotWithShape="1">
                    <a:blip r:embed="rId34">
                      <a:extLst>
                        <a:ext uri="{28A0092B-C50C-407E-A947-70E740481C1C}">
                          <a14:useLocalDpi xmlns:a14="http://schemas.microsoft.com/office/drawing/2010/main"/>
                        </a:ext>
                      </a:extLst>
                    </a:blip>
                    <a:srcRect b="2195"/>
                    <a:stretch>
                      <a:fillRect/>
                    </a:stretch>
                  </pic:blipFill>
                  <pic:spPr bwMode="auto">
                    <a:xfrm>
                      <a:off x="0" y="0"/>
                      <a:ext cx="3988193" cy="3493479"/>
                    </a:xfrm>
                    <a:prstGeom prst="rect">
                      <a:avLst/>
                    </a:prstGeom>
                    <a:ln>
                      <a:noFill/>
                    </a:ln>
                    <a:extLst>
                      <a:ext uri="{53640926-AAD7-44D8-BBD7-CCE9431645EC}">
                        <a14:shadowObscured xmlns:a14="http://schemas.microsoft.com/office/drawing/2010/main"/>
                      </a:ext>
                    </a:extLst>
                  </pic:spPr>
                </pic:pic>
              </a:graphicData>
            </a:graphic>
          </wp:inline>
        </w:drawing>
      </w:r>
    </w:p>
    <w:p w14:paraId="6F734448" w14:textId="36527A2D" w:rsidR="002A1791" w:rsidRDefault="002A1791" w:rsidP="00637E1D">
      <w:pPr>
        <w:spacing w:line="360" w:lineRule="auto"/>
        <w:jc w:val="center"/>
        <w:rPr>
          <w:b/>
          <w:bCs/>
          <w:u w:val="single"/>
        </w:rPr>
      </w:pPr>
      <w:r>
        <w:rPr>
          <w:noProof/>
          <w:lang w:val="en-IN" w:eastAsia="en-IN"/>
        </w:rPr>
        <w:drawing>
          <wp:inline distT="0" distB="0" distL="0" distR="0" wp14:anchorId="1525E71E" wp14:editId="2E5C23E6">
            <wp:extent cx="3822700" cy="1582219"/>
            <wp:effectExtent l="0" t="0" r="0" b="5715"/>
            <wp:docPr id="1468819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19067" name=""/>
                    <pic:cNvPicPr/>
                  </pic:nvPicPr>
                  <pic:blipFill rotWithShape="1">
                    <a:blip r:embed="rId35">
                      <a:extLst>
                        <a:ext uri="{28A0092B-C50C-407E-A947-70E740481C1C}">
                          <a14:useLocalDpi xmlns:a14="http://schemas.microsoft.com/office/drawing/2010/main"/>
                        </a:ext>
                      </a:extLst>
                    </a:blip>
                    <a:srcRect/>
                    <a:stretch>
                      <a:fillRect/>
                    </a:stretch>
                  </pic:blipFill>
                  <pic:spPr bwMode="auto">
                    <a:xfrm>
                      <a:off x="0" y="0"/>
                      <a:ext cx="3847012" cy="1592282"/>
                    </a:xfrm>
                    <a:prstGeom prst="rect">
                      <a:avLst/>
                    </a:prstGeom>
                    <a:ln>
                      <a:noFill/>
                    </a:ln>
                    <a:extLst>
                      <a:ext uri="{53640926-AAD7-44D8-BBD7-CCE9431645EC}">
                        <a14:shadowObscured xmlns:a14="http://schemas.microsoft.com/office/drawing/2010/main"/>
                      </a:ext>
                    </a:extLst>
                  </pic:spPr>
                </pic:pic>
              </a:graphicData>
            </a:graphic>
          </wp:inline>
        </w:drawing>
      </w:r>
    </w:p>
    <w:p w14:paraId="0A0844D3" w14:textId="087C20F8" w:rsidR="00F70716" w:rsidRPr="00F70716" w:rsidRDefault="00F70716" w:rsidP="00637E1D">
      <w:pPr>
        <w:spacing w:line="360" w:lineRule="auto"/>
        <w:jc w:val="center"/>
        <w:rPr>
          <w:b/>
          <w:bCs/>
        </w:rPr>
      </w:pPr>
      <w:r>
        <w:rPr>
          <w:b/>
          <w:bCs/>
        </w:rPr>
        <w:t>Figure 22: IRR</w:t>
      </w:r>
    </w:p>
    <w:p w14:paraId="3706845F" w14:textId="12D2D196" w:rsidR="008D47A4" w:rsidRDefault="008D47A4" w:rsidP="00637E1D">
      <w:pPr>
        <w:pStyle w:val="ListParagraph"/>
        <w:numPr>
          <w:ilvl w:val="0"/>
          <w:numId w:val="3"/>
        </w:numPr>
        <w:spacing w:line="360" w:lineRule="auto"/>
      </w:pPr>
      <w:r>
        <w:t>The IRR of Project A is around 5-6%.</w:t>
      </w:r>
    </w:p>
    <w:p w14:paraId="10110795" w14:textId="3CBF27DB" w:rsidR="008D47A4" w:rsidRDefault="008D47A4" w:rsidP="00637E1D">
      <w:pPr>
        <w:pStyle w:val="ListParagraph"/>
        <w:numPr>
          <w:ilvl w:val="0"/>
          <w:numId w:val="3"/>
        </w:numPr>
        <w:spacing w:line="360" w:lineRule="auto"/>
      </w:pPr>
      <w:r>
        <w:t>The IRR of project B is around 8-9%.</w:t>
      </w:r>
    </w:p>
    <w:p w14:paraId="65F21227" w14:textId="64A86551" w:rsidR="008D47A4" w:rsidRDefault="008D47A4" w:rsidP="00637E1D">
      <w:pPr>
        <w:pStyle w:val="ListParagraph"/>
        <w:numPr>
          <w:ilvl w:val="0"/>
          <w:numId w:val="3"/>
        </w:numPr>
        <w:spacing w:line="360" w:lineRule="auto"/>
      </w:pPr>
      <w:r>
        <w:t>The project C IRR is about 7-8%.</w:t>
      </w:r>
    </w:p>
    <w:p w14:paraId="635B0081" w14:textId="798DCC88" w:rsidR="008D47A4" w:rsidRDefault="00ED57D1" w:rsidP="00637E1D">
      <w:pPr>
        <w:spacing w:line="360" w:lineRule="auto"/>
      </w:pPr>
      <w:r w:rsidRPr="00ED57D1">
        <w:t>All projects fall below the 10% cost of capital, leading to rejection under IRR criteria</w:t>
      </w:r>
      <w:r w:rsidR="000574C0">
        <w:t xml:space="preserve">. </w:t>
      </w:r>
      <w:r w:rsidRPr="00ED57D1">
        <w:t xml:space="preserve">Although Project B has the highest IRR, it remains below the 10% hurdle rate. Therefore, ranking by IRR is misleading and does not alter the rejection decision.; however, this does not justify </w:t>
      </w:r>
      <w:r w:rsidRPr="00ED57D1">
        <w:lastRenderedPageBreak/>
        <w:t>acceptance as all IRRs are below the required hurdle rate</w:t>
      </w:r>
      <w:r w:rsidR="008D47A4">
        <w:t xml:space="preserve">. This </w:t>
      </w:r>
      <w:r w:rsidRPr="00ED57D1">
        <w:t>reinforces NPV as the dominant decision criterion in mutually consistent investment appraisal</w:t>
      </w:r>
      <w:r>
        <w:t xml:space="preserve"> </w:t>
      </w:r>
      <w:r w:rsidR="008D47A4">
        <w:t>(Maes et. al., 2022).</w:t>
      </w:r>
    </w:p>
    <w:p w14:paraId="06760AED" w14:textId="77777777" w:rsidR="007D6BB1" w:rsidRDefault="007D6BB1" w:rsidP="00637E1D">
      <w:pPr>
        <w:spacing w:line="360" w:lineRule="auto"/>
      </w:pPr>
    </w:p>
    <w:p w14:paraId="3CE9DDB3" w14:textId="23BE7BCD" w:rsidR="008D47A4" w:rsidRDefault="008D47A4" w:rsidP="00637E1D">
      <w:pPr>
        <w:spacing w:line="360" w:lineRule="auto"/>
        <w:rPr>
          <w:b/>
          <w:bCs/>
          <w:u w:val="single"/>
        </w:rPr>
      </w:pPr>
      <w:r w:rsidRPr="008D47A4">
        <w:rPr>
          <w:b/>
          <w:bCs/>
          <w:u w:val="single"/>
        </w:rPr>
        <w:t>Recommendation (Single Project Decision)</w:t>
      </w:r>
    </w:p>
    <w:p w14:paraId="1FC163B3" w14:textId="1823EB15" w:rsidR="008D47A4" w:rsidRDefault="00ED57D1" w:rsidP="00637E1D">
      <w:pPr>
        <w:spacing w:line="360" w:lineRule="auto"/>
      </w:pPr>
      <w:r w:rsidRPr="00ED57D1">
        <w:t>Based on financial criteria, all three projects should be rejected due to negative NPV and IRR below the cost of capital</w:t>
      </w:r>
      <w:r w:rsidR="008D47A4">
        <w:t>. No one has a positive NPV or the necessary return level.</w:t>
      </w:r>
    </w:p>
    <w:p w14:paraId="6A10DB3B" w14:textId="4FEC8494" w:rsidR="008D47A4" w:rsidRDefault="00ED57D1" w:rsidP="00637E1D">
      <w:pPr>
        <w:spacing w:line="360" w:lineRule="auto"/>
      </w:pPr>
      <w:r w:rsidRPr="00ED57D1">
        <w:t>However, if strategic or operational constraints require investment, Project B is the least value-destructive option due to its smoother cash flow patter</w:t>
      </w:r>
      <w:r w:rsidR="007D6BB1">
        <w:t>n</w:t>
      </w:r>
      <w:r w:rsidR="008D47A4">
        <w:t>. It has the least negative NPV</w:t>
      </w:r>
      <w:r>
        <w:t xml:space="preserve"> and </w:t>
      </w:r>
      <w:r w:rsidR="008D47A4">
        <w:t>gives consistent cash flows. It also decreases liquidity strain in comparison with the alternatives.</w:t>
      </w:r>
    </w:p>
    <w:p w14:paraId="48DEA6F4" w14:textId="77777777" w:rsidR="008D47A4" w:rsidRDefault="008D47A4" w:rsidP="00637E1D">
      <w:pPr>
        <w:spacing w:line="360" w:lineRule="auto"/>
      </w:pPr>
      <w:r>
        <w:t>Project A has a poor value and stability. Project C is a strategic project, but it is inefficient in terms of cost at present.</w:t>
      </w:r>
    </w:p>
    <w:p w14:paraId="4DE279D9" w14:textId="36B40751" w:rsidR="008D47A4" w:rsidRDefault="008D47A4" w:rsidP="00637E1D">
      <w:pPr>
        <w:spacing w:line="360" w:lineRule="auto"/>
      </w:pPr>
      <w:r>
        <w:t xml:space="preserve">Thus, Project B </w:t>
      </w:r>
      <w:r w:rsidR="00ED57D1" w:rsidRPr="00ED57D1">
        <w:t>does not create value but represents the most financially defensible fallback option</w:t>
      </w:r>
      <w:r>
        <w:t>.</w:t>
      </w:r>
    </w:p>
    <w:p w14:paraId="0237D032" w14:textId="77777777" w:rsidR="007D6BB1" w:rsidRDefault="007D6BB1" w:rsidP="00637E1D">
      <w:pPr>
        <w:spacing w:line="360" w:lineRule="auto"/>
      </w:pPr>
    </w:p>
    <w:p w14:paraId="47F454EA" w14:textId="7CA47171" w:rsidR="008D47A4" w:rsidRDefault="008D47A4" w:rsidP="00637E1D">
      <w:pPr>
        <w:spacing w:line="360" w:lineRule="auto"/>
        <w:rPr>
          <w:b/>
          <w:bCs/>
          <w:u w:val="single"/>
        </w:rPr>
      </w:pPr>
      <w:r w:rsidRPr="008D47A4">
        <w:rPr>
          <w:b/>
          <w:bCs/>
          <w:u w:val="single"/>
        </w:rPr>
        <w:t>Link to Financial Performance and Non-Financial Risks</w:t>
      </w:r>
    </w:p>
    <w:p w14:paraId="1EB260B3" w14:textId="77777777" w:rsidR="008D47A4" w:rsidRDefault="008D47A4" w:rsidP="00637E1D">
      <w:pPr>
        <w:spacing w:line="360" w:lineRule="auto"/>
      </w:pPr>
      <w:r>
        <w:t>The falling profitability of Tesla decreases its internal funding capabilities. This puts strain on the efficiency of investments and capital discipline. There is good liquidity, and liquidity will never justify negative-return projects.</w:t>
      </w:r>
    </w:p>
    <w:p w14:paraId="45638576" w14:textId="77777777" w:rsidR="008D47A4" w:rsidRDefault="008D47A4" w:rsidP="00637E1D">
      <w:pPr>
        <w:spacing w:line="360" w:lineRule="auto"/>
      </w:pPr>
      <w:r>
        <w:t>Project B is the most suitable project to engage in liquidity preservation because of consistent inflows. Project C follows the long-term innovation and raises the volatility of the earnings. Project A does not offer good stability and value creation.</w:t>
      </w:r>
    </w:p>
    <w:p w14:paraId="2C1D0DEE" w14:textId="77777777" w:rsidR="008D47A4" w:rsidRDefault="008D47A4" w:rsidP="00637E1D">
      <w:pPr>
        <w:spacing w:line="360" w:lineRule="auto"/>
      </w:pPr>
      <w:r>
        <w:t>There are non-financial risks that are important. Demand may be affected by political risk due to EV subsidies and changes in regulations. Pricing risk is due to competitive pressure from BYD and Volkswagen. This is especially true of Projects A and C in terms of poorer cash timing structures.</w:t>
      </w:r>
    </w:p>
    <w:p w14:paraId="632FD9BC" w14:textId="6C025324" w:rsidR="008D47A4" w:rsidRDefault="008D47A4" w:rsidP="00637E1D">
      <w:pPr>
        <w:spacing w:line="360" w:lineRule="auto"/>
      </w:pPr>
      <w:r>
        <w:t>Tesla</w:t>
      </w:r>
      <w:r w:rsidR="007D6BB1">
        <w:t>’s</w:t>
      </w:r>
      <w:r>
        <w:t xml:space="preserve"> demand is still partially stabilised by customer loyalty. But it does not completely compensate for negative structural returns. Thus, the non-financial aspects enhance risk interpretation but fail to invert reject on financial (</w:t>
      </w:r>
      <w:proofErr w:type="spellStart"/>
      <w:r>
        <w:t>Nurfitriani</w:t>
      </w:r>
      <w:proofErr w:type="spellEnd"/>
      <w:r>
        <w:t xml:space="preserve"> and Latif, 2025).</w:t>
      </w:r>
    </w:p>
    <w:p w14:paraId="19410CFC" w14:textId="77777777" w:rsidR="007D6BB1" w:rsidRDefault="007D6BB1" w:rsidP="00637E1D">
      <w:pPr>
        <w:spacing w:line="360" w:lineRule="auto"/>
      </w:pPr>
    </w:p>
    <w:p w14:paraId="48C775AB" w14:textId="77777777" w:rsidR="007D6BB1" w:rsidRDefault="007D6BB1" w:rsidP="00637E1D">
      <w:pPr>
        <w:spacing w:line="360" w:lineRule="auto"/>
      </w:pPr>
    </w:p>
    <w:p w14:paraId="19AE04D1" w14:textId="25761AAE" w:rsidR="008D47A4" w:rsidRDefault="008D47A4" w:rsidP="00637E1D">
      <w:pPr>
        <w:spacing w:line="360" w:lineRule="auto"/>
        <w:rPr>
          <w:b/>
          <w:bCs/>
          <w:u w:val="single"/>
        </w:rPr>
      </w:pPr>
      <w:r w:rsidRPr="008D47A4">
        <w:rPr>
          <w:b/>
          <w:bCs/>
          <w:u w:val="single"/>
        </w:rPr>
        <w:t>Capital Rationing (£100m Constraint)</w:t>
      </w:r>
    </w:p>
    <w:tbl>
      <w:tblPr>
        <w:tblStyle w:val="GridTable6ColourfulAccent2"/>
        <w:tblW w:w="0" w:type="auto"/>
        <w:jc w:val="center"/>
        <w:tblLook w:val="04A0" w:firstRow="1" w:lastRow="0" w:firstColumn="1" w:lastColumn="0" w:noHBand="0" w:noVBand="1"/>
      </w:tblPr>
      <w:tblGrid>
        <w:gridCol w:w="1563"/>
        <w:gridCol w:w="2510"/>
        <w:gridCol w:w="1856"/>
        <w:gridCol w:w="1056"/>
      </w:tblGrid>
      <w:tr w:rsidR="008D47A4" w:rsidRPr="008D47A4" w14:paraId="3D9C2446" w14:textId="77777777" w:rsidTr="008D47A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F00742" w14:textId="77777777" w:rsidR="008D47A4" w:rsidRPr="008D47A4" w:rsidRDefault="008D47A4" w:rsidP="00637E1D">
            <w:pPr>
              <w:spacing w:after="160" w:line="360" w:lineRule="auto"/>
              <w:jc w:val="center"/>
            </w:pPr>
            <w:r w:rsidRPr="008D47A4">
              <w:t>Combination</w:t>
            </w:r>
          </w:p>
        </w:tc>
        <w:tc>
          <w:tcPr>
            <w:tcW w:w="0" w:type="auto"/>
            <w:hideMark/>
          </w:tcPr>
          <w:p w14:paraId="0F5332DD" w14:textId="77777777" w:rsidR="008D47A4" w:rsidRPr="008D47A4" w:rsidRDefault="008D47A4"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8D47A4">
              <w:t>Total Investment (£m)</w:t>
            </w:r>
          </w:p>
        </w:tc>
        <w:tc>
          <w:tcPr>
            <w:tcW w:w="0" w:type="auto"/>
            <w:hideMark/>
          </w:tcPr>
          <w:p w14:paraId="05D3117E" w14:textId="77777777" w:rsidR="008D47A4" w:rsidRPr="008D47A4" w:rsidRDefault="008D47A4"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8D47A4">
              <w:t>Total NPV (£m)</w:t>
            </w:r>
          </w:p>
        </w:tc>
        <w:tc>
          <w:tcPr>
            <w:tcW w:w="0" w:type="auto"/>
            <w:hideMark/>
          </w:tcPr>
          <w:p w14:paraId="0D52D403" w14:textId="77777777" w:rsidR="008D47A4" w:rsidRPr="008D47A4" w:rsidRDefault="008D47A4" w:rsidP="00637E1D">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8D47A4">
              <w:t>Feasible</w:t>
            </w:r>
          </w:p>
        </w:tc>
      </w:tr>
      <w:tr w:rsidR="008D47A4" w:rsidRPr="008D47A4" w14:paraId="1431E51B" w14:textId="77777777" w:rsidTr="008D47A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285936" w14:textId="77777777" w:rsidR="008D47A4" w:rsidRPr="008D47A4" w:rsidRDefault="008D47A4" w:rsidP="00637E1D">
            <w:pPr>
              <w:spacing w:after="160" w:line="360" w:lineRule="auto"/>
              <w:jc w:val="center"/>
            </w:pPr>
            <w:r w:rsidRPr="008D47A4">
              <w:t>A only</w:t>
            </w:r>
          </w:p>
        </w:tc>
        <w:tc>
          <w:tcPr>
            <w:tcW w:w="0" w:type="auto"/>
            <w:hideMark/>
          </w:tcPr>
          <w:p w14:paraId="68F346E7"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50</w:t>
            </w:r>
          </w:p>
        </w:tc>
        <w:tc>
          <w:tcPr>
            <w:tcW w:w="0" w:type="auto"/>
            <w:hideMark/>
          </w:tcPr>
          <w:p w14:paraId="57F40766"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-14.66</w:t>
            </w:r>
          </w:p>
        </w:tc>
        <w:tc>
          <w:tcPr>
            <w:tcW w:w="0" w:type="auto"/>
            <w:hideMark/>
          </w:tcPr>
          <w:p w14:paraId="47CCBB15"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Yes</w:t>
            </w:r>
          </w:p>
        </w:tc>
      </w:tr>
      <w:tr w:rsidR="008D47A4" w:rsidRPr="008D47A4" w14:paraId="6E5A0EA9" w14:textId="77777777" w:rsidTr="008D47A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2EF36E" w14:textId="77777777" w:rsidR="008D47A4" w:rsidRPr="008D47A4" w:rsidRDefault="008D47A4" w:rsidP="00637E1D">
            <w:pPr>
              <w:spacing w:after="160" w:line="360" w:lineRule="auto"/>
              <w:jc w:val="center"/>
            </w:pPr>
            <w:r w:rsidRPr="008D47A4">
              <w:t>B only</w:t>
            </w:r>
          </w:p>
        </w:tc>
        <w:tc>
          <w:tcPr>
            <w:tcW w:w="0" w:type="auto"/>
            <w:hideMark/>
          </w:tcPr>
          <w:p w14:paraId="793DACC2"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50</w:t>
            </w:r>
          </w:p>
        </w:tc>
        <w:tc>
          <w:tcPr>
            <w:tcW w:w="0" w:type="auto"/>
            <w:hideMark/>
          </w:tcPr>
          <w:p w14:paraId="4E197A99"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-8.04</w:t>
            </w:r>
          </w:p>
        </w:tc>
        <w:tc>
          <w:tcPr>
            <w:tcW w:w="0" w:type="auto"/>
            <w:hideMark/>
          </w:tcPr>
          <w:p w14:paraId="42811D9E"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Yes</w:t>
            </w:r>
          </w:p>
        </w:tc>
      </w:tr>
      <w:tr w:rsidR="008D47A4" w:rsidRPr="008D47A4" w14:paraId="44089CA5" w14:textId="77777777" w:rsidTr="008D47A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F1688D" w14:textId="77777777" w:rsidR="008D47A4" w:rsidRPr="008D47A4" w:rsidRDefault="008D47A4" w:rsidP="00637E1D">
            <w:pPr>
              <w:spacing w:after="160" w:line="360" w:lineRule="auto"/>
              <w:jc w:val="center"/>
            </w:pPr>
            <w:r w:rsidRPr="008D47A4">
              <w:t>C only</w:t>
            </w:r>
          </w:p>
        </w:tc>
        <w:tc>
          <w:tcPr>
            <w:tcW w:w="0" w:type="auto"/>
            <w:hideMark/>
          </w:tcPr>
          <w:p w14:paraId="3B44A624"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50</w:t>
            </w:r>
          </w:p>
        </w:tc>
        <w:tc>
          <w:tcPr>
            <w:tcW w:w="0" w:type="auto"/>
            <w:hideMark/>
          </w:tcPr>
          <w:p w14:paraId="53A68067"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-8.72</w:t>
            </w:r>
          </w:p>
        </w:tc>
        <w:tc>
          <w:tcPr>
            <w:tcW w:w="0" w:type="auto"/>
            <w:hideMark/>
          </w:tcPr>
          <w:p w14:paraId="3598DAA4"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Yes</w:t>
            </w:r>
          </w:p>
        </w:tc>
      </w:tr>
      <w:tr w:rsidR="008D47A4" w:rsidRPr="008D47A4" w14:paraId="3D5C7387" w14:textId="77777777" w:rsidTr="008D47A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6E4255" w14:textId="77777777" w:rsidR="008D47A4" w:rsidRPr="008D47A4" w:rsidRDefault="008D47A4" w:rsidP="00637E1D">
            <w:pPr>
              <w:spacing w:after="160" w:line="360" w:lineRule="auto"/>
              <w:jc w:val="center"/>
            </w:pPr>
            <w:r w:rsidRPr="008D47A4">
              <w:t>A + B</w:t>
            </w:r>
          </w:p>
        </w:tc>
        <w:tc>
          <w:tcPr>
            <w:tcW w:w="0" w:type="auto"/>
            <w:hideMark/>
          </w:tcPr>
          <w:p w14:paraId="35F368EF"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100</w:t>
            </w:r>
          </w:p>
        </w:tc>
        <w:tc>
          <w:tcPr>
            <w:tcW w:w="0" w:type="auto"/>
            <w:hideMark/>
          </w:tcPr>
          <w:p w14:paraId="560D5930"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-22.70</w:t>
            </w:r>
          </w:p>
        </w:tc>
        <w:tc>
          <w:tcPr>
            <w:tcW w:w="0" w:type="auto"/>
            <w:hideMark/>
          </w:tcPr>
          <w:p w14:paraId="59236166"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Yes</w:t>
            </w:r>
          </w:p>
        </w:tc>
      </w:tr>
      <w:tr w:rsidR="008D47A4" w:rsidRPr="008D47A4" w14:paraId="6D9B617E" w14:textId="77777777" w:rsidTr="008D47A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C8C3FB" w14:textId="77777777" w:rsidR="008D47A4" w:rsidRPr="008D47A4" w:rsidRDefault="008D47A4" w:rsidP="00637E1D">
            <w:pPr>
              <w:spacing w:after="160" w:line="360" w:lineRule="auto"/>
              <w:jc w:val="center"/>
            </w:pPr>
            <w:r w:rsidRPr="008D47A4">
              <w:t>A + C</w:t>
            </w:r>
          </w:p>
        </w:tc>
        <w:tc>
          <w:tcPr>
            <w:tcW w:w="0" w:type="auto"/>
            <w:hideMark/>
          </w:tcPr>
          <w:p w14:paraId="17134808"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100</w:t>
            </w:r>
          </w:p>
        </w:tc>
        <w:tc>
          <w:tcPr>
            <w:tcW w:w="0" w:type="auto"/>
            <w:hideMark/>
          </w:tcPr>
          <w:p w14:paraId="59BF1832"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-23.38</w:t>
            </w:r>
          </w:p>
        </w:tc>
        <w:tc>
          <w:tcPr>
            <w:tcW w:w="0" w:type="auto"/>
            <w:hideMark/>
          </w:tcPr>
          <w:p w14:paraId="13102656" w14:textId="77777777" w:rsidR="008D47A4" w:rsidRPr="008D47A4" w:rsidRDefault="008D47A4" w:rsidP="00637E1D">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8D47A4">
              <w:t>Yes</w:t>
            </w:r>
          </w:p>
        </w:tc>
      </w:tr>
      <w:tr w:rsidR="008D47A4" w:rsidRPr="008D47A4" w14:paraId="69A4D09D" w14:textId="77777777" w:rsidTr="008D47A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F81E13" w14:textId="77777777" w:rsidR="008D47A4" w:rsidRPr="008D47A4" w:rsidRDefault="008D47A4" w:rsidP="00637E1D">
            <w:pPr>
              <w:spacing w:after="160" w:line="360" w:lineRule="auto"/>
              <w:jc w:val="center"/>
            </w:pPr>
            <w:r w:rsidRPr="008D47A4">
              <w:t>B + C</w:t>
            </w:r>
          </w:p>
        </w:tc>
        <w:tc>
          <w:tcPr>
            <w:tcW w:w="0" w:type="auto"/>
            <w:hideMark/>
          </w:tcPr>
          <w:p w14:paraId="55A6B01E"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100</w:t>
            </w:r>
          </w:p>
        </w:tc>
        <w:tc>
          <w:tcPr>
            <w:tcW w:w="0" w:type="auto"/>
            <w:hideMark/>
          </w:tcPr>
          <w:p w14:paraId="76BF5A6B"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-16.76</w:t>
            </w:r>
          </w:p>
        </w:tc>
        <w:tc>
          <w:tcPr>
            <w:tcW w:w="0" w:type="auto"/>
            <w:hideMark/>
          </w:tcPr>
          <w:p w14:paraId="25FCADD0" w14:textId="77777777" w:rsidR="008D47A4" w:rsidRPr="008D47A4" w:rsidRDefault="008D47A4" w:rsidP="00637E1D">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8D47A4">
              <w:t>Yes</w:t>
            </w:r>
          </w:p>
        </w:tc>
      </w:tr>
    </w:tbl>
    <w:p w14:paraId="613428FC" w14:textId="77777777" w:rsidR="007D6BB1" w:rsidRDefault="007D6BB1" w:rsidP="00637E1D">
      <w:pPr>
        <w:spacing w:line="360" w:lineRule="auto"/>
      </w:pPr>
    </w:p>
    <w:p w14:paraId="100188D5" w14:textId="26FA08E6" w:rsidR="00ED57D1" w:rsidRDefault="00ED57D1" w:rsidP="00637E1D">
      <w:pPr>
        <w:spacing w:line="360" w:lineRule="auto"/>
      </w:pPr>
      <w:r w:rsidRPr="00ED57D1">
        <w:t>Capital rationing does not change investment quality. It only constrains selection among negative-NPV projects. This indicates a structural investment failure rather than capital scarcity.</w:t>
      </w:r>
    </w:p>
    <w:p w14:paraId="5E85622F" w14:textId="4B261BB3" w:rsidR="008D47A4" w:rsidRDefault="008D47A4" w:rsidP="00637E1D">
      <w:pPr>
        <w:spacing w:line="360" w:lineRule="auto"/>
      </w:pPr>
      <w:r>
        <w:t xml:space="preserve">This indicates </w:t>
      </w:r>
      <w:r w:rsidR="00ED57D1" w:rsidRPr="00ED57D1">
        <w:t>the issue is not capital scarcity, but fundamentally weak investment opportunities.</w:t>
      </w:r>
      <w:r w:rsidR="00ED57D1">
        <w:t xml:space="preserve"> </w:t>
      </w:r>
      <w:r>
        <w:t>Thus, the capital rationing is not value-adding in this situation.</w:t>
      </w:r>
    </w:p>
    <w:p w14:paraId="26BE4434" w14:textId="32F9ACD2" w:rsidR="008D47A4" w:rsidRDefault="008D47A4" w:rsidP="00637E1D">
      <w:pPr>
        <w:spacing w:line="360" w:lineRule="auto"/>
      </w:pPr>
      <w:r>
        <w:t>Project B is the best in constraint conditions since it will minimise the total value destruction.</w:t>
      </w:r>
    </w:p>
    <w:p w14:paraId="2B53981F" w14:textId="77777777" w:rsidR="007D6BB1" w:rsidRDefault="007D6BB1" w:rsidP="00637E1D">
      <w:pPr>
        <w:spacing w:line="360" w:lineRule="auto"/>
        <w:rPr>
          <w:b/>
          <w:bCs/>
          <w:u w:val="single"/>
        </w:rPr>
      </w:pPr>
    </w:p>
    <w:p w14:paraId="390E7FAF" w14:textId="291525B0" w:rsidR="008D47A4" w:rsidRDefault="008D47A4" w:rsidP="00637E1D">
      <w:pPr>
        <w:spacing w:line="360" w:lineRule="auto"/>
        <w:rPr>
          <w:b/>
          <w:bCs/>
          <w:u w:val="single"/>
        </w:rPr>
      </w:pPr>
      <w:r w:rsidRPr="008D47A4">
        <w:rPr>
          <w:b/>
          <w:bCs/>
          <w:u w:val="single"/>
        </w:rPr>
        <w:t>Critical Evaluation</w:t>
      </w:r>
    </w:p>
    <w:p w14:paraId="10071A75" w14:textId="77777777" w:rsidR="008D47A4" w:rsidRDefault="008D47A4" w:rsidP="00637E1D">
      <w:pPr>
        <w:spacing w:line="360" w:lineRule="auto"/>
      </w:pPr>
      <w:r>
        <w:t>This discussion indicates a design flaw in the investment portfolio. There is a failure to attain the necessary return in all projects. This implies over-optimistic prediction or not taking adequate risks in project assessment.</w:t>
      </w:r>
    </w:p>
    <w:p w14:paraId="2A1A515B" w14:textId="77777777" w:rsidR="008D47A4" w:rsidRDefault="008D47A4" w:rsidP="00637E1D">
      <w:pPr>
        <w:spacing w:line="360" w:lineRule="auto"/>
      </w:pPr>
      <w:r>
        <w:t>It captures a wider strategic conflict, as well. Tesla might be focusing more on market growth rather than financial discipline. Although this can help in long-term positioning, it has the risk of raising short-term shareholder value.</w:t>
      </w:r>
    </w:p>
    <w:p w14:paraId="0DB70DB6" w14:textId="4899A8AE" w:rsidR="008D47A4" w:rsidRDefault="008D47A4" w:rsidP="00637E1D">
      <w:pPr>
        <w:spacing w:line="360" w:lineRule="auto"/>
      </w:pPr>
      <w:r>
        <w:t>A CFO should focus on value creation and not volume expansion. Only those projects which are higher than the cost of capital should be accepted.</w:t>
      </w:r>
    </w:p>
    <w:p w14:paraId="0C2CE172" w14:textId="05DC77D1" w:rsidR="008D47A4" w:rsidRDefault="008D47A4" w:rsidP="00637E1D">
      <w:pPr>
        <w:spacing w:line="360" w:lineRule="auto"/>
        <w:rPr>
          <w:b/>
          <w:bCs/>
          <w:u w:val="single"/>
        </w:rPr>
      </w:pPr>
      <w:r w:rsidRPr="008D47A4">
        <w:rPr>
          <w:b/>
          <w:bCs/>
          <w:u w:val="single"/>
        </w:rPr>
        <w:lastRenderedPageBreak/>
        <w:t>Summary</w:t>
      </w:r>
    </w:p>
    <w:p w14:paraId="59DFDF22" w14:textId="1D6A16F2" w:rsidR="008D47A4" w:rsidRDefault="00ED57D1" w:rsidP="00637E1D">
      <w:pPr>
        <w:spacing w:line="360" w:lineRule="auto"/>
      </w:pPr>
      <w:r w:rsidRPr="00ED57D1">
        <w:t>None of the projects meet the required investment threshold of positive NPV and IRR above the cost of capital, indicating value destruction under current assumptions</w:t>
      </w:r>
      <w:r w:rsidR="008D47A4">
        <w:t xml:space="preserve">. </w:t>
      </w:r>
    </w:p>
    <w:p w14:paraId="55BA15C8" w14:textId="3BB04D7E" w:rsidR="008D47A4" w:rsidRDefault="00ED57D1" w:rsidP="00637E1D">
      <w:pPr>
        <w:spacing w:line="360" w:lineRule="auto"/>
      </w:pPr>
      <w:r w:rsidRPr="00ED57D1">
        <w:t>Project B is the least value-destructive option; however, it still fails to meet investment acceptance criteria</w:t>
      </w:r>
      <w:r w:rsidR="008D47A4">
        <w:t xml:space="preserve">. </w:t>
      </w:r>
      <w:r>
        <w:t>H</w:t>
      </w:r>
      <w:r w:rsidR="008D47A4">
        <w:t xml:space="preserve">owever, </w:t>
      </w:r>
      <w:r>
        <w:t xml:space="preserve">it </w:t>
      </w:r>
      <w:r w:rsidR="008D47A4">
        <w:t>does not generate shareholder value.</w:t>
      </w:r>
    </w:p>
    <w:p w14:paraId="2F562DBE" w14:textId="259912E5" w:rsidR="008D47A4" w:rsidRDefault="008D47A4" w:rsidP="00637E1D">
      <w:pPr>
        <w:spacing w:line="360" w:lineRule="auto"/>
      </w:pPr>
      <w:r>
        <w:t xml:space="preserve">Capital rationing </w:t>
      </w:r>
      <w:r w:rsidR="00ED57D1" w:rsidRPr="00ED57D1">
        <w:t>does not improve decision quality in this case, as all projects are fundamentally non-viable</w:t>
      </w:r>
      <w:r>
        <w:t xml:space="preserve">. It </w:t>
      </w:r>
      <w:r w:rsidR="00ED57D1">
        <w:t>only</w:t>
      </w:r>
      <w:r>
        <w:t xml:space="preserve"> spreads the losses of limited investments.</w:t>
      </w:r>
    </w:p>
    <w:p w14:paraId="478245D4" w14:textId="457E6A8C" w:rsidR="005E32D9" w:rsidRDefault="008D47A4" w:rsidP="00637E1D">
      <w:pPr>
        <w:spacing w:line="360" w:lineRule="auto"/>
      </w:pPr>
      <w:r>
        <w:t>In summary, Tesla is advised to re-evaluate its investment assumptions before investing. Those projects that have a positive NPV and an IRR that exceeds the cost of capital should be approved to ensure long-term financial sustainability.</w:t>
      </w:r>
    </w:p>
    <w:p w14:paraId="2A968F59" w14:textId="77777777" w:rsidR="007D6BB1" w:rsidRPr="00CA3BF1" w:rsidRDefault="007D6BB1" w:rsidP="00637E1D">
      <w:pPr>
        <w:spacing w:line="360" w:lineRule="auto"/>
      </w:pPr>
    </w:p>
    <w:p w14:paraId="6BBDBB04" w14:textId="77777777" w:rsidR="005E32D9" w:rsidRPr="005E32D9" w:rsidRDefault="00A3578D" w:rsidP="00637E1D">
      <w:pPr>
        <w:pStyle w:val="Heading1"/>
        <w:spacing w:line="360" w:lineRule="auto"/>
      </w:pPr>
      <w:bookmarkStart w:id="5" w:name="_Toc227676770"/>
      <w:r w:rsidRPr="005E32D9">
        <w:t>6. Conclusion</w:t>
      </w:r>
      <w:bookmarkEnd w:id="5"/>
    </w:p>
    <w:p w14:paraId="68BC82F5" w14:textId="6D7784EB" w:rsidR="005E32D9" w:rsidRDefault="00A3578D" w:rsidP="00637E1D">
      <w:pPr>
        <w:spacing w:line="360" w:lineRule="auto"/>
      </w:pPr>
      <w:r w:rsidRPr="005E32D9">
        <w:t xml:space="preserve">This report has critically analysed the financial status of Tesla Inc. in the past few years. The financial analysis has indicated strong revenue growth, </w:t>
      </w:r>
      <w:r w:rsidR="000C432B" w:rsidRPr="000C432B">
        <w:t>declining profitability and margins</w:t>
      </w:r>
      <w:r w:rsidRPr="005E32D9">
        <w:t xml:space="preserve">. Ratio analysis has also shown a decline in efficiency and pressure on operational performance. Liquidity position has been stable, but has highlighted </w:t>
      </w:r>
      <w:r w:rsidR="000C432B" w:rsidRPr="000C432B">
        <w:t>early signs of constraint</w:t>
      </w:r>
      <w:r w:rsidRPr="005E32D9">
        <w:t xml:space="preserve">. The longer cash conversion cycles and decreased efficiency have been identified in the working capital analysis. Moreover, the inventory has been high even though there is a decreasing automotive demand and rising holding costs. It requires strategic restructuring to enhance its efficiency and investment in innovation. </w:t>
      </w:r>
      <w:r w:rsidR="00140F79" w:rsidRPr="00140F79">
        <w:t>Equity financing and partnerships have reduced risk</w:t>
      </w:r>
      <w:r w:rsidR="00140F79">
        <w:t xml:space="preserve"> </w:t>
      </w:r>
      <w:r w:rsidRPr="005E32D9">
        <w:t xml:space="preserve">but raised dilution issues. The investment appraisal has shown that Project C has created the greatest value. The capital rationing has supported the project selection which has the highest net present value. Financial decisions have </w:t>
      </w:r>
      <w:r w:rsidR="00140F79" w:rsidRPr="00140F79">
        <w:t>supported long-term growth</w:t>
      </w:r>
      <w:r w:rsidRPr="005E32D9">
        <w:t xml:space="preserve">, but have created more risks. Financial pressure has been compounded by external forces like competition, inflation and political changes. Ethical issues in supply chains and AI </w:t>
      </w:r>
      <w:r w:rsidR="00140F79">
        <w:t>development</w:t>
      </w:r>
      <w:r w:rsidRPr="005E32D9">
        <w:t xml:space="preserve"> have been of paramount importance. Overall, Tesla has maintained a strong market position, but it has structural financial challenges. Sustainable growth </w:t>
      </w:r>
      <w:r>
        <w:t>n</w:t>
      </w:r>
      <w:r w:rsidRPr="005E32D9">
        <w:t xml:space="preserve">eeds better cost management, effective capital investment and </w:t>
      </w:r>
      <w:r w:rsidR="000C432B" w:rsidRPr="000C432B">
        <w:t>balanced strategic decisions</w:t>
      </w:r>
      <w:r w:rsidRPr="005E32D9">
        <w:t>.</w:t>
      </w:r>
    </w:p>
    <w:p w14:paraId="22F8F09C" w14:textId="77777777" w:rsidR="005E32D9" w:rsidRDefault="00A3578D" w:rsidP="00637E1D">
      <w:pPr>
        <w:spacing w:line="360" w:lineRule="auto"/>
        <w:jc w:val="left"/>
      </w:pPr>
      <w:r>
        <w:br w:type="page"/>
      </w:r>
    </w:p>
    <w:p w14:paraId="6313AEAD" w14:textId="171D9678" w:rsidR="00BF27AB" w:rsidRDefault="00A3578D" w:rsidP="00BF27AB">
      <w:pPr>
        <w:pStyle w:val="Heading1"/>
      </w:pPr>
      <w:bookmarkStart w:id="6" w:name="_Toc227676771"/>
      <w:r>
        <w:lastRenderedPageBreak/>
        <w:t>References</w:t>
      </w:r>
      <w:bookmarkEnd w:id="6"/>
    </w:p>
    <w:p w14:paraId="556355D4" w14:textId="30EB2730" w:rsidR="001F7390" w:rsidRPr="001F7390" w:rsidRDefault="00AE65F6" w:rsidP="00637E1D">
      <w:pPr>
        <w:spacing w:line="276" w:lineRule="auto"/>
        <w:rPr>
          <w:b/>
          <w:bCs/>
        </w:rPr>
      </w:pPr>
      <w:proofErr w:type="spellStart"/>
      <w:r w:rsidRPr="00BF27AB">
        <w:t>Akpadaka</w:t>
      </w:r>
      <w:proofErr w:type="spellEnd"/>
      <w:r w:rsidRPr="00BF27AB">
        <w:t>, O. and Edeh, P.O., (2024). Impact of Cash Conversion Cycle and Financial Stability on Firm Value. </w:t>
      </w:r>
      <w:r w:rsidRPr="00BF27AB">
        <w:rPr>
          <w:i/>
          <w:iCs/>
        </w:rPr>
        <w:t>Journal of Accounting and Financial Management</w:t>
      </w:r>
      <w:r w:rsidRPr="00BF27AB">
        <w:t>, </w:t>
      </w:r>
      <w:r w:rsidRPr="00BF27AB">
        <w:rPr>
          <w:i/>
          <w:iCs/>
        </w:rPr>
        <w:t>10</w:t>
      </w:r>
      <w:r w:rsidRPr="00BF27AB">
        <w:t>, pp.123-141.</w:t>
      </w:r>
    </w:p>
    <w:p w14:paraId="6346B7B8" w14:textId="5EE095CF" w:rsidR="00AE65F6" w:rsidRPr="00BF27AB" w:rsidRDefault="001F7390" w:rsidP="00637E1D">
      <w:pPr>
        <w:spacing w:line="276" w:lineRule="auto"/>
      </w:pPr>
      <w:hyperlink r:id="rId36" w:history="1">
        <w:r w:rsidRPr="001F7390">
          <w:rPr>
            <w:rStyle w:val="Hyperlink"/>
          </w:rPr>
          <w:t>https://doi.org/10.21070/ups.787</w:t>
        </w:r>
      </w:hyperlink>
    </w:p>
    <w:p w14:paraId="2B02EAD5" w14:textId="300EC06A" w:rsidR="00AE65F6" w:rsidRDefault="00AE65F6" w:rsidP="00637E1D">
      <w:pPr>
        <w:spacing w:line="276" w:lineRule="auto"/>
        <w:rPr>
          <w:color w:val="auto"/>
        </w:rPr>
      </w:pPr>
      <w:r w:rsidRPr="00BF27AB">
        <w:rPr>
          <w:color w:val="auto"/>
        </w:rPr>
        <w:t>Barnabas, B. and Oloyede, J., (2024). Cash flow optimization: Strategies for enhancing short-term liquidity. </w:t>
      </w:r>
      <w:r w:rsidRPr="00BF27AB">
        <w:rPr>
          <w:i/>
          <w:iCs/>
          <w:color w:val="auto"/>
        </w:rPr>
        <w:t>Available at SSRN 5004465</w:t>
      </w:r>
      <w:r w:rsidRPr="00BF27AB">
        <w:rPr>
          <w:color w:val="auto"/>
        </w:rPr>
        <w:t>.</w:t>
      </w:r>
      <w:r w:rsidR="001F7390">
        <w:rPr>
          <w:color w:val="auto"/>
        </w:rPr>
        <w:t xml:space="preserve"> </w:t>
      </w:r>
      <w:hyperlink r:id="rId37" w:history="1">
        <w:r w:rsidR="001F7390" w:rsidRPr="00FE4E59">
          <w:rPr>
            <w:rStyle w:val="Hyperlink"/>
          </w:rPr>
          <w:t>https://dx.doi.org/10.2139/ssrn.5004465</w:t>
        </w:r>
      </w:hyperlink>
    </w:p>
    <w:p w14:paraId="29F7B0D1" w14:textId="3BF3C87D" w:rsidR="00AE65F6" w:rsidRDefault="00AE65F6" w:rsidP="00637E1D">
      <w:pPr>
        <w:spacing w:line="276" w:lineRule="auto"/>
        <w:rPr>
          <w:color w:val="auto"/>
        </w:rPr>
      </w:pPr>
      <w:proofErr w:type="spellStart"/>
      <w:r w:rsidRPr="00BF27AB">
        <w:rPr>
          <w:color w:val="auto"/>
        </w:rPr>
        <w:t>Bessonova</w:t>
      </w:r>
      <w:proofErr w:type="spellEnd"/>
      <w:r w:rsidRPr="00BF27AB">
        <w:rPr>
          <w:color w:val="auto"/>
        </w:rPr>
        <w:t xml:space="preserve">, A., </w:t>
      </w:r>
      <w:proofErr w:type="spellStart"/>
      <w:r w:rsidRPr="00BF27AB">
        <w:rPr>
          <w:color w:val="auto"/>
        </w:rPr>
        <w:t>Bessonova</w:t>
      </w:r>
      <w:proofErr w:type="spellEnd"/>
      <w:r w:rsidRPr="00BF27AB">
        <w:rPr>
          <w:color w:val="auto"/>
        </w:rPr>
        <w:t>, S. and Shevchenko, A., (2024). Optimization of Receivables of an Enterprise as a Tool for Strengthening Financial Efficiency. </w:t>
      </w:r>
      <w:proofErr w:type="spellStart"/>
      <w:r w:rsidRPr="00BF27AB">
        <w:rPr>
          <w:i/>
          <w:iCs/>
          <w:color w:val="auto"/>
        </w:rPr>
        <w:t>Економіка</w:t>
      </w:r>
      <w:proofErr w:type="spellEnd"/>
      <w:r w:rsidRPr="00BF27AB">
        <w:rPr>
          <w:i/>
          <w:iCs/>
          <w:color w:val="auto"/>
        </w:rPr>
        <w:t xml:space="preserve"> </w:t>
      </w:r>
      <w:proofErr w:type="spellStart"/>
      <w:r w:rsidRPr="00BF27AB">
        <w:rPr>
          <w:i/>
          <w:iCs/>
          <w:color w:val="auto"/>
        </w:rPr>
        <w:t>розвитку</w:t>
      </w:r>
      <w:proofErr w:type="spellEnd"/>
      <w:r w:rsidRPr="00BF27AB">
        <w:rPr>
          <w:i/>
          <w:iCs/>
          <w:color w:val="auto"/>
        </w:rPr>
        <w:t xml:space="preserve"> </w:t>
      </w:r>
      <w:proofErr w:type="spellStart"/>
      <w:r w:rsidRPr="00BF27AB">
        <w:rPr>
          <w:i/>
          <w:iCs/>
          <w:color w:val="auto"/>
        </w:rPr>
        <w:t>систем</w:t>
      </w:r>
      <w:proofErr w:type="spellEnd"/>
      <w:r w:rsidRPr="00BF27AB">
        <w:rPr>
          <w:color w:val="auto"/>
        </w:rPr>
        <w:t>, </w:t>
      </w:r>
      <w:r w:rsidRPr="00BF27AB">
        <w:rPr>
          <w:i/>
          <w:iCs/>
          <w:color w:val="auto"/>
        </w:rPr>
        <w:t>6</w:t>
      </w:r>
      <w:r w:rsidRPr="00BF27AB">
        <w:rPr>
          <w:color w:val="auto"/>
        </w:rPr>
        <w:t>(2), pp.146-150.</w:t>
      </w:r>
      <w:r w:rsidR="001F7390">
        <w:rPr>
          <w:color w:val="auto"/>
        </w:rPr>
        <w:t xml:space="preserve"> </w:t>
      </w:r>
      <w:hyperlink r:id="rId38" w:history="1">
        <w:r w:rsidR="001F7390" w:rsidRPr="00FE4E59">
          <w:rPr>
            <w:rStyle w:val="Hyperlink"/>
          </w:rPr>
          <w:t>https://doi.org/10.32782/2707-8019/2024-2-20</w:t>
        </w:r>
      </w:hyperlink>
    </w:p>
    <w:p w14:paraId="1E4707B0" w14:textId="23ACA5F2" w:rsidR="00AE65F6" w:rsidRDefault="00AE65F6" w:rsidP="00637E1D">
      <w:pPr>
        <w:spacing w:line="276" w:lineRule="auto"/>
        <w:rPr>
          <w:color w:val="auto"/>
        </w:rPr>
      </w:pPr>
      <w:r w:rsidRPr="00BF27AB">
        <w:rPr>
          <w:color w:val="auto"/>
        </w:rPr>
        <w:t>Calderon, A.A., (2025). Digital payments and their role in enhancing financial transactions efficiency. </w:t>
      </w:r>
      <w:r w:rsidRPr="00BF27AB">
        <w:rPr>
          <w:i/>
          <w:iCs/>
          <w:color w:val="auto"/>
        </w:rPr>
        <w:t>International Journal of Economics and Financial Issues</w:t>
      </w:r>
      <w:r w:rsidRPr="00BF27AB">
        <w:rPr>
          <w:color w:val="auto"/>
        </w:rPr>
        <w:t>, </w:t>
      </w:r>
      <w:r w:rsidRPr="00BF27AB">
        <w:rPr>
          <w:i/>
          <w:iCs/>
          <w:color w:val="auto"/>
        </w:rPr>
        <w:t>15</w:t>
      </w:r>
      <w:r w:rsidRPr="00BF27AB">
        <w:rPr>
          <w:color w:val="auto"/>
        </w:rPr>
        <w:t>(1), p.182.</w:t>
      </w:r>
      <w:r w:rsidR="001F7390">
        <w:rPr>
          <w:color w:val="auto"/>
        </w:rPr>
        <w:t xml:space="preserve"> </w:t>
      </w:r>
      <w:hyperlink r:id="rId39" w:history="1">
        <w:r w:rsidR="001F7390" w:rsidRPr="00FE4E59">
          <w:rPr>
            <w:rStyle w:val="Hyperlink"/>
          </w:rPr>
          <w:t>https://doi.org/10.32479/ijefi.17555</w:t>
        </w:r>
      </w:hyperlink>
    </w:p>
    <w:p w14:paraId="25FEA289" w14:textId="7ECF87E9" w:rsidR="00AE65F6" w:rsidRDefault="00AE65F6" w:rsidP="00637E1D">
      <w:pPr>
        <w:spacing w:line="276" w:lineRule="auto"/>
        <w:rPr>
          <w:color w:val="auto"/>
        </w:rPr>
      </w:pPr>
      <w:r w:rsidRPr="00BF27AB">
        <w:rPr>
          <w:color w:val="auto"/>
        </w:rPr>
        <w:t>Dai, T., Han, S. and Barrenechea, D.W., (2024). A Research Review of Financial Distress Prediction. </w:t>
      </w:r>
      <w:r w:rsidRPr="00BF27AB">
        <w:rPr>
          <w:i/>
          <w:iCs/>
          <w:color w:val="auto"/>
        </w:rPr>
        <w:t>Journal of Statistics and Economics (ISSN: 3005-5733)</w:t>
      </w:r>
      <w:r w:rsidRPr="00BF27AB">
        <w:rPr>
          <w:color w:val="auto"/>
        </w:rPr>
        <w:t>, </w:t>
      </w:r>
      <w:r w:rsidRPr="00BF27AB">
        <w:rPr>
          <w:i/>
          <w:iCs/>
          <w:color w:val="auto"/>
        </w:rPr>
        <w:t>1</w:t>
      </w:r>
      <w:r w:rsidRPr="00BF27AB">
        <w:rPr>
          <w:color w:val="auto"/>
        </w:rPr>
        <w:t>(3), p.173.</w:t>
      </w:r>
      <w:r w:rsidR="001F7390">
        <w:rPr>
          <w:color w:val="auto"/>
        </w:rPr>
        <w:t xml:space="preserve"> </w:t>
      </w:r>
      <w:hyperlink r:id="rId40" w:history="1">
        <w:r w:rsidR="001F7390" w:rsidRPr="00FE4E59">
          <w:rPr>
            <w:rStyle w:val="Hyperlink"/>
          </w:rPr>
          <w:t>https://doi.org/10.62517/jse.202411323</w:t>
        </w:r>
      </w:hyperlink>
    </w:p>
    <w:p w14:paraId="34AE3311" w14:textId="77777777" w:rsidR="00AE65F6" w:rsidRPr="000C2901" w:rsidRDefault="00AE65F6" w:rsidP="00637E1D">
      <w:pPr>
        <w:spacing w:line="276" w:lineRule="auto"/>
      </w:pPr>
      <w:r w:rsidRPr="000C2901">
        <w:t xml:space="preserve">Fleck, A. (2025). </w:t>
      </w:r>
      <w:r w:rsidRPr="000C2901">
        <w:rPr>
          <w:i/>
          <w:iCs/>
        </w:rPr>
        <w:t>Infographic: Tesla Sales Drop in Europe</w:t>
      </w:r>
      <w:r w:rsidRPr="000C2901">
        <w:t>. [online] Statista Daily Data. Available at: https://www.statista.com/chart/34315/year-on-year-change-in-new-european-tesla-registrations/?srsltid=AfmBOopBZNEXGRVEkPGWF1pUP6VaLf71MzHDc9VNdx8UN9qBjc4C7erk [Accessed 16 Apr. 2026].</w:t>
      </w:r>
    </w:p>
    <w:p w14:paraId="19E9F017" w14:textId="2B14A1C3" w:rsidR="00AE65F6" w:rsidRDefault="00AE65F6" w:rsidP="00637E1D">
      <w:pPr>
        <w:spacing w:line="276" w:lineRule="auto"/>
        <w:rPr>
          <w:color w:val="auto"/>
        </w:rPr>
      </w:pPr>
      <w:proofErr w:type="spellStart"/>
      <w:r w:rsidRPr="00BF27AB">
        <w:rPr>
          <w:color w:val="auto"/>
        </w:rPr>
        <w:t>Folinas</w:t>
      </w:r>
      <w:proofErr w:type="spellEnd"/>
      <w:r w:rsidRPr="00BF27AB">
        <w:rPr>
          <w:color w:val="auto"/>
        </w:rPr>
        <w:t xml:space="preserve">, D., </w:t>
      </w:r>
      <w:proofErr w:type="spellStart"/>
      <w:r w:rsidRPr="00BF27AB">
        <w:rPr>
          <w:color w:val="auto"/>
        </w:rPr>
        <w:t>Aidonis</w:t>
      </w:r>
      <w:proofErr w:type="spellEnd"/>
      <w:r w:rsidRPr="00BF27AB">
        <w:rPr>
          <w:color w:val="auto"/>
        </w:rPr>
        <w:t>, D., Tsolakis, N. and Fotiadis, T., (2025). Just-in-Time and Other Inventory Strategies. </w:t>
      </w:r>
      <w:r w:rsidRPr="00BF27AB">
        <w:rPr>
          <w:i/>
          <w:iCs/>
          <w:color w:val="auto"/>
        </w:rPr>
        <w:t>The Sage Handbook of Industrial Marketing</w:t>
      </w:r>
      <w:r w:rsidRPr="00BF27AB">
        <w:rPr>
          <w:color w:val="auto"/>
        </w:rPr>
        <w:t>, p.228.</w:t>
      </w:r>
      <w:r w:rsidR="001F7390">
        <w:rPr>
          <w:color w:val="auto"/>
        </w:rPr>
        <w:t xml:space="preserve"> </w:t>
      </w:r>
      <w:hyperlink r:id="rId41" w:history="1">
        <w:r w:rsidR="001F7390" w:rsidRPr="00FE4E59">
          <w:rPr>
            <w:rStyle w:val="Hyperlink"/>
          </w:rPr>
          <w:t>https://doi.org/10.4135/9781529781632</w:t>
        </w:r>
      </w:hyperlink>
    </w:p>
    <w:p w14:paraId="3EAC5ED3" w14:textId="1242F206" w:rsidR="00AE65F6" w:rsidRDefault="00AE65F6" w:rsidP="00637E1D">
      <w:pPr>
        <w:spacing w:line="276" w:lineRule="auto"/>
        <w:rPr>
          <w:color w:val="auto"/>
        </w:rPr>
      </w:pPr>
      <w:r w:rsidRPr="00BF27AB">
        <w:rPr>
          <w:color w:val="auto"/>
        </w:rPr>
        <w:t>Gunawan, E., (2023). Liquidity Ratio Analysis in Financing Short Term Liabilities. </w:t>
      </w:r>
      <w:r w:rsidRPr="00BF27AB">
        <w:rPr>
          <w:i/>
          <w:iCs/>
          <w:color w:val="auto"/>
        </w:rPr>
        <w:t>International Journal of Health, Economics, and Social Sciences (IJHESS)</w:t>
      </w:r>
      <w:r w:rsidRPr="00BF27AB">
        <w:rPr>
          <w:color w:val="auto"/>
        </w:rPr>
        <w:t>, </w:t>
      </w:r>
      <w:r w:rsidRPr="00BF27AB">
        <w:rPr>
          <w:i/>
          <w:iCs/>
          <w:color w:val="auto"/>
        </w:rPr>
        <w:t>5</w:t>
      </w:r>
      <w:r w:rsidRPr="00BF27AB">
        <w:rPr>
          <w:color w:val="auto"/>
        </w:rPr>
        <w:t>(2), pp.157-162.</w:t>
      </w:r>
      <w:r w:rsidR="001F7390">
        <w:rPr>
          <w:color w:val="auto"/>
        </w:rPr>
        <w:t xml:space="preserve"> </w:t>
      </w:r>
      <w:hyperlink r:id="rId42" w:history="1">
        <w:r w:rsidR="001F7390" w:rsidRPr="00FE4E59">
          <w:rPr>
            <w:rStyle w:val="Hyperlink"/>
          </w:rPr>
          <w:t>https://doi.org/10.56338/ijhess.v5i2.3611</w:t>
        </w:r>
      </w:hyperlink>
    </w:p>
    <w:p w14:paraId="75BE8E87" w14:textId="00893A65" w:rsidR="00AE65F6" w:rsidRDefault="00AE65F6" w:rsidP="00637E1D">
      <w:pPr>
        <w:spacing w:line="276" w:lineRule="auto"/>
      </w:pPr>
      <w:r w:rsidRPr="00F36D17">
        <w:t xml:space="preserve">Hu, B. and Hong, G., </w:t>
      </w:r>
      <w:r>
        <w:t>(</w:t>
      </w:r>
      <w:r w:rsidRPr="00F36D17">
        <w:t>2023</w:t>
      </w:r>
      <w:r>
        <w:t>)</w:t>
      </w:r>
      <w:r w:rsidRPr="00F36D17">
        <w:t>. Management equity incentives, R&amp;D investment on corporate green innovation. </w:t>
      </w:r>
      <w:r w:rsidRPr="00BF27AB">
        <w:rPr>
          <w:i/>
          <w:iCs/>
        </w:rPr>
        <w:t>Finance Research Letters</w:t>
      </w:r>
      <w:r w:rsidRPr="00F36D17">
        <w:t>, </w:t>
      </w:r>
      <w:r w:rsidRPr="00BF27AB">
        <w:rPr>
          <w:i/>
          <w:iCs/>
        </w:rPr>
        <w:t>58</w:t>
      </w:r>
      <w:r w:rsidRPr="00F36D17">
        <w:t>, p.104533.</w:t>
      </w:r>
      <w:r w:rsidR="001F7390">
        <w:t xml:space="preserve"> </w:t>
      </w:r>
      <w:hyperlink r:id="rId43" w:history="1">
        <w:r w:rsidR="001F7390" w:rsidRPr="00FE4E59">
          <w:rPr>
            <w:rStyle w:val="Hyperlink"/>
          </w:rPr>
          <w:t>https://doi.org/10.1016/j.frl.2023.104533</w:t>
        </w:r>
      </w:hyperlink>
    </w:p>
    <w:p w14:paraId="2A6ED4FE" w14:textId="0777E1BD" w:rsidR="00AE65F6" w:rsidRDefault="00AE65F6" w:rsidP="00637E1D">
      <w:pPr>
        <w:spacing w:line="276" w:lineRule="auto"/>
        <w:rPr>
          <w:color w:val="auto"/>
        </w:rPr>
      </w:pPr>
      <w:r w:rsidRPr="00BF27AB">
        <w:rPr>
          <w:color w:val="auto"/>
        </w:rPr>
        <w:t>Hu, C., Li, Y. and Zheng, X., (2022). Data assets, information uses, and operational efficiency. </w:t>
      </w:r>
      <w:r w:rsidRPr="00BF27AB">
        <w:rPr>
          <w:i/>
          <w:iCs/>
          <w:color w:val="auto"/>
        </w:rPr>
        <w:t>Applied Economics</w:t>
      </w:r>
      <w:r w:rsidRPr="00BF27AB">
        <w:rPr>
          <w:color w:val="auto"/>
        </w:rPr>
        <w:t>, </w:t>
      </w:r>
      <w:r w:rsidRPr="00BF27AB">
        <w:rPr>
          <w:i/>
          <w:iCs/>
          <w:color w:val="auto"/>
        </w:rPr>
        <w:t>54</w:t>
      </w:r>
      <w:r w:rsidRPr="00BF27AB">
        <w:rPr>
          <w:color w:val="auto"/>
        </w:rPr>
        <w:t>(60), pp.6887-6900.</w:t>
      </w:r>
      <w:r w:rsidR="00D77A4F">
        <w:rPr>
          <w:color w:val="auto"/>
        </w:rPr>
        <w:t xml:space="preserve"> </w:t>
      </w:r>
      <w:hyperlink r:id="rId44" w:history="1">
        <w:r w:rsidR="00D77A4F" w:rsidRPr="00FE4E59">
          <w:rPr>
            <w:rStyle w:val="Hyperlink"/>
          </w:rPr>
          <w:t>https://doi.org/10.1080/00036846.2022.2084021</w:t>
        </w:r>
      </w:hyperlink>
    </w:p>
    <w:p w14:paraId="78EDE92A" w14:textId="464F8B44" w:rsidR="00AE65F6" w:rsidRDefault="00AE65F6" w:rsidP="00637E1D">
      <w:pPr>
        <w:spacing w:line="276" w:lineRule="auto"/>
      </w:pPr>
      <w:r w:rsidRPr="008348B8">
        <w:t xml:space="preserve">Huang, J., Tong, J., Wang, P. and Zheng, X., </w:t>
      </w:r>
      <w:r>
        <w:t>(</w:t>
      </w:r>
      <w:r w:rsidRPr="008348B8">
        <w:t>2022</w:t>
      </w:r>
      <w:r>
        <w:t>)</w:t>
      </w:r>
      <w:r w:rsidRPr="008348B8">
        <w:t>, March. Application and comparison of NPV and IRR methods in the company investment decision. In </w:t>
      </w:r>
      <w:r w:rsidRPr="00BF27AB">
        <w:rPr>
          <w:i/>
          <w:iCs/>
        </w:rPr>
        <w:t>2022 7th International Conference on Financial Innovation and Economic Development (ICFIED 2022)</w:t>
      </w:r>
      <w:r w:rsidRPr="008348B8">
        <w:t> (pp. 71-78). Atlantis Press.</w:t>
      </w:r>
      <w:r w:rsidR="00D77A4F">
        <w:t xml:space="preserve"> </w:t>
      </w:r>
      <w:hyperlink r:id="rId45" w:history="1">
        <w:r w:rsidR="00D77A4F" w:rsidRPr="00FE4E59">
          <w:rPr>
            <w:rStyle w:val="Hyperlink"/>
          </w:rPr>
          <w:t>https://doi.org/10.2991/aebmr.k.220307.012</w:t>
        </w:r>
      </w:hyperlink>
    </w:p>
    <w:p w14:paraId="5A16E8BE" w14:textId="417CFE43" w:rsidR="00AE65F6" w:rsidRDefault="00AE65F6" w:rsidP="00637E1D">
      <w:pPr>
        <w:spacing w:line="276" w:lineRule="auto"/>
      </w:pPr>
      <w:proofErr w:type="spellStart"/>
      <w:r w:rsidRPr="005E6B2A">
        <w:lastRenderedPageBreak/>
        <w:t>Jerab</w:t>
      </w:r>
      <w:proofErr w:type="spellEnd"/>
      <w:r w:rsidRPr="005E6B2A">
        <w:t xml:space="preserve">, D. and Mabrouk, T., </w:t>
      </w:r>
      <w:r>
        <w:t>(</w:t>
      </w:r>
      <w:r w:rsidRPr="005E6B2A">
        <w:t>2023</w:t>
      </w:r>
      <w:r>
        <w:t>)</w:t>
      </w:r>
      <w:r w:rsidRPr="005E6B2A">
        <w:t>. Strategies for effective organizational restructuring: A comprehensive guide. </w:t>
      </w:r>
      <w:r w:rsidRPr="00BF27AB">
        <w:rPr>
          <w:i/>
          <w:iCs/>
        </w:rPr>
        <w:t>Available at SSRN 4584665</w:t>
      </w:r>
      <w:r w:rsidRPr="005E6B2A">
        <w:t>.</w:t>
      </w:r>
      <w:r w:rsidR="00D77A4F">
        <w:t xml:space="preserve"> </w:t>
      </w:r>
      <w:hyperlink r:id="rId46" w:history="1">
        <w:r w:rsidR="00D77A4F" w:rsidRPr="00FE4E59">
          <w:rPr>
            <w:rStyle w:val="Hyperlink"/>
          </w:rPr>
          <w:t>https://doi.org/10.2139/ssrn.4584665</w:t>
        </w:r>
      </w:hyperlink>
    </w:p>
    <w:p w14:paraId="3BEB9DDC" w14:textId="41A57FF0" w:rsidR="00AE65F6" w:rsidRDefault="00AE65F6" w:rsidP="00637E1D">
      <w:pPr>
        <w:spacing w:line="276" w:lineRule="auto"/>
      </w:pPr>
      <w:r w:rsidRPr="008348B8">
        <w:t xml:space="preserve">Kamila, M.K. and </w:t>
      </w:r>
      <w:proofErr w:type="spellStart"/>
      <w:r w:rsidRPr="008348B8">
        <w:t>Jasrotia</w:t>
      </w:r>
      <w:proofErr w:type="spellEnd"/>
      <w:r w:rsidRPr="008348B8">
        <w:t xml:space="preserve">, S.S., </w:t>
      </w:r>
      <w:r>
        <w:t>(</w:t>
      </w:r>
      <w:r w:rsidRPr="008348B8">
        <w:t>2025</w:t>
      </w:r>
      <w:r>
        <w:t>)</w:t>
      </w:r>
      <w:r w:rsidRPr="008348B8">
        <w:t>. Ethical issues in the development of artificial intelligence: recognizing the risks. </w:t>
      </w:r>
      <w:r w:rsidRPr="00BF27AB">
        <w:rPr>
          <w:i/>
          <w:iCs/>
        </w:rPr>
        <w:t>International Journal of Ethics and Systems</w:t>
      </w:r>
      <w:r w:rsidRPr="008348B8">
        <w:t>, </w:t>
      </w:r>
      <w:r w:rsidRPr="00BF27AB">
        <w:rPr>
          <w:i/>
          <w:iCs/>
        </w:rPr>
        <w:t>41</w:t>
      </w:r>
      <w:r w:rsidRPr="008348B8">
        <w:t>(1), pp.45-63.</w:t>
      </w:r>
      <w:r w:rsidR="00D77A4F">
        <w:t xml:space="preserve"> </w:t>
      </w:r>
      <w:hyperlink r:id="rId47" w:history="1">
        <w:r w:rsidR="00D77A4F" w:rsidRPr="00FE4E59">
          <w:rPr>
            <w:rStyle w:val="Hyperlink"/>
          </w:rPr>
          <w:t>https://doi.org/10.1108/ijoes-05-2023-0107</w:t>
        </w:r>
      </w:hyperlink>
    </w:p>
    <w:p w14:paraId="5913DCC8" w14:textId="4698D961" w:rsidR="00AE65F6" w:rsidRDefault="00AE65F6" w:rsidP="00637E1D">
      <w:pPr>
        <w:spacing w:line="276" w:lineRule="auto"/>
        <w:rPr>
          <w:color w:val="auto"/>
        </w:rPr>
      </w:pPr>
      <w:r w:rsidRPr="00BF27AB">
        <w:rPr>
          <w:color w:val="auto"/>
        </w:rPr>
        <w:t>Kostyna, V., (2025). THE IMPACT OF INVESTMENT STRATEGIES ON LONG-TERM FINANCIAL STABILITY. </w:t>
      </w:r>
      <w:r w:rsidRPr="00BF27AB">
        <w:rPr>
          <w:i/>
          <w:iCs/>
          <w:color w:val="auto"/>
        </w:rPr>
        <w:t>Collection of scientific papers «SCIENTIA»</w:t>
      </w:r>
      <w:r w:rsidRPr="00BF27AB">
        <w:rPr>
          <w:color w:val="auto"/>
        </w:rPr>
        <w:t>, (October 3, 2025; Berlin, Germany), pp.35-42.</w:t>
      </w:r>
      <w:r w:rsidR="00D77A4F">
        <w:rPr>
          <w:color w:val="auto"/>
        </w:rPr>
        <w:t xml:space="preserve"> </w:t>
      </w:r>
      <w:hyperlink r:id="rId48" w:history="1">
        <w:r w:rsidR="00D77A4F" w:rsidRPr="00FE4E59">
          <w:rPr>
            <w:rStyle w:val="Hyperlink"/>
          </w:rPr>
          <w:t>https://doi.org/10.1186/s40854-023-00573-4</w:t>
        </w:r>
      </w:hyperlink>
    </w:p>
    <w:p w14:paraId="6A09D905" w14:textId="4B86794F" w:rsidR="00AE65F6" w:rsidRDefault="00AE65F6" w:rsidP="00637E1D">
      <w:pPr>
        <w:spacing w:line="276" w:lineRule="auto"/>
      </w:pPr>
      <w:r w:rsidRPr="00F36D17">
        <w:t xml:space="preserve">Lubis, N.W., </w:t>
      </w:r>
      <w:r>
        <w:t>(</w:t>
      </w:r>
      <w:r w:rsidRPr="00F36D17">
        <w:t>2022</w:t>
      </w:r>
      <w:r>
        <w:t>)</w:t>
      </w:r>
      <w:r w:rsidRPr="00F36D17">
        <w:t>. Resource based view (RBV) in improving company strategic capacity. </w:t>
      </w:r>
      <w:r w:rsidRPr="00BF27AB">
        <w:rPr>
          <w:i/>
          <w:iCs/>
        </w:rPr>
        <w:t>Research Horizon</w:t>
      </w:r>
      <w:r w:rsidRPr="00F36D17">
        <w:t>, </w:t>
      </w:r>
      <w:r w:rsidRPr="00BF27AB">
        <w:rPr>
          <w:i/>
          <w:iCs/>
        </w:rPr>
        <w:t>2</w:t>
      </w:r>
      <w:r w:rsidRPr="00F36D17">
        <w:t>(6), pp.587-596.</w:t>
      </w:r>
      <w:r w:rsidR="00D77A4F">
        <w:t xml:space="preserve"> </w:t>
      </w:r>
      <w:hyperlink r:id="rId49" w:history="1">
        <w:r w:rsidR="00D77A4F" w:rsidRPr="00FE4E59">
          <w:rPr>
            <w:rStyle w:val="Hyperlink"/>
          </w:rPr>
          <w:t>https://doi.org/10.54518/rh.2.6.2022.587-596</w:t>
        </w:r>
      </w:hyperlink>
    </w:p>
    <w:p w14:paraId="16D77208" w14:textId="58761D68" w:rsidR="00AE65F6" w:rsidRDefault="00AE65F6" w:rsidP="00637E1D">
      <w:pPr>
        <w:spacing w:line="276" w:lineRule="auto"/>
      </w:pPr>
      <w:r w:rsidRPr="008348B8">
        <w:t xml:space="preserve">Maes, T., Gebhardt, K. and Riel, A., </w:t>
      </w:r>
      <w:r>
        <w:t>(</w:t>
      </w:r>
      <w:r w:rsidRPr="008348B8">
        <w:t>2022</w:t>
      </w:r>
      <w:r>
        <w:t>)</w:t>
      </w:r>
      <w:r w:rsidRPr="008348B8">
        <w:t>. The relationship between uncertainty and task execution strategies in project management. </w:t>
      </w:r>
      <w:r w:rsidRPr="00BF27AB">
        <w:rPr>
          <w:i/>
          <w:iCs/>
        </w:rPr>
        <w:t>Project Management Journal</w:t>
      </w:r>
      <w:r w:rsidRPr="008348B8">
        <w:t>, </w:t>
      </w:r>
      <w:r w:rsidRPr="00BF27AB">
        <w:rPr>
          <w:i/>
          <w:iCs/>
        </w:rPr>
        <w:t>53</w:t>
      </w:r>
      <w:r w:rsidRPr="008348B8">
        <w:t>(4), pp.382-396.</w:t>
      </w:r>
      <w:r w:rsidR="00D77A4F">
        <w:t xml:space="preserve"> </w:t>
      </w:r>
      <w:hyperlink r:id="rId50" w:history="1">
        <w:r w:rsidR="00D54E2F" w:rsidRPr="00FE4E59">
          <w:rPr>
            <w:rStyle w:val="Hyperlink"/>
          </w:rPr>
          <w:t>https://doi.org/10.1177/87569728221089831</w:t>
        </w:r>
      </w:hyperlink>
    </w:p>
    <w:p w14:paraId="623E4EE2" w14:textId="12F64582" w:rsidR="00AE65F6" w:rsidRDefault="00AE65F6" w:rsidP="00637E1D">
      <w:pPr>
        <w:spacing w:line="276" w:lineRule="auto"/>
      </w:pPr>
      <w:r w:rsidRPr="00F36D17">
        <w:t xml:space="preserve">Morin, S.L., </w:t>
      </w:r>
      <w:r>
        <w:t>(</w:t>
      </w:r>
      <w:r w:rsidRPr="00F36D17">
        <w:t>2024</w:t>
      </w:r>
      <w:r>
        <w:t>)</w:t>
      </w:r>
      <w:r w:rsidRPr="00F36D17">
        <w:t>. The financial trap of short-term focus eroding long-term value in financial management: a theoretical analysis. </w:t>
      </w:r>
      <w:r w:rsidRPr="00BF27AB">
        <w:rPr>
          <w:i/>
          <w:iCs/>
        </w:rPr>
        <w:t>Financial Markets, Institutions and Risks</w:t>
      </w:r>
      <w:r w:rsidRPr="00F36D17">
        <w:t>, </w:t>
      </w:r>
      <w:r w:rsidRPr="00BF27AB">
        <w:rPr>
          <w:i/>
          <w:iCs/>
        </w:rPr>
        <w:t>8</w:t>
      </w:r>
      <w:r w:rsidRPr="00F36D17">
        <w:t>(4), pp.148-162.</w:t>
      </w:r>
      <w:r w:rsidR="00D77A4F">
        <w:t xml:space="preserve"> </w:t>
      </w:r>
      <w:hyperlink r:id="rId51" w:history="1">
        <w:r w:rsidR="00D77A4F" w:rsidRPr="00FE4E59">
          <w:rPr>
            <w:rStyle w:val="Hyperlink"/>
          </w:rPr>
          <w:t>https://doi.org/10.61093/fmir.8(4).148-162.2024</w:t>
        </w:r>
      </w:hyperlink>
    </w:p>
    <w:p w14:paraId="0B6513DD" w14:textId="39F1B46B" w:rsidR="00AE65F6" w:rsidRDefault="00AE65F6" w:rsidP="00637E1D">
      <w:pPr>
        <w:spacing w:line="276" w:lineRule="auto"/>
      </w:pPr>
      <w:r w:rsidRPr="00F36D17">
        <w:t xml:space="preserve">Namazi, M. and Rezaei, G., </w:t>
      </w:r>
      <w:r>
        <w:t>(</w:t>
      </w:r>
      <w:r w:rsidRPr="00F36D17">
        <w:t>2024</w:t>
      </w:r>
      <w:r>
        <w:t>)</w:t>
      </w:r>
      <w:r w:rsidRPr="00F36D17">
        <w:t>, April. Modelling the role of strategic planning, strategic management accounting information system, and psychological factors on the budgetary slack. In </w:t>
      </w:r>
      <w:r w:rsidRPr="00BF27AB">
        <w:rPr>
          <w:i/>
          <w:iCs/>
        </w:rPr>
        <w:t>Accounting Forum</w:t>
      </w:r>
      <w:r w:rsidRPr="00F36D17">
        <w:t> (Vol. 48, No. 2, pp. 279-306). Routledge.</w:t>
      </w:r>
      <w:r w:rsidR="00D77A4F">
        <w:t xml:space="preserve"> </w:t>
      </w:r>
      <w:hyperlink r:id="rId52" w:history="1">
        <w:r w:rsidR="00D77A4F" w:rsidRPr="00FE4E59">
          <w:rPr>
            <w:rStyle w:val="Hyperlink"/>
          </w:rPr>
          <w:t>https://doi.org/10.1080/01559982.2022.2163040</w:t>
        </w:r>
      </w:hyperlink>
    </w:p>
    <w:p w14:paraId="3FB7BE02" w14:textId="3AB8C5C2" w:rsidR="00AE65F6" w:rsidRDefault="00AE65F6" w:rsidP="00637E1D">
      <w:pPr>
        <w:spacing w:line="276" w:lineRule="auto"/>
        <w:rPr>
          <w:color w:val="auto"/>
        </w:rPr>
      </w:pPr>
      <w:r w:rsidRPr="00BF27AB">
        <w:rPr>
          <w:color w:val="auto"/>
        </w:rPr>
        <w:t xml:space="preserve">Nasution, Y.A. and </w:t>
      </w:r>
      <w:proofErr w:type="spellStart"/>
      <w:r w:rsidRPr="00BF27AB">
        <w:rPr>
          <w:color w:val="auto"/>
        </w:rPr>
        <w:t>Yusleny</w:t>
      </w:r>
      <w:proofErr w:type="spellEnd"/>
      <w:r w:rsidRPr="00BF27AB">
        <w:rPr>
          <w:color w:val="auto"/>
        </w:rPr>
        <w:t>, Y., (2023), February. Financial Performance Measurement Using Profitability Ratios And Liquidity Ratios. In </w:t>
      </w:r>
      <w:r w:rsidRPr="00BF27AB">
        <w:rPr>
          <w:i/>
          <w:iCs/>
          <w:color w:val="auto"/>
        </w:rPr>
        <w:t>Proceeding Medan International Conference on Economic and Business</w:t>
      </w:r>
      <w:r w:rsidRPr="00BF27AB">
        <w:rPr>
          <w:color w:val="auto"/>
        </w:rPr>
        <w:t> (Vol. 1, pp. 1730-1741).</w:t>
      </w:r>
      <w:r w:rsidR="00D77A4F">
        <w:rPr>
          <w:color w:val="auto"/>
        </w:rPr>
        <w:t xml:space="preserve"> </w:t>
      </w:r>
      <w:hyperlink r:id="rId53" w:history="1">
        <w:r w:rsidR="00D77A4F" w:rsidRPr="00FE4E59">
          <w:rPr>
            <w:rStyle w:val="Hyperlink"/>
          </w:rPr>
          <w:t>https://doi.org/10.59890/ijist.v3i1.194</w:t>
        </w:r>
      </w:hyperlink>
    </w:p>
    <w:p w14:paraId="07011976" w14:textId="3C75D3CC" w:rsidR="00AE65F6" w:rsidRDefault="00AE65F6" w:rsidP="00637E1D">
      <w:pPr>
        <w:spacing w:line="276" w:lineRule="auto"/>
      </w:pPr>
      <w:proofErr w:type="spellStart"/>
      <w:r w:rsidRPr="00BF27AB">
        <w:t>Nurfitriani</w:t>
      </w:r>
      <w:proofErr w:type="spellEnd"/>
      <w:r w:rsidRPr="00BF27AB">
        <w:t xml:space="preserve">, N. and Latif, I.N., </w:t>
      </w:r>
      <w:r>
        <w:t>(</w:t>
      </w:r>
      <w:r w:rsidRPr="00BF27AB">
        <w:t>2025</w:t>
      </w:r>
      <w:r>
        <w:t>)</w:t>
      </w:r>
      <w:r w:rsidRPr="00BF27AB">
        <w:t>. Sustainable Capital Budgeting: Assessing Long-Term Effects Beyond Profitability. </w:t>
      </w:r>
      <w:r w:rsidRPr="00BF27AB">
        <w:rPr>
          <w:i/>
          <w:iCs/>
        </w:rPr>
        <w:t>JASF: Journal of Accounting and Strategic Finance</w:t>
      </w:r>
      <w:r w:rsidRPr="00BF27AB">
        <w:t>, </w:t>
      </w:r>
      <w:r w:rsidRPr="00BF27AB">
        <w:rPr>
          <w:i/>
          <w:iCs/>
        </w:rPr>
        <w:t>8</w:t>
      </w:r>
      <w:r w:rsidRPr="00BF27AB">
        <w:t>(1), pp.133-151.</w:t>
      </w:r>
      <w:r w:rsidR="00D54E2F">
        <w:t xml:space="preserve"> </w:t>
      </w:r>
      <w:hyperlink r:id="rId54" w:history="1">
        <w:r w:rsidR="00D54E2F" w:rsidRPr="00FE4E59">
          <w:rPr>
            <w:rStyle w:val="Hyperlink"/>
          </w:rPr>
          <w:t>https://doi.org/10.33005/jasf.v8i1.581</w:t>
        </w:r>
      </w:hyperlink>
    </w:p>
    <w:p w14:paraId="503A8953" w14:textId="7884CF68" w:rsidR="00AE65F6" w:rsidRDefault="00AE65F6" w:rsidP="00637E1D">
      <w:pPr>
        <w:spacing w:line="276" w:lineRule="auto"/>
        <w:rPr>
          <w:color w:val="auto"/>
        </w:rPr>
      </w:pPr>
      <w:proofErr w:type="spellStart"/>
      <w:r w:rsidRPr="00BF27AB">
        <w:rPr>
          <w:color w:val="auto"/>
        </w:rPr>
        <w:t>Oganda</w:t>
      </w:r>
      <w:proofErr w:type="spellEnd"/>
      <w:r w:rsidRPr="00BF27AB">
        <w:rPr>
          <w:color w:val="auto"/>
        </w:rPr>
        <w:t>, A., (2023). Equity financing and firm value; Short run and long run dynamics: A generalized method of moments approach. </w:t>
      </w:r>
      <w:r w:rsidRPr="00BF27AB">
        <w:rPr>
          <w:i/>
          <w:iCs/>
          <w:color w:val="auto"/>
        </w:rPr>
        <w:t>International Journal of Economics</w:t>
      </w:r>
      <w:r w:rsidRPr="00BF27AB">
        <w:rPr>
          <w:color w:val="auto"/>
        </w:rPr>
        <w:t>, </w:t>
      </w:r>
      <w:r w:rsidRPr="00BF27AB">
        <w:rPr>
          <w:i/>
          <w:iCs/>
          <w:color w:val="auto"/>
        </w:rPr>
        <w:t>8</w:t>
      </w:r>
      <w:r w:rsidRPr="00BF27AB">
        <w:rPr>
          <w:color w:val="auto"/>
        </w:rPr>
        <w:t>(1), pp.56-84.</w:t>
      </w:r>
      <w:r w:rsidR="00D54E2F">
        <w:rPr>
          <w:color w:val="auto"/>
        </w:rPr>
        <w:t xml:space="preserve"> </w:t>
      </w:r>
      <w:hyperlink r:id="rId55" w:history="1">
        <w:r w:rsidR="00D54E2F" w:rsidRPr="00FE4E59">
          <w:rPr>
            <w:rStyle w:val="Hyperlink"/>
          </w:rPr>
          <w:t>https://doi.org/10.47604/ijecon.1942</w:t>
        </w:r>
      </w:hyperlink>
    </w:p>
    <w:p w14:paraId="70B31D9A" w14:textId="42645534" w:rsidR="00AE65F6" w:rsidRDefault="00AE65F6" w:rsidP="00637E1D">
      <w:pPr>
        <w:spacing w:line="276" w:lineRule="auto"/>
      </w:pPr>
      <w:r w:rsidRPr="008348B8">
        <w:t xml:space="preserve">Ogunbiyi, J.O., </w:t>
      </w:r>
      <w:r>
        <w:t>(</w:t>
      </w:r>
      <w:r w:rsidRPr="008348B8">
        <w:t>2023</w:t>
      </w:r>
      <w:r>
        <w:t>)</w:t>
      </w:r>
      <w:r w:rsidRPr="008348B8">
        <w:t>. Practical Demonstrations of the Use of Select Property Investment Viability Appraisal Models: Net Present Value, Profitability Index and Net Terminal Value. </w:t>
      </w:r>
      <w:r w:rsidRPr="00BF27AB">
        <w:rPr>
          <w:i/>
          <w:iCs/>
        </w:rPr>
        <w:t xml:space="preserve">Urban Economics &amp; Regional Studies </w:t>
      </w:r>
      <w:proofErr w:type="spellStart"/>
      <w:r w:rsidRPr="00BF27AB">
        <w:rPr>
          <w:i/>
          <w:iCs/>
        </w:rPr>
        <w:t>eJournal</w:t>
      </w:r>
      <w:proofErr w:type="spellEnd"/>
      <w:r w:rsidRPr="008348B8">
        <w:t>, </w:t>
      </w:r>
      <w:r w:rsidRPr="00BF27AB">
        <w:rPr>
          <w:i/>
          <w:iCs/>
        </w:rPr>
        <w:t>16</w:t>
      </w:r>
      <w:r w:rsidRPr="008348B8">
        <w:t>(82).</w:t>
      </w:r>
      <w:r w:rsidR="00D54E2F">
        <w:t xml:space="preserve"> </w:t>
      </w:r>
      <w:hyperlink r:id="rId56" w:history="1">
        <w:r w:rsidR="00D54E2F" w:rsidRPr="00FE4E59">
          <w:rPr>
            <w:rStyle w:val="Hyperlink"/>
          </w:rPr>
          <w:t>https://doi.org/10.2139/ssrn.4459379</w:t>
        </w:r>
      </w:hyperlink>
    </w:p>
    <w:p w14:paraId="22837EBB" w14:textId="4FD8D30A" w:rsidR="00AE65F6" w:rsidRDefault="00AE65F6" w:rsidP="00637E1D">
      <w:pPr>
        <w:spacing w:line="276" w:lineRule="auto"/>
      </w:pPr>
      <w:r w:rsidRPr="00D25F46">
        <w:t xml:space="preserve">Olayinka, A.A., </w:t>
      </w:r>
      <w:r>
        <w:t>(</w:t>
      </w:r>
      <w:r w:rsidRPr="00D25F46">
        <w:t>2022</w:t>
      </w:r>
      <w:r>
        <w:t>)</w:t>
      </w:r>
      <w:r w:rsidRPr="00D25F46">
        <w:t>. Financial statement analysis as a tool for investment decisions and assessment of companies’ performance. </w:t>
      </w:r>
      <w:r w:rsidRPr="00BF27AB">
        <w:rPr>
          <w:i/>
          <w:iCs/>
        </w:rPr>
        <w:t>International Journal of Financial, Accounting, and Management</w:t>
      </w:r>
      <w:r w:rsidRPr="00D25F46">
        <w:t>, </w:t>
      </w:r>
      <w:r w:rsidRPr="00BF27AB">
        <w:rPr>
          <w:i/>
          <w:iCs/>
        </w:rPr>
        <w:t>4</w:t>
      </w:r>
      <w:r w:rsidRPr="00D25F46">
        <w:t>(1), pp.49-66.</w:t>
      </w:r>
      <w:r w:rsidR="00D54E2F">
        <w:t xml:space="preserve"> </w:t>
      </w:r>
      <w:hyperlink r:id="rId57" w:history="1">
        <w:r w:rsidR="00D54E2F" w:rsidRPr="00FE4E59">
          <w:rPr>
            <w:rStyle w:val="Hyperlink"/>
          </w:rPr>
          <w:t>https://doi.org/10.35912/ijfam.v4i1.852</w:t>
        </w:r>
      </w:hyperlink>
    </w:p>
    <w:p w14:paraId="29A1810F" w14:textId="6A8BFC21" w:rsidR="00AE65F6" w:rsidRDefault="00AE65F6" w:rsidP="00637E1D">
      <w:pPr>
        <w:spacing w:line="276" w:lineRule="auto"/>
        <w:rPr>
          <w:color w:val="auto"/>
        </w:rPr>
      </w:pPr>
      <w:r w:rsidRPr="00BF27AB">
        <w:rPr>
          <w:color w:val="auto"/>
        </w:rPr>
        <w:t>Qadir, A., (2025). Cleaner Operations, Bigger Profits: A Study of Tesla's Strategic Integration of Environmental Services and Financial Success. </w:t>
      </w:r>
      <w:r w:rsidRPr="00BF27AB">
        <w:rPr>
          <w:i/>
          <w:iCs/>
          <w:color w:val="auto"/>
        </w:rPr>
        <w:t xml:space="preserve">Bigger Profits: A Study of Tesla's Strategic </w:t>
      </w:r>
      <w:r w:rsidRPr="00BF27AB">
        <w:rPr>
          <w:i/>
          <w:iCs/>
          <w:color w:val="auto"/>
        </w:rPr>
        <w:lastRenderedPageBreak/>
        <w:t>Integration of Environmental Services and Financial Success (January 12, 2025)</w:t>
      </w:r>
      <w:r w:rsidRPr="00BF27AB">
        <w:rPr>
          <w:color w:val="auto"/>
        </w:rPr>
        <w:t>.</w:t>
      </w:r>
      <w:r w:rsidR="00D54E2F">
        <w:rPr>
          <w:color w:val="auto"/>
        </w:rPr>
        <w:t xml:space="preserve"> </w:t>
      </w:r>
      <w:hyperlink r:id="rId58" w:history="1">
        <w:r w:rsidR="00D54E2F" w:rsidRPr="00FE4E59">
          <w:rPr>
            <w:rStyle w:val="Hyperlink"/>
          </w:rPr>
          <w:t>https://doi.org/10.2139/ssrn.5095191</w:t>
        </w:r>
      </w:hyperlink>
    </w:p>
    <w:p w14:paraId="33E0EDF9" w14:textId="16E40CFE" w:rsidR="00AE65F6" w:rsidRDefault="00AE65F6" w:rsidP="00637E1D">
      <w:pPr>
        <w:spacing w:line="276" w:lineRule="auto"/>
      </w:pPr>
      <w:r w:rsidRPr="008348B8">
        <w:t xml:space="preserve">Rely, G., </w:t>
      </w:r>
      <w:r>
        <w:t>(</w:t>
      </w:r>
      <w:r w:rsidRPr="008348B8">
        <w:t>2022</w:t>
      </w:r>
      <w:r>
        <w:t>)</w:t>
      </w:r>
      <w:r w:rsidRPr="008348B8">
        <w:t>. The Impact of Tax Policy on Investment Decisions: A Case Study in the Manufacturing Industry. </w:t>
      </w:r>
      <w:proofErr w:type="spellStart"/>
      <w:r w:rsidRPr="00BF27AB">
        <w:rPr>
          <w:i/>
          <w:iCs/>
        </w:rPr>
        <w:t>Atestasi</w:t>
      </w:r>
      <w:proofErr w:type="spellEnd"/>
      <w:r w:rsidRPr="00BF27AB">
        <w:rPr>
          <w:i/>
          <w:iCs/>
        </w:rPr>
        <w:t xml:space="preserve">: </w:t>
      </w:r>
      <w:proofErr w:type="spellStart"/>
      <w:r w:rsidRPr="00BF27AB">
        <w:rPr>
          <w:i/>
          <w:iCs/>
        </w:rPr>
        <w:t>Jurnal</w:t>
      </w:r>
      <w:proofErr w:type="spellEnd"/>
      <w:r w:rsidRPr="00BF27AB">
        <w:rPr>
          <w:i/>
          <w:iCs/>
        </w:rPr>
        <w:t xml:space="preserve"> </w:t>
      </w:r>
      <w:proofErr w:type="spellStart"/>
      <w:r w:rsidRPr="00BF27AB">
        <w:rPr>
          <w:i/>
          <w:iCs/>
        </w:rPr>
        <w:t>Ilmiah</w:t>
      </w:r>
      <w:proofErr w:type="spellEnd"/>
      <w:r w:rsidRPr="00BF27AB">
        <w:rPr>
          <w:i/>
          <w:iCs/>
        </w:rPr>
        <w:t xml:space="preserve"> </w:t>
      </w:r>
      <w:proofErr w:type="spellStart"/>
      <w:r w:rsidRPr="00BF27AB">
        <w:rPr>
          <w:i/>
          <w:iCs/>
        </w:rPr>
        <w:t>Akuntansi</w:t>
      </w:r>
      <w:proofErr w:type="spellEnd"/>
      <w:r w:rsidRPr="008348B8">
        <w:t>, </w:t>
      </w:r>
      <w:r w:rsidRPr="00BF27AB">
        <w:rPr>
          <w:i/>
          <w:iCs/>
        </w:rPr>
        <w:t>5</w:t>
      </w:r>
      <w:r w:rsidRPr="008348B8">
        <w:t>(2), pp.818-834.</w:t>
      </w:r>
      <w:r w:rsidR="00D54E2F">
        <w:t xml:space="preserve"> </w:t>
      </w:r>
      <w:hyperlink r:id="rId59" w:history="1">
        <w:r w:rsidR="00D54E2F" w:rsidRPr="00FE4E59">
          <w:rPr>
            <w:rStyle w:val="Hyperlink"/>
          </w:rPr>
          <w:t>https://doi.org/10.57178/atestasi.v5i2.813</w:t>
        </w:r>
      </w:hyperlink>
    </w:p>
    <w:p w14:paraId="571634E9" w14:textId="18726592" w:rsidR="00AE65F6" w:rsidRDefault="00AE65F6" w:rsidP="00637E1D">
      <w:pPr>
        <w:spacing w:line="276" w:lineRule="auto"/>
      </w:pPr>
      <w:proofErr w:type="spellStart"/>
      <w:r w:rsidRPr="008348B8">
        <w:t>Rumasukun</w:t>
      </w:r>
      <w:proofErr w:type="spellEnd"/>
      <w:r w:rsidRPr="008348B8">
        <w:t xml:space="preserve">, M.R., </w:t>
      </w:r>
      <w:r>
        <w:t>(</w:t>
      </w:r>
      <w:r w:rsidRPr="008348B8">
        <w:t>2024</w:t>
      </w:r>
      <w:r>
        <w:t>)</w:t>
      </w:r>
      <w:r w:rsidRPr="008348B8">
        <w:t>. The effect of global monetary policy changes on the financial strategy of international companies. </w:t>
      </w:r>
      <w:r w:rsidRPr="00BF27AB">
        <w:rPr>
          <w:i/>
          <w:iCs/>
        </w:rPr>
        <w:t>Golden Ratio of Mapping Idea and Literature Format</w:t>
      </w:r>
      <w:r w:rsidRPr="008348B8">
        <w:t>, </w:t>
      </w:r>
      <w:r w:rsidRPr="00BF27AB">
        <w:rPr>
          <w:i/>
          <w:iCs/>
        </w:rPr>
        <w:t>4</w:t>
      </w:r>
      <w:r w:rsidRPr="008348B8">
        <w:t>(2), pp.167-182.</w:t>
      </w:r>
      <w:r w:rsidR="00D54E2F">
        <w:t xml:space="preserve"> </w:t>
      </w:r>
      <w:hyperlink r:id="rId60" w:history="1">
        <w:r w:rsidR="00D54E2F" w:rsidRPr="00FE4E59">
          <w:rPr>
            <w:rStyle w:val="Hyperlink"/>
          </w:rPr>
          <w:t>https://doi.org/10.52970/grmilf.v4i2.397</w:t>
        </w:r>
      </w:hyperlink>
    </w:p>
    <w:p w14:paraId="09F8A51E" w14:textId="4D55B256" w:rsidR="00AE65F6" w:rsidRDefault="00AE65F6" w:rsidP="00637E1D">
      <w:pPr>
        <w:spacing w:line="276" w:lineRule="auto"/>
      </w:pPr>
      <w:r w:rsidRPr="008348B8">
        <w:t xml:space="preserve">Sinaga, A.S., Sari, M.M., </w:t>
      </w:r>
      <w:proofErr w:type="spellStart"/>
      <w:r w:rsidRPr="008348B8">
        <w:t>Hutasuhut</w:t>
      </w:r>
      <w:proofErr w:type="spellEnd"/>
      <w:r w:rsidRPr="008348B8">
        <w:t xml:space="preserve">, A.A., Zahara, S.T., Amanda, A., Fitri, A. and Caesario, M.A., </w:t>
      </w:r>
      <w:r>
        <w:t>(</w:t>
      </w:r>
      <w:r w:rsidRPr="008348B8">
        <w:t>2023</w:t>
      </w:r>
      <w:r>
        <w:t>)</w:t>
      </w:r>
      <w:r w:rsidRPr="008348B8">
        <w:t>. Comparison of capital budgeting methods: NPV, IRR, PAYBACK PERIOD. </w:t>
      </w:r>
      <w:r w:rsidRPr="00BF27AB">
        <w:rPr>
          <w:i/>
          <w:iCs/>
        </w:rPr>
        <w:t>World Journal of Advanced Research and Reviews</w:t>
      </w:r>
      <w:r w:rsidRPr="008348B8">
        <w:t>, </w:t>
      </w:r>
      <w:r w:rsidRPr="00BF27AB">
        <w:rPr>
          <w:i/>
          <w:iCs/>
        </w:rPr>
        <w:t>19</w:t>
      </w:r>
      <w:r w:rsidRPr="008348B8">
        <w:t>(2), pp.1078-1081.</w:t>
      </w:r>
      <w:r w:rsidR="00D54E2F">
        <w:t xml:space="preserve"> </w:t>
      </w:r>
      <w:hyperlink r:id="rId61" w:history="1">
        <w:r w:rsidR="00D54E2F" w:rsidRPr="00FE4E59">
          <w:rPr>
            <w:rStyle w:val="Hyperlink"/>
          </w:rPr>
          <w:t>https://doi.org/10.30574/wjarr.2023.19.2.1483</w:t>
        </w:r>
      </w:hyperlink>
    </w:p>
    <w:p w14:paraId="22E3148A" w14:textId="77777777" w:rsidR="00AE65F6" w:rsidRPr="00BF27AB" w:rsidRDefault="00AE65F6" w:rsidP="00637E1D">
      <w:pPr>
        <w:spacing w:line="276" w:lineRule="auto"/>
        <w:rPr>
          <w:color w:val="auto"/>
        </w:rPr>
      </w:pPr>
      <w:r>
        <w:t xml:space="preserve">Tesla, (2025). </w:t>
      </w:r>
      <w:r w:rsidRPr="00BF27AB">
        <w:rPr>
          <w:i/>
          <w:iCs/>
        </w:rPr>
        <w:t>Tesla Investor Relations</w:t>
      </w:r>
      <w:r>
        <w:t>. [online] ir.tesla.com. Available at: https://ir.tesla.com/#quarterly-disclosure [Accessed 16 Apr. 2026].</w:t>
      </w:r>
    </w:p>
    <w:p w14:paraId="7C97C526" w14:textId="469DFFF3" w:rsidR="00AE65F6" w:rsidRDefault="00AE65F6" w:rsidP="00637E1D">
      <w:pPr>
        <w:spacing w:line="276" w:lineRule="auto"/>
        <w:rPr>
          <w:color w:val="auto"/>
        </w:rPr>
      </w:pPr>
      <w:r w:rsidRPr="00BF27AB">
        <w:rPr>
          <w:color w:val="auto"/>
        </w:rPr>
        <w:t>Toušek, Z., Hinke, J., Gregor, B. and Prokop, M., (2023). Importance of Working Capital Management and Its Components for Firm Profitability. </w:t>
      </w:r>
      <w:r w:rsidRPr="00BF27AB">
        <w:rPr>
          <w:i/>
          <w:iCs/>
          <w:color w:val="auto"/>
        </w:rPr>
        <w:t>Prague Economic Papers</w:t>
      </w:r>
      <w:r w:rsidRPr="00BF27AB">
        <w:rPr>
          <w:color w:val="auto"/>
        </w:rPr>
        <w:t>, </w:t>
      </w:r>
      <w:r w:rsidRPr="00BF27AB">
        <w:rPr>
          <w:i/>
          <w:iCs/>
          <w:color w:val="auto"/>
        </w:rPr>
        <w:t>32</w:t>
      </w:r>
      <w:r w:rsidRPr="00BF27AB">
        <w:rPr>
          <w:color w:val="auto"/>
        </w:rPr>
        <w:t>(4), pp.367-388.</w:t>
      </w:r>
      <w:r w:rsidR="00D54E2F">
        <w:rPr>
          <w:color w:val="auto"/>
        </w:rPr>
        <w:t xml:space="preserve"> </w:t>
      </w:r>
      <w:hyperlink r:id="rId62" w:history="1">
        <w:r w:rsidR="00D54E2F" w:rsidRPr="00FE4E59">
          <w:rPr>
            <w:rStyle w:val="Hyperlink"/>
          </w:rPr>
          <w:t>https://doi.org/10.18267/j.pep.835</w:t>
        </w:r>
      </w:hyperlink>
    </w:p>
    <w:p w14:paraId="65734CE5" w14:textId="6165C36B" w:rsidR="00AE65F6" w:rsidRDefault="00AE65F6" w:rsidP="00637E1D">
      <w:pPr>
        <w:spacing w:line="276" w:lineRule="auto"/>
        <w:rPr>
          <w:color w:val="auto"/>
        </w:rPr>
      </w:pPr>
      <w:r w:rsidRPr="00BF27AB">
        <w:rPr>
          <w:color w:val="auto"/>
        </w:rPr>
        <w:t xml:space="preserve">Wu, W., Le, C., Shi, Y. and </w:t>
      </w:r>
      <w:proofErr w:type="spellStart"/>
      <w:r w:rsidRPr="00BF27AB">
        <w:rPr>
          <w:color w:val="auto"/>
        </w:rPr>
        <w:t>Alkaraan</w:t>
      </w:r>
      <w:proofErr w:type="spellEnd"/>
      <w:r w:rsidRPr="00BF27AB">
        <w:rPr>
          <w:color w:val="auto"/>
        </w:rPr>
        <w:t>, F., (2024). The influence of financial flexibility on firm performance: the moderating effects of investment efficiency and investment scale. </w:t>
      </w:r>
      <w:r w:rsidRPr="00BF27AB">
        <w:rPr>
          <w:i/>
          <w:iCs/>
          <w:color w:val="auto"/>
        </w:rPr>
        <w:t>Journal of Applied Accounting Research</w:t>
      </w:r>
      <w:r w:rsidRPr="00BF27AB">
        <w:rPr>
          <w:color w:val="auto"/>
        </w:rPr>
        <w:t>, </w:t>
      </w:r>
      <w:r w:rsidRPr="00BF27AB">
        <w:rPr>
          <w:i/>
          <w:iCs/>
          <w:color w:val="auto"/>
        </w:rPr>
        <w:t>25</w:t>
      </w:r>
      <w:r w:rsidRPr="00BF27AB">
        <w:rPr>
          <w:color w:val="auto"/>
        </w:rPr>
        <w:t>(5), pp.1183-1202.</w:t>
      </w:r>
      <w:r w:rsidR="00D54E2F">
        <w:rPr>
          <w:color w:val="auto"/>
        </w:rPr>
        <w:t xml:space="preserve"> </w:t>
      </w:r>
      <w:hyperlink r:id="rId63" w:history="1">
        <w:r w:rsidR="00D54E2F" w:rsidRPr="00FE4E59">
          <w:rPr>
            <w:rStyle w:val="Hyperlink"/>
          </w:rPr>
          <w:t>https://doi.org/10.1108/jaar-07-2023-0192</w:t>
        </w:r>
      </w:hyperlink>
    </w:p>
    <w:p w14:paraId="1359E468" w14:textId="5373D80C" w:rsidR="00AE65F6" w:rsidRDefault="00AE65F6" w:rsidP="00637E1D">
      <w:pPr>
        <w:spacing w:line="276" w:lineRule="auto"/>
        <w:rPr>
          <w:color w:val="auto"/>
        </w:rPr>
      </w:pPr>
      <w:r w:rsidRPr="00BF27AB">
        <w:rPr>
          <w:color w:val="auto"/>
        </w:rPr>
        <w:t>Yanti, Y., Sastra, E. and Kurniawan, T.B., (2022), May. The Impact of Financial Flexibility and Business Risk on Capital Structure with Firm Size as a Moderating Variable. In </w:t>
      </w:r>
      <w:r w:rsidRPr="00BF27AB">
        <w:rPr>
          <w:i/>
          <w:iCs/>
          <w:color w:val="auto"/>
        </w:rPr>
        <w:t>Tenth International Conference on Entrepreneurship and Business Management 2021 (ICEBM 2021)</w:t>
      </w:r>
      <w:r w:rsidRPr="00BF27AB">
        <w:rPr>
          <w:color w:val="auto"/>
        </w:rPr>
        <w:t> (pp. 314-322). Atlantis Press.</w:t>
      </w:r>
      <w:r w:rsidR="00D54E2F">
        <w:rPr>
          <w:color w:val="auto"/>
        </w:rPr>
        <w:t xml:space="preserve"> </w:t>
      </w:r>
      <w:hyperlink r:id="rId64" w:history="1">
        <w:r w:rsidR="00D54E2F" w:rsidRPr="00FE4E59">
          <w:rPr>
            <w:rStyle w:val="Hyperlink"/>
          </w:rPr>
          <w:t>https://doi.org/10.2991/aebmr.k.220501.048</w:t>
        </w:r>
      </w:hyperlink>
    </w:p>
    <w:p w14:paraId="7A9C1CE1" w14:textId="6A099CEB" w:rsidR="008C26A4" w:rsidRDefault="00AE65F6" w:rsidP="00637E1D">
      <w:pPr>
        <w:spacing w:line="276" w:lineRule="auto"/>
      </w:pPr>
      <w:r w:rsidRPr="00BF27AB">
        <w:rPr>
          <w:color w:val="auto"/>
        </w:rPr>
        <w:t>Zhang, J., (2025). Corporate Financial Analysis in Value Assessment: An Empirical Study Based on the Cash Flow Analysis Method. </w:t>
      </w:r>
      <w:r w:rsidRPr="00BF27AB">
        <w:rPr>
          <w:i/>
          <w:iCs/>
          <w:color w:val="auto"/>
        </w:rPr>
        <w:t>MODERN ECONOMICS</w:t>
      </w:r>
      <w:r w:rsidRPr="00BF27AB">
        <w:rPr>
          <w:color w:val="auto"/>
        </w:rPr>
        <w:t>, </w:t>
      </w:r>
      <w:r w:rsidRPr="00BF27AB">
        <w:rPr>
          <w:i/>
          <w:iCs/>
          <w:color w:val="auto"/>
        </w:rPr>
        <w:t>6</w:t>
      </w:r>
      <w:r w:rsidRPr="00BF27AB">
        <w:rPr>
          <w:color w:val="auto"/>
        </w:rPr>
        <w:t>(1), p.100.</w:t>
      </w:r>
      <w:r w:rsidR="00D54E2F">
        <w:rPr>
          <w:color w:val="auto"/>
        </w:rPr>
        <w:t xml:space="preserve"> </w:t>
      </w:r>
      <w:hyperlink r:id="rId65" w:history="1">
        <w:r w:rsidR="00D54E2F" w:rsidRPr="00FE4E59">
          <w:rPr>
            <w:rStyle w:val="Hyperlink"/>
          </w:rPr>
          <w:t>https://doi.org/10.32629/memf.v6i1.3561</w:t>
        </w:r>
      </w:hyperlink>
    </w:p>
    <w:p w14:paraId="0DD5E453" w14:textId="77777777" w:rsidR="008C26A4" w:rsidRDefault="008C26A4" w:rsidP="00637E1D">
      <w:pPr>
        <w:spacing w:line="276" w:lineRule="auto"/>
        <w:jc w:val="left"/>
      </w:pPr>
      <w:r>
        <w:br w:type="page"/>
      </w:r>
    </w:p>
    <w:p w14:paraId="6943D32F" w14:textId="3326A5B1" w:rsidR="00AE65F6" w:rsidRDefault="008C26A4" w:rsidP="008C26A4">
      <w:pPr>
        <w:pStyle w:val="Heading1"/>
      </w:pPr>
      <w:bookmarkStart w:id="7" w:name="_Toc227676772"/>
      <w:r>
        <w:lastRenderedPageBreak/>
        <w:t>Appendices</w:t>
      </w:r>
      <w:bookmarkEnd w:id="7"/>
      <w:r>
        <w:t xml:space="preserve"> </w:t>
      </w:r>
    </w:p>
    <w:p w14:paraId="176A814B" w14:textId="77777777" w:rsidR="008C26A4" w:rsidRDefault="008C26A4" w:rsidP="008C26A4">
      <w:pPr>
        <w:rPr>
          <w:b/>
          <w:bCs/>
          <w:u w:val="single"/>
        </w:rPr>
      </w:pPr>
      <w:r w:rsidRPr="005E32D9">
        <w:rPr>
          <w:b/>
          <w:bCs/>
          <w:u w:val="single"/>
        </w:rPr>
        <w:t>Profitability Ratios</w:t>
      </w:r>
    </w:p>
    <w:p w14:paraId="115B8896" w14:textId="77194DD2" w:rsidR="008C26A4" w:rsidRDefault="008C26A4" w:rsidP="008C26A4">
      <w:pPr>
        <w:jc w:val="center"/>
        <w:rPr>
          <w:b/>
          <w:bCs/>
          <w:u w:val="single"/>
        </w:rPr>
      </w:pPr>
      <w:r>
        <w:rPr>
          <w:noProof/>
          <w:lang w:val="en-IN" w:eastAsia="en-IN"/>
        </w:rPr>
        <w:drawing>
          <wp:inline distT="0" distB="0" distL="0" distR="0" wp14:anchorId="20CB6940" wp14:editId="36918EBF">
            <wp:extent cx="4572000" cy="2743200"/>
            <wp:effectExtent l="0" t="0" r="0" b="0"/>
            <wp:docPr id="868311266" name="Chart 1">
              <a:extLst xmlns:a="http://schemas.openxmlformats.org/drawingml/2006/main">
                <a:ext uri="{FF2B5EF4-FFF2-40B4-BE49-F238E27FC236}">
                  <a16:creationId xmlns:a16="http://schemas.microsoft.com/office/drawing/2014/main" id="{417FDBD2-3221-3143-D70E-B0D856BCF2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6BEED058" w14:textId="77777777" w:rsidR="008C26A4" w:rsidRDefault="008C26A4" w:rsidP="008C26A4">
      <w:pPr>
        <w:jc w:val="center"/>
        <w:rPr>
          <w:b/>
          <w:bCs/>
          <w:u w:val="single"/>
        </w:rPr>
      </w:pPr>
      <w:r>
        <w:rPr>
          <w:noProof/>
          <w:lang w:val="en-IN" w:eastAsia="en-IN"/>
        </w:rPr>
        <w:drawing>
          <wp:inline distT="0" distB="0" distL="0" distR="0" wp14:anchorId="30AE41A6" wp14:editId="2819379A">
            <wp:extent cx="5731510" cy="1510030"/>
            <wp:effectExtent l="0" t="0" r="2540" b="0"/>
            <wp:docPr id="104123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539780" name=""/>
                    <pic:cNvPicPr/>
                  </pic:nvPicPr>
                  <pic:blipFill>
                    <a:blip r:embed="rId10"/>
                    <a:stretch>
                      <a:fillRect/>
                    </a:stretch>
                  </pic:blipFill>
                  <pic:spPr>
                    <a:xfrm>
                      <a:off x="0" y="0"/>
                      <a:ext cx="5731510" cy="1510030"/>
                    </a:xfrm>
                    <a:prstGeom prst="rect">
                      <a:avLst/>
                    </a:prstGeom>
                  </pic:spPr>
                </pic:pic>
              </a:graphicData>
            </a:graphic>
          </wp:inline>
        </w:drawing>
      </w:r>
    </w:p>
    <w:p w14:paraId="43BB9F5A" w14:textId="77777777" w:rsidR="008C26A4" w:rsidRDefault="008C26A4" w:rsidP="008C26A4">
      <w:pPr>
        <w:jc w:val="center"/>
        <w:rPr>
          <w:b/>
          <w:bCs/>
        </w:rPr>
      </w:pPr>
      <w:r>
        <w:rPr>
          <w:b/>
          <w:bCs/>
        </w:rPr>
        <w:t>Figure 3: Gross Margin%</w:t>
      </w:r>
    </w:p>
    <w:p w14:paraId="39089BBC" w14:textId="5D6BD76F" w:rsidR="008C26A4" w:rsidRPr="00D064AC" w:rsidRDefault="008C26A4" w:rsidP="008C26A4">
      <w:pPr>
        <w:jc w:val="center"/>
        <w:rPr>
          <w:b/>
          <w:bCs/>
        </w:rPr>
      </w:pPr>
      <w:r>
        <w:rPr>
          <w:noProof/>
          <w:lang w:val="en-IN" w:eastAsia="en-IN"/>
        </w:rPr>
        <w:drawing>
          <wp:inline distT="0" distB="0" distL="0" distR="0" wp14:anchorId="0D34AED8" wp14:editId="39244F10">
            <wp:extent cx="4572000" cy="2743200"/>
            <wp:effectExtent l="0" t="0" r="0" b="0"/>
            <wp:docPr id="1404150641" name="Chart 1">
              <a:extLst xmlns:a="http://schemas.openxmlformats.org/drawingml/2006/main">
                <a:ext uri="{FF2B5EF4-FFF2-40B4-BE49-F238E27FC236}">
                  <a16:creationId xmlns:a16="http://schemas.microsoft.com/office/drawing/2014/main" id="{BB0833B6-3BEB-BE19-8ED6-BB61503052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0FDD2261" w14:textId="77777777" w:rsidR="008C26A4" w:rsidRDefault="008C26A4" w:rsidP="008C26A4">
      <w:pPr>
        <w:jc w:val="center"/>
        <w:rPr>
          <w:b/>
          <w:bCs/>
          <w:u w:val="single"/>
        </w:rPr>
      </w:pPr>
      <w:r>
        <w:rPr>
          <w:noProof/>
          <w:lang w:val="en-IN" w:eastAsia="en-IN"/>
        </w:rPr>
        <w:lastRenderedPageBreak/>
        <w:drawing>
          <wp:inline distT="0" distB="0" distL="0" distR="0" wp14:anchorId="6A76CE8F" wp14:editId="6ADF25F4">
            <wp:extent cx="5731510" cy="1254125"/>
            <wp:effectExtent l="0" t="0" r="2540" b="3175"/>
            <wp:docPr id="913003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66952" name=""/>
                    <pic:cNvPicPr/>
                  </pic:nvPicPr>
                  <pic:blipFill>
                    <a:blip r:embed="rId11"/>
                    <a:stretch>
                      <a:fillRect/>
                    </a:stretch>
                  </pic:blipFill>
                  <pic:spPr>
                    <a:xfrm>
                      <a:off x="0" y="0"/>
                      <a:ext cx="5731510" cy="1254125"/>
                    </a:xfrm>
                    <a:prstGeom prst="rect">
                      <a:avLst/>
                    </a:prstGeom>
                  </pic:spPr>
                </pic:pic>
              </a:graphicData>
            </a:graphic>
          </wp:inline>
        </w:drawing>
      </w:r>
    </w:p>
    <w:p w14:paraId="317C9F2F" w14:textId="77777777" w:rsidR="008C26A4" w:rsidRDefault="008C26A4" w:rsidP="008C26A4">
      <w:pPr>
        <w:jc w:val="center"/>
        <w:rPr>
          <w:b/>
          <w:bCs/>
        </w:rPr>
      </w:pPr>
      <w:r>
        <w:rPr>
          <w:b/>
          <w:bCs/>
        </w:rPr>
        <w:t>Figure 4: Operating Margin%</w:t>
      </w:r>
    </w:p>
    <w:p w14:paraId="6C5DB730" w14:textId="59A32137" w:rsidR="00B53382" w:rsidRDefault="00B53382" w:rsidP="008C26A4">
      <w:pPr>
        <w:jc w:val="center"/>
        <w:rPr>
          <w:b/>
          <w:bCs/>
        </w:rPr>
      </w:pPr>
      <w:r>
        <w:rPr>
          <w:noProof/>
          <w:lang w:val="en-IN" w:eastAsia="en-IN"/>
        </w:rPr>
        <w:drawing>
          <wp:inline distT="0" distB="0" distL="0" distR="0" wp14:anchorId="623E17F7" wp14:editId="032A4889">
            <wp:extent cx="4572000" cy="2743200"/>
            <wp:effectExtent l="0" t="0" r="0" b="0"/>
            <wp:docPr id="444183842" name="Chart 1">
              <a:extLst xmlns:a="http://schemas.openxmlformats.org/drawingml/2006/main">
                <a:ext uri="{FF2B5EF4-FFF2-40B4-BE49-F238E27FC236}">
                  <a16:creationId xmlns:a16="http://schemas.microsoft.com/office/drawing/2014/main" id="{0F3C2534-46D8-98CA-050A-E178239A4E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39252755" w14:textId="0944BBF4" w:rsidR="008C26A4" w:rsidRPr="00D064AC" w:rsidRDefault="008C26A4" w:rsidP="008C26A4">
      <w:pPr>
        <w:jc w:val="center"/>
        <w:rPr>
          <w:b/>
          <w:bCs/>
        </w:rPr>
      </w:pPr>
    </w:p>
    <w:p w14:paraId="14F38D8B" w14:textId="77777777" w:rsidR="008C26A4" w:rsidRDefault="008C26A4" w:rsidP="008C26A4">
      <w:pPr>
        <w:jc w:val="center"/>
        <w:rPr>
          <w:b/>
          <w:bCs/>
          <w:u w:val="single"/>
        </w:rPr>
      </w:pPr>
      <w:r>
        <w:rPr>
          <w:noProof/>
          <w:lang w:val="en-IN" w:eastAsia="en-IN"/>
        </w:rPr>
        <w:drawing>
          <wp:inline distT="0" distB="0" distL="0" distR="0" wp14:anchorId="0DBFF1F6" wp14:editId="17B228A3">
            <wp:extent cx="5731510" cy="1240790"/>
            <wp:effectExtent l="0" t="0" r="2540" b="0"/>
            <wp:docPr id="439644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68868" name=""/>
                    <pic:cNvPicPr/>
                  </pic:nvPicPr>
                  <pic:blipFill>
                    <a:blip r:embed="rId12"/>
                    <a:stretch>
                      <a:fillRect/>
                    </a:stretch>
                  </pic:blipFill>
                  <pic:spPr>
                    <a:xfrm>
                      <a:off x="0" y="0"/>
                      <a:ext cx="5731510" cy="1240790"/>
                    </a:xfrm>
                    <a:prstGeom prst="rect">
                      <a:avLst/>
                    </a:prstGeom>
                  </pic:spPr>
                </pic:pic>
              </a:graphicData>
            </a:graphic>
          </wp:inline>
        </w:drawing>
      </w:r>
    </w:p>
    <w:p w14:paraId="058A0EE3" w14:textId="3CB9F745" w:rsidR="00B53382" w:rsidRPr="00B53382" w:rsidRDefault="00B53382" w:rsidP="00B53382">
      <w:pPr>
        <w:jc w:val="center"/>
        <w:rPr>
          <w:b/>
          <w:bCs/>
        </w:rPr>
      </w:pPr>
      <w:r>
        <w:rPr>
          <w:b/>
          <w:bCs/>
        </w:rPr>
        <w:t>Figure 5: Net profit %</w:t>
      </w:r>
    </w:p>
    <w:p w14:paraId="2B8541CE" w14:textId="5D8A3B33" w:rsidR="008C26A4" w:rsidRDefault="008C26A4" w:rsidP="008C26A4">
      <w:pPr>
        <w:jc w:val="center"/>
        <w:rPr>
          <w:b/>
          <w:bCs/>
          <w:u w:val="single"/>
        </w:rPr>
      </w:pPr>
      <w:r w:rsidRPr="008C26A4">
        <w:rPr>
          <w:noProof/>
        </w:rPr>
        <w:lastRenderedPageBreak/>
        <w:t xml:space="preserve"> </w:t>
      </w:r>
      <w:r>
        <w:rPr>
          <w:noProof/>
          <w:lang w:val="en-IN" w:eastAsia="en-IN"/>
        </w:rPr>
        <w:drawing>
          <wp:inline distT="0" distB="0" distL="0" distR="0" wp14:anchorId="09B363E4" wp14:editId="420BD2E8">
            <wp:extent cx="4572000" cy="2743200"/>
            <wp:effectExtent l="0" t="0" r="0" b="0"/>
            <wp:docPr id="2046983503" name="Chart 1">
              <a:extLst xmlns:a="http://schemas.openxmlformats.org/drawingml/2006/main">
                <a:ext uri="{FF2B5EF4-FFF2-40B4-BE49-F238E27FC236}">
                  <a16:creationId xmlns:a16="http://schemas.microsoft.com/office/drawing/2014/main" id="{AB6256C0-655B-E35C-E9B2-8AEA18EFB6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5E89BB33" w14:textId="77777777" w:rsidR="008C26A4" w:rsidRDefault="008C26A4" w:rsidP="008C26A4">
      <w:pPr>
        <w:jc w:val="center"/>
        <w:rPr>
          <w:b/>
          <w:bCs/>
          <w:u w:val="single"/>
        </w:rPr>
      </w:pPr>
      <w:r>
        <w:rPr>
          <w:noProof/>
          <w:lang w:val="en-IN" w:eastAsia="en-IN"/>
        </w:rPr>
        <w:drawing>
          <wp:inline distT="0" distB="0" distL="0" distR="0" wp14:anchorId="28CDA685" wp14:editId="747A03B8">
            <wp:extent cx="5731510" cy="1222375"/>
            <wp:effectExtent l="0" t="0" r="2540" b="0"/>
            <wp:docPr id="1605387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20445" name=""/>
                    <pic:cNvPicPr/>
                  </pic:nvPicPr>
                  <pic:blipFill>
                    <a:blip r:embed="rId13"/>
                    <a:stretch>
                      <a:fillRect/>
                    </a:stretch>
                  </pic:blipFill>
                  <pic:spPr>
                    <a:xfrm>
                      <a:off x="0" y="0"/>
                      <a:ext cx="5731510" cy="1222375"/>
                    </a:xfrm>
                    <a:prstGeom prst="rect">
                      <a:avLst/>
                    </a:prstGeom>
                  </pic:spPr>
                </pic:pic>
              </a:graphicData>
            </a:graphic>
          </wp:inline>
        </w:drawing>
      </w:r>
    </w:p>
    <w:p w14:paraId="64DF8C16" w14:textId="7EA1578E" w:rsidR="008C26A4" w:rsidRDefault="008C26A4" w:rsidP="008C26A4">
      <w:pPr>
        <w:jc w:val="center"/>
        <w:rPr>
          <w:b/>
          <w:bCs/>
        </w:rPr>
      </w:pPr>
      <w:r>
        <w:rPr>
          <w:b/>
          <w:bCs/>
        </w:rPr>
        <w:t xml:space="preserve">Figure </w:t>
      </w:r>
      <w:r w:rsidR="00F47278">
        <w:rPr>
          <w:b/>
          <w:bCs/>
        </w:rPr>
        <w:t>6</w:t>
      </w:r>
      <w:r>
        <w:rPr>
          <w:b/>
          <w:bCs/>
        </w:rPr>
        <w:t>: ROA%</w:t>
      </w:r>
    </w:p>
    <w:p w14:paraId="18EEF22A" w14:textId="5104D439" w:rsidR="008C26A4" w:rsidRPr="008C26A4" w:rsidRDefault="008C26A4" w:rsidP="008C26A4">
      <w:pPr>
        <w:jc w:val="center"/>
        <w:rPr>
          <w:b/>
          <w:bCs/>
        </w:rPr>
      </w:pPr>
      <w:r>
        <w:rPr>
          <w:noProof/>
          <w:lang w:val="en-IN" w:eastAsia="en-IN"/>
        </w:rPr>
        <w:drawing>
          <wp:inline distT="0" distB="0" distL="0" distR="0" wp14:anchorId="414E744F" wp14:editId="79D0E039">
            <wp:extent cx="4572000" cy="2743200"/>
            <wp:effectExtent l="0" t="0" r="0" b="0"/>
            <wp:docPr id="1099943974" name="Chart 1">
              <a:extLst xmlns:a="http://schemas.openxmlformats.org/drawingml/2006/main">
                <a:ext uri="{FF2B5EF4-FFF2-40B4-BE49-F238E27FC236}">
                  <a16:creationId xmlns:a16="http://schemas.microsoft.com/office/drawing/2014/main" id="{1236E1FA-73EA-B44B-D466-D9DB626C19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6F0E0BCB" w14:textId="77777777" w:rsidR="008C26A4" w:rsidRDefault="008C26A4" w:rsidP="008C26A4">
      <w:pPr>
        <w:jc w:val="center"/>
        <w:rPr>
          <w:b/>
          <w:bCs/>
          <w:u w:val="single"/>
        </w:rPr>
      </w:pPr>
      <w:r>
        <w:rPr>
          <w:noProof/>
          <w:lang w:val="en-IN" w:eastAsia="en-IN"/>
        </w:rPr>
        <w:lastRenderedPageBreak/>
        <w:drawing>
          <wp:inline distT="0" distB="0" distL="0" distR="0" wp14:anchorId="07EDAE05" wp14:editId="4439B92D">
            <wp:extent cx="5731510" cy="1219200"/>
            <wp:effectExtent l="0" t="0" r="2540" b="0"/>
            <wp:docPr id="20672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61693" name=""/>
                    <pic:cNvPicPr/>
                  </pic:nvPicPr>
                  <pic:blipFill>
                    <a:blip r:embed="rId14"/>
                    <a:stretch>
                      <a:fillRect/>
                    </a:stretch>
                  </pic:blipFill>
                  <pic:spPr>
                    <a:xfrm>
                      <a:off x="0" y="0"/>
                      <a:ext cx="5731510" cy="1219200"/>
                    </a:xfrm>
                    <a:prstGeom prst="rect">
                      <a:avLst/>
                    </a:prstGeom>
                  </pic:spPr>
                </pic:pic>
              </a:graphicData>
            </a:graphic>
          </wp:inline>
        </w:drawing>
      </w:r>
    </w:p>
    <w:p w14:paraId="08E768DB" w14:textId="00BAC994" w:rsidR="008C26A4" w:rsidRDefault="008C26A4" w:rsidP="008C26A4">
      <w:pPr>
        <w:jc w:val="center"/>
        <w:rPr>
          <w:b/>
          <w:bCs/>
        </w:rPr>
      </w:pPr>
      <w:r>
        <w:rPr>
          <w:b/>
          <w:bCs/>
        </w:rPr>
        <w:t xml:space="preserve">Figure </w:t>
      </w:r>
      <w:r w:rsidR="00F47278">
        <w:rPr>
          <w:b/>
          <w:bCs/>
        </w:rPr>
        <w:t>7</w:t>
      </w:r>
      <w:r>
        <w:rPr>
          <w:b/>
          <w:bCs/>
        </w:rPr>
        <w:t>: ROE%</w:t>
      </w:r>
    </w:p>
    <w:p w14:paraId="392CE046" w14:textId="77777777" w:rsidR="006D7A8A" w:rsidRDefault="006D7A8A" w:rsidP="006D7A8A">
      <w:pPr>
        <w:rPr>
          <w:b/>
          <w:bCs/>
          <w:u w:val="single"/>
        </w:rPr>
      </w:pPr>
      <w:r w:rsidRPr="005E32D9">
        <w:rPr>
          <w:b/>
          <w:bCs/>
          <w:u w:val="single"/>
        </w:rPr>
        <w:t>Liquidity Ratios</w:t>
      </w:r>
    </w:p>
    <w:p w14:paraId="5326443F" w14:textId="4C3D9A15" w:rsidR="006D7A8A" w:rsidRDefault="006D7A8A" w:rsidP="006D7A8A">
      <w:pPr>
        <w:jc w:val="center"/>
        <w:rPr>
          <w:b/>
          <w:bCs/>
          <w:u w:val="single"/>
        </w:rPr>
      </w:pPr>
      <w:r>
        <w:rPr>
          <w:noProof/>
          <w:lang w:val="en-IN" w:eastAsia="en-IN"/>
        </w:rPr>
        <w:drawing>
          <wp:inline distT="0" distB="0" distL="0" distR="0" wp14:anchorId="724CE314" wp14:editId="77453ED2">
            <wp:extent cx="4565650" cy="2754630"/>
            <wp:effectExtent l="0" t="0" r="6350" b="7620"/>
            <wp:docPr id="828736072" name="Chart 1">
              <a:extLst xmlns:a="http://schemas.openxmlformats.org/drawingml/2006/main">
                <a:ext uri="{FF2B5EF4-FFF2-40B4-BE49-F238E27FC236}">
                  <a16:creationId xmlns:a16="http://schemas.microsoft.com/office/drawing/2014/main" id="{D41A65A9-5E55-C0C3-12BE-928E08CC82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09A4B9F8" w14:textId="77777777" w:rsidR="006D7A8A" w:rsidRDefault="006D7A8A" w:rsidP="006D7A8A">
      <w:pPr>
        <w:jc w:val="center"/>
        <w:rPr>
          <w:b/>
          <w:bCs/>
          <w:u w:val="single"/>
        </w:rPr>
      </w:pPr>
      <w:r w:rsidRPr="00D064AC">
        <w:rPr>
          <w:b/>
          <w:bCs/>
          <w:noProof/>
          <w:u w:val="single"/>
          <w:lang w:val="en-IN" w:eastAsia="en-IN"/>
        </w:rPr>
        <w:drawing>
          <wp:inline distT="0" distB="0" distL="0" distR="0" wp14:anchorId="3748FA51" wp14:editId="694927F5">
            <wp:extent cx="4387850" cy="2622696"/>
            <wp:effectExtent l="0" t="0" r="0" b="6350"/>
            <wp:docPr id="1815245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32967" name=""/>
                    <pic:cNvPicPr/>
                  </pic:nvPicPr>
                  <pic:blipFill>
                    <a:blip r:embed="rId15"/>
                    <a:stretch>
                      <a:fillRect/>
                    </a:stretch>
                  </pic:blipFill>
                  <pic:spPr>
                    <a:xfrm>
                      <a:off x="0" y="0"/>
                      <a:ext cx="4399498" cy="2629658"/>
                    </a:xfrm>
                    <a:prstGeom prst="rect">
                      <a:avLst/>
                    </a:prstGeom>
                  </pic:spPr>
                </pic:pic>
              </a:graphicData>
            </a:graphic>
          </wp:inline>
        </w:drawing>
      </w:r>
    </w:p>
    <w:p w14:paraId="0F7F1F16" w14:textId="77777777" w:rsidR="006D7A8A" w:rsidRDefault="006D7A8A" w:rsidP="006D7A8A">
      <w:pPr>
        <w:jc w:val="center"/>
        <w:rPr>
          <w:b/>
          <w:bCs/>
        </w:rPr>
      </w:pPr>
      <w:r>
        <w:rPr>
          <w:b/>
          <w:bCs/>
        </w:rPr>
        <w:t>Figure 8: Current Ratio</w:t>
      </w:r>
    </w:p>
    <w:p w14:paraId="4736003F" w14:textId="71394491" w:rsidR="006D7A8A" w:rsidRPr="00F47278" w:rsidRDefault="006D7A8A" w:rsidP="006D7A8A">
      <w:pPr>
        <w:jc w:val="center"/>
        <w:rPr>
          <w:b/>
          <w:bCs/>
        </w:rPr>
      </w:pPr>
      <w:r>
        <w:rPr>
          <w:noProof/>
          <w:lang w:val="en-IN" w:eastAsia="en-IN"/>
        </w:rPr>
        <w:lastRenderedPageBreak/>
        <w:drawing>
          <wp:inline distT="0" distB="0" distL="0" distR="0" wp14:anchorId="3D087027" wp14:editId="07C35D37">
            <wp:extent cx="4584046" cy="2738380"/>
            <wp:effectExtent l="0" t="0" r="7620" b="5080"/>
            <wp:docPr id="1079907236" name="Chart 1">
              <a:extLst xmlns:a="http://schemas.openxmlformats.org/drawingml/2006/main">
                <a:ext uri="{FF2B5EF4-FFF2-40B4-BE49-F238E27FC236}">
                  <a16:creationId xmlns:a16="http://schemas.microsoft.com/office/drawing/2014/main" id="{5551D2E1-BB9E-3C87-6B89-4AE93E1853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1AD8471E" w14:textId="77777777" w:rsidR="006D7A8A" w:rsidRDefault="006D7A8A" w:rsidP="006D7A8A">
      <w:pPr>
        <w:jc w:val="center"/>
        <w:rPr>
          <w:b/>
          <w:bCs/>
          <w:u w:val="single"/>
        </w:rPr>
      </w:pPr>
      <w:r w:rsidRPr="00D064AC">
        <w:rPr>
          <w:b/>
          <w:bCs/>
          <w:noProof/>
          <w:u w:val="single"/>
          <w:lang w:val="en-IN" w:eastAsia="en-IN"/>
        </w:rPr>
        <w:drawing>
          <wp:inline distT="0" distB="0" distL="0" distR="0" wp14:anchorId="7397E36A" wp14:editId="17C97EF5">
            <wp:extent cx="4356100" cy="3015390"/>
            <wp:effectExtent l="0" t="0" r="6350" b="0"/>
            <wp:docPr id="1216214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89989" name=""/>
                    <pic:cNvPicPr/>
                  </pic:nvPicPr>
                  <pic:blipFill>
                    <a:blip r:embed="rId16"/>
                    <a:stretch>
                      <a:fillRect/>
                    </a:stretch>
                  </pic:blipFill>
                  <pic:spPr>
                    <a:xfrm>
                      <a:off x="0" y="0"/>
                      <a:ext cx="4361729" cy="3019287"/>
                    </a:xfrm>
                    <a:prstGeom prst="rect">
                      <a:avLst/>
                    </a:prstGeom>
                  </pic:spPr>
                </pic:pic>
              </a:graphicData>
            </a:graphic>
          </wp:inline>
        </w:drawing>
      </w:r>
    </w:p>
    <w:p w14:paraId="762CFF3F" w14:textId="77777777" w:rsidR="006D7A8A" w:rsidRDefault="006D7A8A" w:rsidP="006D7A8A">
      <w:pPr>
        <w:jc w:val="center"/>
        <w:rPr>
          <w:b/>
          <w:bCs/>
        </w:rPr>
      </w:pPr>
      <w:r>
        <w:rPr>
          <w:b/>
          <w:bCs/>
        </w:rPr>
        <w:t>Figure 9: Quick Ratio</w:t>
      </w:r>
    </w:p>
    <w:p w14:paraId="616384B2" w14:textId="2659B092" w:rsidR="00CF3DD2" w:rsidRDefault="00CF3DD2" w:rsidP="00CF3DD2">
      <w:pPr>
        <w:rPr>
          <w:b/>
          <w:bCs/>
          <w:u w:val="single"/>
        </w:rPr>
      </w:pPr>
      <w:r>
        <w:rPr>
          <w:b/>
          <w:bCs/>
          <w:u w:val="single"/>
        </w:rPr>
        <w:t xml:space="preserve">Efficiency </w:t>
      </w:r>
      <w:r w:rsidRPr="005E32D9">
        <w:rPr>
          <w:b/>
          <w:bCs/>
          <w:u w:val="single"/>
        </w:rPr>
        <w:t>Ratios</w:t>
      </w:r>
    </w:p>
    <w:p w14:paraId="408719A3" w14:textId="4ADB8052" w:rsidR="00CF3DD2" w:rsidRPr="00CF3DD2" w:rsidRDefault="00CF3DD2" w:rsidP="00CF3DD2">
      <w:pPr>
        <w:jc w:val="center"/>
        <w:rPr>
          <w:b/>
          <w:bCs/>
          <w:u w:val="single"/>
        </w:rPr>
      </w:pPr>
      <w:r>
        <w:rPr>
          <w:noProof/>
          <w:lang w:val="en-IN" w:eastAsia="en-IN"/>
        </w:rPr>
        <w:lastRenderedPageBreak/>
        <w:drawing>
          <wp:inline distT="0" distB="0" distL="0" distR="0" wp14:anchorId="61D69551" wp14:editId="002B21DE">
            <wp:extent cx="4572000" cy="2743200"/>
            <wp:effectExtent l="0" t="0" r="0" b="0"/>
            <wp:docPr id="169121839" name="Chart 1">
              <a:extLst xmlns:a="http://schemas.openxmlformats.org/drawingml/2006/main">
                <a:ext uri="{FF2B5EF4-FFF2-40B4-BE49-F238E27FC236}">
                  <a16:creationId xmlns:a16="http://schemas.microsoft.com/office/drawing/2014/main" id="{2C9AE617-2116-35E8-5353-105BB85414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11903876" w14:textId="77777777" w:rsidR="00CF3DD2" w:rsidRDefault="00CF3DD2" w:rsidP="00CF3DD2">
      <w:pPr>
        <w:jc w:val="center"/>
        <w:rPr>
          <w:b/>
          <w:bCs/>
          <w:u w:val="single"/>
        </w:rPr>
      </w:pPr>
      <w:r>
        <w:rPr>
          <w:noProof/>
          <w:lang w:val="en-IN" w:eastAsia="en-IN"/>
        </w:rPr>
        <w:drawing>
          <wp:inline distT="0" distB="0" distL="0" distR="0" wp14:anchorId="3F5E7876" wp14:editId="26402A4D">
            <wp:extent cx="5731510" cy="1972310"/>
            <wp:effectExtent l="0" t="0" r="2540" b="8890"/>
            <wp:docPr id="2107399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87208" name=""/>
                    <pic:cNvPicPr/>
                  </pic:nvPicPr>
                  <pic:blipFill>
                    <a:blip r:embed="rId17"/>
                    <a:stretch>
                      <a:fillRect/>
                    </a:stretch>
                  </pic:blipFill>
                  <pic:spPr>
                    <a:xfrm>
                      <a:off x="0" y="0"/>
                      <a:ext cx="5731510" cy="1972310"/>
                    </a:xfrm>
                    <a:prstGeom prst="rect">
                      <a:avLst/>
                    </a:prstGeom>
                  </pic:spPr>
                </pic:pic>
              </a:graphicData>
            </a:graphic>
          </wp:inline>
        </w:drawing>
      </w:r>
    </w:p>
    <w:p w14:paraId="64D2C3A2" w14:textId="77777777" w:rsidR="00CF3DD2" w:rsidRDefault="00CF3DD2" w:rsidP="00CF3DD2">
      <w:pPr>
        <w:jc w:val="center"/>
        <w:rPr>
          <w:b/>
          <w:bCs/>
        </w:rPr>
      </w:pPr>
      <w:r>
        <w:rPr>
          <w:b/>
          <w:bCs/>
        </w:rPr>
        <w:t>Figure 10: Asset Turnover</w:t>
      </w:r>
    </w:p>
    <w:p w14:paraId="42FD6009" w14:textId="480B2FCE" w:rsidR="00CF3DD2" w:rsidRPr="006D7A8A" w:rsidRDefault="00CF3DD2" w:rsidP="00CF3DD2">
      <w:pPr>
        <w:jc w:val="center"/>
        <w:rPr>
          <w:b/>
          <w:bCs/>
        </w:rPr>
      </w:pPr>
      <w:r>
        <w:rPr>
          <w:noProof/>
          <w:lang w:val="en-IN" w:eastAsia="en-IN"/>
        </w:rPr>
        <w:drawing>
          <wp:inline distT="0" distB="0" distL="0" distR="0" wp14:anchorId="7035C84D" wp14:editId="5A522356">
            <wp:extent cx="4572000" cy="2743200"/>
            <wp:effectExtent l="0" t="0" r="0" b="0"/>
            <wp:docPr id="602787250" name="Chart 1">
              <a:extLst xmlns:a="http://schemas.openxmlformats.org/drawingml/2006/main">
                <a:ext uri="{FF2B5EF4-FFF2-40B4-BE49-F238E27FC236}">
                  <a16:creationId xmlns:a16="http://schemas.microsoft.com/office/drawing/2014/main" id="{B6E71957-87C5-AD95-1F20-AD53C35D2B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04A8039C" w14:textId="77777777" w:rsidR="00CF3DD2" w:rsidRDefault="00CF3DD2" w:rsidP="00CF3DD2">
      <w:pPr>
        <w:jc w:val="center"/>
        <w:rPr>
          <w:b/>
          <w:bCs/>
          <w:u w:val="single"/>
        </w:rPr>
      </w:pPr>
      <w:r>
        <w:rPr>
          <w:noProof/>
          <w:lang w:val="en-IN" w:eastAsia="en-IN"/>
        </w:rPr>
        <w:lastRenderedPageBreak/>
        <w:drawing>
          <wp:inline distT="0" distB="0" distL="0" distR="0" wp14:anchorId="06A380E0" wp14:editId="4993CDFE">
            <wp:extent cx="5731510" cy="1731010"/>
            <wp:effectExtent l="0" t="0" r="2540" b="2540"/>
            <wp:docPr id="1702575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97504" name=""/>
                    <pic:cNvPicPr/>
                  </pic:nvPicPr>
                  <pic:blipFill>
                    <a:blip r:embed="rId18"/>
                    <a:stretch>
                      <a:fillRect/>
                    </a:stretch>
                  </pic:blipFill>
                  <pic:spPr>
                    <a:xfrm>
                      <a:off x="0" y="0"/>
                      <a:ext cx="5731510" cy="1731010"/>
                    </a:xfrm>
                    <a:prstGeom prst="rect">
                      <a:avLst/>
                    </a:prstGeom>
                  </pic:spPr>
                </pic:pic>
              </a:graphicData>
            </a:graphic>
          </wp:inline>
        </w:drawing>
      </w:r>
    </w:p>
    <w:p w14:paraId="3C9F1E69" w14:textId="77777777" w:rsidR="00CF3DD2" w:rsidRDefault="00CF3DD2" w:rsidP="00CF3DD2">
      <w:pPr>
        <w:jc w:val="center"/>
        <w:rPr>
          <w:b/>
          <w:bCs/>
        </w:rPr>
      </w:pPr>
      <w:r>
        <w:rPr>
          <w:b/>
          <w:bCs/>
        </w:rPr>
        <w:t>Figure 11: Inventory Turnover</w:t>
      </w:r>
    </w:p>
    <w:p w14:paraId="0E710B9E" w14:textId="77777777" w:rsidR="00CF3DD2" w:rsidRDefault="00CF3DD2" w:rsidP="00CF3DD2">
      <w:pPr>
        <w:rPr>
          <w:b/>
          <w:bCs/>
          <w:u w:val="single"/>
        </w:rPr>
      </w:pPr>
      <w:r w:rsidRPr="005E32D9">
        <w:rPr>
          <w:b/>
          <w:bCs/>
          <w:u w:val="single"/>
        </w:rPr>
        <w:t>Gearing Ratios</w:t>
      </w:r>
    </w:p>
    <w:p w14:paraId="0CE7B591" w14:textId="074A22C5" w:rsidR="00F70716" w:rsidRDefault="00F70716" w:rsidP="00F70716">
      <w:pPr>
        <w:jc w:val="center"/>
        <w:rPr>
          <w:b/>
          <w:bCs/>
          <w:u w:val="single"/>
        </w:rPr>
      </w:pPr>
      <w:r>
        <w:rPr>
          <w:noProof/>
          <w:lang w:val="en-IN" w:eastAsia="en-IN"/>
        </w:rPr>
        <w:drawing>
          <wp:inline distT="0" distB="0" distL="0" distR="0" wp14:anchorId="4224973D" wp14:editId="10CAD76E">
            <wp:extent cx="4572000" cy="2743200"/>
            <wp:effectExtent l="0" t="0" r="0" b="0"/>
            <wp:docPr id="1413445825" name="Chart 1">
              <a:extLst xmlns:a="http://schemas.openxmlformats.org/drawingml/2006/main">
                <a:ext uri="{FF2B5EF4-FFF2-40B4-BE49-F238E27FC236}">
                  <a16:creationId xmlns:a16="http://schemas.microsoft.com/office/drawing/2014/main" id="{E36E5699-D320-24EF-1552-7AF18853E1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21D7571C" w14:textId="77777777" w:rsidR="00CF3DD2" w:rsidRDefault="00CF3DD2" w:rsidP="00CF3DD2">
      <w:pPr>
        <w:jc w:val="center"/>
        <w:rPr>
          <w:b/>
          <w:bCs/>
          <w:u w:val="single"/>
        </w:rPr>
      </w:pPr>
      <w:r>
        <w:rPr>
          <w:noProof/>
          <w:lang w:val="en-IN" w:eastAsia="en-IN"/>
        </w:rPr>
        <w:drawing>
          <wp:inline distT="0" distB="0" distL="0" distR="0" wp14:anchorId="4D3A467A" wp14:editId="4FAE8332">
            <wp:extent cx="5731510" cy="1537335"/>
            <wp:effectExtent l="0" t="0" r="2540" b="5715"/>
            <wp:docPr id="182265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134802" name=""/>
                    <pic:cNvPicPr/>
                  </pic:nvPicPr>
                  <pic:blipFill>
                    <a:blip r:embed="rId19"/>
                    <a:stretch>
                      <a:fillRect/>
                    </a:stretch>
                  </pic:blipFill>
                  <pic:spPr>
                    <a:xfrm>
                      <a:off x="0" y="0"/>
                      <a:ext cx="5731510" cy="1537335"/>
                    </a:xfrm>
                    <a:prstGeom prst="rect">
                      <a:avLst/>
                    </a:prstGeom>
                  </pic:spPr>
                </pic:pic>
              </a:graphicData>
            </a:graphic>
          </wp:inline>
        </w:drawing>
      </w:r>
    </w:p>
    <w:p w14:paraId="5D35952D" w14:textId="77777777" w:rsidR="00CF3DD2" w:rsidRDefault="00CF3DD2" w:rsidP="00CF3DD2">
      <w:pPr>
        <w:jc w:val="center"/>
        <w:rPr>
          <w:b/>
          <w:bCs/>
        </w:rPr>
      </w:pPr>
      <w:r>
        <w:rPr>
          <w:b/>
          <w:bCs/>
        </w:rPr>
        <w:t>Figure 12: Debt-to-Equity</w:t>
      </w:r>
    </w:p>
    <w:p w14:paraId="5CEFDD7A" w14:textId="064284C4" w:rsidR="00F70716" w:rsidRPr="00CF3DD2" w:rsidRDefault="00F70716" w:rsidP="00CF3DD2">
      <w:pPr>
        <w:jc w:val="center"/>
        <w:rPr>
          <w:b/>
          <w:bCs/>
        </w:rPr>
      </w:pPr>
      <w:r>
        <w:rPr>
          <w:noProof/>
          <w:lang w:val="en-IN" w:eastAsia="en-IN"/>
        </w:rPr>
        <w:lastRenderedPageBreak/>
        <w:drawing>
          <wp:inline distT="0" distB="0" distL="0" distR="0" wp14:anchorId="40EC0F85" wp14:editId="3B1C439F">
            <wp:extent cx="4572000" cy="2743200"/>
            <wp:effectExtent l="0" t="0" r="0" b="0"/>
            <wp:docPr id="1729324122" name="Chart 1">
              <a:extLst xmlns:a="http://schemas.openxmlformats.org/drawingml/2006/main">
                <a:ext uri="{FF2B5EF4-FFF2-40B4-BE49-F238E27FC236}">
                  <a16:creationId xmlns:a16="http://schemas.microsoft.com/office/drawing/2014/main" id="{AD46C5B9-0189-3A23-A707-248A43FCD1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6BA8CE8A" w14:textId="77777777" w:rsidR="00CF3DD2" w:rsidRDefault="00CF3DD2" w:rsidP="00CF3DD2">
      <w:pPr>
        <w:jc w:val="center"/>
        <w:rPr>
          <w:b/>
          <w:bCs/>
          <w:u w:val="single"/>
        </w:rPr>
      </w:pPr>
      <w:r>
        <w:rPr>
          <w:noProof/>
          <w:lang w:val="en-IN" w:eastAsia="en-IN"/>
        </w:rPr>
        <w:drawing>
          <wp:inline distT="0" distB="0" distL="0" distR="0" wp14:anchorId="74EBFCF0" wp14:editId="1C5372FC">
            <wp:extent cx="5731510" cy="1080770"/>
            <wp:effectExtent l="0" t="0" r="2540" b="5080"/>
            <wp:docPr id="527626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43591" name=""/>
                    <pic:cNvPicPr/>
                  </pic:nvPicPr>
                  <pic:blipFill>
                    <a:blip r:embed="rId20"/>
                    <a:stretch>
                      <a:fillRect/>
                    </a:stretch>
                  </pic:blipFill>
                  <pic:spPr>
                    <a:xfrm>
                      <a:off x="0" y="0"/>
                      <a:ext cx="5731510" cy="1080770"/>
                    </a:xfrm>
                    <a:prstGeom prst="rect">
                      <a:avLst/>
                    </a:prstGeom>
                  </pic:spPr>
                </pic:pic>
              </a:graphicData>
            </a:graphic>
          </wp:inline>
        </w:drawing>
      </w:r>
    </w:p>
    <w:p w14:paraId="46087340" w14:textId="77777777" w:rsidR="00CF3DD2" w:rsidRDefault="00CF3DD2" w:rsidP="00CF3DD2">
      <w:pPr>
        <w:jc w:val="center"/>
        <w:rPr>
          <w:b/>
          <w:bCs/>
        </w:rPr>
      </w:pPr>
      <w:r>
        <w:rPr>
          <w:b/>
          <w:bCs/>
        </w:rPr>
        <w:t>Figure 12: Interest Cover</w:t>
      </w:r>
    </w:p>
    <w:p w14:paraId="361CC510" w14:textId="77777777" w:rsidR="00F70716" w:rsidRDefault="00F70716" w:rsidP="00F70716">
      <w:pPr>
        <w:rPr>
          <w:b/>
          <w:bCs/>
          <w:u w:val="single"/>
        </w:rPr>
      </w:pPr>
      <w:r w:rsidRPr="005E32D9">
        <w:rPr>
          <w:b/>
          <w:bCs/>
          <w:u w:val="single"/>
        </w:rPr>
        <w:t>Investment and Cash Flow Ratios</w:t>
      </w:r>
    </w:p>
    <w:p w14:paraId="24F49499" w14:textId="1A639C6F" w:rsidR="00F70716" w:rsidRDefault="00F70716" w:rsidP="00F70716">
      <w:pPr>
        <w:jc w:val="center"/>
        <w:rPr>
          <w:b/>
          <w:bCs/>
          <w:u w:val="single"/>
        </w:rPr>
      </w:pPr>
      <w:r>
        <w:rPr>
          <w:noProof/>
          <w:lang w:val="en-IN" w:eastAsia="en-IN"/>
        </w:rPr>
        <w:drawing>
          <wp:inline distT="0" distB="0" distL="0" distR="0" wp14:anchorId="7A750E3C" wp14:editId="77B011AC">
            <wp:extent cx="4572000" cy="2743200"/>
            <wp:effectExtent l="0" t="0" r="0" b="0"/>
            <wp:docPr id="2063469475" name="Chart 1">
              <a:extLst xmlns:a="http://schemas.openxmlformats.org/drawingml/2006/main">
                <a:ext uri="{FF2B5EF4-FFF2-40B4-BE49-F238E27FC236}">
                  <a16:creationId xmlns:a16="http://schemas.microsoft.com/office/drawing/2014/main" id="{D4028F53-C4E2-7DEE-9898-90E88F6C54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08C0BD53" w14:textId="77777777" w:rsidR="00F70716" w:rsidRDefault="00F70716" w:rsidP="00F70716">
      <w:pPr>
        <w:jc w:val="center"/>
        <w:rPr>
          <w:b/>
          <w:bCs/>
          <w:u w:val="single"/>
        </w:rPr>
      </w:pPr>
      <w:r>
        <w:rPr>
          <w:noProof/>
          <w:lang w:val="en-IN" w:eastAsia="en-IN"/>
        </w:rPr>
        <w:lastRenderedPageBreak/>
        <w:drawing>
          <wp:inline distT="0" distB="0" distL="0" distR="0" wp14:anchorId="7AE2E685" wp14:editId="6DB27672">
            <wp:extent cx="5731510" cy="2460625"/>
            <wp:effectExtent l="0" t="0" r="2540" b="0"/>
            <wp:docPr id="985249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521459" name=""/>
                    <pic:cNvPicPr/>
                  </pic:nvPicPr>
                  <pic:blipFill>
                    <a:blip r:embed="rId21"/>
                    <a:stretch>
                      <a:fillRect/>
                    </a:stretch>
                  </pic:blipFill>
                  <pic:spPr>
                    <a:xfrm>
                      <a:off x="0" y="0"/>
                      <a:ext cx="5731510" cy="2460625"/>
                    </a:xfrm>
                    <a:prstGeom prst="rect">
                      <a:avLst/>
                    </a:prstGeom>
                  </pic:spPr>
                </pic:pic>
              </a:graphicData>
            </a:graphic>
          </wp:inline>
        </w:drawing>
      </w:r>
    </w:p>
    <w:p w14:paraId="652BC9B4" w14:textId="77777777" w:rsidR="00F70716" w:rsidRDefault="00F70716" w:rsidP="00F70716">
      <w:pPr>
        <w:jc w:val="center"/>
        <w:rPr>
          <w:b/>
          <w:bCs/>
        </w:rPr>
      </w:pPr>
      <w:r>
        <w:rPr>
          <w:b/>
          <w:bCs/>
        </w:rPr>
        <w:t>Figure 14: Operating cash flow ratio</w:t>
      </w:r>
    </w:p>
    <w:p w14:paraId="60A5F266" w14:textId="55F71ECA" w:rsidR="00F70716" w:rsidRPr="00CF3DD2" w:rsidRDefault="00F70716" w:rsidP="00F70716">
      <w:pPr>
        <w:jc w:val="center"/>
        <w:rPr>
          <w:b/>
          <w:bCs/>
        </w:rPr>
      </w:pPr>
      <w:r>
        <w:rPr>
          <w:noProof/>
          <w:lang w:val="en-IN" w:eastAsia="en-IN"/>
        </w:rPr>
        <w:drawing>
          <wp:inline distT="0" distB="0" distL="0" distR="0" wp14:anchorId="04650C1F" wp14:editId="338EA17B">
            <wp:extent cx="4572000" cy="2743200"/>
            <wp:effectExtent l="0" t="0" r="0" b="0"/>
            <wp:docPr id="953612364" name="Chart 1">
              <a:extLst xmlns:a="http://schemas.openxmlformats.org/drawingml/2006/main">
                <a:ext uri="{FF2B5EF4-FFF2-40B4-BE49-F238E27FC236}">
                  <a16:creationId xmlns:a16="http://schemas.microsoft.com/office/drawing/2014/main" id="{92ACE0AF-B012-55B9-C2FC-096AEFAD81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p w14:paraId="5BE5F334" w14:textId="77777777" w:rsidR="00F70716" w:rsidRDefault="00F70716" w:rsidP="00F70716">
      <w:r>
        <w:rPr>
          <w:noProof/>
          <w:lang w:val="en-IN" w:eastAsia="en-IN"/>
        </w:rPr>
        <w:drawing>
          <wp:inline distT="0" distB="0" distL="0" distR="0" wp14:anchorId="7276F69C" wp14:editId="58DFC0F9">
            <wp:extent cx="5731510" cy="1760220"/>
            <wp:effectExtent l="0" t="0" r="2540" b="0"/>
            <wp:docPr id="1663552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40105" name=""/>
                    <pic:cNvPicPr/>
                  </pic:nvPicPr>
                  <pic:blipFill>
                    <a:blip r:embed="rId22"/>
                    <a:stretch>
                      <a:fillRect/>
                    </a:stretch>
                  </pic:blipFill>
                  <pic:spPr>
                    <a:xfrm>
                      <a:off x="0" y="0"/>
                      <a:ext cx="5731510" cy="1760220"/>
                    </a:xfrm>
                    <a:prstGeom prst="rect">
                      <a:avLst/>
                    </a:prstGeom>
                  </pic:spPr>
                </pic:pic>
              </a:graphicData>
            </a:graphic>
          </wp:inline>
        </w:drawing>
      </w:r>
    </w:p>
    <w:p w14:paraId="1FAFF28D" w14:textId="77777777" w:rsidR="00F70716" w:rsidRDefault="00F70716" w:rsidP="00F70716">
      <w:pPr>
        <w:jc w:val="center"/>
        <w:rPr>
          <w:b/>
          <w:bCs/>
        </w:rPr>
      </w:pPr>
      <w:r>
        <w:rPr>
          <w:b/>
          <w:bCs/>
        </w:rPr>
        <w:t>Figure 15: Free cash flow</w:t>
      </w:r>
    </w:p>
    <w:p w14:paraId="58C9A908" w14:textId="0D930DCF" w:rsidR="00F70716" w:rsidRPr="00CF3DD2" w:rsidRDefault="00F70716" w:rsidP="00F70716">
      <w:pPr>
        <w:jc w:val="center"/>
        <w:rPr>
          <w:b/>
          <w:bCs/>
        </w:rPr>
      </w:pPr>
      <w:r>
        <w:rPr>
          <w:noProof/>
          <w:lang w:val="en-IN" w:eastAsia="en-IN"/>
        </w:rPr>
        <w:lastRenderedPageBreak/>
        <w:drawing>
          <wp:inline distT="0" distB="0" distL="0" distR="0" wp14:anchorId="5D856AA1" wp14:editId="625897AD">
            <wp:extent cx="4572000" cy="2743200"/>
            <wp:effectExtent l="0" t="0" r="0" b="0"/>
            <wp:docPr id="1024982050" name="Chart 1">
              <a:extLst xmlns:a="http://schemas.openxmlformats.org/drawingml/2006/main">
                <a:ext uri="{FF2B5EF4-FFF2-40B4-BE49-F238E27FC236}">
                  <a16:creationId xmlns:a16="http://schemas.microsoft.com/office/drawing/2014/main" id="{75FCD8C3-8A68-3830-BAD4-F264870C67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3BF8CAD6" w14:textId="77777777" w:rsidR="00F70716" w:rsidRDefault="00F70716" w:rsidP="00F70716">
      <w:r>
        <w:rPr>
          <w:noProof/>
          <w:lang w:val="en-IN" w:eastAsia="en-IN"/>
        </w:rPr>
        <w:drawing>
          <wp:inline distT="0" distB="0" distL="0" distR="0" wp14:anchorId="1AFAE581" wp14:editId="26433F8F">
            <wp:extent cx="5731510" cy="2536190"/>
            <wp:effectExtent l="0" t="0" r="2540" b="0"/>
            <wp:docPr id="1082116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58227" name=""/>
                    <pic:cNvPicPr/>
                  </pic:nvPicPr>
                  <pic:blipFill>
                    <a:blip r:embed="rId23"/>
                    <a:stretch>
                      <a:fillRect/>
                    </a:stretch>
                  </pic:blipFill>
                  <pic:spPr>
                    <a:xfrm>
                      <a:off x="0" y="0"/>
                      <a:ext cx="5731510" cy="2536190"/>
                    </a:xfrm>
                    <a:prstGeom prst="rect">
                      <a:avLst/>
                    </a:prstGeom>
                  </pic:spPr>
                </pic:pic>
              </a:graphicData>
            </a:graphic>
          </wp:inline>
        </w:drawing>
      </w:r>
    </w:p>
    <w:p w14:paraId="528A55BF" w14:textId="77777777" w:rsidR="00F70716" w:rsidRDefault="00F70716" w:rsidP="00F70716">
      <w:pPr>
        <w:jc w:val="center"/>
        <w:rPr>
          <w:b/>
          <w:bCs/>
        </w:rPr>
      </w:pPr>
      <w:r>
        <w:rPr>
          <w:b/>
          <w:bCs/>
        </w:rPr>
        <w:t>Figure 15: EPS</w:t>
      </w:r>
    </w:p>
    <w:p w14:paraId="3F4DDAB0" w14:textId="77777777" w:rsidR="007222A2" w:rsidRDefault="007222A2" w:rsidP="00F70716">
      <w:pPr>
        <w:jc w:val="center"/>
        <w:rPr>
          <w:b/>
          <w:bCs/>
        </w:rPr>
      </w:pPr>
    </w:p>
    <w:p w14:paraId="1D601513" w14:textId="77777777" w:rsidR="007222A2" w:rsidRDefault="007222A2" w:rsidP="00F70716">
      <w:pPr>
        <w:jc w:val="center"/>
        <w:rPr>
          <w:b/>
          <w:bCs/>
        </w:rPr>
      </w:pPr>
    </w:p>
    <w:p w14:paraId="69A2F219" w14:textId="77777777" w:rsidR="007222A2" w:rsidRDefault="007222A2" w:rsidP="00F70716">
      <w:pPr>
        <w:jc w:val="center"/>
        <w:rPr>
          <w:b/>
          <w:bCs/>
        </w:rPr>
      </w:pPr>
    </w:p>
    <w:p w14:paraId="352A4956" w14:textId="77777777" w:rsidR="007222A2" w:rsidRDefault="007222A2" w:rsidP="00F70716">
      <w:pPr>
        <w:jc w:val="center"/>
        <w:rPr>
          <w:b/>
          <w:bCs/>
        </w:rPr>
      </w:pPr>
    </w:p>
    <w:p w14:paraId="2ECFDC7F" w14:textId="77777777" w:rsidR="007222A2" w:rsidRDefault="007222A2" w:rsidP="00F70716">
      <w:pPr>
        <w:jc w:val="center"/>
        <w:rPr>
          <w:b/>
          <w:bCs/>
        </w:rPr>
      </w:pPr>
    </w:p>
    <w:p w14:paraId="0B094A4A" w14:textId="77777777" w:rsidR="007222A2" w:rsidRDefault="007222A2" w:rsidP="00F70716">
      <w:pPr>
        <w:jc w:val="center"/>
        <w:rPr>
          <w:b/>
          <w:bCs/>
        </w:rPr>
      </w:pPr>
    </w:p>
    <w:p w14:paraId="385743B2" w14:textId="77777777" w:rsidR="007222A2" w:rsidRPr="00CF3DD2" w:rsidRDefault="007222A2" w:rsidP="00F70716">
      <w:pPr>
        <w:jc w:val="center"/>
        <w:rPr>
          <w:b/>
          <w:bCs/>
        </w:rPr>
      </w:pPr>
    </w:p>
    <w:p w14:paraId="200870B5" w14:textId="77777777" w:rsidR="00F70716" w:rsidRDefault="00F70716" w:rsidP="00F70716">
      <w:pPr>
        <w:rPr>
          <w:b/>
          <w:bCs/>
          <w:u w:val="single"/>
        </w:rPr>
      </w:pPr>
      <w:r w:rsidRPr="005E32D9">
        <w:rPr>
          <w:b/>
          <w:bCs/>
          <w:u w:val="single"/>
        </w:rPr>
        <w:t>Key Calculations</w:t>
      </w:r>
    </w:p>
    <w:p w14:paraId="1E4E89B5" w14:textId="1FEEAEC2" w:rsidR="007A576C" w:rsidRDefault="007A576C" w:rsidP="007A576C">
      <w:pPr>
        <w:jc w:val="center"/>
        <w:rPr>
          <w:b/>
          <w:bCs/>
          <w:u w:val="single"/>
        </w:rPr>
      </w:pPr>
      <w:r>
        <w:rPr>
          <w:noProof/>
          <w:lang w:val="en-IN" w:eastAsia="en-IN"/>
        </w:rPr>
        <w:drawing>
          <wp:inline distT="0" distB="0" distL="0" distR="0" wp14:anchorId="22B31342" wp14:editId="4AF68917">
            <wp:extent cx="4572000" cy="2743200"/>
            <wp:effectExtent l="0" t="0" r="0" b="0"/>
            <wp:docPr id="10208807" name="Chart 1">
              <a:extLst xmlns:a="http://schemas.openxmlformats.org/drawingml/2006/main">
                <a:ext uri="{FF2B5EF4-FFF2-40B4-BE49-F238E27FC236}">
                  <a16:creationId xmlns:a16="http://schemas.microsoft.com/office/drawing/2014/main" id="{EF8A71CF-A698-96FD-2E03-31475B6BAC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p>
    <w:p w14:paraId="7ED88DF1" w14:textId="77777777" w:rsidR="00F70716" w:rsidRDefault="00F70716" w:rsidP="00F70716">
      <w:pPr>
        <w:jc w:val="center"/>
        <w:rPr>
          <w:b/>
          <w:bCs/>
          <w:u w:val="single"/>
        </w:rPr>
      </w:pPr>
      <w:r>
        <w:rPr>
          <w:noProof/>
          <w:lang w:val="en-IN" w:eastAsia="en-IN"/>
        </w:rPr>
        <w:drawing>
          <wp:inline distT="0" distB="0" distL="0" distR="0" wp14:anchorId="7CEA258A" wp14:editId="3DAF221C">
            <wp:extent cx="5731510" cy="1658620"/>
            <wp:effectExtent l="0" t="0" r="2540" b="0"/>
            <wp:docPr id="43089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38330" name=""/>
                    <pic:cNvPicPr/>
                  </pic:nvPicPr>
                  <pic:blipFill>
                    <a:blip r:embed="rId24"/>
                    <a:stretch>
                      <a:fillRect/>
                    </a:stretch>
                  </pic:blipFill>
                  <pic:spPr>
                    <a:xfrm>
                      <a:off x="0" y="0"/>
                      <a:ext cx="5731510" cy="1658620"/>
                    </a:xfrm>
                    <a:prstGeom prst="rect">
                      <a:avLst/>
                    </a:prstGeom>
                  </pic:spPr>
                </pic:pic>
              </a:graphicData>
            </a:graphic>
          </wp:inline>
        </w:drawing>
      </w:r>
    </w:p>
    <w:p w14:paraId="54CA4D9C" w14:textId="77777777" w:rsidR="00F70716" w:rsidRDefault="00F70716" w:rsidP="00F70716">
      <w:pPr>
        <w:jc w:val="center"/>
        <w:rPr>
          <w:b/>
          <w:bCs/>
        </w:rPr>
      </w:pPr>
      <w:r>
        <w:rPr>
          <w:b/>
          <w:bCs/>
        </w:rPr>
        <w:t xml:space="preserve">Figure 17: </w:t>
      </w:r>
      <w:r w:rsidRPr="0025394F">
        <w:rPr>
          <w:b/>
          <w:bCs/>
        </w:rPr>
        <w:t>Cash Operating Cycle Assessment (2024 vs 2025)</w:t>
      </w:r>
    </w:p>
    <w:p w14:paraId="655CBCFA" w14:textId="2269C105" w:rsidR="007A576C" w:rsidRPr="0025394F" w:rsidRDefault="007A576C" w:rsidP="00F70716">
      <w:pPr>
        <w:jc w:val="center"/>
        <w:rPr>
          <w:b/>
          <w:bCs/>
        </w:rPr>
      </w:pPr>
      <w:r>
        <w:rPr>
          <w:noProof/>
          <w:lang w:val="en-IN" w:eastAsia="en-IN"/>
        </w:rPr>
        <w:lastRenderedPageBreak/>
        <w:drawing>
          <wp:inline distT="0" distB="0" distL="0" distR="0" wp14:anchorId="4E1EAEA3" wp14:editId="0A1E8A8B">
            <wp:extent cx="4572000" cy="2743200"/>
            <wp:effectExtent l="0" t="0" r="0" b="0"/>
            <wp:docPr id="2044623283" name="Chart 1">
              <a:extLst xmlns:a="http://schemas.openxmlformats.org/drawingml/2006/main">
                <a:ext uri="{FF2B5EF4-FFF2-40B4-BE49-F238E27FC236}">
                  <a16:creationId xmlns:a16="http://schemas.microsoft.com/office/drawing/2014/main" id="{21F8B2B0-8291-3CE5-BE2B-1CC6AC1D7D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14:paraId="70104BA3" w14:textId="77777777" w:rsidR="00F70716" w:rsidRDefault="00F70716" w:rsidP="00F70716">
      <w:r>
        <w:rPr>
          <w:noProof/>
          <w:lang w:val="en-IN" w:eastAsia="en-IN"/>
        </w:rPr>
        <w:drawing>
          <wp:inline distT="0" distB="0" distL="0" distR="0" wp14:anchorId="02BC5322" wp14:editId="3A34E6CF">
            <wp:extent cx="5731510" cy="1358900"/>
            <wp:effectExtent l="0" t="0" r="0" b="0"/>
            <wp:docPr id="1167997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6711" name=""/>
                    <pic:cNvPicPr/>
                  </pic:nvPicPr>
                  <pic:blipFill>
                    <a:blip r:embed="rId25"/>
                    <a:stretch>
                      <a:fillRect/>
                    </a:stretch>
                  </pic:blipFill>
                  <pic:spPr>
                    <a:xfrm>
                      <a:off x="0" y="0"/>
                      <a:ext cx="5731510" cy="1358900"/>
                    </a:xfrm>
                    <a:prstGeom prst="rect">
                      <a:avLst/>
                    </a:prstGeom>
                  </pic:spPr>
                </pic:pic>
              </a:graphicData>
            </a:graphic>
          </wp:inline>
        </w:drawing>
      </w:r>
    </w:p>
    <w:p w14:paraId="3C32909F" w14:textId="77777777" w:rsidR="00F70716" w:rsidRPr="0025394F" w:rsidRDefault="00F70716" w:rsidP="00F70716">
      <w:pPr>
        <w:jc w:val="center"/>
        <w:rPr>
          <w:b/>
          <w:bCs/>
        </w:rPr>
      </w:pPr>
      <w:r>
        <w:rPr>
          <w:b/>
          <w:bCs/>
        </w:rPr>
        <w:t xml:space="preserve">Figure 18: </w:t>
      </w:r>
      <w:r w:rsidRPr="0025394F">
        <w:rPr>
          <w:b/>
          <w:bCs/>
        </w:rPr>
        <w:t xml:space="preserve">Cash </w:t>
      </w:r>
      <w:r>
        <w:rPr>
          <w:b/>
          <w:bCs/>
        </w:rPr>
        <w:t>Conversion</w:t>
      </w:r>
      <w:r w:rsidRPr="0025394F">
        <w:rPr>
          <w:b/>
          <w:bCs/>
        </w:rPr>
        <w:t xml:space="preserve"> Cycle </w:t>
      </w:r>
    </w:p>
    <w:p w14:paraId="64FC1775" w14:textId="77777777" w:rsidR="00F70716" w:rsidRDefault="00F70716" w:rsidP="00CF3DD2">
      <w:pPr>
        <w:jc w:val="center"/>
        <w:rPr>
          <w:b/>
          <w:bCs/>
        </w:rPr>
      </w:pPr>
    </w:p>
    <w:p w14:paraId="6345E4AE" w14:textId="77777777" w:rsidR="00F70716" w:rsidRDefault="00F70716" w:rsidP="00F70716">
      <w:pPr>
        <w:rPr>
          <w:b/>
          <w:bCs/>
        </w:rPr>
      </w:pPr>
      <w:r w:rsidRPr="005E32D9">
        <w:rPr>
          <w:b/>
          <w:bCs/>
        </w:rPr>
        <w:t>Initial Investment and Cash Flows (£ million)</w:t>
      </w:r>
    </w:p>
    <w:p w14:paraId="0B62E0AC" w14:textId="77777777" w:rsidR="00F70716" w:rsidRDefault="00F70716" w:rsidP="00F70716">
      <w:pPr>
        <w:jc w:val="center"/>
        <w:rPr>
          <w:b/>
          <w:bCs/>
        </w:rPr>
      </w:pPr>
      <w:r w:rsidRPr="0025394F">
        <w:rPr>
          <w:b/>
          <w:bCs/>
          <w:noProof/>
          <w:lang w:val="en-IN" w:eastAsia="en-IN"/>
        </w:rPr>
        <w:lastRenderedPageBreak/>
        <w:drawing>
          <wp:inline distT="0" distB="0" distL="0" distR="0" wp14:anchorId="666B9F0C" wp14:editId="7DF725EC">
            <wp:extent cx="4597400" cy="2878455"/>
            <wp:effectExtent l="0" t="0" r="0" b="4445"/>
            <wp:docPr id="287308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13180" name=""/>
                    <pic:cNvPicPr/>
                  </pic:nvPicPr>
                  <pic:blipFill>
                    <a:blip r:embed="rId26"/>
                    <a:stretch>
                      <a:fillRect/>
                    </a:stretch>
                  </pic:blipFill>
                  <pic:spPr>
                    <a:xfrm>
                      <a:off x="0" y="0"/>
                      <a:ext cx="4607930" cy="2885048"/>
                    </a:xfrm>
                    <a:prstGeom prst="rect">
                      <a:avLst/>
                    </a:prstGeom>
                  </pic:spPr>
                </pic:pic>
              </a:graphicData>
            </a:graphic>
          </wp:inline>
        </w:drawing>
      </w:r>
    </w:p>
    <w:p w14:paraId="6B51EAD1" w14:textId="77777777" w:rsidR="00F70716" w:rsidRPr="0025394F" w:rsidRDefault="00F70716" w:rsidP="00F70716">
      <w:pPr>
        <w:jc w:val="center"/>
        <w:rPr>
          <w:b/>
          <w:bCs/>
        </w:rPr>
      </w:pPr>
      <w:r>
        <w:rPr>
          <w:b/>
          <w:bCs/>
        </w:rPr>
        <w:t xml:space="preserve">Figure 19: </w:t>
      </w:r>
      <w:r w:rsidRPr="005E32D9">
        <w:rPr>
          <w:b/>
          <w:bCs/>
        </w:rPr>
        <w:t>Initial Investment and Cash Flows</w:t>
      </w:r>
    </w:p>
    <w:p w14:paraId="40AA46F1" w14:textId="77777777" w:rsidR="00F70716" w:rsidRDefault="00F70716" w:rsidP="00F70716">
      <w:pPr>
        <w:rPr>
          <w:b/>
          <w:bCs/>
          <w:u w:val="single"/>
        </w:rPr>
      </w:pPr>
      <w:r w:rsidRPr="005E32D9">
        <w:rPr>
          <w:b/>
          <w:bCs/>
          <w:u w:val="single"/>
        </w:rPr>
        <w:t>Payback Period (PBP) and Accounting Rate of Return (ARR)</w:t>
      </w:r>
    </w:p>
    <w:p w14:paraId="5F705E7F" w14:textId="77777777" w:rsidR="00F70716" w:rsidRDefault="00F70716" w:rsidP="00F70716">
      <w:pPr>
        <w:jc w:val="center"/>
      </w:pPr>
      <w:r>
        <w:rPr>
          <w:noProof/>
          <w:lang w:val="en-IN" w:eastAsia="en-IN"/>
        </w:rPr>
        <w:drawing>
          <wp:inline distT="0" distB="0" distL="0" distR="0" wp14:anchorId="2145DDA4" wp14:editId="5F323CD6">
            <wp:extent cx="4787900" cy="3581400"/>
            <wp:effectExtent l="0" t="0" r="0" b="0"/>
            <wp:docPr id="744292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1686" name=""/>
                    <pic:cNvPicPr/>
                  </pic:nvPicPr>
                  <pic:blipFill rotWithShape="1">
                    <a:blip r:embed="rId27">
                      <a:extLst>
                        <a:ext uri="{28A0092B-C50C-407E-A947-70E740481C1C}">
                          <a14:useLocalDpi xmlns:a14="http://schemas.microsoft.com/office/drawing/2010/main"/>
                        </a:ext>
                      </a:extLst>
                    </a:blip>
                    <a:srcRect b="1828"/>
                    <a:stretch>
                      <a:fillRect/>
                    </a:stretch>
                  </pic:blipFill>
                  <pic:spPr bwMode="auto">
                    <a:xfrm>
                      <a:off x="0" y="0"/>
                      <a:ext cx="4787900" cy="3581400"/>
                    </a:xfrm>
                    <a:prstGeom prst="rect">
                      <a:avLst/>
                    </a:prstGeom>
                    <a:ln>
                      <a:noFill/>
                    </a:ln>
                    <a:extLst>
                      <a:ext uri="{53640926-AAD7-44D8-BBD7-CCE9431645EC}">
                        <a14:shadowObscured xmlns:a14="http://schemas.microsoft.com/office/drawing/2010/main"/>
                      </a:ext>
                    </a:extLst>
                  </pic:spPr>
                </pic:pic>
              </a:graphicData>
            </a:graphic>
          </wp:inline>
        </w:drawing>
      </w:r>
    </w:p>
    <w:p w14:paraId="74E60AE5" w14:textId="77777777" w:rsidR="00F70716" w:rsidRDefault="00F70716" w:rsidP="00F70716">
      <w:pPr>
        <w:jc w:val="center"/>
      </w:pPr>
      <w:r>
        <w:rPr>
          <w:noProof/>
          <w:lang w:val="en-IN" w:eastAsia="en-IN"/>
        </w:rPr>
        <w:lastRenderedPageBreak/>
        <w:drawing>
          <wp:inline distT="0" distB="0" distL="0" distR="0" wp14:anchorId="1C12421E" wp14:editId="0522BB71">
            <wp:extent cx="4991100" cy="1441450"/>
            <wp:effectExtent l="0" t="0" r="0" b="6350"/>
            <wp:docPr id="1542520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858755" name=""/>
                    <pic:cNvPicPr/>
                  </pic:nvPicPr>
                  <pic:blipFill rotWithShape="1">
                    <a:blip r:embed="rId28">
                      <a:extLst>
                        <a:ext uri="{28A0092B-C50C-407E-A947-70E740481C1C}">
                          <a14:useLocalDpi xmlns:a14="http://schemas.microsoft.com/office/drawing/2010/main"/>
                        </a:ext>
                      </a:extLst>
                    </a:blip>
                    <a:srcRect l="-204"/>
                    <a:stretch>
                      <a:fillRect/>
                    </a:stretch>
                  </pic:blipFill>
                  <pic:spPr bwMode="auto">
                    <a:xfrm>
                      <a:off x="0" y="0"/>
                      <a:ext cx="4991100" cy="1441450"/>
                    </a:xfrm>
                    <a:prstGeom prst="rect">
                      <a:avLst/>
                    </a:prstGeom>
                    <a:ln>
                      <a:noFill/>
                    </a:ln>
                    <a:extLst>
                      <a:ext uri="{53640926-AAD7-44D8-BBD7-CCE9431645EC}">
                        <a14:shadowObscured xmlns:a14="http://schemas.microsoft.com/office/drawing/2010/main"/>
                      </a:ext>
                    </a:extLst>
                  </pic:spPr>
                </pic:pic>
              </a:graphicData>
            </a:graphic>
          </wp:inline>
        </w:drawing>
      </w:r>
    </w:p>
    <w:p w14:paraId="383CEE73" w14:textId="77777777" w:rsidR="00F70716" w:rsidRPr="0025394F" w:rsidRDefault="00F70716" w:rsidP="00F70716">
      <w:pPr>
        <w:jc w:val="center"/>
        <w:rPr>
          <w:b/>
          <w:bCs/>
        </w:rPr>
      </w:pPr>
      <w:r>
        <w:rPr>
          <w:b/>
          <w:bCs/>
        </w:rPr>
        <w:t>Figure 20: Payback Period</w:t>
      </w:r>
    </w:p>
    <w:p w14:paraId="149483FA" w14:textId="77777777" w:rsidR="00F70716" w:rsidRDefault="00F70716" w:rsidP="00F70716">
      <w:pPr>
        <w:jc w:val="center"/>
      </w:pPr>
      <w:r>
        <w:rPr>
          <w:noProof/>
          <w:lang w:val="en-IN" w:eastAsia="en-IN"/>
        </w:rPr>
        <w:drawing>
          <wp:inline distT="0" distB="0" distL="0" distR="0" wp14:anchorId="407A34B0" wp14:editId="2B4407C0">
            <wp:extent cx="5381625" cy="2676525"/>
            <wp:effectExtent l="0" t="0" r="9525" b="9525"/>
            <wp:docPr id="698494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715833" name=""/>
                    <pic:cNvPicPr/>
                  </pic:nvPicPr>
                  <pic:blipFill>
                    <a:blip r:embed="rId29"/>
                    <a:stretch>
                      <a:fillRect/>
                    </a:stretch>
                  </pic:blipFill>
                  <pic:spPr>
                    <a:xfrm>
                      <a:off x="0" y="0"/>
                      <a:ext cx="5381625" cy="2676525"/>
                    </a:xfrm>
                    <a:prstGeom prst="rect">
                      <a:avLst/>
                    </a:prstGeom>
                  </pic:spPr>
                </pic:pic>
              </a:graphicData>
            </a:graphic>
          </wp:inline>
        </w:drawing>
      </w:r>
    </w:p>
    <w:p w14:paraId="2097CB44" w14:textId="77777777" w:rsidR="00F70716" w:rsidRDefault="00F70716" w:rsidP="00F70716">
      <w:pPr>
        <w:jc w:val="center"/>
      </w:pPr>
      <w:r>
        <w:rPr>
          <w:noProof/>
          <w:lang w:val="en-IN" w:eastAsia="en-IN"/>
        </w:rPr>
        <w:drawing>
          <wp:inline distT="0" distB="0" distL="0" distR="0" wp14:anchorId="6BEA12FC" wp14:editId="0DE73D45">
            <wp:extent cx="5334000" cy="2314575"/>
            <wp:effectExtent l="0" t="0" r="0" b="9525"/>
            <wp:docPr id="26400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82082" name=""/>
                    <pic:cNvPicPr/>
                  </pic:nvPicPr>
                  <pic:blipFill>
                    <a:blip r:embed="rId30"/>
                    <a:stretch>
                      <a:fillRect/>
                    </a:stretch>
                  </pic:blipFill>
                  <pic:spPr>
                    <a:xfrm>
                      <a:off x="0" y="0"/>
                      <a:ext cx="5334000" cy="2314575"/>
                    </a:xfrm>
                    <a:prstGeom prst="rect">
                      <a:avLst/>
                    </a:prstGeom>
                  </pic:spPr>
                </pic:pic>
              </a:graphicData>
            </a:graphic>
          </wp:inline>
        </w:drawing>
      </w:r>
    </w:p>
    <w:p w14:paraId="7A5DA114" w14:textId="77777777" w:rsidR="00F70716" w:rsidRDefault="00F70716" w:rsidP="00F70716">
      <w:pPr>
        <w:jc w:val="center"/>
      </w:pPr>
      <w:r>
        <w:rPr>
          <w:noProof/>
          <w:lang w:val="en-IN" w:eastAsia="en-IN"/>
        </w:rPr>
        <w:lastRenderedPageBreak/>
        <w:drawing>
          <wp:inline distT="0" distB="0" distL="0" distR="0" wp14:anchorId="7B262CF2" wp14:editId="0297388D">
            <wp:extent cx="5181600" cy="2266950"/>
            <wp:effectExtent l="0" t="0" r="0" b="0"/>
            <wp:docPr id="334614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08985" name=""/>
                    <pic:cNvPicPr/>
                  </pic:nvPicPr>
                  <pic:blipFill>
                    <a:blip r:embed="rId31"/>
                    <a:stretch>
                      <a:fillRect/>
                    </a:stretch>
                  </pic:blipFill>
                  <pic:spPr>
                    <a:xfrm>
                      <a:off x="0" y="0"/>
                      <a:ext cx="5181600" cy="2266950"/>
                    </a:xfrm>
                    <a:prstGeom prst="rect">
                      <a:avLst/>
                    </a:prstGeom>
                  </pic:spPr>
                </pic:pic>
              </a:graphicData>
            </a:graphic>
          </wp:inline>
        </w:drawing>
      </w:r>
    </w:p>
    <w:p w14:paraId="74F97100" w14:textId="77777777" w:rsidR="00F70716" w:rsidRPr="0025394F" w:rsidRDefault="00F70716" w:rsidP="00F70716">
      <w:pPr>
        <w:jc w:val="center"/>
        <w:rPr>
          <w:b/>
          <w:bCs/>
        </w:rPr>
      </w:pPr>
      <w:r>
        <w:rPr>
          <w:b/>
          <w:bCs/>
        </w:rPr>
        <w:t>Figure 21: ARR</w:t>
      </w:r>
    </w:p>
    <w:p w14:paraId="20710D34" w14:textId="77777777" w:rsidR="00F70716" w:rsidRDefault="00F70716" w:rsidP="00F70716">
      <w:pPr>
        <w:rPr>
          <w:b/>
          <w:bCs/>
          <w:u w:val="single"/>
        </w:rPr>
      </w:pPr>
      <w:r w:rsidRPr="005E32D9">
        <w:rPr>
          <w:b/>
          <w:bCs/>
          <w:u w:val="single"/>
        </w:rPr>
        <w:t>Net Present Value (NPV) and Profitability Index (PI)</w:t>
      </w:r>
    </w:p>
    <w:p w14:paraId="2C1455A4" w14:textId="77777777" w:rsidR="00F70716" w:rsidRDefault="00F70716" w:rsidP="00F70716">
      <w:pPr>
        <w:jc w:val="center"/>
        <w:rPr>
          <w:b/>
          <w:bCs/>
          <w:u w:val="single"/>
        </w:rPr>
      </w:pPr>
      <w:r>
        <w:rPr>
          <w:noProof/>
          <w:lang w:val="en-IN" w:eastAsia="en-IN"/>
        </w:rPr>
        <w:drawing>
          <wp:inline distT="0" distB="0" distL="0" distR="0" wp14:anchorId="7E613DC7" wp14:editId="738C0336">
            <wp:extent cx="5731510" cy="2469515"/>
            <wp:effectExtent l="0" t="0" r="2540" b="6985"/>
            <wp:docPr id="1643456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90864" name=""/>
                    <pic:cNvPicPr/>
                  </pic:nvPicPr>
                  <pic:blipFill>
                    <a:blip r:embed="rId32"/>
                    <a:stretch>
                      <a:fillRect/>
                    </a:stretch>
                  </pic:blipFill>
                  <pic:spPr>
                    <a:xfrm>
                      <a:off x="0" y="0"/>
                      <a:ext cx="5731510" cy="2469515"/>
                    </a:xfrm>
                    <a:prstGeom prst="rect">
                      <a:avLst/>
                    </a:prstGeom>
                  </pic:spPr>
                </pic:pic>
              </a:graphicData>
            </a:graphic>
          </wp:inline>
        </w:drawing>
      </w:r>
    </w:p>
    <w:p w14:paraId="23262E93" w14:textId="77777777" w:rsidR="00F70716" w:rsidRDefault="00F70716" w:rsidP="00F70716">
      <w:pPr>
        <w:jc w:val="center"/>
        <w:rPr>
          <w:b/>
          <w:bCs/>
          <w:u w:val="single"/>
        </w:rPr>
      </w:pPr>
      <w:r>
        <w:rPr>
          <w:noProof/>
          <w:lang w:val="en-IN" w:eastAsia="en-IN"/>
        </w:rPr>
        <w:lastRenderedPageBreak/>
        <w:drawing>
          <wp:inline distT="0" distB="0" distL="0" distR="0" wp14:anchorId="5D643290" wp14:editId="5817744D">
            <wp:extent cx="5429250" cy="3594735"/>
            <wp:effectExtent l="0" t="0" r="0" b="5715"/>
            <wp:docPr id="2004055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27495" name=""/>
                    <pic:cNvPicPr/>
                  </pic:nvPicPr>
                  <pic:blipFill rotWithShape="1">
                    <a:blip r:embed="rId33">
                      <a:extLst>
                        <a:ext uri="{28A0092B-C50C-407E-A947-70E740481C1C}">
                          <a14:useLocalDpi xmlns:a14="http://schemas.microsoft.com/office/drawing/2010/main"/>
                        </a:ext>
                      </a:extLst>
                    </a:blip>
                    <a:srcRect r="5274"/>
                    <a:stretch>
                      <a:fillRect/>
                    </a:stretch>
                  </pic:blipFill>
                  <pic:spPr bwMode="auto">
                    <a:xfrm>
                      <a:off x="0" y="0"/>
                      <a:ext cx="5429250" cy="3594735"/>
                    </a:xfrm>
                    <a:prstGeom prst="rect">
                      <a:avLst/>
                    </a:prstGeom>
                    <a:ln>
                      <a:noFill/>
                    </a:ln>
                    <a:extLst>
                      <a:ext uri="{53640926-AAD7-44D8-BBD7-CCE9431645EC}">
                        <a14:shadowObscured xmlns:a14="http://schemas.microsoft.com/office/drawing/2010/main"/>
                      </a:ext>
                    </a:extLst>
                  </pic:spPr>
                </pic:pic>
              </a:graphicData>
            </a:graphic>
          </wp:inline>
        </w:drawing>
      </w:r>
    </w:p>
    <w:p w14:paraId="0AD58783" w14:textId="77777777" w:rsidR="00F70716" w:rsidRPr="0025394F" w:rsidRDefault="00F70716" w:rsidP="00F70716">
      <w:pPr>
        <w:jc w:val="center"/>
        <w:rPr>
          <w:b/>
          <w:bCs/>
        </w:rPr>
      </w:pPr>
      <w:r>
        <w:rPr>
          <w:b/>
          <w:bCs/>
        </w:rPr>
        <w:t>Figure 22: NPV &amp; PI</w:t>
      </w:r>
    </w:p>
    <w:p w14:paraId="3CBC525B" w14:textId="77777777" w:rsidR="00F70716" w:rsidRDefault="00F70716" w:rsidP="00F70716">
      <w:pPr>
        <w:rPr>
          <w:b/>
          <w:bCs/>
          <w:u w:val="single"/>
        </w:rPr>
      </w:pPr>
      <w:r w:rsidRPr="008D47A4">
        <w:rPr>
          <w:b/>
          <w:bCs/>
          <w:u w:val="single"/>
        </w:rPr>
        <w:t>Internal Rate of Return (IRR)</w:t>
      </w:r>
    </w:p>
    <w:p w14:paraId="1FB03584" w14:textId="77777777" w:rsidR="00F70716" w:rsidRDefault="00F70716" w:rsidP="00F70716">
      <w:pPr>
        <w:jc w:val="center"/>
        <w:rPr>
          <w:b/>
          <w:bCs/>
          <w:u w:val="single"/>
        </w:rPr>
      </w:pPr>
      <w:r>
        <w:rPr>
          <w:noProof/>
          <w:lang w:val="en-IN" w:eastAsia="en-IN"/>
        </w:rPr>
        <w:drawing>
          <wp:inline distT="0" distB="0" distL="0" distR="0" wp14:anchorId="327FE829" wp14:editId="347C03FC">
            <wp:extent cx="4076484" cy="3493135"/>
            <wp:effectExtent l="0" t="0" r="635" b="0"/>
            <wp:docPr id="605447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221306" name=""/>
                    <pic:cNvPicPr/>
                  </pic:nvPicPr>
                  <pic:blipFill rotWithShape="1">
                    <a:blip r:embed="rId34">
                      <a:extLst>
                        <a:ext uri="{28A0092B-C50C-407E-A947-70E740481C1C}">
                          <a14:useLocalDpi xmlns:a14="http://schemas.microsoft.com/office/drawing/2010/main"/>
                        </a:ext>
                      </a:extLst>
                    </a:blip>
                    <a:srcRect b="2195"/>
                    <a:stretch>
                      <a:fillRect/>
                    </a:stretch>
                  </pic:blipFill>
                  <pic:spPr bwMode="auto">
                    <a:xfrm>
                      <a:off x="0" y="0"/>
                      <a:ext cx="4087318" cy="3502419"/>
                    </a:xfrm>
                    <a:prstGeom prst="rect">
                      <a:avLst/>
                    </a:prstGeom>
                    <a:ln>
                      <a:noFill/>
                    </a:ln>
                    <a:extLst>
                      <a:ext uri="{53640926-AAD7-44D8-BBD7-CCE9431645EC}">
                        <a14:shadowObscured xmlns:a14="http://schemas.microsoft.com/office/drawing/2010/main"/>
                      </a:ext>
                    </a:extLst>
                  </pic:spPr>
                </pic:pic>
              </a:graphicData>
            </a:graphic>
          </wp:inline>
        </w:drawing>
      </w:r>
    </w:p>
    <w:p w14:paraId="4601D53B" w14:textId="77777777" w:rsidR="00F70716" w:rsidRDefault="00F70716" w:rsidP="00F70716">
      <w:pPr>
        <w:jc w:val="center"/>
        <w:rPr>
          <w:b/>
          <w:bCs/>
          <w:u w:val="single"/>
        </w:rPr>
      </w:pPr>
      <w:r>
        <w:rPr>
          <w:noProof/>
          <w:lang w:val="en-IN" w:eastAsia="en-IN"/>
        </w:rPr>
        <w:lastRenderedPageBreak/>
        <w:drawing>
          <wp:inline distT="0" distB="0" distL="0" distR="0" wp14:anchorId="6FEB66CB" wp14:editId="263F67CD">
            <wp:extent cx="3651518" cy="3721100"/>
            <wp:effectExtent l="0" t="0" r="6350" b="0"/>
            <wp:docPr id="491483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19067" name=""/>
                    <pic:cNvPicPr/>
                  </pic:nvPicPr>
                  <pic:blipFill rotWithShape="1">
                    <a:blip r:embed="rId35">
                      <a:extLst>
                        <a:ext uri="{28A0092B-C50C-407E-A947-70E740481C1C}">
                          <a14:useLocalDpi xmlns:a14="http://schemas.microsoft.com/office/drawing/2010/main"/>
                        </a:ext>
                      </a:extLst>
                    </a:blip>
                    <a:srcRect/>
                    <a:stretch>
                      <a:fillRect/>
                    </a:stretch>
                  </pic:blipFill>
                  <pic:spPr bwMode="auto">
                    <a:xfrm>
                      <a:off x="0" y="0"/>
                      <a:ext cx="3669586" cy="3739513"/>
                    </a:xfrm>
                    <a:prstGeom prst="rect">
                      <a:avLst/>
                    </a:prstGeom>
                    <a:ln>
                      <a:noFill/>
                    </a:ln>
                    <a:extLst>
                      <a:ext uri="{53640926-AAD7-44D8-BBD7-CCE9431645EC}">
                        <a14:shadowObscured xmlns:a14="http://schemas.microsoft.com/office/drawing/2010/main"/>
                      </a:ext>
                    </a:extLst>
                  </pic:spPr>
                </pic:pic>
              </a:graphicData>
            </a:graphic>
          </wp:inline>
        </w:drawing>
      </w:r>
    </w:p>
    <w:p w14:paraId="4F5E0ED3" w14:textId="77777777" w:rsidR="00F70716" w:rsidRPr="00F70716" w:rsidRDefault="00F70716" w:rsidP="00F70716">
      <w:pPr>
        <w:jc w:val="center"/>
        <w:rPr>
          <w:b/>
          <w:bCs/>
        </w:rPr>
      </w:pPr>
      <w:r>
        <w:rPr>
          <w:b/>
          <w:bCs/>
        </w:rPr>
        <w:t>Figure 22: IRR</w:t>
      </w:r>
    </w:p>
    <w:p w14:paraId="08E8BA76" w14:textId="77777777" w:rsidR="00F70716" w:rsidRPr="00CF3DD2" w:rsidRDefault="00F70716" w:rsidP="00CF3DD2">
      <w:pPr>
        <w:jc w:val="center"/>
        <w:rPr>
          <w:b/>
          <w:bCs/>
        </w:rPr>
      </w:pPr>
    </w:p>
    <w:p w14:paraId="45920906" w14:textId="77777777" w:rsidR="00CF3DD2" w:rsidRPr="006D7A8A" w:rsidRDefault="00CF3DD2" w:rsidP="00CF3DD2">
      <w:pPr>
        <w:jc w:val="center"/>
        <w:rPr>
          <w:b/>
          <w:bCs/>
        </w:rPr>
      </w:pPr>
    </w:p>
    <w:p w14:paraId="721E5AD9" w14:textId="77777777" w:rsidR="00CF3DD2" w:rsidRPr="006D7A8A" w:rsidRDefault="00CF3DD2" w:rsidP="006D7A8A">
      <w:pPr>
        <w:jc w:val="center"/>
        <w:rPr>
          <w:b/>
          <w:bCs/>
        </w:rPr>
      </w:pPr>
    </w:p>
    <w:p w14:paraId="6E049271" w14:textId="77777777" w:rsidR="006D7A8A" w:rsidRPr="008C26A4" w:rsidRDefault="006D7A8A" w:rsidP="006D7A8A"/>
    <w:p w14:paraId="1BDA0E7D" w14:textId="77777777" w:rsidR="008C26A4" w:rsidRPr="008C26A4" w:rsidRDefault="008C26A4" w:rsidP="008C26A4"/>
    <w:p w14:paraId="6B9E9E41" w14:textId="77777777" w:rsidR="00D54E2F" w:rsidRDefault="00D54E2F" w:rsidP="00BF27AB">
      <w:pPr>
        <w:rPr>
          <w:color w:val="auto"/>
        </w:rPr>
      </w:pPr>
    </w:p>
    <w:p w14:paraId="040C2FC1" w14:textId="77777777" w:rsidR="00663CA0" w:rsidRDefault="00663CA0" w:rsidP="005E32D9"/>
    <w:p w14:paraId="6290C0AC" w14:textId="77777777" w:rsidR="00663CA0" w:rsidRDefault="00663CA0" w:rsidP="005E32D9"/>
    <w:p w14:paraId="663C8436" w14:textId="77777777" w:rsidR="00663CA0" w:rsidRDefault="00663CA0" w:rsidP="005E32D9"/>
    <w:sectPr w:rsidR="00663CA0" w:rsidSect="007F2122">
      <w:headerReference w:type="default" r:id="rId82"/>
      <w:footerReference w:type="even" r:id="rId83"/>
      <w:footerReference w:type="default" r:id="rId8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AF06A" w14:textId="77777777" w:rsidR="00E547E1" w:rsidRDefault="00E547E1">
      <w:pPr>
        <w:spacing w:after="0" w:line="240" w:lineRule="auto"/>
      </w:pPr>
      <w:r>
        <w:separator/>
      </w:r>
    </w:p>
  </w:endnote>
  <w:endnote w:type="continuationSeparator" w:id="0">
    <w:p w14:paraId="1E53DAE2" w14:textId="77777777" w:rsidR="00E547E1" w:rsidRDefault="00E54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9389769"/>
      <w:docPartObj>
        <w:docPartGallery w:val="Page Numbers (Bottom of Page)"/>
        <w:docPartUnique/>
      </w:docPartObj>
    </w:sdtPr>
    <w:sdtContent>
      <w:p w14:paraId="24A28131" w14:textId="679374ED" w:rsidR="00AE5901" w:rsidRDefault="00AE5901" w:rsidP="00E90E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74B7AB" w14:textId="77777777" w:rsidR="00AE5901" w:rsidRDefault="00AE5901" w:rsidP="00AE59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8369785"/>
      <w:docPartObj>
        <w:docPartGallery w:val="Page Numbers (Bottom of Page)"/>
        <w:docPartUnique/>
      </w:docPartObj>
    </w:sdtPr>
    <w:sdtContent>
      <w:p w14:paraId="25400805" w14:textId="71F4E75C" w:rsidR="00AE5901" w:rsidRDefault="00AE5901" w:rsidP="00E90E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5D5A7EC7" w14:textId="77777777" w:rsidR="007F2122" w:rsidRDefault="007F2122" w:rsidP="00AE590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1389E" w14:textId="77777777" w:rsidR="00E547E1" w:rsidRDefault="00E547E1">
      <w:pPr>
        <w:spacing w:after="0" w:line="240" w:lineRule="auto"/>
      </w:pPr>
      <w:r>
        <w:separator/>
      </w:r>
    </w:p>
  </w:footnote>
  <w:footnote w:type="continuationSeparator" w:id="0">
    <w:p w14:paraId="519DAE3A" w14:textId="77777777" w:rsidR="00E547E1" w:rsidRDefault="00E54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55F6B" w14:textId="77777777" w:rsidR="007F2122" w:rsidRPr="007F2122" w:rsidRDefault="00A3578D" w:rsidP="007F2122">
    <w:pPr>
      <w:jc w:val="right"/>
      <w:rPr>
        <w:b/>
        <w:bCs/>
      </w:rPr>
    </w:pPr>
    <w:r w:rsidRPr="007F2122">
      <w:rPr>
        <w:b/>
        <w:bCs/>
      </w:rPr>
      <w:t>Strategic CFO Challenge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F45F7"/>
    <w:multiLevelType w:val="hybridMultilevel"/>
    <w:tmpl w:val="6624CD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3102D3"/>
    <w:multiLevelType w:val="hybridMultilevel"/>
    <w:tmpl w:val="250E0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5A4766"/>
    <w:multiLevelType w:val="hybridMultilevel"/>
    <w:tmpl w:val="90CC8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2984740">
    <w:abstractNumId w:val="0"/>
  </w:num>
  <w:num w:numId="2" w16cid:durableId="188951000">
    <w:abstractNumId w:val="2"/>
  </w:num>
  <w:num w:numId="3" w16cid:durableId="1427733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2D9"/>
    <w:rsid w:val="0000524F"/>
    <w:rsid w:val="000574C0"/>
    <w:rsid w:val="000633D7"/>
    <w:rsid w:val="000B0D71"/>
    <w:rsid w:val="000C2901"/>
    <w:rsid w:val="000C432B"/>
    <w:rsid w:val="00135445"/>
    <w:rsid w:val="00140F79"/>
    <w:rsid w:val="001753C6"/>
    <w:rsid w:val="001B3A57"/>
    <w:rsid w:val="001B7ABF"/>
    <w:rsid w:val="001F48B8"/>
    <w:rsid w:val="001F7390"/>
    <w:rsid w:val="002414DE"/>
    <w:rsid w:val="0025394F"/>
    <w:rsid w:val="00286BDC"/>
    <w:rsid w:val="002A1791"/>
    <w:rsid w:val="002B068B"/>
    <w:rsid w:val="002F56AF"/>
    <w:rsid w:val="00300CD2"/>
    <w:rsid w:val="003033AC"/>
    <w:rsid w:val="00320B4B"/>
    <w:rsid w:val="003700C5"/>
    <w:rsid w:val="003A1350"/>
    <w:rsid w:val="004A39CC"/>
    <w:rsid w:val="004A5E66"/>
    <w:rsid w:val="00502ABE"/>
    <w:rsid w:val="00522E41"/>
    <w:rsid w:val="005470F3"/>
    <w:rsid w:val="00565FBF"/>
    <w:rsid w:val="005746FD"/>
    <w:rsid w:val="005807B8"/>
    <w:rsid w:val="005E32D9"/>
    <w:rsid w:val="005E6B2A"/>
    <w:rsid w:val="00637E1D"/>
    <w:rsid w:val="00663CA0"/>
    <w:rsid w:val="0066793C"/>
    <w:rsid w:val="006C4ECA"/>
    <w:rsid w:val="006D7A8A"/>
    <w:rsid w:val="006E6A17"/>
    <w:rsid w:val="007222A2"/>
    <w:rsid w:val="0073605D"/>
    <w:rsid w:val="00792855"/>
    <w:rsid w:val="007A576C"/>
    <w:rsid w:val="007D6BB1"/>
    <w:rsid w:val="007F11DD"/>
    <w:rsid w:val="007F2122"/>
    <w:rsid w:val="008167F6"/>
    <w:rsid w:val="008348B8"/>
    <w:rsid w:val="0084076E"/>
    <w:rsid w:val="00863AFE"/>
    <w:rsid w:val="008C26A4"/>
    <w:rsid w:val="008D47A4"/>
    <w:rsid w:val="009515F8"/>
    <w:rsid w:val="00981A07"/>
    <w:rsid w:val="00A3578D"/>
    <w:rsid w:val="00A94341"/>
    <w:rsid w:val="00AE5901"/>
    <w:rsid w:val="00AE65F6"/>
    <w:rsid w:val="00B53382"/>
    <w:rsid w:val="00B6435E"/>
    <w:rsid w:val="00B95DD6"/>
    <w:rsid w:val="00BF27AB"/>
    <w:rsid w:val="00C13042"/>
    <w:rsid w:val="00C17DB9"/>
    <w:rsid w:val="00C34B80"/>
    <w:rsid w:val="00C7497E"/>
    <w:rsid w:val="00C85014"/>
    <w:rsid w:val="00C95620"/>
    <w:rsid w:val="00CA3BF1"/>
    <w:rsid w:val="00CF3DD2"/>
    <w:rsid w:val="00D064AC"/>
    <w:rsid w:val="00D237FC"/>
    <w:rsid w:val="00D25F46"/>
    <w:rsid w:val="00D41466"/>
    <w:rsid w:val="00D54E2F"/>
    <w:rsid w:val="00D77A4F"/>
    <w:rsid w:val="00DB41E4"/>
    <w:rsid w:val="00DE728A"/>
    <w:rsid w:val="00E025E6"/>
    <w:rsid w:val="00E42575"/>
    <w:rsid w:val="00E547E1"/>
    <w:rsid w:val="00E55DB1"/>
    <w:rsid w:val="00E57FC8"/>
    <w:rsid w:val="00EB78FE"/>
    <w:rsid w:val="00ED57D1"/>
    <w:rsid w:val="00F0599A"/>
    <w:rsid w:val="00F36D17"/>
    <w:rsid w:val="00F47278"/>
    <w:rsid w:val="00F70716"/>
    <w:rsid w:val="00F70EF4"/>
    <w:rsid w:val="00F82ADE"/>
    <w:rsid w:val="00F91EB6"/>
    <w:rsid w:val="00FB03FC"/>
    <w:rsid w:val="00FF415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0D6E5"/>
  <w15:chartTrackingRefBased/>
  <w15:docId w15:val="{676828AD-A6C6-4593-85FE-B9F9EF66F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CA0"/>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63CA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663CA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CA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663CA0"/>
    <w:rPr>
      <w:rFonts w:ascii="Times New Roman" w:eastAsiaTheme="majorEastAsia" w:hAnsi="Times New Roman" w:cstheme="majorBidi"/>
      <w:b/>
      <w:color w:val="000000" w:themeColor="text1"/>
      <w:sz w:val="26"/>
      <w:szCs w:val="26"/>
    </w:rPr>
  </w:style>
  <w:style w:type="table" w:styleId="GridTable6Colourful">
    <w:name w:val="Grid Table 6 Colorful"/>
    <w:basedOn w:val="TableNormal"/>
    <w:uiPriority w:val="51"/>
    <w:rsid w:val="005E32D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5E32D9"/>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urfulAccent2">
    <w:name w:val="Grid Table 6 Colorful Accent 2"/>
    <w:basedOn w:val="TableNormal"/>
    <w:uiPriority w:val="51"/>
    <w:rsid w:val="005E32D9"/>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urfulAccent3">
    <w:name w:val="Grid Table 6 Colorful Accent 3"/>
    <w:basedOn w:val="TableNormal"/>
    <w:uiPriority w:val="51"/>
    <w:rsid w:val="005E32D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urfulAccent4">
    <w:name w:val="Grid Table 6 Colorful Accent 4"/>
    <w:basedOn w:val="TableNormal"/>
    <w:uiPriority w:val="51"/>
    <w:rsid w:val="005E32D9"/>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urfulAccent5">
    <w:name w:val="Grid Table 6 Colorful Accent 5"/>
    <w:basedOn w:val="TableNormal"/>
    <w:uiPriority w:val="51"/>
    <w:rsid w:val="005E32D9"/>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urfulAccent6">
    <w:name w:val="Grid Table 6 Colorful Accent 6"/>
    <w:basedOn w:val="TableNormal"/>
    <w:uiPriority w:val="51"/>
    <w:rsid w:val="005E32D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7F2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122"/>
    <w:rPr>
      <w:rFonts w:ascii="Times New Roman" w:hAnsi="Times New Roman"/>
      <w:color w:val="000000" w:themeColor="text1"/>
      <w:sz w:val="24"/>
    </w:rPr>
  </w:style>
  <w:style w:type="paragraph" w:styleId="Footer">
    <w:name w:val="footer"/>
    <w:basedOn w:val="Normal"/>
    <w:link w:val="FooterChar"/>
    <w:uiPriority w:val="99"/>
    <w:unhideWhenUsed/>
    <w:rsid w:val="007F2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122"/>
    <w:rPr>
      <w:rFonts w:ascii="Times New Roman" w:hAnsi="Times New Roman"/>
      <w:color w:val="000000" w:themeColor="text1"/>
      <w:sz w:val="24"/>
    </w:rPr>
  </w:style>
  <w:style w:type="paragraph" w:styleId="TOCHeading">
    <w:name w:val="TOC Heading"/>
    <w:basedOn w:val="Heading1"/>
    <w:next w:val="Normal"/>
    <w:uiPriority w:val="39"/>
    <w:unhideWhenUsed/>
    <w:qFormat/>
    <w:rsid w:val="007F2122"/>
    <w:pPr>
      <w:spacing w:line="259" w:lineRule="auto"/>
      <w:jc w:val="left"/>
      <w:outlineLvl w:val="9"/>
    </w:pPr>
    <w:rPr>
      <w:rFonts w:asciiTheme="majorHAnsi" w:hAnsiTheme="majorHAnsi"/>
      <w:b w:val="0"/>
      <w:color w:val="2F5496" w:themeColor="accent1" w:themeShade="BF"/>
      <w:sz w:val="32"/>
      <w:lang w:eastAsia="en-GB"/>
      <w14:ligatures w14:val="none"/>
    </w:rPr>
  </w:style>
  <w:style w:type="paragraph" w:styleId="TOC1">
    <w:name w:val="toc 1"/>
    <w:basedOn w:val="Normal"/>
    <w:next w:val="Normal"/>
    <w:autoRedefine/>
    <w:uiPriority w:val="39"/>
    <w:unhideWhenUsed/>
    <w:rsid w:val="007F2122"/>
    <w:pPr>
      <w:spacing w:after="100"/>
    </w:pPr>
  </w:style>
  <w:style w:type="character" w:styleId="Hyperlink">
    <w:name w:val="Hyperlink"/>
    <w:basedOn w:val="DefaultParagraphFont"/>
    <w:uiPriority w:val="99"/>
    <w:unhideWhenUsed/>
    <w:rsid w:val="007F2122"/>
    <w:rPr>
      <w:color w:val="0563C1" w:themeColor="hyperlink"/>
      <w:u w:val="single"/>
    </w:rPr>
  </w:style>
  <w:style w:type="paragraph" w:styleId="ListParagraph">
    <w:name w:val="List Paragraph"/>
    <w:basedOn w:val="Normal"/>
    <w:uiPriority w:val="34"/>
    <w:qFormat/>
    <w:rsid w:val="00D25F46"/>
    <w:pPr>
      <w:ind w:left="720"/>
      <w:contextualSpacing/>
    </w:pPr>
  </w:style>
  <w:style w:type="paragraph" w:styleId="NormalWeb">
    <w:name w:val="Normal (Web)"/>
    <w:basedOn w:val="Normal"/>
    <w:uiPriority w:val="99"/>
    <w:semiHidden/>
    <w:unhideWhenUsed/>
    <w:rsid w:val="00D25F46"/>
    <w:pPr>
      <w:spacing w:before="100" w:beforeAutospacing="1" w:after="100" w:afterAutospacing="1" w:line="240" w:lineRule="auto"/>
      <w:jc w:val="left"/>
    </w:pPr>
    <w:rPr>
      <w:rFonts w:eastAsia="Times New Roman" w:cs="Times New Roman"/>
      <w:color w:val="auto"/>
      <w:szCs w:val="24"/>
      <w:lang w:eastAsia="en-GB"/>
      <w14:ligatures w14:val="none"/>
    </w:rPr>
  </w:style>
  <w:style w:type="character" w:styleId="FollowedHyperlink">
    <w:name w:val="FollowedHyperlink"/>
    <w:basedOn w:val="DefaultParagraphFont"/>
    <w:uiPriority w:val="99"/>
    <w:semiHidden/>
    <w:unhideWhenUsed/>
    <w:rsid w:val="005E6B2A"/>
    <w:rPr>
      <w:color w:val="954F72" w:themeColor="followedHyperlink"/>
      <w:u w:val="single"/>
    </w:rPr>
  </w:style>
  <w:style w:type="character" w:styleId="Strong">
    <w:name w:val="Strong"/>
    <w:basedOn w:val="DefaultParagraphFont"/>
    <w:uiPriority w:val="22"/>
    <w:qFormat/>
    <w:rsid w:val="002B068B"/>
    <w:rPr>
      <w:b/>
      <w:bCs/>
    </w:rPr>
  </w:style>
  <w:style w:type="character" w:customStyle="1" w:styleId="UnresolvedMention1">
    <w:name w:val="Unresolved Mention1"/>
    <w:basedOn w:val="DefaultParagraphFont"/>
    <w:uiPriority w:val="99"/>
    <w:semiHidden/>
    <w:unhideWhenUsed/>
    <w:rsid w:val="001F7390"/>
    <w:rPr>
      <w:color w:val="605E5C"/>
      <w:shd w:val="clear" w:color="auto" w:fill="E1DFDD"/>
    </w:rPr>
  </w:style>
  <w:style w:type="character" w:styleId="PageNumber">
    <w:name w:val="page number"/>
    <w:basedOn w:val="DefaultParagraphFont"/>
    <w:uiPriority w:val="99"/>
    <w:semiHidden/>
    <w:unhideWhenUsed/>
    <w:rsid w:val="00AE5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117828">
      <w:bodyDiv w:val="1"/>
      <w:marLeft w:val="0"/>
      <w:marRight w:val="0"/>
      <w:marTop w:val="0"/>
      <w:marBottom w:val="0"/>
      <w:divBdr>
        <w:top w:val="none" w:sz="0" w:space="0" w:color="auto"/>
        <w:left w:val="none" w:sz="0" w:space="0" w:color="auto"/>
        <w:bottom w:val="none" w:sz="0" w:space="0" w:color="auto"/>
        <w:right w:val="none" w:sz="0" w:space="0" w:color="auto"/>
      </w:divBdr>
    </w:div>
    <w:div w:id="176581580">
      <w:bodyDiv w:val="1"/>
      <w:marLeft w:val="0"/>
      <w:marRight w:val="0"/>
      <w:marTop w:val="0"/>
      <w:marBottom w:val="0"/>
      <w:divBdr>
        <w:top w:val="none" w:sz="0" w:space="0" w:color="auto"/>
        <w:left w:val="none" w:sz="0" w:space="0" w:color="auto"/>
        <w:bottom w:val="none" w:sz="0" w:space="0" w:color="auto"/>
        <w:right w:val="none" w:sz="0" w:space="0" w:color="auto"/>
      </w:divBdr>
    </w:div>
    <w:div w:id="221674518">
      <w:bodyDiv w:val="1"/>
      <w:marLeft w:val="0"/>
      <w:marRight w:val="0"/>
      <w:marTop w:val="0"/>
      <w:marBottom w:val="0"/>
      <w:divBdr>
        <w:top w:val="none" w:sz="0" w:space="0" w:color="auto"/>
        <w:left w:val="none" w:sz="0" w:space="0" w:color="auto"/>
        <w:bottom w:val="none" w:sz="0" w:space="0" w:color="auto"/>
        <w:right w:val="none" w:sz="0" w:space="0" w:color="auto"/>
      </w:divBdr>
      <w:divsChild>
        <w:div w:id="905800235">
          <w:marLeft w:val="0"/>
          <w:marRight w:val="0"/>
          <w:marTop w:val="0"/>
          <w:marBottom w:val="0"/>
          <w:divBdr>
            <w:top w:val="none" w:sz="0" w:space="0" w:color="auto"/>
            <w:left w:val="none" w:sz="0" w:space="0" w:color="auto"/>
            <w:bottom w:val="none" w:sz="0" w:space="0" w:color="auto"/>
            <w:right w:val="none" w:sz="0" w:space="0" w:color="auto"/>
          </w:divBdr>
        </w:div>
      </w:divsChild>
    </w:div>
    <w:div w:id="226306106">
      <w:bodyDiv w:val="1"/>
      <w:marLeft w:val="0"/>
      <w:marRight w:val="0"/>
      <w:marTop w:val="0"/>
      <w:marBottom w:val="0"/>
      <w:divBdr>
        <w:top w:val="none" w:sz="0" w:space="0" w:color="auto"/>
        <w:left w:val="none" w:sz="0" w:space="0" w:color="auto"/>
        <w:bottom w:val="none" w:sz="0" w:space="0" w:color="auto"/>
        <w:right w:val="none" w:sz="0" w:space="0" w:color="auto"/>
      </w:divBdr>
    </w:div>
    <w:div w:id="336541559">
      <w:bodyDiv w:val="1"/>
      <w:marLeft w:val="0"/>
      <w:marRight w:val="0"/>
      <w:marTop w:val="0"/>
      <w:marBottom w:val="0"/>
      <w:divBdr>
        <w:top w:val="none" w:sz="0" w:space="0" w:color="auto"/>
        <w:left w:val="none" w:sz="0" w:space="0" w:color="auto"/>
        <w:bottom w:val="none" w:sz="0" w:space="0" w:color="auto"/>
        <w:right w:val="none" w:sz="0" w:space="0" w:color="auto"/>
      </w:divBdr>
    </w:div>
    <w:div w:id="341590528">
      <w:bodyDiv w:val="1"/>
      <w:marLeft w:val="0"/>
      <w:marRight w:val="0"/>
      <w:marTop w:val="0"/>
      <w:marBottom w:val="0"/>
      <w:divBdr>
        <w:top w:val="none" w:sz="0" w:space="0" w:color="auto"/>
        <w:left w:val="none" w:sz="0" w:space="0" w:color="auto"/>
        <w:bottom w:val="none" w:sz="0" w:space="0" w:color="auto"/>
        <w:right w:val="none" w:sz="0" w:space="0" w:color="auto"/>
      </w:divBdr>
    </w:div>
    <w:div w:id="448663995">
      <w:bodyDiv w:val="1"/>
      <w:marLeft w:val="0"/>
      <w:marRight w:val="0"/>
      <w:marTop w:val="0"/>
      <w:marBottom w:val="0"/>
      <w:divBdr>
        <w:top w:val="none" w:sz="0" w:space="0" w:color="auto"/>
        <w:left w:val="none" w:sz="0" w:space="0" w:color="auto"/>
        <w:bottom w:val="none" w:sz="0" w:space="0" w:color="auto"/>
        <w:right w:val="none" w:sz="0" w:space="0" w:color="auto"/>
      </w:divBdr>
    </w:div>
    <w:div w:id="481896921">
      <w:bodyDiv w:val="1"/>
      <w:marLeft w:val="0"/>
      <w:marRight w:val="0"/>
      <w:marTop w:val="0"/>
      <w:marBottom w:val="0"/>
      <w:divBdr>
        <w:top w:val="none" w:sz="0" w:space="0" w:color="auto"/>
        <w:left w:val="none" w:sz="0" w:space="0" w:color="auto"/>
        <w:bottom w:val="none" w:sz="0" w:space="0" w:color="auto"/>
        <w:right w:val="none" w:sz="0" w:space="0" w:color="auto"/>
      </w:divBdr>
      <w:divsChild>
        <w:div w:id="1921329045">
          <w:marLeft w:val="0"/>
          <w:marRight w:val="0"/>
          <w:marTop w:val="0"/>
          <w:marBottom w:val="0"/>
          <w:divBdr>
            <w:top w:val="none" w:sz="0" w:space="0" w:color="auto"/>
            <w:left w:val="none" w:sz="0" w:space="0" w:color="auto"/>
            <w:bottom w:val="none" w:sz="0" w:space="0" w:color="auto"/>
            <w:right w:val="none" w:sz="0" w:space="0" w:color="auto"/>
          </w:divBdr>
        </w:div>
      </w:divsChild>
    </w:div>
    <w:div w:id="491871286">
      <w:bodyDiv w:val="1"/>
      <w:marLeft w:val="0"/>
      <w:marRight w:val="0"/>
      <w:marTop w:val="0"/>
      <w:marBottom w:val="0"/>
      <w:divBdr>
        <w:top w:val="none" w:sz="0" w:space="0" w:color="auto"/>
        <w:left w:val="none" w:sz="0" w:space="0" w:color="auto"/>
        <w:bottom w:val="none" w:sz="0" w:space="0" w:color="auto"/>
        <w:right w:val="none" w:sz="0" w:space="0" w:color="auto"/>
      </w:divBdr>
    </w:div>
    <w:div w:id="660348427">
      <w:bodyDiv w:val="1"/>
      <w:marLeft w:val="0"/>
      <w:marRight w:val="0"/>
      <w:marTop w:val="0"/>
      <w:marBottom w:val="0"/>
      <w:divBdr>
        <w:top w:val="none" w:sz="0" w:space="0" w:color="auto"/>
        <w:left w:val="none" w:sz="0" w:space="0" w:color="auto"/>
        <w:bottom w:val="none" w:sz="0" w:space="0" w:color="auto"/>
        <w:right w:val="none" w:sz="0" w:space="0" w:color="auto"/>
      </w:divBdr>
    </w:div>
    <w:div w:id="674723759">
      <w:bodyDiv w:val="1"/>
      <w:marLeft w:val="0"/>
      <w:marRight w:val="0"/>
      <w:marTop w:val="0"/>
      <w:marBottom w:val="0"/>
      <w:divBdr>
        <w:top w:val="none" w:sz="0" w:space="0" w:color="auto"/>
        <w:left w:val="none" w:sz="0" w:space="0" w:color="auto"/>
        <w:bottom w:val="none" w:sz="0" w:space="0" w:color="auto"/>
        <w:right w:val="none" w:sz="0" w:space="0" w:color="auto"/>
      </w:divBdr>
    </w:div>
    <w:div w:id="680133221">
      <w:bodyDiv w:val="1"/>
      <w:marLeft w:val="0"/>
      <w:marRight w:val="0"/>
      <w:marTop w:val="0"/>
      <w:marBottom w:val="0"/>
      <w:divBdr>
        <w:top w:val="none" w:sz="0" w:space="0" w:color="auto"/>
        <w:left w:val="none" w:sz="0" w:space="0" w:color="auto"/>
        <w:bottom w:val="none" w:sz="0" w:space="0" w:color="auto"/>
        <w:right w:val="none" w:sz="0" w:space="0" w:color="auto"/>
      </w:divBdr>
      <w:divsChild>
        <w:div w:id="1778988977">
          <w:marLeft w:val="0"/>
          <w:marRight w:val="0"/>
          <w:marTop w:val="0"/>
          <w:marBottom w:val="0"/>
          <w:divBdr>
            <w:top w:val="none" w:sz="0" w:space="0" w:color="auto"/>
            <w:left w:val="none" w:sz="0" w:space="0" w:color="auto"/>
            <w:bottom w:val="none" w:sz="0" w:space="0" w:color="auto"/>
            <w:right w:val="none" w:sz="0" w:space="0" w:color="auto"/>
          </w:divBdr>
        </w:div>
      </w:divsChild>
    </w:div>
    <w:div w:id="693961588">
      <w:bodyDiv w:val="1"/>
      <w:marLeft w:val="0"/>
      <w:marRight w:val="0"/>
      <w:marTop w:val="0"/>
      <w:marBottom w:val="0"/>
      <w:divBdr>
        <w:top w:val="none" w:sz="0" w:space="0" w:color="auto"/>
        <w:left w:val="none" w:sz="0" w:space="0" w:color="auto"/>
        <w:bottom w:val="none" w:sz="0" w:space="0" w:color="auto"/>
        <w:right w:val="none" w:sz="0" w:space="0" w:color="auto"/>
      </w:divBdr>
    </w:div>
    <w:div w:id="716011973">
      <w:bodyDiv w:val="1"/>
      <w:marLeft w:val="0"/>
      <w:marRight w:val="0"/>
      <w:marTop w:val="0"/>
      <w:marBottom w:val="0"/>
      <w:divBdr>
        <w:top w:val="none" w:sz="0" w:space="0" w:color="auto"/>
        <w:left w:val="none" w:sz="0" w:space="0" w:color="auto"/>
        <w:bottom w:val="none" w:sz="0" w:space="0" w:color="auto"/>
        <w:right w:val="none" w:sz="0" w:space="0" w:color="auto"/>
      </w:divBdr>
    </w:div>
    <w:div w:id="729616250">
      <w:bodyDiv w:val="1"/>
      <w:marLeft w:val="0"/>
      <w:marRight w:val="0"/>
      <w:marTop w:val="0"/>
      <w:marBottom w:val="0"/>
      <w:divBdr>
        <w:top w:val="none" w:sz="0" w:space="0" w:color="auto"/>
        <w:left w:val="none" w:sz="0" w:space="0" w:color="auto"/>
        <w:bottom w:val="none" w:sz="0" w:space="0" w:color="auto"/>
        <w:right w:val="none" w:sz="0" w:space="0" w:color="auto"/>
      </w:divBdr>
    </w:div>
    <w:div w:id="778262545">
      <w:bodyDiv w:val="1"/>
      <w:marLeft w:val="0"/>
      <w:marRight w:val="0"/>
      <w:marTop w:val="0"/>
      <w:marBottom w:val="0"/>
      <w:divBdr>
        <w:top w:val="none" w:sz="0" w:space="0" w:color="auto"/>
        <w:left w:val="none" w:sz="0" w:space="0" w:color="auto"/>
        <w:bottom w:val="none" w:sz="0" w:space="0" w:color="auto"/>
        <w:right w:val="none" w:sz="0" w:space="0" w:color="auto"/>
      </w:divBdr>
    </w:div>
    <w:div w:id="877396115">
      <w:bodyDiv w:val="1"/>
      <w:marLeft w:val="0"/>
      <w:marRight w:val="0"/>
      <w:marTop w:val="0"/>
      <w:marBottom w:val="0"/>
      <w:divBdr>
        <w:top w:val="none" w:sz="0" w:space="0" w:color="auto"/>
        <w:left w:val="none" w:sz="0" w:space="0" w:color="auto"/>
        <w:bottom w:val="none" w:sz="0" w:space="0" w:color="auto"/>
        <w:right w:val="none" w:sz="0" w:space="0" w:color="auto"/>
      </w:divBdr>
      <w:divsChild>
        <w:div w:id="616374799">
          <w:marLeft w:val="0"/>
          <w:marRight w:val="0"/>
          <w:marTop w:val="0"/>
          <w:marBottom w:val="0"/>
          <w:divBdr>
            <w:top w:val="none" w:sz="0" w:space="0" w:color="auto"/>
            <w:left w:val="none" w:sz="0" w:space="0" w:color="auto"/>
            <w:bottom w:val="none" w:sz="0" w:space="0" w:color="auto"/>
            <w:right w:val="none" w:sz="0" w:space="0" w:color="auto"/>
          </w:divBdr>
        </w:div>
      </w:divsChild>
    </w:div>
    <w:div w:id="892428587">
      <w:bodyDiv w:val="1"/>
      <w:marLeft w:val="0"/>
      <w:marRight w:val="0"/>
      <w:marTop w:val="0"/>
      <w:marBottom w:val="0"/>
      <w:divBdr>
        <w:top w:val="none" w:sz="0" w:space="0" w:color="auto"/>
        <w:left w:val="none" w:sz="0" w:space="0" w:color="auto"/>
        <w:bottom w:val="none" w:sz="0" w:space="0" w:color="auto"/>
        <w:right w:val="none" w:sz="0" w:space="0" w:color="auto"/>
      </w:divBdr>
    </w:div>
    <w:div w:id="925646535">
      <w:bodyDiv w:val="1"/>
      <w:marLeft w:val="0"/>
      <w:marRight w:val="0"/>
      <w:marTop w:val="0"/>
      <w:marBottom w:val="0"/>
      <w:divBdr>
        <w:top w:val="none" w:sz="0" w:space="0" w:color="auto"/>
        <w:left w:val="none" w:sz="0" w:space="0" w:color="auto"/>
        <w:bottom w:val="none" w:sz="0" w:space="0" w:color="auto"/>
        <w:right w:val="none" w:sz="0" w:space="0" w:color="auto"/>
      </w:divBdr>
    </w:div>
    <w:div w:id="970549889">
      <w:bodyDiv w:val="1"/>
      <w:marLeft w:val="0"/>
      <w:marRight w:val="0"/>
      <w:marTop w:val="0"/>
      <w:marBottom w:val="0"/>
      <w:divBdr>
        <w:top w:val="none" w:sz="0" w:space="0" w:color="auto"/>
        <w:left w:val="none" w:sz="0" w:space="0" w:color="auto"/>
        <w:bottom w:val="none" w:sz="0" w:space="0" w:color="auto"/>
        <w:right w:val="none" w:sz="0" w:space="0" w:color="auto"/>
      </w:divBdr>
    </w:div>
    <w:div w:id="1028213140">
      <w:bodyDiv w:val="1"/>
      <w:marLeft w:val="0"/>
      <w:marRight w:val="0"/>
      <w:marTop w:val="0"/>
      <w:marBottom w:val="0"/>
      <w:divBdr>
        <w:top w:val="none" w:sz="0" w:space="0" w:color="auto"/>
        <w:left w:val="none" w:sz="0" w:space="0" w:color="auto"/>
        <w:bottom w:val="none" w:sz="0" w:space="0" w:color="auto"/>
        <w:right w:val="none" w:sz="0" w:space="0" w:color="auto"/>
      </w:divBdr>
    </w:div>
    <w:div w:id="1101680101">
      <w:bodyDiv w:val="1"/>
      <w:marLeft w:val="0"/>
      <w:marRight w:val="0"/>
      <w:marTop w:val="0"/>
      <w:marBottom w:val="0"/>
      <w:divBdr>
        <w:top w:val="none" w:sz="0" w:space="0" w:color="auto"/>
        <w:left w:val="none" w:sz="0" w:space="0" w:color="auto"/>
        <w:bottom w:val="none" w:sz="0" w:space="0" w:color="auto"/>
        <w:right w:val="none" w:sz="0" w:space="0" w:color="auto"/>
      </w:divBdr>
    </w:div>
    <w:div w:id="1227104460">
      <w:bodyDiv w:val="1"/>
      <w:marLeft w:val="0"/>
      <w:marRight w:val="0"/>
      <w:marTop w:val="0"/>
      <w:marBottom w:val="0"/>
      <w:divBdr>
        <w:top w:val="none" w:sz="0" w:space="0" w:color="auto"/>
        <w:left w:val="none" w:sz="0" w:space="0" w:color="auto"/>
        <w:bottom w:val="none" w:sz="0" w:space="0" w:color="auto"/>
        <w:right w:val="none" w:sz="0" w:space="0" w:color="auto"/>
      </w:divBdr>
    </w:div>
    <w:div w:id="1231884764">
      <w:bodyDiv w:val="1"/>
      <w:marLeft w:val="0"/>
      <w:marRight w:val="0"/>
      <w:marTop w:val="0"/>
      <w:marBottom w:val="0"/>
      <w:divBdr>
        <w:top w:val="none" w:sz="0" w:space="0" w:color="auto"/>
        <w:left w:val="none" w:sz="0" w:space="0" w:color="auto"/>
        <w:bottom w:val="none" w:sz="0" w:space="0" w:color="auto"/>
        <w:right w:val="none" w:sz="0" w:space="0" w:color="auto"/>
      </w:divBdr>
    </w:div>
    <w:div w:id="1264387099">
      <w:bodyDiv w:val="1"/>
      <w:marLeft w:val="0"/>
      <w:marRight w:val="0"/>
      <w:marTop w:val="0"/>
      <w:marBottom w:val="0"/>
      <w:divBdr>
        <w:top w:val="none" w:sz="0" w:space="0" w:color="auto"/>
        <w:left w:val="none" w:sz="0" w:space="0" w:color="auto"/>
        <w:bottom w:val="none" w:sz="0" w:space="0" w:color="auto"/>
        <w:right w:val="none" w:sz="0" w:space="0" w:color="auto"/>
      </w:divBdr>
    </w:div>
    <w:div w:id="1298758950">
      <w:bodyDiv w:val="1"/>
      <w:marLeft w:val="0"/>
      <w:marRight w:val="0"/>
      <w:marTop w:val="0"/>
      <w:marBottom w:val="0"/>
      <w:divBdr>
        <w:top w:val="none" w:sz="0" w:space="0" w:color="auto"/>
        <w:left w:val="none" w:sz="0" w:space="0" w:color="auto"/>
        <w:bottom w:val="none" w:sz="0" w:space="0" w:color="auto"/>
        <w:right w:val="none" w:sz="0" w:space="0" w:color="auto"/>
      </w:divBdr>
    </w:div>
    <w:div w:id="1303388750">
      <w:bodyDiv w:val="1"/>
      <w:marLeft w:val="0"/>
      <w:marRight w:val="0"/>
      <w:marTop w:val="0"/>
      <w:marBottom w:val="0"/>
      <w:divBdr>
        <w:top w:val="none" w:sz="0" w:space="0" w:color="auto"/>
        <w:left w:val="none" w:sz="0" w:space="0" w:color="auto"/>
        <w:bottom w:val="none" w:sz="0" w:space="0" w:color="auto"/>
        <w:right w:val="none" w:sz="0" w:space="0" w:color="auto"/>
      </w:divBdr>
    </w:div>
    <w:div w:id="1384601381">
      <w:bodyDiv w:val="1"/>
      <w:marLeft w:val="0"/>
      <w:marRight w:val="0"/>
      <w:marTop w:val="0"/>
      <w:marBottom w:val="0"/>
      <w:divBdr>
        <w:top w:val="none" w:sz="0" w:space="0" w:color="auto"/>
        <w:left w:val="none" w:sz="0" w:space="0" w:color="auto"/>
        <w:bottom w:val="none" w:sz="0" w:space="0" w:color="auto"/>
        <w:right w:val="none" w:sz="0" w:space="0" w:color="auto"/>
      </w:divBdr>
    </w:div>
    <w:div w:id="1399940954">
      <w:bodyDiv w:val="1"/>
      <w:marLeft w:val="0"/>
      <w:marRight w:val="0"/>
      <w:marTop w:val="0"/>
      <w:marBottom w:val="0"/>
      <w:divBdr>
        <w:top w:val="none" w:sz="0" w:space="0" w:color="auto"/>
        <w:left w:val="none" w:sz="0" w:space="0" w:color="auto"/>
        <w:bottom w:val="none" w:sz="0" w:space="0" w:color="auto"/>
        <w:right w:val="none" w:sz="0" w:space="0" w:color="auto"/>
      </w:divBdr>
    </w:div>
    <w:div w:id="1400790934">
      <w:bodyDiv w:val="1"/>
      <w:marLeft w:val="0"/>
      <w:marRight w:val="0"/>
      <w:marTop w:val="0"/>
      <w:marBottom w:val="0"/>
      <w:divBdr>
        <w:top w:val="none" w:sz="0" w:space="0" w:color="auto"/>
        <w:left w:val="none" w:sz="0" w:space="0" w:color="auto"/>
        <w:bottom w:val="none" w:sz="0" w:space="0" w:color="auto"/>
        <w:right w:val="none" w:sz="0" w:space="0" w:color="auto"/>
      </w:divBdr>
    </w:div>
    <w:div w:id="1419985635">
      <w:bodyDiv w:val="1"/>
      <w:marLeft w:val="0"/>
      <w:marRight w:val="0"/>
      <w:marTop w:val="0"/>
      <w:marBottom w:val="0"/>
      <w:divBdr>
        <w:top w:val="none" w:sz="0" w:space="0" w:color="auto"/>
        <w:left w:val="none" w:sz="0" w:space="0" w:color="auto"/>
        <w:bottom w:val="none" w:sz="0" w:space="0" w:color="auto"/>
        <w:right w:val="none" w:sz="0" w:space="0" w:color="auto"/>
      </w:divBdr>
    </w:div>
    <w:div w:id="1454980496">
      <w:bodyDiv w:val="1"/>
      <w:marLeft w:val="0"/>
      <w:marRight w:val="0"/>
      <w:marTop w:val="0"/>
      <w:marBottom w:val="0"/>
      <w:divBdr>
        <w:top w:val="none" w:sz="0" w:space="0" w:color="auto"/>
        <w:left w:val="none" w:sz="0" w:space="0" w:color="auto"/>
        <w:bottom w:val="none" w:sz="0" w:space="0" w:color="auto"/>
        <w:right w:val="none" w:sz="0" w:space="0" w:color="auto"/>
      </w:divBdr>
    </w:div>
    <w:div w:id="1457287452">
      <w:bodyDiv w:val="1"/>
      <w:marLeft w:val="0"/>
      <w:marRight w:val="0"/>
      <w:marTop w:val="0"/>
      <w:marBottom w:val="0"/>
      <w:divBdr>
        <w:top w:val="none" w:sz="0" w:space="0" w:color="auto"/>
        <w:left w:val="none" w:sz="0" w:space="0" w:color="auto"/>
        <w:bottom w:val="none" w:sz="0" w:space="0" w:color="auto"/>
        <w:right w:val="none" w:sz="0" w:space="0" w:color="auto"/>
      </w:divBdr>
    </w:div>
    <w:div w:id="1506553395">
      <w:bodyDiv w:val="1"/>
      <w:marLeft w:val="0"/>
      <w:marRight w:val="0"/>
      <w:marTop w:val="0"/>
      <w:marBottom w:val="0"/>
      <w:divBdr>
        <w:top w:val="none" w:sz="0" w:space="0" w:color="auto"/>
        <w:left w:val="none" w:sz="0" w:space="0" w:color="auto"/>
        <w:bottom w:val="none" w:sz="0" w:space="0" w:color="auto"/>
        <w:right w:val="none" w:sz="0" w:space="0" w:color="auto"/>
      </w:divBdr>
    </w:div>
    <w:div w:id="1512334577">
      <w:bodyDiv w:val="1"/>
      <w:marLeft w:val="0"/>
      <w:marRight w:val="0"/>
      <w:marTop w:val="0"/>
      <w:marBottom w:val="0"/>
      <w:divBdr>
        <w:top w:val="none" w:sz="0" w:space="0" w:color="auto"/>
        <w:left w:val="none" w:sz="0" w:space="0" w:color="auto"/>
        <w:bottom w:val="none" w:sz="0" w:space="0" w:color="auto"/>
        <w:right w:val="none" w:sz="0" w:space="0" w:color="auto"/>
      </w:divBdr>
    </w:div>
    <w:div w:id="1585531997">
      <w:bodyDiv w:val="1"/>
      <w:marLeft w:val="0"/>
      <w:marRight w:val="0"/>
      <w:marTop w:val="0"/>
      <w:marBottom w:val="0"/>
      <w:divBdr>
        <w:top w:val="none" w:sz="0" w:space="0" w:color="auto"/>
        <w:left w:val="none" w:sz="0" w:space="0" w:color="auto"/>
        <w:bottom w:val="none" w:sz="0" w:space="0" w:color="auto"/>
        <w:right w:val="none" w:sz="0" w:space="0" w:color="auto"/>
      </w:divBdr>
    </w:div>
    <w:div w:id="1632439326">
      <w:bodyDiv w:val="1"/>
      <w:marLeft w:val="0"/>
      <w:marRight w:val="0"/>
      <w:marTop w:val="0"/>
      <w:marBottom w:val="0"/>
      <w:divBdr>
        <w:top w:val="none" w:sz="0" w:space="0" w:color="auto"/>
        <w:left w:val="none" w:sz="0" w:space="0" w:color="auto"/>
        <w:bottom w:val="none" w:sz="0" w:space="0" w:color="auto"/>
        <w:right w:val="none" w:sz="0" w:space="0" w:color="auto"/>
      </w:divBdr>
    </w:div>
    <w:div w:id="1635939460">
      <w:bodyDiv w:val="1"/>
      <w:marLeft w:val="0"/>
      <w:marRight w:val="0"/>
      <w:marTop w:val="0"/>
      <w:marBottom w:val="0"/>
      <w:divBdr>
        <w:top w:val="none" w:sz="0" w:space="0" w:color="auto"/>
        <w:left w:val="none" w:sz="0" w:space="0" w:color="auto"/>
        <w:bottom w:val="none" w:sz="0" w:space="0" w:color="auto"/>
        <w:right w:val="none" w:sz="0" w:space="0" w:color="auto"/>
      </w:divBdr>
    </w:div>
    <w:div w:id="1642611315">
      <w:bodyDiv w:val="1"/>
      <w:marLeft w:val="0"/>
      <w:marRight w:val="0"/>
      <w:marTop w:val="0"/>
      <w:marBottom w:val="0"/>
      <w:divBdr>
        <w:top w:val="none" w:sz="0" w:space="0" w:color="auto"/>
        <w:left w:val="none" w:sz="0" w:space="0" w:color="auto"/>
        <w:bottom w:val="none" w:sz="0" w:space="0" w:color="auto"/>
        <w:right w:val="none" w:sz="0" w:space="0" w:color="auto"/>
      </w:divBdr>
    </w:div>
    <w:div w:id="1644851807">
      <w:bodyDiv w:val="1"/>
      <w:marLeft w:val="0"/>
      <w:marRight w:val="0"/>
      <w:marTop w:val="0"/>
      <w:marBottom w:val="0"/>
      <w:divBdr>
        <w:top w:val="none" w:sz="0" w:space="0" w:color="auto"/>
        <w:left w:val="none" w:sz="0" w:space="0" w:color="auto"/>
        <w:bottom w:val="none" w:sz="0" w:space="0" w:color="auto"/>
        <w:right w:val="none" w:sz="0" w:space="0" w:color="auto"/>
      </w:divBdr>
    </w:div>
    <w:div w:id="1691906201">
      <w:bodyDiv w:val="1"/>
      <w:marLeft w:val="0"/>
      <w:marRight w:val="0"/>
      <w:marTop w:val="0"/>
      <w:marBottom w:val="0"/>
      <w:divBdr>
        <w:top w:val="none" w:sz="0" w:space="0" w:color="auto"/>
        <w:left w:val="none" w:sz="0" w:space="0" w:color="auto"/>
        <w:bottom w:val="none" w:sz="0" w:space="0" w:color="auto"/>
        <w:right w:val="none" w:sz="0" w:space="0" w:color="auto"/>
      </w:divBdr>
    </w:div>
    <w:div w:id="1697390251">
      <w:bodyDiv w:val="1"/>
      <w:marLeft w:val="0"/>
      <w:marRight w:val="0"/>
      <w:marTop w:val="0"/>
      <w:marBottom w:val="0"/>
      <w:divBdr>
        <w:top w:val="none" w:sz="0" w:space="0" w:color="auto"/>
        <w:left w:val="none" w:sz="0" w:space="0" w:color="auto"/>
        <w:bottom w:val="none" w:sz="0" w:space="0" w:color="auto"/>
        <w:right w:val="none" w:sz="0" w:space="0" w:color="auto"/>
      </w:divBdr>
    </w:div>
    <w:div w:id="1721443804">
      <w:bodyDiv w:val="1"/>
      <w:marLeft w:val="0"/>
      <w:marRight w:val="0"/>
      <w:marTop w:val="0"/>
      <w:marBottom w:val="0"/>
      <w:divBdr>
        <w:top w:val="none" w:sz="0" w:space="0" w:color="auto"/>
        <w:left w:val="none" w:sz="0" w:space="0" w:color="auto"/>
        <w:bottom w:val="none" w:sz="0" w:space="0" w:color="auto"/>
        <w:right w:val="none" w:sz="0" w:space="0" w:color="auto"/>
      </w:divBdr>
    </w:div>
    <w:div w:id="1727140121">
      <w:bodyDiv w:val="1"/>
      <w:marLeft w:val="0"/>
      <w:marRight w:val="0"/>
      <w:marTop w:val="0"/>
      <w:marBottom w:val="0"/>
      <w:divBdr>
        <w:top w:val="none" w:sz="0" w:space="0" w:color="auto"/>
        <w:left w:val="none" w:sz="0" w:space="0" w:color="auto"/>
        <w:bottom w:val="none" w:sz="0" w:space="0" w:color="auto"/>
        <w:right w:val="none" w:sz="0" w:space="0" w:color="auto"/>
      </w:divBdr>
    </w:div>
    <w:div w:id="1783256417">
      <w:bodyDiv w:val="1"/>
      <w:marLeft w:val="0"/>
      <w:marRight w:val="0"/>
      <w:marTop w:val="0"/>
      <w:marBottom w:val="0"/>
      <w:divBdr>
        <w:top w:val="none" w:sz="0" w:space="0" w:color="auto"/>
        <w:left w:val="none" w:sz="0" w:space="0" w:color="auto"/>
        <w:bottom w:val="none" w:sz="0" w:space="0" w:color="auto"/>
        <w:right w:val="none" w:sz="0" w:space="0" w:color="auto"/>
      </w:divBdr>
    </w:div>
    <w:div w:id="1790932690">
      <w:bodyDiv w:val="1"/>
      <w:marLeft w:val="0"/>
      <w:marRight w:val="0"/>
      <w:marTop w:val="0"/>
      <w:marBottom w:val="0"/>
      <w:divBdr>
        <w:top w:val="none" w:sz="0" w:space="0" w:color="auto"/>
        <w:left w:val="none" w:sz="0" w:space="0" w:color="auto"/>
        <w:bottom w:val="none" w:sz="0" w:space="0" w:color="auto"/>
        <w:right w:val="none" w:sz="0" w:space="0" w:color="auto"/>
      </w:divBdr>
    </w:div>
    <w:div w:id="1795519215">
      <w:bodyDiv w:val="1"/>
      <w:marLeft w:val="0"/>
      <w:marRight w:val="0"/>
      <w:marTop w:val="0"/>
      <w:marBottom w:val="0"/>
      <w:divBdr>
        <w:top w:val="none" w:sz="0" w:space="0" w:color="auto"/>
        <w:left w:val="none" w:sz="0" w:space="0" w:color="auto"/>
        <w:bottom w:val="none" w:sz="0" w:space="0" w:color="auto"/>
        <w:right w:val="none" w:sz="0" w:space="0" w:color="auto"/>
      </w:divBdr>
    </w:div>
    <w:div w:id="1895658050">
      <w:bodyDiv w:val="1"/>
      <w:marLeft w:val="0"/>
      <w:marRight w:val="0"/>
      <w:marTop w:val="0"/>
      <w:marBottom w:val="0"/>
      <w:divBdr>
        <w:top w:val="none" w:sz="0" w:space="0" w:color="auto"/>
        <w:left w:val="none" w:sz="0" w:space="0" w:color="auto"/>
        <w:bottom w:val="none" w:sz="0" w:space="0" w:color="auto"/>
        <w:right w:val="none" w:sz="0" w:space="0" w:color="auto"/>
      </w:divBdr>
    </w:div>
    <w:div w:id="1935900158">
      <w:bodyDiv w:val="1"/>
      <w:marLeft w:val="0"/>
      <w:marRight w:val="0"/>
      <w:marTop w:val="0"/>
      <w:marBottom w:val="0"/>
      <w:divBdr>
        <w:top w:val="none" w:sz="0" w:space="0" w:color="auto"/>
        <w:left w:val="none" w:sz="0" w:space="0" w:color="auto"/>
        <w:bottom w:val="none" w:sz="0" w:space="0" w:color="auto"/>
        <w:right w:val="none" w:sz="0" w:space="0" w:color="auto"/>
      </w:divBdr>
    </w:div>
    <w:div w:id="1991056871">
      <w:bodyDiv w:val="1"/>
      <w:marLeft w:val="0"/>
      <w:marRight w:val="0"/>
      <w:marTop w:val="0"/>
      <w:marBottom w:val="0"/>
      <w:divBdr>
        <w:top w:val="none" w:sz="0" w:space="0" w:color="auto"/>
        <w:left w:val="none" w:sz="0" w:space="0" w:color="auto"/>
        <w:bottom w:val="none" w:sz="0" w:space="0" w:color="auto"/>
        <w:right w:val="none" w:sz="0" w:space="0" w:color="auto"/>
      </w:divBdr>
    </w:div>
    <w:div w:id="1994986737">
      <w:bodyDiv w:val="1"/>
      <w:marLeft w:val="0"/>
      <w:marRight w:val="0"/>
      <w:marTop w:val="0"/>
      <w:marBottom w:val="0"/>
      <w:divBdr>
        <w:top w:val="none" w:sz="0" w:space="0" w:color="auto"/>
        <w:left w:val="none" w:sz="0" w:space="0" w:color="auto"/>
        <w:bottom w:val="none" w:sz="0" w:space="0" w:color="auto"/>
        <w:right w:val="none" w:sz="0" w:space="0" w:color="auto"/>
      </w:divBdr>
      <w:divsChild>
        <w:div w:id="540481027">
          <w:marLeft w:val="0"/>
          <w:marRight w:val="0"/>
          <w:marTop w:val="0"/>
          <w:marBottom w:val="0"/>
          <w:divBdr>
            <w:top w:val="none" w:sz="0" w:space="0" w:color="auto"/>
            <w:left w:val="none" w:sz="0" w:space="0" w:color="auto"/>
            <w:bottom w:val="none" w:sz="0" w:space="0" w:color="auto"/>
            <w:right w:val="none" w:sz="0" w:space="0" w:color="auto"/>
          </w:divBdr>
        </w:div>
      </w:divsChild>
    </w:div>
    <w:div w:id="2009475955">
      <w:bodyDiv w:val="1"/>
      <w:marLeft w:val="0"/>
      <w:marRight w:val="0"/>
      <w:marTop w:val="0"/>
      <w:marBottom w:val="0"/>
      <w:divBdr>
        <w:top w:val="none" w:sz="0" w:space="0" w:color="auto"/>
        <w:left w:val="none" w:sz="0" w:space="0" w:color="auto"/>
        <w:bottom w:val="none" w:sz="0" w:space="0" w:color="auto"/>
        <w:right w:val="none" w:sz="0" w:space="0" w:color="auto"/>
      </w:divBdr>
    </w:div>
    <w:div w:id="2090693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oi.org/10.56338/ijhess.v5i2.3611" TargetMode="External"/><Relationship Id="rId47" Type="http://schemas.openxmlformats.org/officeDocument/2006/relationships/hyperlink" Target="https://doi.org/10.1108/ijoes-05-2023-0107" TargetMode="External"/><Relationship Id="rId63" Type="http://schemas.openxmlformats.org/officeDocument/2006/relationships/hyperlink" Target="https://doi.org/10.1108/jaar-07-2023-0192" TargetMode="External"/><Relationship Id="rId68" Type="http://schemas.openxmlformats.org/officeDocument/2006/relationships/chart" Target="charts/chart3.xml"/><Relationship Id="rId84" Type="http://schemas.openxmlformats.org/officeDocument/2006/relationships/footer" Target="footer2.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hyperlink" Target="https://dx.doi.org/10.2139/ssrn.5004465" TargetMode="External"/><Relationship Id="rId53" Type="http://schemas.openxmlformats.org/officeDocument/2006/relationships/hyperlink" Target="https://doi.org/10.59890/ijist.v3i1.194" TargetMode="External"/><Relationship Id="rId58" Type="http://schemas.openxmlformats.org/officeDocument/2006/relationships/hyperlink" Target="https://doi.org/10.2139/ssrn.5095191" TargetMode="External"/><Relationship Id="rId74" Type="http://schemas.openxmlformats.org/officeDocument/2006/relationships/chart" Target="charts/chart9.xml"/><Relationship Id="rId79" Type="http://schemas.openxmlformats.org/officeDocument/2006/relationships/chart" Target="charts/chart14.xm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016/j.frl.2023.104533" TargetMode="External"/><Relationship Id="rId48" Type="http://schemas.openxmlformats.org/officeDocument/2006/relationships/hyperlink" Target="https://doi.org/10.1186/s40854-023-00573-4" TargetMode="External"/><Relationship Id="rId56" Type="http://schemas.openxmlformats.org/officeDocument/2006/relationships/hyperlink" Target="https://doi.org/10.2139/ssrn.4459379" TargetMode="External"/><Relationship Id="rId64" Type="http://schemas.openxmlformats.org/officeDocument/2006/relationships/hyperlink" Target="https://doi.org/10.2991/aebmr.k.220501.048" TargetMode="External"/><Relationship Id="rId69" Type="http://schemas.openxmlformats.org/officeDocument/2006/relationships/chart" Target="charts/chart4.xml"/><Relationship Id="rId77" Type="http://schemas.openxmlformats.org/officeDocument/2006/relationships/chart" Target="charts/chart12.xml"/><Relationship Id="rId8" Type="http://schemas.openxmlformats.org/officeDocument/2006/relationships/image" Target="media/image1.jpeg"/><Relationship Id="rId51" Type="http://schemas.openxmlformats.org/officeDocument/2006/relationships/hyperlink" Target="https://doi.org/10.61093/fmir.8(4).148-162.2024" TargetMode="External"/><Relationship Id="rId72" Type="http://schemas.openxmlformats.org/officeDocument/2006/relationships/chart" Target="charts/chart7.xml"/><Relationship Id="rId80" Type="http://schemas.openxmlformats.org/officeDocument/2006/relationships/chart" Target="charts/chart15.xm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doi.org/10.32782/2707-8019/2024-2-20" TargetMode="External"/><Relationship Id="rId46" Type="http://schemas.openxmlformats.org/officeDocument/2006/relationships/hyperlink" Target="https://doi.org/10.2139/ssrn.4584665" TargetMode="External"/><Relationship Id="rId59" Type="http://schemas.openxmlformats.org/officeDocument/2006/relationships/hyperlink" Target="https://doi.org/10.57178/atestasi.v5i2.813" TargetMode="External"/><Relationship Id="rId67" Type="http://schemas.openxmlformats.org/officeDocument/2006/relationships/chart" Target="charts/chart2.xml"/><Relationship Id="rId20" Type="http://schemas.openxmlformats.org/officeDocument/2006/relationships/image" Target="media/image13.png"/><Relationship Id="rId41" Type="http://schemas.openxmlformats.org/officeDocument/2006/relationships/hyperlink" Target="https://doi.org/10.4135/9781529781632" TargetMode="External"/><Relationship Id="rId54" Type="http://schemas.openxmlformats.org/officeDocument/2006/relationships/hyperlink" Target="https://doi.org/10.33005/jasf.v8i1.581" TargetMode="External"/><Relationship Id="rId62" Type="http://schemas.openxmlformats.org/officeDocument/2006/relationships/hyperlink" Target="https://doi.org/10.18267/j.pep.835" TargetMode="External"/><Relationship Id="rId70" Type="http://schemas.openxmlformats.org/officeDocument/2006/relationships/chart" Target="charts/chart5.xml"/><Relationship Id="rId75" Type="http://schemas.openxmlformats.org/officeDocument/2006/relationships/chart" Target="charts/chart10.xm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21070/ups.787" TargetMode="External"/><Relationship Id="rId49" Type="http://schemas.openxmlformats.org/officeDocument/2006/relationships/hyperlink" Target="https://doi.org/10.54518/rh.2.6.2022.587-596" TargetMode="External"/><Relationship Id="rId57" Type="http://schemas.openxmlformats.org/officeDocument/2006/relationships/hyperlink" Target="https://doi.org/10.35912/ijfam.v4i1.852"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1080/00036846.2022.2084021" TargetMode="External"/><Relationship Id="rId52" Type="http://schemas.openxmlformats.org/officeDocument/2006/relationships/hyperlink" Target="https://doi.org/10.1080/01559982.2022.2163040" TargetMode="External"/><Relationship Id="rId60" Type="http://schemas.openxmlformats.org/officeDocument/2006/relationships/hyperlink" Target="https://doi.org/10.52970/grmilf.v4i2.397" TargetMode="External"/><Relationship Id="rId65" Type="http://schemas.openxmlformats.org/officeDocument/2006/relationships/hyperlink" Target="https://doi.org/10.32629/memf.v6i1.3561" TargetMode="External"/><Relationship Id="rId73" Type="http://schemas.openxmlformats.org/officeDocument/2006/relationships/chart" Target="charts/chart8.xml"/><Relationship Id="rId78" Type="http://schemas.openxmlformats.org/officeDocument/2006/relationships/chart" Target="charts/chart13.xml"/><Relationship Id="rId81" Type="http://schemas.openxmlformats.org/officeDocument/2006/relationships/chart" Target="charts/chart16.xm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32479/ijefi.17555" TargetMode="External"/><Relationship Id="rId34" Type="http://schemas.openxmlformats.org/officeDocument/2006/relationships/image" Target="media/image27.png"/><Relationship Id="rId50" Type="http://schemas.openxmlformats.org/officeDocument/2006/relationships/hyperlink" Target="https://doi.org/10.1177/87569728221089831" TargetMode="External"/><Relationship Id="rId55" Type="http://schemas.openxmlformats.org/officeDocument/2006/relationships/hyperlink" Target="https://doi.org/10.47604/ijecon.1942" TargetMode="External"/><Relationship Id="rId76" Type="http://schemas.openxmlformats.org/officeDocument/2006/relationships/chart" Target="charts/chart11.xml"/><Relationship Id="rId7" Type="http://schemas.openxmlformats.org/officeDocument/2006/relationships/endnotes" Target="endnotes.xml"/><Relationship Id="rId71" Type="http://schemas.openxmlformats.org/officeDocument/2006/relationships/chart" Target="charts/chart6.xm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doi.org/10.62517/jse.202411323" TargetMode="External"/><Relationship Id="rId45" Type="http://schemas.openxmlformats.org/officeDocument/2006/relationships/hyperlink" Target="https://doi.org/10.2991/aebmr.k.220307.012" TargetMode="External"/><Relationship Id="rId66" Type="http://schemas.openxmlformats.org/officeDocument/2006/relationships/chart" Target="charts/chart1.xml"/><Relationship Id="rId61" Type="http://schemas.openxmlformats.org/officeDocument/2006/relationships/hyperlink" Target="https://doi.org/10.30574/wjarr.2023.19.2.1483" TargetMode="External"/><Relationship Id="rId8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khush\Downloads\Fwd-%20Strategic%20CFO%20Challenge_Finance.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Gross Profit</a:t>
            </a:r>
            <a:r>
              <a:rPr lang="en-US" baseline="0"/>
              <a:t> </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Sheet1!$F$4</c:f>
              <c:strCache>
                <c:ptCount val="1"/>
                <c:pt idx="0">
                  <c:v>Final Percentage (%)</c:v>
                </c:pt>
              </c:strCache>
            </c:strRef>
          </c:tx>
          <c:spPr>
            <a:solidFill>
              <a:schemeClr val="accent1"/>
            </a:solidFill>
            <a:ln>
              <a:noFill/>
            </a:ln>
            <a:effectLst/>
          </c:spPr>
          <c:invertIfNegative val="0"/>
          <c:cat>
            <c:numRef>
              <c:f>Sheet1!$C$5:$C$9</c:f>
              <c:numCache>
                <c:formatCode>General</c:formatCode>
                <c:ptCount val="5"/>
                <c:pt idx="0">
                  <c:v>2021</c:v>
                </c:pt>
                <c:pt idx="1">
                  <c:v>2022</c:v>
                </c:pt>
                <c:pt idx="2">
                  <c:v>2023</c:v>
                </c:pt>
                <c:pt idx="3">
                  <c:v>2024</c:v>
                </c:pt>
                <c:pt idx="4">
                  <c:v>2025</c:v>
                </c:pt>
              </c:numCache>
            </c:numRef>
          </c:cat>
          <c:val>
            <c:numRef>
              <c:f>Sheet1!$F$5:$F$9</c:f>
              <c:numCache>
                <c:formatCode>0.0</c:formatCode>
                <c:ptCount val="5"/>
                <c:pt idx="0">
                  <c:v>25.287997027127464</c:v>
                </c:pt>
                <c:pt idx="1">
                  <c:v>25.59538423766266</c:v>
                </c:pt>
                <c:pt idx="2">
                  <c:v>18.249457476490647</c:v>
                </c:pt>
                <c:pt idx="3">
                  <c:v>17.862626676220696</c:v>
                </c:pt>
                <c:pt idx="4">
                  <c:v>18.021723083412422</c:v>
                </c:pt>
              </c:numCache>
            </c:numRef>
          </c:val>
          <c:extLst>
            <c:ext xmlns:c16="http://schemas.microsoft.com/office/drawing/2014/chart" uri="{C3380CC4-5D6E-409C-BE32-E72D297353CC}">
              <c16:uniqueId val="{00000000-F64A-47AB-9A9C-449B3F4CA3D1}"/>
            </c:ext>
          </c:extLst>
        </c:ser>
        <c:dLbls>
          <c:showLegendKey val="0"/>
          <c:showVal val="0"/>
          <c:showCatName val="0"/>
          <c:showSerName val="0"/>
          <c:showPercent val="0"/>
          <c:showBubbleSize val="0"/>
        </c:dLbls>
        <c:gapWidth val="219"/>
        <c:overlap val="-27"/>
        <c:axId val="236014592"/>
        <c:axId val="236007520"/>
      </c:barChart>
      <c:catAx>
        <c:axId val="236014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07520"/>
        <c:crosses val="autoZero"/>
        <c:auto val="1"/>
        <c:lblAlgn val="ctr"/>
        <c:lblOffset val="100"/>
        <c:noMultiLvlLbl val="0"/>
      </c:catAx>
      <c:valAx>
        <c:axId val="23600752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14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Margin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Sheet1!$F$13</c:f>
              <c:strCache>
                <c:ptCount val="1"/>
                <c:pt idx="0">
                  <c:v>Final Percentage (%)</c:v>
                </c:pt>
              </c:strCache>
            </c:strRef>
          </c:tx>
          <c:spPr>
            <a:ln w="28575" cap="rnd">
              <a:solidFill>
                <a:schemeClr val="accent1"/>
              </a:solidFill>
              <a:round/>
            </a:ln>
            <a:effectLst/>
          </c:spPr>
          <c:marker>
            <c:symbol val="none"/>
          </c:marker>
          <c:cat>
            <c:numRef>
              <c:f>Sheet1!$C$14:$C$18</c:f>
              <c:numCache>
                <c:formatCode>General</c:formatCode>
                <c:ptCount val="5"/>
                <c:pt idx="0">
                  <c:v>2021</c:v>
                </c:pt>
                <c:pt idx="1">
                  <c:v>2022</c:v>
                </c:pt>
                <c:pt idx="2">
                  <c:v>2023</c:v>
                </c:pt>
                <c:pt idx="3">
                  <c:v>2024</c:v>
                </c:pt>
                <c:pt idx="4">
                  <c:v>2025</c:v>
                </c:pt>
              </c:numCache>
            </c:numRef>
          </c:cat>
          <c:val>
            <c:numRef>
              <c:f>Sheet1!$F$14:$F$18</c:f>
              <c:numCache>
                <c:formatCode>0.0</c:formatCode>
                <c:ptCount val="5"/>
                <c:pt idx="0" formatCode="0.00">
                  <c:v>12.11445559271646</c:v>
                </c:pt>
                <c:pt idx="1">
                  <c:v>16.768966363859565</c:v>
                </c:pt>
                <c:pt idx="2" formatCode="0.00">
                  <c:v>9.1867314250284196</c:v>
                </c:pt>
                <c:pt idx="3" formatCode="0.00">
                  <c:v>7.2474152932746447</c:v>
                </c:pt>
                <c:pt idx="4" formatCode="0.00">
                  <c:v>4.597701149425288</c:v>
                </c:pt>
              </c:numCache>
            </c:numRef>
          </c:val>
          <c:smooth val="0"/>
          <c:extLst>
            <c:ext xmlns:c16="http://schemas.microsoft.com/office/drawing/2014/chart" uri="{C3380CC4-5D6E-409C-BE32-E72D297353CC}">
              <c16:uniqueId val="{00000000-6656-42A4-8B4B-9A960E4399E0}"/>
            </c:ext>
          </c:extLst>
        </c:ser>
        <c:dLbls>
          <c:showLegendKey val="0"/>
          <c:showVal val="0"/>
          <c:showCatName val="0"/>
          <c:showSerName val="0"/>
          <c:showPercent val="0"/>
          <c:showBubbleSize val="0"/>
        </c:dLbls>
        <c:smooth val="0"/>
        <c:axId val="236016224"/>
        <c:axId val="236010240"/>
      </c:lineChart>
      <c:catAx>
        <c:axId val="236016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10240"/>
        <c:crosses val="autoZero"/>
        <c:auto val="1"/>
        <c:lblAlgn val="ctr"/>
        <c:lblOffset val="100"/>
        <c:noMultiLvlLbl val="0"/>
      </c:catAx>
      <c:valAx>
        <c:axId val="2360102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16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Net Profit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Sheet1!$F$20</c:f>
              <c:strCache>
                <c:ptCount val="1"/>
                <c:pt idx="0">
                  <c:v>Final Percentage (%)</c:v>
                </c:pt>
              </c:strCache>
            </c:strRef>
          </c:tx>
          <c:spPr>
            <a:solidFill>
              <a:schemeClr val="accent2"/>
            </a:solidFill>
            <a:ln>
              <a:noFill/>
            </a:ln>
            <a:effectLst/>
          </c:spPr>
          <c:invertIfNegative val="0"/>
          <c:cat>
            <c:numRef>
              <c:f>Sheet1!$C$21:$C$25</c:f>
              <c:numCache>
                <c:formatCode>General</c:formatCode>
                <c:ptCount val="5"/>
                <c:pt idx="0">
                  <c:v>2021</c:v>
                </c:pt>
                <c:pt idx="1">
                  <c:v>2022</c:v>
                </c:pt>
                <c:pt idx="2">
                  <c:v>2023</c:v>
                </c:pt>
                <c:pt idx="3">
                  <c:v>2024</c:v>
                </c:pt>
                <c:pt idx="4">
                  <c:v>2025</c:v>
                </c:pt>
              </c:numCache>
            </c:numRef>
          </c:cat>
          <c:val>
            <c:numRef>
              <c:f>Sheet1!$F$21:$F$25</c:f>
              <c:numCache>
                <c:formatCode>0.0</c:formatCode>
                <c:ptCount val="5"/>
                <c:pt idx="0">
                  <c:v>10.256410256410255</c:v>
                </c:pt>
                <c:pt idx="1">
                  <c:v>15.443162288239629</c:v>
                </c:pt>
                <c:pt idx="2">
                  <c:v>15.500671695773486</c:v>
                </c:pt>
                <c:pt idx="3">
                  <c:v>7.2985976046678269</c:v>
                </c:pt>
                <c:pt idx="4">
                  <c:v>3.9966255404407889</c:v>
                </c:pt>
              </c:numCache>
            </c:numRef>
          </c:val>
          <c:extLst>
            <c:ext xmlns:c16="http://schemas.microsoft.com/office/drawing/2014/chart" uri="{C3380CC4-5D6E-409C-BE32-E72D297353CC}">
              <c16:uniqueId val="{00000000-2DA2-432B-BE5B-7A919FFD8511}"/>
            </c:ext>
          </c:extLst>
        </c:ser>
        <c:dLbls>
          <c:showLegendKey val="0"/>
          <c:showVal val="0"/>
          <c:showCatName val="0"/>
          <c:showSerName val="0"/>
          <c:showPercent val="0"/>
          <c:showBubbleSize val="0"/>
        </c:dLbls>
        <c:gapWidth val="219"/>
        <c:overlap val="-27"/>
        <c:axId val="236006432"/>
        <c:axId val="236005888"/>
      </c:barChart>
      <c:catAx>
        <c:axId val="236006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05888"/>
        <c:crosses val="autoZero"/>
        <c:auto val="1"/>
        <c:lblAlgn val="ctr"/>
        <c:lblOffset val="100"/>
        <c:noMultiLvlLbl val="0"/>
      </c:catAx>
      <c:valAx>
        <c:axId val="23600588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06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ROA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Sheet1!$F$27</c:f>
              <c:strCache>
                <c:ptCount val="1"/>
                <c:pt idx="0">
                  <c:v>Final 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7F3-48B1-86FA-83055D6715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7F3-48B1-86FA-83055D67152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7F3-48B1-86FA-83055D67152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7F3-48B1-86FA-83055D67152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7F3-48B1-86FA-83055D671528}"/>
              </c:ext>
            </c:extLst>
          </c:dPt>
          <c:cat>
            <c:numRef>
              <c:f>Sheet1!$C$28:$C$32</c:f>
              <c:numCache>
                <c:formatCode>General</c:formatCode>
                <c:ptCount val="5"/>
                <c:pt idx="0">
                  <c:v>2021</c:v>
                </c:pt>
                <c:pt idx="1">
                  <c:v>2022</c:v>
                </c:pt>
                <c:pt idx="2">
                  <c:v>2023</c:v>
                </c:pt>
                <c:pt idx="3">
                  <c:v>2024</c:v>
                </c:pt>
                <c:pt idx="4">
                  <c:v>2025</c:v>
                </c:pt>
              </c:numCache>
            </c:numRef>
          </c:cat>
          <c:val>
            <c:numRef>
              <c:f>Sheet1!$F$28:$F$32</c:f>
              <c:numCache>
                <c:formatCode>0.00</c:formatCode>
                <c:ptCount val="5"/>
                <c:pt idx="0">
                  <c:v>8.8845968131337507</c:v>
                </c:pt>
                <c:pt idx="1">
                  <c:v>15.278115132377945</c:v>
                </c:pt>
                <c:pt idx="2">
                  <c:v>14.068655036578503</c:v>
                </c:pt>
                <c:pt idx="3">
                  <c:v>5.8409109527320391</c:v>
                </c:pt>
                <c:pt idx="4">
                  <c:v>2.7501632682679049</c:v>
                </c:pt>
              </c:numCache>
            </c:numRef>
          </c:val>
          <c:extLst>
            <c:ext xmlns:c16="http://schemas.microsoft.com/office/drawing/2014/chart" uri="{C3380CC4-5D6E-409C-BE32-E72D297353CC}">
              <c16:uniqueId val="{0000000A-D7F3-48B1-86FA-83055D67152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ROE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Sheet1!$F$34</c:f>
              <c:strCache>
                <c:ptCount val="1"/>
                <c:pt idx="0">
                  <c:v>Final Percentage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Sheet1!$C$35:$C$39</c:f>
              <c:numCache>
                <c:formatCode>General</c:formatCode>
                <c:ptCount val="5"/>
                <c:pt idx="0">
                  <c:v>2021</c:v>
                </c:pt>
                <c:pt idx="1">
                  <c:v>2022</c:v>
                </c:pt>
                <c:pt idx="2">
                  <c:v>2023</c:v>
                </c:pt>
                <c:pt idx="3">
                  <c:v>2024</c:v>
                </c:pt>
                <c:pt idx="4">
                  <c:v>2025</c:v>
                </c:pt>
              </c:numCache>
            </c:numRef>
          </c:xVal>
          <c:yVal>
            <c:numRef>
              <c:f>Sheet1!$F$35:$F$39</c:f>
              <c:numCache>
                <c:formatCode>0.00</c:formatCode>
                <c:ptCount val="5"/>
                <c:pt idx="0">
                  <c:v>10.504281636536632</c:v>
                </c:pt>
                <c:pt idx="1">
                  <c:v>19.176829268292686</c:v>
                </c:pt>
                <c:pt idx="2">
                  <c:v>17.50291715285881</c:v>
                </c:pt>
                <c:pt idx="3">
                  <c:v>7.8351648351648349</c:v>
                </c:pt>
                <c:pt idx="4">
                  <c:v>4.5119047619047619</c:v>
                </c:pt>
              </c:numCache>
            </c:numRef>
          </c:yVal>
          <c:smooth val="0"/>
          <c:extLst>
            <c:ext xmlns:c16="http://schemas.microsoft.com/office/drawing/2014/chart" uri="{C3380CC4-5D6E-409C-BE32-E72D297353CC}">
              <c16:uniqueId val="{00000000-02E4-4A8E-9FB2-74BAF4A6B2A6}"/>
            </c:ext>
          </c:extLst>
        </c:ser>
        <c:dLbls>
          <c:showLegendKey val="0"/>
          <c:showVal val="0"/>
          <c:showCatName val="0"/>
          <c:showSerName val="0"/>
          <c:showPercent val="0"/>
          <c:showBubbleSize val="0"/>
        </c:dLbls>
        <c:axId val="236020576"/>
        <c:axId val="236008064"/>
      </c:scatterChart>
      <c:valAx>
        <c:axId val="236020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08064"/>
        <c:crosses val="autoZero"/>
        <c:crossBetween val="midCat"/>
      </c:valAx>
      <c:valAx>
        <c:axId val="2360080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205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Sheet2!$F$3</c:f>
              <c:strCache>
                <c:ptCount val="1"/>
                <c:pt idx="0">
                  <c:v>Final Ratio</c:v>
                </c:pt>
              </c:strCache>
            </c:strRef>
          </c:tx>
          <c:spPr>
            <a:solidFill>
              <a:schemeClr val="accent6"/>
            </a:solidFill>
            <a:ln>
              <a:noFill/>
            </a:ln>
            <a:effectLst/>
          </c:spPr>
          <c:invertIfNegative val="0"/>
          <c:cat>
            <c:numRef>
              <c:f>Sheet2!$C$4:$C$8</c:f>
              <c:numCache>
                <c:formatCode>General</c:formatCode>
                <c:ptCount val="5"/>
                <c:pt idx="0">
                  <c:v>2021</c:v>
                </c:pt>
                <c:pt idx="1">
                  <c:v>2022</c:v>
                </c:pt>
                <c:pt idx="2">
                  <c:v>2023</c:v>
                </c:pt>
                <c:pt idx="3">
                  <c:v>2024</c:v>
                </c:pt>
                <c:pt idx="4">
                  <c:v>2025</c:v>
                </c:pt>
              </c:numCache>
            </c:numRef>
          </c:cat>
          <c:val>
            <c:numRef>
              <c:f>Sheet2!$F$4:$F$8</c:f>
              <c:numCache>
                <c:formatCode>0.00</c:formatCode>
                <c:ptCount val="5"/>
                <c:pt idx="0">
                  <c:v>1.3749365804160325</c:v>
                </c:pt>
                <c:pt idx="1">
                  <c:v>1.5320104829651815</c:v>
                </c:pt>
                <c:pt idx="2">
                  <c:v>1.7259130434782608</c:v>
                </c:pt>
                <c:pt idx="3">
                  <c:v>2.0249826509368494</c:v>
                </c:pt>
                <c:pt idx="4">
                  <c:v>2.1646168401135286</c:v>
                </c:pt>
              </c:numCache>
            </c:numRef>
          </c:val>
          <c:extLst>
            <c:ext xmlns:c16="http://schemas.microsoft.com/office/drawing/2014/chart" uri="{C3380CC4-5D6E-409C-BE32-E72D297353CC}">
              <c16:uniqueId val="{00000000-3C1B-4B9D-9ED8-5C5BAC173940}"/>
            </c:ext>
          </c:extLst>
        </c:ser>
        <c:dLbls>
          <c:showLegendKey val="0"/>
          <c:showVal val="0"/>
          <c:showCatName val="0"/>
          <c:showSerName val="0"/>
          <c:showPercent val="0"/>
          <c:showBubbleSize val="0"/>
        </c:dLbls>
        <c:gapWidth val="219"/>
        <c:overlap val="-27"/>
        <c:axId val="236009696"/>
        <c:axId val="236015136"/>
      </c:barChart>
      <c:catAx>
        <c:axId val="236009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15136"/>
        <c:crosses val="autoZero"/>
        <c:auto val="1"/>
        <c:lblAlgn val="ctr"/>
        <c:lblOffset val="100"/>
        <c:noMultiLvlLbl val="0"/>
      </c:catAx>
      <c:valAx>
        <c:axId val="2360151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09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Sheet2!$G$10</c:f>
              <c:strCache>
                <c:ptCount val="1"/>
                <c:pt idx="0">
                  <c:v>Final Ratio</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E701-4782-A794-683C051C0151}"/>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E701-4782-A794-683C051C0151}"/>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E701-4782-A794-683C051C0151}"/>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E701-4782-A794-683C051C0151}"/>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E701-4782-A794-683C051C0151}"/>
              </c:ext>
            </c:extLst>
          </c:dPt>
          <c:cat>
            <c:numRef>
              <c:f>Sheet2!$C$11:$C$15</c:f>
              <c:numCache>
                <c:formatCode>General</c:formatCode>
                <c:ptCount val="5"/>
                <c:pt idx="0">
                  <c:v>2021</c:v>
                </c:pt>
                <c:pt idx="1">
                  <c:v>2022</c:v>
                </c:pt>
                <c:pt idx="2">
                  <c:v>2023</c:v>
                </c:pt>
                <c:pt idx="3">
                  <c:v>2024</c:v>
                </c:pt>
                <c:pt idx="4">
                  <c:v>2025</c:v>
                </c:pt>
              </c:numCache>
            </c:numRef>
          </c:cat>
          <c:val>
            <c:numRef>
              <c:f>Sheet2!$G$11:$G$15</c:f>
              <c:numCache>
                <c:formatCode>0.00</c:formatCode>
                <c:ptCount val="5"/>
                <c:pt idx="0">
                  <c:v>1.0826991374936581</c:v>
                </c:pt>
                <c:pt idx="1">
                  <c:v>1.0512916510670161</c:v>
                </c:pt>
                <c:pt idx="2">
                  <c:v>1.2518260869565216</c:v>
                </c:pt>
                <c:pt idx="3">
                  <c:v>1.6079111727966691</c:v>
                </c:pt>
                <c:pt idx="4">
                  <c:v>1.7738883632923368</c:v>
                </c:pt>
              </c:numCache>
            </c:numRef>
          </c:val>
          <c:extLst>
            <c:ext xmlns:c16="http://schemas.microsoft.com/office/drawing/2014/chart" uri="{C3380CC4-5D6E-409C-BE32-E72D297353CC}">
              <c16:uniqueId val="{0000000A-E701-4782-A794-683C051C015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Asset Turnover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4"/>
            </a:solidFill>
            <a:ln>
              <a:noFill/>
            </a:ln>
            <a:effectLst/>
          </c:spPr>
          <c:invertIfNegative val="0"/>
          <c:cat>
            <c:numRef>
              <c:f>Sheet3!$C$5:$C$9</c:f>
              <c:numCache>
                <c:formatCode>General</c:formatCode>
                <c:ptCount val="5"/>
                <c:pt idx="0">
                  <c:v>2021</c:v>
                </c:pt>
                <c:pt idx="1">
                  <c:v>2022</c:v>
                </c:pt>
                <c:pt idx="2">
                  <c:v>2023</c:v>
                </c:pt>
                <c:pt idx="3">
                  <c:v>2024</c:v>
                </c:pt>
                <c:pt idx="4">
                  <c:v>2025</c:v>
                </c:pt>
              </c:numCache>
            </c:numRef>
          </c:cat>
          <c:val>
            <c:numRef>
              <c:f>Sheet3!$F$5:$F$9</c:f>
              <c:numCache>
                <c:formatCode>0.00</c:formatCode>
                <c:ptCount val="5"/>
                <c:pt idx="0">
                  <c:v>0.86624818928054081</c:v>
                </c:pt>
                <c:pt idx="1">
                  <c:v>0.98931260626669892</c:v>
                </c:pt>
                <c:pt idx="2">
                  <c:v>0.90761583192646778</c:v>
                </c:pt>
                <c:pt idx="3">
                  <c:v>0.80027852871303351</c:v>
                </c:pt>
                <c:pt idx="4">
                  <c:v>0.68812132646397206</c:v>
                </c:pt>
              </c:numCache>
            </c:numRef>
          </c:val>
          <c:extLst>
            <c:ext xmlns:c16="http://schemas.microsoft.com/office/drawing/2014/chart" uri="{C3380CC4-5D6E-409C-BE32-E72D297353CC}">
              <c16:uniqueId val="{00000000-8D88-4917-A354-7F697426A358}"/>
            </c:ext>
          </c:extLst>
        </c:ser>
        <c:dLbls>
          <c:showLegendKey val="0"/>
          <c:showVal val="0"/>
          <c:showCatName val="0"/>
          <c:showSerName val="0"/>
          <c:showPercent val="0"/>
          <c:showBubbleSize val="0"/>
        </c:dLbls>
        <c:gapWidth val="219"/>
        <c:overlap val="-27"/>
        <c:axId val="236016768"/>
        <c:axId val="210705552"/>
      </c:barChart>
      <c:catAx>
        <c:axId val="236016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5552"/>
        <c:crosses val="autoZero"/>
        <c:auto val="1"/>
        <c:lblAlgn val="ctr"/>
        <c:lblOffset val="100"/>
        <c:noMultiLvlLbl val="0"/>
      </c:catAx>
      <c:valAx>
        <c:axId val="2107055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16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Inventory Turnover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Sheet3!$C$12:$C$16</c:f>
              <c:numCache>
                <c:formatCode>General</c:formatCode>
                <c:ptCount val="5"/>
                <c:pt idx="0">
                  <c:v>2021</c:v>
                </c:pt>
                <c:pt idx="1">
                  <c:v>2022</c:v>
                </c:pt>
                <c:pt idx="2">
                  <c:v>2023</c:v>
                </c:pt>
                <c:pt idx="3">
                  <c:v>2024</c:v>
                </c:pt>
                <c:pt idx="4">
                  <c:v>2025</c:v>
                </c:pt>
              </c:numCache>
            </c:numRef>
          </c:xVal>
          <c:yVal>
            <c:numRef>
              <c:f>Sheet3!$F$12:$F$16</c:f>
              <c:numCache>
                <c:formatCode>0.00</c:formatCode>
                <c:ptCount val="5"/>
                <c:pt idx="0">
                  <c:v>6.9826388888888893</c:v>
                </c:pt>
                <c:pt idx="1">
                  <c:v>4.7204049844236762</c:v>
                </c:pt>
                <c:pt idx="2">
                  <c:v>5.8041085840058688</c:v>
                </c:pt>
                <c:pt idx="3">
                  <c:v>6.6755407653910144</c:v>
                </c:pt>
                <c:pt idx="4">
                  <c:v>6.2736077481840198</c:v>
                </c:pt>
              </c:numCache>
            </c:numRef>
          </c:yVal>
          <c:smooth val="0"/>
          <c:extLst>
            <c:ext xmlns:c16="http://schemas.microsoft.com/office/drawing/2014/chart" uri="{C3380CC4-5D6E-409C-BE32-E72D297353CC}">
              <c16:uniqueId val="{00000000-ACC6-48EF-870B-9849E3804672}"/>
            </c:ext>
          </c:extLst>
        </c:ser>
        <c:dLbls>
          <c:showLegendKey val="0"/>
          <c:showVal val="0"/>
          <c:showCatName val="0"/>
          <c:showSerName val="0"/>
          <c:showPercent val="0"/>
          <c:showBubbleSize val="0"/>
        </c:dLbls>
        <c:axId val="210700656"/>
        <c:axId val="210702288"/>
      </c:scatterChart>
      <c:valAx>
        <c:axId val="210700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2288"/>
        <c:crosses val="autoZero"/>
        <c:crossBetween val="midCat"/>
      </c:valAx>
      <c:valAx>
        <c:axId val="2107022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06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Debt-to-Equity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shade val="53000"/>
                </a:schemeClr>
              </a:solidFill>
              <a:ln w="19050">
                <a:solidFill>
                  <a:schemeClr val="lt1"/>
                </a:solidFill>
              </a:ln>
              <a:effectLst/>
            </c:spPr>
            <c:extLst>
              <c:ext xmlns:c16="http://schemas.microsoft.com/office/drawing/2014/chart" uri="{C3380CC4-5D6E-409C-BE32-E72D297353CC}">
                <c16:uniqueId val="{00000001-F629-4655-9C19-12CCD346DE47}"/>
              </c:ext>
            </c:extLst>
          </c:dPt>
          <c:dPt>
            <c:idx val="1"/>
            <c:bubble3D val="0"/>
            <c:spPr>
              <a:solidFill>
                <a:schemeClr val="accent4">
                  <a:shade val="76000"/>
                </a:schemeClr>
              </a:solidFill>
              <a:ln w="19050">
                <a:solidFill>
                  <a:schemeClr val="lt1"/>
                </a:solidFill>
              </a:ln>
              <a:effectLst/>
            </c:spPr>
            <c:extLst>
              <c:ext xmlns:c16="http://schemas.microsoft.com/office/drawing/2014/chart" uri="{C3380CC4-5D6E-409C-BE32-E72D297353CC}">
                <c16:uniqueId val="{00000003-F629-4655-9C19-12CCD346DE47}"/>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F629-4655-9C19-12CCD346DE47}"/>
              </c:ext>
            </c:extLst>
          </c:dPt>
          <c:dPt>
            <c:idx val="3"/>
            <c:bubble3D val="0"/>
            <c:spPr>
              <a:solidFill>
                <a:schemeClr val="accent4">
                  <a:tint val="77000"/>
                </a:schemeClr>
              </a:solidFill>
              <a:ln w="19050">
                <a:solidFill>
                  <a:schemeClr val="lt1"/>
                </a:solidFill>
              </a:ln>
              <a:effectLst/>
            </c:spPr>
            <c:extLst>
              <c:ext xmlns:c16="http://schemas.microsoft.com/office/drawing/2014/chart" uri="{C3380CC4-5D6E-409C-BE32-E72D297353CC}">
                <c16:uniqueId val="{00000007-F629-4655-9C19-12CCD346DE47}"/>
              </c:ext>
            </c:extLst>
          </c:dPt>
          <c:dPt>
            <c:idx val="4"/>
            <c:bubble3D val="0"/>
            <c:spPr>
              <a:solidFill>
                <a:schemeClr val="accent4">
                  <a:tint val="54000"/>
                </a:schemeClr>
              </a:solidFill>
              <a:ln w="19050">
                <a:solidFill>
                  <a:schemeClr val="lt1"/>
                </a:solidFill>
              </a:ln>
              <a:effectLst/>
            </c:spPr>
            <c:extLst>
              <c:ext xmlns:c16="http://schemas.microsoft.com/office/drawing/2014/chart" uri="{C3380CC4-5D6E-409C-BE32-E72D297353CC}">
                <c16:uniqueId val="{00000009-F629-4655-9C19-12CCD346DE47}"/>
              </c:ext>
            </c:extLst>
          </c:dPt>
          <c:cat>
            <c:numRef>
              <c:f>Sheet4!$C$6:$C$10</c:f>
              <c:numCache>
                <c:formatCode>General</c:formatCode>
                <c:ptCount val="5"/>
                <c:pt idx="0">
                  <c:v>2021</c:v>
                </c:pt>
                <c:pt idx="1">
                  <c:v>2022</c:v>
                </c:pt>
                <c:pt idx="2">
                  <c:v>2023</c:v>
                </c:pt>
                <c:pt idx="3">
                  <c:v>2024</c:v>
                </c:pt>
                <c:pt idx="4">
                  <c:v>2025</c:v>
                </c:pt>
              </c:numCache>
            </c:numRef>
          </c:cat>
          <c:val>
            <c:numRef>
              <c:f>Sheet4!$F$6:$F$10</c:f>
              <c:numCache>
                <c:formatCode>0.00</c:formatCode>
                <c:ptCount val="5"/>
                <c:pt idx="0">
                  <c:v>0.34760705289672539</c:v>
                </c:pt>
                <c:pt idx="1">
                  <c:v>0.25</c:v>
                </c:pt>
                <c:pt idx="2">
                  <c:v>0.1803448275862069</c:v>
                </c:pt>
                <c:pt idx="3">
                  <c:v>0.2002439024390244</c:v>
                </c:pt>
                <c:pt idx="4">
                  <c:v>0.22052631578947371</c:v>
                </c:pt>
              </c:numCache>
            </c:numRef>
          </c:val>
          <c:extLst>
            <c:ext xmlns:c16="http://schemas.microsoft.com/office/drawing/2014/chart" uri="{C3380CC4-5D6E-409C-BE32-E72D297353CC}">
              <c16:uniqueId val="{0000000A-F629-4655-9C19-12CCD346DE4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Interest Cover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Sheet4!$C$13:$C$17</c:f>
              <c:numCache>
                <c:formatCode>General</c:formatCode>
                <c:ptCount val="5"/>
                <c:pt idx="0">
                  <c:v>2021</c:v>
                </c:pt>
                <c:pt idx="1">
                  <c:v>2022</c:v>
                </c:pt>
                <c:pt idx="2">
                  <c:v>2023</c:v>
                </c:pt>
                <c:pt idx="3">
                  <c:v>2024</c:v>
                </c:pt>
                <c:pt idx="4">
                  <c:v>2025</c:v>
                </c:pt>
              </c:numCache>
            </c:numRef>
          </c:cat>
          <c:val>
            <c:numRef>
              <c:f>Sheet4!$F$13:$F$17</c:f>
              <c:numCache>
                <c:formatCode>0.0</c:formatCode>
                <c:ptCount val="5"/>
                <c:pt idx="0">
                  <c:v>8.4675324675324664</c:v>
                </c:pt>
                <c:pt idx="1">
                  <c:v>12.306306306306306</c:v>
                </c:pt>
                <c:pt idx="2">
                  <c:v>10.102272727272728</c:v>
                </c:pt>
                <c:pt idx="3">
                  <c:v>5.0571428571428578</c:v>
                </c:pt>
                <c:pt idx="4">
                  <c:v>5.1904761904761907</c:v>
                </c:pt>
              </c:numCache>
            </c:numRef>
          </c:val>
          <c:smooth val="0"/>
          <c:extLst>
            <c:ext xmlns:c16="http://schemas.microsoft.com/office/drawing/2014/chart" uri="{C3380CC4-5D6E-409C-BE32-E72D297353CC}">
              <c16:uniqueId val="{00000000-73F4-4576-BAAE-84CF49F54865}"/>
            </c:ext>
          </c:extLst>
        </c:ser>
        <c:dLbls>
          <c:showLegendKey val="0"/>
          <c:showVal val="0"/>
          <c:showCatName val="0"/>
          <c:showSerName val="0"/>
          <c:showPercent val="0"/>
          <c:showBubbleSize val="0"/>
        </c:dLbls>
        <c:smooth val="0"/>
        <c:axId val="210709904"/>
        <c:axId val="210700112"/>
      </c:lineChart>
      <c:catAx>
        <c:axId val="210709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0112"/>
        <c:crosses val="autoZero"/>
        <c:auto val="1"/>
        <c:lblAlgn val="ctr"/>
        <c:lblOffset val="100"/>
        <c:noMultiLvlLbl val="0"/>
      </c:catAx>
      <c:valAx>
        <c:axId val="210700112"/>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9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Cash Flow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Sheet5!$C$5:$C$9</c:f>
              <c:numCache>
                <c:formatCode>General</c:formatCode>
                <c:ptCount val="5"/>
                <c:pt idx="0">
                  <c:v>2021</c:v>
                </c:pt>
                <c:pt idx="1">
                  <c:v>2022</c:v>
                </c:pt>
                <c:pt idx="2">
                  <c:v>2023</c:v>
                </c:pt>
                <c:pt idx="3">
                  <c:v>2024</c:v>
                </c:pt>
                <c:pt idx="4">
                  <c:v>2025</c:v>
                </c:pt>
              </c:numCache>
            </c:numRef>
          </c:xVal>
          <c:yVal>
            <c:numRef>
              <c:f>Sheet5!$F$5:$F$9</c:f>
              <c:numCache>
                <c:formatCode>0.00</c:formatCode>
                <c:ptCount val="5"/>
                <c:pt idx="0">
                  <c:v>0.58346017250126836</c:v>
                </c:pt>
                <c:pt idx="1">
                  <c:v>0.55110445526020213</c:v>
                </c:pt>
                <c:pt idx="2">
                  <c:v>0.4612173913043478</c:v>
                </c:pt>
                <c:pt idx="3">
                  <c:v>0.51769604441360162</c:v>
                </c:pt>
                <c:pt idx="4">
                  <c:v>0.40649637338379063</c:v>
                </c:pt>
              </c:numCache>
            </c:numRef>
          </c:yVal>
          <c:smooth val="0"/>
          <c:extLst>
            <c:ext xmlns:c16="http://schemas.microsoft.com/office/drawing/2014/chart" uri="{C3380CC4-5D6E-409C-BE32-E72D297353CC}">
              <c16:uniqueId val="{00000000-5E6A-49BF-BEB6-71D21E643577}"/>
            </c:ext>
          </c:extLst>
        </c:ser>
        <c:dLbls>
          <c:showLegendKey val="0"/>
          <c:showVal val="0"/>
          <c:showCatName val="0"/>
          <c:showSerName val="0"/>
          <c:showPercent val="0"/>
          <c:showBubbleSize val="0"/>
        </c:dLbls>
        <c:axId val="210712080"/>
        <c:axId val="210707184"/>
      </c:scatterChart>
      <c:valAx>
        <c:axId val="2107120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7184"/>
        <c:crosses val="autoZero"/>
        <c:crossBetween val="midCat"/>
      </c:valAx>
      <c:valAx>
        <c:axId val="2107071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1208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Free Cash Flow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solidFill>
            <a:ln>
              <a:noFill/>
            </a:ln>
            <a:effectLst/>
          </c:spPr>
          <c:invertIfNegative val="0"/>
          <c:cat>
            <c:numRef>
              <c:f>Sheet5!$C$12:$C$16</c:f>
              <c:numCache>
                <c:formatCode>General</c:formatCode>
                <c:ptCount val="5"/>
                <c:pt idx="0">
                  <c:v>2021</c:v>
                </c:pt>
                <c:pt idx="1">
                  <c:v>2022</c:v>
                </c:pt>
                <c:pt idx="2">
                  <c:v>2023</c:v>
                </c:pt>
                <c:pt idx="3">
                  <c:v>2024</c:v>
                </c:pt>
                <c:pt idx="4">
                  <c:v>2025</c:v>
                </c:pt>
              </c:numCache>
            </c:numRef>
          </c:cat>
          <c:val>
            <c:numRef>
              <c:f>Sheet5!$F$12:$F$16</c:f>
              <c:numCache>
                <c:formatCode>General</c:formatCode>
                <c:ptCount val="5"/>
                <c:pt idx="0">
                  <c:v>3.49</c:v>
                </c:pt>
                <c:pt idx="1">
                  <c:v>7.5500000000000007</c:v>
                </c:pt>
                <c:pt idx="2">
                  <c:v>4.3599999999999994</c:v>
                </c:pt>
                <c:pt idx="3">
                  <c:v>3.58</c:v>
                </c:pt>
                <c:pt idx="4">
                  <c:v>4.3600000000000012</c:v>
                </c:pt>
              </c:numCache>
            </c:numRef>
          </c:val>
          <c:extLst>
            <c:ext xmlns:c16="http://schemas.microsoft.com/office/drawing/2014/chart" uri="{C3380CC4-5D6E-409C-BE32-E72D297353CC}">
              <c16:uniqueId val="{00000000-EE08-49A5-A364-14CEBD35B28A}"/>
            </c:ext>
          </c:extLst>
        </c:ser>
        <c:dLbls>
          <c:showLegendKey val="0"/>
          <c:showVal val="0"/>
          <c:showCatName val="0"/>
          <c:showSerName val="0"/>
          <c:showPercent val="0"/>
          <c:showBubbleSize val="0"/>
        </c:dLbls>
        <c:gapWidth val="219"/>
        <c:overlap val="-27"/>
        <c:axId val="210713168"/>
        <c:axId val="210710992"/>
      </c:barChart>
      <c:catAx>
        <c:axId val="210713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10992"/>
        <c:crosses val="autoZero"/>
        <c:auto val="1"/>
        <c:lblAlgn val="ctr"/>
        <c:lblOffset val="100"/>
        <c:noMultiLvlLbl val="0"/>
      </c:catAx>
      <c:valAx>
        <c:axId val="210710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13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EPS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hade val="53000"/>
                </a:schemeClr>
              </a:solidFill>
              <a:ln w="19050">
                <a:solidFill>
                  <a:schemeClr val="lt1"/>
                </a:solidFill>
              </a:ln>
              <a:effectLst/>
            </c:spPr>
            <c:extLst>
              <c:ext xmlns:c16="http://schemas.microsoft.com/office/drawing/2014/chart" uri="{C3380CC4-5D6E-409C-BE32-E72D297353CC}">
                <c16:uniqueId val="{00000001-DCBC-4BE2-8901-920FBB88484C}"/>
              </c:ext>
            </c:extLst>
          </c:dPt>
          <c:dPt>
            <c:idx val="1"/>
            <c:bubble3D val="0"/>
            <c:spPr>
              <a:solidFill>
                <a:schemeClr val="accent2">
                  <a:shade val="76000"/>
                </a:schemeClr>
              </a:solidFill>
              <a:ln w="19050">
                <a:solidFill>
                  <a:schemeClr val="lt1"/>
                </a:solidFill>
              </a:ln>
              <a:effectLst/>
            </c:spPr>
            <c:extLst>
              <c:ext xmlns:c16="http://schemas.microsoft.com/office/drawing/2014/chart" uri="{C3380CC4-5D6E-409C-BE32-E72D297353CC}">
                <c16:uniqueId val="{00000003-DCBC-4BE2-8901-920FBB88484C}"/>
              </c:ext>
            </c:extLst>
          </c:dPt>
          <c:dPt>
            <c:idx val="2"/>
            <c:bubble3D val="0"/>
            <c:spPr>
              <a:solidFill>
                <a:schemeClr val="accent2"/>
              </a:solidFill>
              <a:ln w="19050">
                <a:solidFill>
                  <a:schemeClr val="lt1"/>
                </a:solidFill>
              </a:ln>
              <a:effectLst/>
            </c:spPr>
            <c:extLst>
              <c:ext xmlns:c16="http://schemas.microsoft.com/office/drawing/2014/chart" uri="{C3380CC4-5D6E-409C-BE32-E72D297353CC}">
                <c16:uniqueId val="{00000005-DCBC-4BE2-8901-920FBB88484C}"/>
              </c:ext>
            </c:extLst>
          </c:dPt>
          <c:dPt>
            <c:idx val="3"/>
            <c:bubble3D val="0"/>
            <c:spPr>
              <a:solidFill>
                <a:schemeClr val="accent2">
                  <a:tint val="77000"/>
                </a:schemeClr>
              </a:solidFill>
              <a:ln w="19050">
                <a:solidFill>
                  <a:schemeClr val="lt1"/>
                </a:solidFill>
              </a:ln>
              <a:effectLst/>
            </c:spPr>
            <c:extLst>
              <c:ext xmlns:c16="http://schemas.microsoft.com/office/drawing/2014/chart" uri="{C3380CC4-5D6E-409C-BE32-E72D297353CC}">
                <c16:uniqueId val="{00000007-DCBC-4BE2-8901-920FBB88484C}"/>
              </c:ext>
            </c:extLst>
          </c:dPt>
          <c:dPt>
            <c:idx val="4"/>
            <c:bubble3D val="0"/>
            <c:spPr>
              <a:solidFill>
                <a:schemeClr val="accent2">
                  <a:tint val="54000"/>
                </a:schemeClr>
              </a:solidFill>
              <a:ln w="19050">
                <a:solidFill>
                  <a:schemeClr val="lt1"/>
                </a:solidFill>
              </a:ln>
              <a:effectLst/>
            </c:spPr>
            <c:extLst>
              <c:ext xmlns:c16="http://schemas.microsoft.com/office/drawing/2014/chart" uri="{C3380CC4-5D6E-409C-BE32-E72D297353CC}">
                <c16:uniqueId val="{00000009-DCBC-4BE2-8901-920FBB88484C}"/>
              </c:ext>
            </c:extLst>
          </c:dPt>
          <c:cat>
            <c:numRef>
              <c:f>Sheet5!$C$19:$C$23</c:f>
              <c:numCache>
                <c:formatCode>General</c:formatCode>
                <c:ptCount val="5"/>
                <c:pt idx="0">
                  <c:v>2021</c:v>
                </c:pt>
                <c:pt idx="1">
                  <c:v>2022</c:v>
                </c:pt>
                <c:pt idx="2">
                  <c:v>2023</c:v>
                </c:pt>
                <c:pt idx="3">
                  <c:v>2024</c:v>
                </c:pt>
                <c:pt idx="4">
                  <c:v>2025</c:v>
                </c:pt>
              </c:numCache>
            </c:numRef>
          </c:cat>
          <c:val>
            <c:numRef>
              <c:f>Sheet5!$F$19:$F$23</c:f>
              <c:numCache>
                <c:formatCode>0.00</c:formatCode>
                <c:ptCount val="5"/>
                <c:pt idx="0">
                  <c:v>1.6283185840707963</c:v>
                </c:pt>
                <c:pt idx="1">
                  <c:v>3.6149425287356323</c:v>
                </c:pt>
                <c:pt idx="2">
                  <c:v>4.2979942693409736</c:v>
                </c:pt>
                <c:pt idx="3">
                  <c:v>2.0488505747126435</c:v>
                </c:pt>
                <c:pt idx="4">
                  <c:v>1.1017441860465116</c:v>
                </c:pt>
              </c:numCache>
            </c:numRef>
          </c:val>
          <c:extLst>
            <c:ext xmlns:c16="http://schemas.microsoft.com/office/drawing/2014/chart" uri="{C3380CC4-5D6E-409C-BE32-E72D297353CC}">
              <c16:uniqueId val="{0000000A-DCBC-4BE2-8901-920FBB88484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Cash Operating Cycle Assessment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Sheet6!$C$3</c:f>
              <c:strCache>
                <c:ptCount val="1"/>
                <c:pt idx="0">
                  <c:v>Year</c:v>
                </c:pt>
              </c:strCache>
            </c:strRef>
          </c:tx>
          <c:spPr>
            <a:solidFill>
              <a:schemeClr val="accent1"/>
            </a:solidFill>
            <a:ln>
              <a:noFill/>
            </a:ln>
            <a:effectLst/>
            <a:sp3d/>
          </c:spPr>
          <c:invertIfNegative val="0"/>
          <c:val>
            <c:numRef>
              <c:f>Sheet6!$C$4:$C$9</c:f>
              <c:numCache>
                <c:formatCode>General</c:formatCode>
                <c:ptCount val="6"/>
                <c:pt idx="0">
                  <c:v>2024</c:v>
                </c:pt>
                <c:pt idx="1">
                  <c:v>2025</c:v>
                </c:pt>
                <c:pt idx="2">
                  <c:v>2024</c:v>
                </c:pt>
                <c:pt idx="3">
                  <c:v>2025</c:v>
                </c:pt>
                <c:pt idx="4">
                  <c:v>2024</c:v>
                </c:pt>
                <c:pt idx="5">
                  <c:v>2025</c:v>
                </c:pt>
              </c:numCache>
            </c:numRef>
          </c:val>
          <c:extLst>
            <c:ext xmlns:c16="http://schemas.microsoft.com/office/drawing/2014/chart" uri="{C3380CC4-5D6E-409C-BE32-E72D297353CC}">
              <c16:uniqueId val="{00000000-5770-478B-BBE4-3CC5BF396E6C}"/>
            </c:ext>
          </c:extLst>
        </c:ser>
        <c:ser>
          <c:idx val="1"/>
          <c:order val="1"/>
          <c:tx>
            <c:strRef>
              <c:f>Sheet6!$F$3</c:f>
              <c:strCache>
                <c:ptCount val="1"/>
                <c:pt idx="0">
                  <c:v>Final Value (Days)</c:v>
                </c:pt>
              </c:strCache>
            </c:strRef>
          </c:tx>
          <c:spPr>
            <a:solidFill>
              <a:schemeClr val="accent2"/>
            </a:solidFill>
            <a:ln>
              <a:noFill/>
            </a:ln>
            <a:effectLst/>
            <a:sp3d/>
          </c:spPr>
          <c:invertIfNegative val="0"/>
          <c:val>
            <c:numRef>
              <c:f>Sheet6!$F$4:$F$9</c:f>
              <c:numCache>
                <c:formatCode>0</c:formatCode>
                <c:ptCount val="6"/>
                <c:pt idx="0">
                  <c:v>54.677218344965105</c:v>
                </c:pt>
                <c:pt idx="1">
                  <c:v>58.180239289849482</c:v>
                </c:pt>
                <c:pt idx="2">
                  <c:v>18.009008086805203</c:v>
                </c:pt>
                <c:pt idx="3">
                  <c:v>21.053991352947378</c:v>
                </c:pt>
                <c:pt idx="4">
                  <c:v>72.417746759720842</c:v>
                </c:pt>
                <c:pt idx="5">
                  <c:v>69.1213173806767</c:v>
                </c:pt>
              </c:numCache>
            </c:numRef>
          </c:val>
          <c:extLst>
            <c:ext xmlns:c16="http://schemas.microsoft.com/office/drawing/2014/chart" uri="{C3380CC4-5D6E-409C-BE32-E72D297353CC}">
              <c16:uniqueId val="{00000001-5770-478B-BBE4-3CC5BF396E6C}"/>
            </c:ext>
          </c:extLst>
        </c:ser>
        <c:dLbls>
          <c:showLegendKey val="0"/>
          <c:showVal val="0"/>
          <c:showCatName val="0"/>
          <c:showSerName val="0"/>
          <c:showPercent val="0"/>
          <c:showBubbleSize val="0"/>
        </c:dLbls>
        <c:gapWidth val="150"/>
        <c:shape val="box"/>
        <c:axId val="210702832"/>
        <c:axId val="210706096"/>
        <c:axId val="0"/>
      </c:bar3DChart>
      <c:catAx>
        <c:axId val="210702832"/>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6096"/>
        <c:crosses val="autoZero"/>
        <c:auto val="1"/>
        <c:lblAlgn val="ctr"/>
        <c:lblOffset val="100"/>
        <c:noMultiLvlLbl val="0"/>
      </c:catAx>
      <c:valAx>
        <c:axId val="210706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702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Cash Conversion Cycle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673-47C7-B13E-3186D99B4E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673-47C7-B13E-3186D99B4E53}"/>
              </c:ext>
            </c:extLst>
          </c:dPt>
          <c:cat>
            <c:numRef>
              <c:f>Sheet6!$C$13:$C$14</c:f>
              <c:numCache>
                <c:formatCode>General</c:formatCode>
                <c:ptCount val="2"/>
                <c:pt idx="0">
                  <c:v>2024</c:v>
                </c:pt>
                <c:pt idx="1">
                  <c:v>2025</c:v>
                </c:pt>
              </c:numCache>
            </c:numRef>
          </c:cat>
          <c:val>
            <c:numRef>
              <c:f>Sheet6!$G$13:$G$14</c:f>
              <c:numCache>
                <c:formatCode>General</c:formatCode>
                <c:ptCount val="2"/>
                <c:pt idx="0">
                  <c:v>13</c:v>
                </c:pt>
                <c:pt idx="1">
                  <c:v>25</c:v>
                </c:pt>
              </c:numCache>
            </c:numRef>
          </c:val>
          <c:extLst>
            <c:ext xmlns:c16="http://schemas.microsoft.com/office/drawing/2014/chart" uri="{C3380CC4-5D6E-409C-BE32-E72D297353CC}">
              <c16:uniqueId val="{00000004-4673-47C7-B13E-3186D99B4E5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7">
  <a:schemeClr val="accent4"/>
</cs:colorStyle>
</file>

<file path=word/charts/colors9.xml><?xml version="1.0" encoding="utf-8"?>
<cs:colorStyle xmlns:cs="http://schemas.microsoft.com/office/drawing/2012/chartStyle" xmlns:a="http://schemas.openxmlformats.org/drawingml/2006/main" meth="withinLinear" id="15">
  <a:schemeClr val="accent2"/>
</cs:colorStyle>
</file>

<file path=word/charts/colors10.xml><?xml version="1.0" encoding="utf-8"?>
<cs:colorStyle xmlns:cs="http://schemas.microsoft.com/office/drawing/2012/chartStyle" xmlns:a="http://schemas.openxmlformats.org/drawingml/2006/main" meth="withinLinear" id="17">
  <a:schemeClr val="accent4"/>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withinLinear" id="18">
  <a:schemeClr val="accent5"/>
</cs:colorStyle>
</file>

<file path=word/charts/colors14.xml><?xml version="1.0" encoding="utf-8"?>
<cs:colorStyle xmlns:cs="http://schemas.microsoft.com/office/drawing/2012/chartStyle" xmlns:a="http://schemas.openxmlformats.org/drawingml/2006/main" meth="withinLinear" id="15">
  <a:schemeClr val="accent2"/>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BB704-0D75-40E4-A8F2-26C58E43E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1261</TotalTime>
  <Pages>48</Pages>
  <Words>6113</Words>
  <Characters>37278</Characters>
  <Application>Microsoft Office Word</Application>
  <DocSecurity>0</DocSecurity>
  <Lines>783</Lines>
  <Paragraphs>284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43121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8</cp:revision>
  <dcterms:created xsi:type="dcterms:W3CDTF">2026-04-16T10:04:00Z</dcterms:created>
  <dcterms:modified xsi:type="dcterms:W3CDTF">2026-04-23T21:09:00Z</dcterms:modified>
  <cp:category/>
</cp:coreProperties>
</file>