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F41BE" w:rsidRDefault="00BD35A4">
      <w:pPr>
        <w:pStyle w:val="normal0"/>
        <w:jc w:val="center"/>
        <w:rPr>
          <w:b/>
          <w:i/>
          <w:sz w:val="36"/>
          <w:szCs w:val="36"/>
          <w:u w:val="single"/>
        </w:rPr>
      </w:pPr>
      <w:r>
        <w:rPr>
          <w:b/>
          <w:i/>
          <w:sz w:val="36"/>
          <w:szCs w:val="36"/>
          <w:u w:val="single"/>
        </w:rPr>
        <w:t xml:space="preserve">Britain and the Great War </w:t>
      </w:r>
      <w:r>
        <w:rPr>
          <w:b/>
          <w:i/>
          <w:sz w:val="36"/>
          <w:szCs w:val="36"/>
          <w:u w:val="single"/>
        </w:rPr>
        <w:t>essay:  British military tactics were to change markedly during World War One. Discuss with particular attention given to the fighting on the Western Front between 1916- 1918 and the lessons learned from the Battles of the Somme and Third Ypres - 2500 word</w:t>
      </w:r>
      <w:r>
        <w:rPr>
          <w:b/>
          <w:i/>
          <w:sz w:val="36"/>
          <w:szCs w:val="36"/>
          <w:u w:val="single"/>
        </w:rPr>
        <w:t xml:space="preserve">s.  </w:t>
      </w:r>
    </w:p>
    <w:p w:rsidR="00CF41BE" w:rsidRDefault="00CF41BE">
      <w:pPr>
        <w:pStyle w:val="normal0"/>
        <w:jc w:val="center"/>
        <w:rPr>
          <w:b/>
          <w:i/>
          <w:sz w:val="36"/>
          <w:szCs w:val="36"/>
          <w:u w:val="single"/>
        </w:rPr>
      </w:pPr>
    </w:p>
    <w:p w:rsidR="00CF41BE" w:rsidRDefault="00BD35A4">
      <w:pPr>
        <w:pStyle w:val="normal0"/>
        <w:jc w:val="center"/>
        <w:rPr>
          <w:b/>
          <w:i/>
        </w:rPr>
      </w:pPr>
      <w:r>
        <w:rPr>
          <w:b/>
          <w:i/>
        </w:rPr>
        <w:t xml:space="preserve"> </w:t>
      </w:r>
    </w:p>
    <w:p w:rsidR="00CF41BE" w:rsidRDefault="00BD35A4">
      <w:pPr>
        <w:pStyle w:val="normal0"/>
      </w:pPr>
      <w:r>
        <w:t>Tactical innovations emerged on the Western Front following technical improvements, during the years 1916 – 1918 where lessons were learned from previous battles. An example of this technical innovation would be the use of gas masks. The British re</w:t>
      </w:r>
      <w:r>
        <w:t xml:space="preserve">sponse to gas was very rapid, in the week following chlorine gas’ first use (April 1915), a third of a million gas helmets were produced, with an improved revision following two months later. The gas mask we know of today was released in 1917, invented by </w:t>
      </w:r>
      <w:r>
        <w:t>a man who joined the Sportsman's Battalion, its chemicals neutralized all gases and a cloth filter dealt with arsenic particles</w:t>
      </w:r>
      <w:r>
        <w:rPr>
          <w:vertAlign w:val="superscript"/>
        </w:rPr>
        <w:footnoteReference w:id="1"/>
      </w:r>
      <w:r>
        <w:t>. Gas schools were also introduced, where men were trained in courses that involved spending an hour immersed in cloud gas and e</w:t>
      </w:r>
      <w:r>
        <w:t>xposed to raw tear gas for thirty seconds, with six seconds allowed for getting their gas masks on</w:t>
      </w:r>
      <w:r>
        <w:rPr>
          <w:vertAlign w:val="superscript"/>
        </w:rPr>
        <w:footnoteReference w:id="2"/>
      </w:r>
      <w:r>
        <w:t xml:space="preserve">.  Divisional gas officers became part of the front line by mid-1916, keeping up with German developments, distinguished by dark green hat bands, who helped </w:t>
      </w:r>
      <w:r>
        <w:t>troops during gas attacks, providing helmets and fans to drivers.  These innovations improved survivability, after 1916, just three percent of gas casualties died, ninety three percent returned to duty with seventy percent cured in six weeks, lessons clear</w:t>
      </w:r>
      <w:r>
        <w:t>ly learned from German gas attacks during the Somme</w:t>
      </w:r>
      <w:r>
        <w:rPr>
          <w:vertAlign w:val="superscript"/>
        </w:rPr>
        <w:footnoteReference w:id="3"/>
      </w:r>
      <w:r>
        <w:t xml:space="preserve">. </w:t>
      </w:r>
    </w:p>
    <w:p w:rsidR="00CF41BE" w:rsidRDefault="00CF41BE">
      <w:pPr>
        <w:pStyle w:val="normal0"/>
      </w:pPr>
    </w:p>
    <w:p w:rsidR="00CF41BE" w:rsidRDefault="00BD35A4">
      <w:pPr>
        <w:pStyle w:val="normal0"/>
      </w:pPr>
      <w:r>
        <w:t>Advancement of technology was introduced to regular troops through the success of elite units and then became standardised by high command, elite units were the test subjects of new tactics such as ra</w:t>
      </w:r>
      <w:r>
        <w:t>iding and their success would dictate if new developments were used</w:t>
      </w:r>
      <w:r>
        <w:rPr>
          <w:vertAlign w:val="superscript"/>
        </w:rPr>
        <w:footnoteReference w:id="4"/>
      </w:r>
      <w:r>
        <w:t xml:space="preserve">. Following their innovative success in 1914, snipers became more common by 1916, using fixed rifles aligned and sighted at parts of the enemy’s line that were vulnerable, such as gaps in </w:t>
      </w:r>
      <w:r>
        <w:t>parapets between trenches and also firing at night</w:t>
      </w:r>
      <w:r>
        <w:rPr>
          <w:vertAlign w:val="superscript"/>
        </w:rPr>
        <w:footnoteReference w:id="5"/>
      </w:r>
      <w:r>
        <w:t>.  After the Somme, fronts became more rigid, fighting developed into a vast expenditure regarding war material, especially during 1917 – 1918. An example of this was the powerful concentration of artiller</w:t>
      </w:r>
      <w:r>
        <w:t>y and the mass use of aeroplanes.</w:t>
      </w:r>
    </w:p>
    <w:p w:rsidR="00CF41BE" w:rsidRDefault="00BD35A4">
      <w:pPr>
        <w:pStyle w:val="normal0"/>
      </w:pPr>
      <w:r>
        <w:t xml:space="preserve"> </w:t>
      </w:r>
    </w:p>
    <w:p w:rsidR="00CF41BE" w:rsidRDefault="00BD35A4">
      <w:pPr>
        <w:pStyle w:val="normal0"/>
      </w:pPr>
      <w:r>
        <w:t xml:space="preserve">Camouflage introduced in early 1917 to British troops, camouflage officers were sent to each </w:t>
      </w:r>
      <w:proofErr w:type="spellStart"/>
      <w:r>
        <w:t>corp</w:t>
      </w:r>
      <w:proofErr w:type="spellEnd"/>
      <w:r>
        <w:t>, teaching soldiers how to fight and work with these specialized troops</w:t>
      </w:r>
      <w:r>
        <w:rPr>
          <w:color w:val="1F497D"/>
        </w:rPr>
        <w:t xml:space="preserve">, </w:t>
      </w:r>
      <w:r>
        <w:t xml:space="preserve">while planes </w:t>
      </w:r>
      <w:r>
        <w:lastRenderedPageBreak/>
        <w:t>supplied an all seeing eye from above</w:t>
      </w:r>
      <w:r>
        <w:t>. Denis Winter, in</w:t>
      </w:r>
      <w:r>
        <w:rPr>
          <w:i/>
        </w:rPr>
        <w:t xml:space="preserve"> Death’s Men,</w:t>
      </w:r>
      <w:r>
        <w:t xml:space="preserve"> mixes usage of primary accounts of soldiers, presenting their struggles and views concerning command and technology that was prominent in the conflict, presenting tactical change over time; “Infantry became merely hunters an</w:t>
      </w:r>
      <w:r>
        <w:t>d hunted, while technologists in Khaki manipulated the primitive cutting edge of their sophisticated backup tools.”</w:t>
      </w:r>
      <w:r>
        <w:rPr>
          <w:vertAlign w:val="superscript"/>
        </w:rPr>
        <w:footnoteReference w:id="6"/>
      </w:r>
      <w:r>
        <w:t xml:space="preserve">  Soldiers became the targets of technical advancement, weapons, tactics and counter-tactics advancing over time to ensure victory while inf</w:t>
      </w:r>
      <w:r>
        <w:t xml:space="preserve">antry learned in close combat how to face weapons such as mortars and gas attacks as well, gas mask innovation for example was produced because of this.  </w:t>
      </w:r>
    </w:p>
    <w:p w:rsidR="00CF41BE" w:rsidRDefault="00CF41BE">
      <w:pPr>
        <w:pStyle w:val="normal0"/>
      </w:pPr>
    </w:p>
    <w:p w:rsidR="00CF41BE" w:rsidRDefault="00BD35A4">
      <w:pPr>
        <w:pStyle w:val="normal0"/>
      </w:pPr>
      <w:r>
        <w:t>Tanks were introduced to combat in 1916, seeing their first action during the Somme where they caugh</w:t>
      </w:r>
      <w:r>
        <w:t>t the awe of ally and enemy soldiers alike. Tanks initially worked independently rather than collaboratively with other methods of warfare, the Allies saw a need to counter machine guns and the tank was seen as a method of mounting attacks over trenches an</w:t>
      </w:r>
      <w:r>
        <w:t>d seizing ground</w:t>
      </w:r>
      <w:r>
        <w:rPr>
          <w:vertAlign w:val="superscript"/>
        </w:rPr>
        <w:footnoteReference w:id="7"/>
      </w:r>
      <w:r>
        <w:t>. Commanders were also interested in tank use, Haig for example, viewed tanks as potential shock cavalry that could seize ground easier than infantry and damage enemy morale, foreseeing their future use and potential, he advocated more tan</w:t>
      </w:r>
      <w:r>
        <w:t>k deployment in later conflicts</w:t>
      </w:r>
      <w:r>
        <w:rPr>
          <w:vertAlign w:val="superscript"/>
        </w:rPr>
        <w:footnoteReference w:id="8"/>
      </w:r>
      <w:r>
        <w:t xml:space="preserve">.   </w:t>
      </w:r>
    </w:p>
    <w:p w:rsidR="00CF41BE" w:rsidRDefault="00BD35A4">
      <w:pPr>
        <w:pStyle w:val="normal0"/>
      </w:pPr>
      <w:r>
        <w:t>Despite their successes tanks did have some faults, earlier versions were slow requiring a great deal of time to position them on the battlefield and they needed constant maintenance to keep them operating. Of the forty</w:t>
      </w:r>
      <w:r>
        <w:t xml:space="preserve"> nine tanks in theory available to support the attack on Fliers scheduled for the 15th September 1916, the first time tanks were to be sent into action, only thirty six reached their jumping off point for the assault</w:t>
      </w:r>
      <w:r>
        <w:rPr>
          <w:vertAlign w:val="superscript"/>
        </w:rPr>
        <w:footnoteReference w:id="9"/>
      </w:r>
      <w:r>
        <w:t>. Though this account from Robert T.Fol</w:t>
      </w:r>
      <w:r>
        <w:t xml:space="preserve">ey and Helen McCartney wrote about the faults at Fliers and the Somme, </w:t>
      </w:r>
      <w:r w:rsidR="00BC3527">
        <w:t>Malcolm</w:t>
      </w:r>
      <w:r>
        <w:t xml:space="preserve"> Brown wrote that these tanks were dramatically successful with four tanks seizing the initiative by driving into Flers with an accompanying surge of tommies, setting an example f</w:t>
      </w:r>
      <w:r>
        <w:t>or future tank action.</w:t>
      </w:r>
      <w:r>
        <w:rPr>
          <w:vertAlign w:val="superscript"/>
        </w:rPr>
        <w:footnoteReference w:id="10"/>
      </w:r>
      <w:r>
        <w:t xml:space="preserve"> Brown is not afraid to show errors of tank warfare either, believing in tank invincibility Lieutenant General Sir </w:t>
      </w:r>
      <w:r w:rsidR="00AA1FF1">
        <w:t>William</w:t>
      </w:r>
      <w:r>
        <w:t xml:space="preserve"> Pulteneg ordered an attack through High Wood that caused high casualties for the 47th Division despite advice </w:t>
      </w:r>
      <w:r>
        <w:t>from specialists in tank warfare not to proceed</w:t>
      </w:r>
      <w:r>
        <w:rPr>
          <w:vertAlign w:val="superscript"/>
        </w:rPr>
        <w:footnoteReference w:id="11"/>
      </w:r>
      <w:r>
        <w:t xml:space="preserve">. Time would overcome these failures, in 1916 tanks were in their infancy and by the conflict’s closing year of 1918 they were developing their own tactics similar to aero planes, combining arms and creating </w:t>
      </w:r>
      <w:r>
        <w:t>their own responsibilities</w:t>
      </w:r>
      <w:r>
        <w:rPr>
          <w:vertAlign w:val="superscript"/>
        </w:rPr>
        <w:footnoteReference w:id="12"/>
      </w:r>
      <w:r>
        <w:t xml:space="preserve">. </w:t>
      </w:r>
    </w:p>
    <w:p w:rsidR="00CF41BE" w:rsidRDefault="00CF41BE">
      <w:pPr>
        <w:pStyle w:val="normal0"/>
      </w:pPr>
    </w:p>
    <w:p w:rsidR="00CF41BE" w:rsidRDefault="00BD35A4">
      <w:pPr>
        <w:pStyle w:val="normal0"/>
      </w:pPr>
      <w:r>
        <w:t>During the Battle of Passchendaele tanks had mixed success, one hundred and thirty- six of them were deployed for the advance on the Black and Green line and could not perform well because of the terrain</w:t>
      </w:r>
      <w:r>
        <w:rPr>
          <w:vertAlign w:val="superscript"/>
        </w:rPr>
        <w:footnoteReference w:id="13"/>
      </w:r>
      <w:r>
        <w:t>. Tanks themselves co</w:t>
      </w:r>
      <w:r>
        <w:t xml:space="preserve">uld not </w:t>
      </w:r>
      <w:r w:rsidR="00BC3527">
        <w:t>manoeuvre</w:t>
      </w:r>
      <w:r>
        <w:t xml:space="preserve"> optimally because of terrain including wooden debris, tree stumps, and wet ground that slowed tanks from their </w:t>
      </w:r>
      <w:r>
        <w:lastRenderedPageBreak/>
        <w:t>normal speed of ten to twenty yards a minute, making movement almost impossible. Successful tank actions also took place in Pas</w:t>
      </w:r>
      <w:r>
        <w:t>schendaele, for example under a smoke screen, seven tanks travelled along the Saint Julien road to Poelcappelle silencing many German strong points that had held up an entire division, taking multiple German prisoners on 19th August 1917. This success boos</w:t>
      </w:r>
      <w:r>
        <w:t>ted morale greatly in the Tank corps, its staff devised a plan for a major tank raid that eventually became the Battle of Cambrai in November 1917</w:t>
      </w:r>
      <w:r>
        <w:rPr>
          <w:vertAlign w:val="superscript"/>
        </w:rPr>
        <w:footnoteReference w:id="14"/>
      </w:r>
      <w:r>
        <w:t>. Success at St Julien was supported by its flat terrain, free of wooden hindrances, allowing tanks to be sup</w:t>
      </w:r>
      <w:r>
        <w:t>ported and co-operate successfully with the British thirty ninth and fifty first divisions.</w:t>
      </w:r>
      <w:r>
        <w:rPr>
          <w:vertAlign w:val="superscript"/>
        </w:rPr>
        <w:footnoteReference w:id="15"/>
      </w:r>
      <w:r>
        <w:t xml:space="preserve"> </w:t>
      </w:r>
    </w:p>
    <w:p w:rsidR="00CF41BE" w:rsidRDefault="00CF41BE">
      <w:pPr>
        <w:pStyle w:val="normal0"/>
      </w:pPr>
    </w:p>
    <w:p w:rsidR="00CF41BE" w:rsidRDefault="00BD35A4">
      <w:pPr>
        <w:pStyle w:val="normal0"/>
      </w:pPr>
      <w:r>
        <w:t>From 20th November to 8th December 1917 the Battle of Cambrai took place that saw innovation in tank tactics and cooperation with other forms of arms. A tank rai</w:t>
      </w:r>
      <w:r>
        <w:t>d was proposed that would last no longer than forty eight hours with over two hundred tanks that would perform a hit and run attack, destroying as many enemy machine guns as possible on a front between Banteux and Ribecount. The tanks would join with six i</w:t>
      </w:r>
      <w:r>
        <w:t>nfantry and five cavalry divisions in the form of three tank brigades (equivalent of nine tank battalions)</w:t>
      </w:r>
      <w:r>
        <w:rPr>
          <w:vertAlign w:val="superscript"/>
        </w:rPr>
        <w:footnoteReference w:id="16"/>
      </w:r>
      <w:r>
        <w:t>. Infantry corps were also tasked with training the tank corps, to optimise greater cooperation that would be recorded in training booklets, carrying</w:t>
      </w:r>
      <w:r>
        <w:t xml:space="preserve"> on the lessons for future tank soldiers</w:t>
      </w:r>
      <w:r>
        <w:rPr>
          <w:vertAlign w:val="superscript"/>
        </w:rPr>
        <w:footnoteReference w:id="17"/>
      </w:r>
      <w:r>
        <w:t>.  On 7th November 1917  the 51st Division issued its tactical guidance for operations involving tank and infantry co-operation. The instructions stated that the tanks would work in three waves. The first wave would</w:t>
      </w:r>
      <w:r>
        <w:t xml:space="preserve"> consist of one section per infantry battalion that would crush barbed wire and complete other objectives with the second wave serving as a fighting force of thirty six tanks (eighteen per brigade) forming a forward front. A final wave of twenty four fight</w:t>
      </w:r>
      <w:r>
        <w:t>ing tanks (twelve per brigade front) would tackle positions beyond the first and up to the final objective with soldiers following behind at a distance of a hundred yards for safety</w:t>
      </w:r>
      <w:r>
        <w:rPr>
          <w:vertAlign w:val="superscript"/>
        </w:rPr>
        <w:footnoteReference w:id="18"/>
      </w:r>
      <w:r>
        <w:t>. The tank raid saw multiple successes, for example tank 135 silenced enem</w:t>
      </w:r>
      <w:r>
        <w:t xml:space="preserve">y machine guns and seized La </w:t>
      </w:r>
      <w:proofErr w:type="spellStart"/>
      <w:r>
        <w:t>Vacquerie</w:t>
      </w:r>
      <w:proofErr w:type="spellEnd"/>
      <w:r>
        <w:t xml:space="preserve"> without loss and the sixth brigade led by eighteen tanks seized a German strongpoint at their front line</w:t>
      </w:r>
      <w:r>
        <w:rPr>
          <w:vertAlign w:val="superscript"/>
        </w:rPr>
        <w:footnoteReference w:id="19"/>
      </w:r>
      <w:r>
        <w:t>. Furthermore tactical innovation during the raid also took place with British gunners having special tasks to n</w:t>
      </w:r>
      <w:r>
        <w:t>eutralize any anti- tank batteries that occupied southern and eastern slopes of the Bourbon Wood, displaying co-operation between infantry and tanks that was improving and would become important over time</w:t>
      </w:r>
      <w:r>
        <w:rPr>
          <w:vertAlign w:val="superscript"/>
        </w:rPr>
        <w:footnoteReference w:id="20"/>
      </w:r>
      <w:r>
        <w:t xml:space="preserve">.  </w:t>
      </w:r>
    </w:p>
    <w:p w:rsidR="00CF41BE" w:rsidRDefault="00CF41BE">
      <w:pPr>
        <w:pStyle w:val="normal0"/>
      </w:pPr>
    </w:p>
    <w:p w:rsidR="00CF41BE" w:rsidRDefault="00BD35A4">
      <w:pPr>
        <w:pStyle w:val="normal0"/>
      </w:pPr>
      <w:r>
        <w:t>Aeroplanes acted as reconnaissance during thes</w:t>
      </w:r>
      <w:r>
        <w:t xml:space="preserve">e </w:t>
      </w:r>
      <w:r w:rsidR="00BC3527">
        <w:t>years, using</w:t>
      </w:r>
      <w:r>
        <w:t xml:space="preserve"> cameras attached to their bottom to take photos of enemy positions including trenches, eventually building a map from a height of between six to eight thousand feet, also communicating with artillery through wireless and battery signals, help</w:t>
      </w:r>
      <w:r>
        <w:t>ing direct attacks with precision</w:t>
      </w:r>
      <w:r>
        <w:rPr>
          <w:vertAlign w:val="superscript"/>
        </w:rPr>
        <w:footnoteReference w:id="21"/>
      </w:r>
      <w:r>
        <w:t xml:space="preserve">. The artillery would be directed by aeroplanes from an average height of two hundred metres above batteries, to keep track of the battlefield as from that range, planes could see both explosives and shrapnel. </w:t>
      </w:r>
    </w:p>
    <w:p w:rsidR="00CF41BE" w:rsidRDefault="00CF41BE">
      <w:pPr>
        <w:pStyle w:val="normal0"/>
      </w:pPr>
    </w:p>
    <w:p w:rsidR="00CF41BE" w:rsidRDefault="00BD35A4">
      <w:pPr>
        <w:pStyle w:val="normal0"/>
      </w:pPr>
      <w:r>
        <w:t>Infantry t</w:t>
      </w:r>
      <w:r>
        <w:t>actics also changed, raiding became more organized in 1916, independent attacks organized by various soldiers changed to being controlled by the single authority of GHQ, orders were to be obeyed rather than decided during the raid, becoming more profession</w:t>
      </w:r>
      <w:r>
        <w:t>al. Raiding was seen by Haig as an alternative to large scale attacks favoured by the French, believing a series of specialized short attacks that built up to swift large attacks was the preferable choice, utilizing attrition to affect the enemy. Furthermo</w:t>
      </w:r>
      <w:r>
        <w:t>re this raiding tactic was favoured more by Haig as innovation because of his suspicion of French and Russian allies who, lacking sufficient manpower themselves, relied on British troops to undertake large scale attacks. Haig did not want to cause unnecess</w:t>
      </w:r>
      <w:r>
        <w:t xml:space="preserve">ary casualties for the sake of British allies and so preferred the </w:t>
      </w:r>
      <w:proofErr w:type="spellStart"/>
      <w:r w:rsidR="00BC3527" w:rsidRPr="00BC3527">
        <w:t>attrition</w:t>
      </w:r>
      <w:r w:rsidR="00BC3527">
        <w:t>al</w:t>
      </w:r>
      <w:proofErr w:type="spellEnd"/>
      <w:r>
        <w:t xml:space="preserve"> raid attacks that would lead up to successful large attacks, ensuring victory</w:t>
      </w:r>
      <w:r>
        <w:rPr>
          <w:vertAlign w:val="superscript"/>
        </w:rPr>
        <w:footnoteReference w:id="22"/>
      </w:r>
      <w:r>
        <w:t>. Raids were designed to harass the enemy in various ways, different times and places chosen to cau</w:t>
      </w:r>
      <w:r>
        <w:t>se enemy losses. Close combat aggression to dominate no man’s land at night becoming integral for trench warfare, indirectly establishing schools for specialist instruction and publishing pamphlets that circulated throughout command</w:t>
      </w:r>
      <w:r>
        <w:rPr>
          <w:vertAlign w:val="superscript"/>
        </w:rPr>
        <w:footnoteReference w:id="23"/>
      </w:r>
      <w:r>
        <w:t>. Before raids were car</w:t>
      </w:r>
      <w:r>
        <w:t>ried out, GHQ would determine if they were too risky or not, those deemed not too dangerous were given action, utilizing skilled soldiers picked by Command, following their improved professional control of the raids</w:t>
      </w:r>
      <w:r>
        <w:rPr>
          <w:vertAlign w:val="superscript"/>
        </w:rPr>
        <w:footnoteReference w:id="24"/>
      </w:r>
      <w:r>
        <w:t xml:space="preserve">. </w:t>
      </w:r>
    </w:p>
    <w:p w:rsidR="00CF41BE" w:rsidRDefault="00BD35A4">
      <w:pPr>
        <w:pStyle w:val="normal0"/>
      </w:pPr>
      <w:r>
        <w:t xml:space="preserve">Before 1916, raiding was infrequent </w:t>
      </w:r>
      <w:r w:rsidR="00BC3527">
        <w:t>totalling</w:t>
      </w:r>
      <w:r>
        <w:t xml:space="preserve"> in a thirties but in June 1916, it rose to prominence to over three hundred. After the Battle of the Somme, raids decreased in numbers to two hundred and seventy in April 1917 following French critics who argued they caused more casualties than the</w:t>
      </w:r>
      <w:r>
        <w:t>y were worth. These critics argued British troop casualties were greater than the Germans as they utilized more raids</w:t>
      </w:r>
      <w:r>
        <w:rPr>
          <w:vertAlign w:val="superscript"/>
        </w:rPr>
        <w:footnoteReference w:id="25"/>
      </w:r>
      <w:r>
        <w:t xml:space="preserve">. </w:t>
      </w:r>
      <w:r>
        <w:t>During the Third Battle of Ypres, also known as the Battle of Passchendaele, infantry saw attempts of becoming more organized, a commander who pressured for additional companies allowing men in need of rest from battle to get sleep. However nothing was don</w:t>
      </w:r>
      <w:r>
        <w:t>e, infantry were still expected to carry barbed wire, two petrol tins of water, and bags of explosives between them, increasing fears of fatigue.</w:t>
      </w:r>
      <w:r>
        <w:rPr>
          <w:vertAlign w:val="superscript"/>
        </w:rPr>
        <w:footnoteReference w:id="26"/>
      </w:r>
      <w:r>
        <w:t xml:space="preserve"> </w:t>
      </w:r>
    </w:p>
    <w:p w:rsidR="00CF41BE" w:rsidRDefault="00CF41BE">
      <w:pPr>
        <w:pStyle w:val="normal0"/>
      </w:pPr>
    </w:p>
    <w:p w:rsidR="00CF41BE" w:rsidRDefault="00BD35A4">
      <w:pPr>
        <w:pStyle w:val="normal0"/>
      </w:pPr>
      <w:r>
        <w:t>Machine guns were seen as an innovation, regular troops would be able to hit troops accurately, a single ma</w:t>
      </w:r>
      <w:r>
        <w:t>chine gun matching fifty rifle men, occupying a front just two feet in length. The establishment of Lewis guns was increased from eight per battalion to sixteen for all battalions during the first day of the Somme (1 July 1916), a final increase by 1918 wh</w:t>
      </w:r>
      <w:r>
        <w:t>ere all battalions had thirty six Lewis guns. The potential of these guns was clearly realized, combating the enemy with more efficiency than a regular rifle that would fire rounds significantly slower than a Lewis gun, its increased usage showed that tact</w:t>
      </w:r>
      <w:r>
        <w:t>ics innovated over time, becoming more modern.  Despite this successful weapon, even after the Somme machine guns never penetrated GHQ thought as superior weaponry, booklets made by commanders treated the Vickers and Lewis guns as equal</w:t>
      </w:r>
      <w:r>
        <w:rPr>
          <w:vertAlign w:val="superscript"/>
        </w:rPr>
        <w:footnoteReference w:id="27"/>
      </w:r>
      <w:r>
        <w:t>. This suggests tha</w:t>
      </w:r>
      <w:r>
        <w:t>t command issues were holding back British tactics from innovation,  not utilizing superior weaponry such as machine guns instead preferring technology that worked previously and integrated in educational booklets. Use of cavalry warfare was coming to a cl</w:t>
      </w:r>
      <w:r>
        <w:t xml:space="preserve">ose, with technology such </w:t>
      </w:r>
      <w:r>
        <w:lastRenderedPageBreak/>
        <w:t>as artillery, tanks and gas becoming more prominent. Roads in the Somme for example were eighteen inches deep in horrible terrain and horses go no faster than a normal walk, the horses were essentially less efficient than infantry</w:t>
      </w:r>
      <w:r>
        <w:t>, becoming a hindrance and naturally would fade out in tactical use</w:t>
      </w:r>
      <w:r>
        <w:rPr>
          <w:vertAlign w:val="superscript"/>
        </w:rPr>
        <w:footnoteReference w:id="28"/>
      </w:r>
      <w:r>
        <w:t xml:space="preserve">. Scholarship also agree that modern weaponry made cavalry  redundant in warfare,  Bryn Hammond in </w:t>
      </w:r>
      <w:r>
        <w:rPr>
          <w:i/>
        </w:rPr>
        <w:t>Cambrai 1917 The Myth of the First Great Tank Battle</w:t>
      </w:r>
      <w:r>
        <w:t>, wrote of the success of both artill</w:t>
      </w:r>
      <w:r>
        <w:t xml:space="preserve">ery and tanks and compared them to prior methods of warfare. “The combination of barbed wire, machine guns and artillery had done much to ensure that opportunities for cavalry to operate in their traditional role on the Western Front at least were almost </w:t>
      </w:r>
      <w:r w:rsidR="00BC3527">
        <w:t>nonexistent</w:t>
      </w:r>
      <w:r>
        <w:t>.”</w:t>
      </w:r>
      <w:r>
        <w:rPr>
          <w:vertAlign w:val="superscript"/>
        </w:rPr>
        <w:footnoteReference w:id="29"/>
      </w:r>
      <w:r>
        <w:t xml:space="preserve"> Evidently with technical innovation, past tactics would become redundant and new lessons would be integrated in military tactics, cavalry was simply a </w:t>
      </w:r>
      <w:r w:rsidR="00BC3527">
        <w:t>hindrance</w:t>
      </w:r>
      <w:r>
        <w:t xml:space="preserve"> with better alternatives that could perform their functions with greater succes</w:t>
      </w:r>
      <w:r>
        <w:t xml:space="preserve">s and become better in the future of this conflict. </w:t>
      </w:r>
    </w:p>
    <w:p w:rsidR="00CF41BE" w:rsidRDefault="00CF41BE">
      <w:pPr>
        <w:pStyle w:val="normal0"/>
      </w:pPr>
    </w:p>
    <w:p w:rsidR="00CF41BE" w:rsidRDefault="00BD35A4">
      <w:pPr>
        <w:pStyle w:val="normal0"/>
      </w:pPr>
      <w:r>
        <w:t xml:space="preserve">Command issues were still prominent between 1916 and 1918, in </w:t>
      </w:r>
      <w:r>
        <w:rPr>
          <w:i/>
        </w:rPr>
        <w:t xml:space="preserve">Death’s Men </w:t>
      </w:r>
      <w:r>
        <w:t xml:space="preserve">a soldier named Swinton complained about this issue during the Third Ypres, another soldier called Cloete who fought during the </w:t>
      </w:r>
      <w:r>
        <w:t>Somme also did the same, these two came to the same point. “To maintain continuity in the direction of a battle under such conditions was like a draughtsman working with a pencil tied to the end of a billiard cue.”</w:t>
      </w:r>
      <w:r>
        <w:rPr>
          <w:vertAlign w:val="superscript"/>
        </w:rPr>
        <w:footnoteReference w:id="30"/>
      </w:r>
      <w:r>
        <w:t xml:space="preserve"> Winters uses accounts such as this to di</w:t>
      </w:r>
      <w:r>
        <w:t>splay that despite changes in the military, command issues still lingered in the years following 1916. Soldiers receiving orders and commands that hurt the previous orders from those not on the front line and fighting. During the Somme, Cloete was sent bac</w:t>
      </w:r>
      <w:r>
        <w:t>k for further instructions to divisional HQ where he found sixty men playing cricket and a single captain on duty unable to read a map, reminders of Edwardian unprofessional soldiers still remained, hindering tactical innovation that was made during this c</w:t>
      </w:r>
      <w:r>
        <w:t>onflict.  Haig himself was having communication issues during the Battle of the Somme, primarily conflicting with General Henry Seymour Rawlinson about what tactics to use</w:t>
      </w:r>
      <w:r>
        <w:rPr>
          <w:vertAlign w:val="superscript"/>
        </w:rPr>
        <w:footnoteReference w:id="31"/>
      </w:r>
      <w:r>
        <w:t>. Haig argued with Rawlinson’s tactic ‘bite and hold’ where artillery would encourag</w:t>
      </w:r>
      <w:r>
        <w:t xml:space="preserve">e and cover soldiers to capture areas, hold them in a defensive manner to stop counter attacks, and send fresh troops in to replace tired troops. Haig’s isolation and GHQ did conflict with Rawlinson’s ‘bite and hold’ but would later accept it implementing </w:t>
      </w:r>
      <w:r>
        <w:t xml:space="preserve">it in British tactics following the Somme, working alongside the creeping barrage in 1916. Both commanders wanting to seize objectives and achieve breakthrough and so issues of command would later decrease. </w:t>
      </w:r>
    </w:p>
    <w:p w:rsidR="00CF41BE" w:rsidRDefault="00CF41BE">
      <w:pPr>
        <w:pStyle w:val="normal0"/>
      </w:pPr>
    </w:p>
    <w:p w:rsidR="00CF41BE" w:rsidRDefault="00BD35A4">
      <w:pPr>
        <w:pStyle w:val="normal0"/>
      </w:pPr>
      <w:r>
        <w:t>The ‘bite and hold’ tactic saw use during the B</w:t>
      </w:r>
      <w:r>
        <w:t>attle of Passchendaele in 1917, the terrain was superior to the Somme allowing Sir Henry Plumber to seize ground and push back German troops utilizing an artillery bombardment rather than an infantry rush based upon Haig’s ideas.  Lessons were learned from</w:t>
      </w:r>
      <w:r>
        <w:t xml:space="preserve"> the Somme, artillery became more prominent with Haig using ‘bite and hold with thrust tactics, artillery battered the frontline, and taking ground with infantry. Haig also figured how to avoid unnecessary casualties in areas unsuitable for British soldier</w:t>
      </w:r>
      <w:r>
        <w:t xml:space="preserve">s and their tactics, such as forest areas that caused failures like the previously mentioned, 47th division in  High Wood. The answer to avoid these failures was to </w:t>
      </w:r>
      <w:r w:rsidR="00BC3527" w:rsidRPr="00BC3527">
        <w:t>bombarded</w:t>
      </w:r>
      <w:r>
        <w:t xml:space="preserve"> these areas where gains would be difficult to achieve, destroying the areas and </w:t>
      </w:r>
      <w:r>
        <w:lastRenderedPageBreak/>
        <w:t>allowing more ground that could potentially be used as occupied territory or attack Germans more easily with more visibility.</w:t>
      </w:r>
    </w:p>
    <w:p w:rsidR="00CF41BE" w:rsidRDefault="00CF41BE">
      <w:pPr>
        <w:pStyle w:val="normal0"/>
      </w:pPr>
    </w:p>
    <w:p w:rsidR="00CF41BE" w:rsidRDefault="00BD35A4">
      <w:pPr>
        <w:pStyle w:val="normal0"/>
      </w:pPr>
      <w:r>
        <w:t>Tactical innovations during the years 1916 - 1918 appeared across the Western Front with lessons learned from the battles that oc</w:t>
      </w:r>
      <w:r>
        <w:t>curred on the Somme and Third Battle of Ypres, also known as Passchendaele. Advances in infantry tactics linked with technical innovation, gas masks for example were improved to support men at the front, reducing gas casualties through education, keeping s</w:t>
      </w:r>
      <w:r>
        <w:t>oldiers fighting at reasonable health and survive attacks that would have caused death without a combination of tactical and technical integration. Organization became more prominent during 1916- 1918, raids once done by separate units depending on their o</w:t>
      </w:r>
      <w:r>
        <w:t>wn authority before 1916, would fall under GHQ’s control following Haig’s approval of the idea over larger scale attacks, only authorising raids that did not pose a great risk to men. Combination of arms emerged, tanks would become of great importance serv</w:t>
      </w:r>
      <w:r>
        <w:t>ing alongside infantry in seizing objectives and providing cover as shock units, aeroplanes assisting in the aiming of artillery and pinpointing targets of interest, building a map through photography that would be of assistance.</w:t>
      </w:r>
    </w:p>
    <w:p w:rsidR="00CF41BE" w:rsidRDefault="00BD35A4">
      <w:pPr>
        <w:pStyle w:val="normal0"/>
      </w:pPr>
      <w:r>
        <w:t xml:space="preserve">Overall multiple British tactical innovations occurred between 1916 and 1918 with lessons learned from previous battles, taking shape and </w:t>
      </w:r>
      <w:r w:rsidR="00BC3527">
        <w:t>formatting</w:t>
      </w:r>
      <w:r>
        <w:t xml:space="preserve"> tactics that would continue in future conflicts, ridding of dated tactics such as cavalry in </w:t>
      </w:r>
      <w:r w:rsidR="00BC3527">
        <w:t>favour</w:t>
      </w:r>
      <w:r>
        <w:t xml:space="preserve"> of co-ope</w:t>
      </w:r>
      <w:r>
        <w:t>ration between infantry and technology, becoming a modern army.</w:t>
      </w:r>
    </w:p>
    <w:p w:rsidR="00CF41BE" w:rsidRDefault="00CF41BE">
      <w:pPr>
        <w:pStyle w:val="normal0"/>
        <w:rPr>
          <w:b/>
          <w:u w:val="single"/>
        </w:rPr>
      </w:pPr>
    </w:p>
    <w:p w:rsidR="00CF41BE" w:rsidRDefault="00BD35A4">
      <w:pPr>
        <w:pStyle w:val="normal0"/>
        <w:rPr>
          <w:b/>
          <w:u w:val="single"/>
        </w:rPr>
      </w:pPr>
      <w:r>
        <w:rPr>
          <w:b/>
          <w:u w:val="single"/>
        </w:rPr>
        <w:t>Word count: 2685</w:t>
      </w:r>
    </w:p>
    <w:p w:rsidR="00CF41BE" w:rsidRDefault="00CF41BE">
      <w:pPr>
        <w:pStyle w:val="normal0"/>
        <w:rPr>
          <w:b/>
          <w:u w:val="single"/>
        </w:rPr>
      </w:pPr>
    </w:p>
    <w:p w:rsidR="00CF41BE" w:rsidRDefault="00CF41BE">
      <w:pPr>
        <w:pStyle w:val="normal0"/>
        <w:rPr>
          <w:b/>
          <w:u w:val="single"/>
        </w:rPr>
      </w:pPr>
    </w:p>
    <w:p w:rsidR="00CF41BE" w:rsidRDefault="00CF41BE">
      <w:pPr>
        <w:pStyle w:val="normal0"/>
        <w:rPr>
          <w:b/>
          <w:u w:val="single"/>
        </w:rPr>
      </w:pPr>
    </w:p>
    <w:p w:rsidR="00CF41BE" w:rsidRDefault="00BD35A4">
      <w:pPr>
        <w:pStyle w:val="normal0"/>
        <w:rPr>
          <w:b/>
          <w:u w:val="single"/>
        </w:rPr>
      </w:pPr>
      <w:r>
        <w:rPr>
          <w:b/>
          <w:u w:val="single"/>
        </w:rPr>
        <w:t>Bibliography</w:t>
      </w:r>
    </w:p>
    <w:p w:rsidR="00CF41BE" w:rsidRDefault="00CF41BE">
      <w:pPr>
        <w:pStyle w:val="normal0"/>
        <w:spacing w:line="240" w:lineRule="auto"/>
      </w:pPr>
    </w:p>
    <w:p w:rsidR="00CF41BE" w:rsidRDefault="00CF41BE">
      <w:pPr>
        <w:pStyle w:val="normal0"/>
      </w:pPr>
    </w:p>
    <w:p w:rsidR="00CF41BE" w:rsidRDefault="00BD35A4">
      <w:pPr>
        <w:pStyle w:val="normal0"/>
        <w:numPr>
          <w:ilvl w:val="0"/>
          <w:numId w:val="1"/>
        </w:numPr>
      </w:pPr>
      <w:r>
        <w:t xml:space="preserve">Ashworth, Tony, </w:t>
      </w:r>
      <w:r>
        <w:rPr>
          <w:i/>
        </w:rPr>
        <w:t>Trench Warfare 1914-1918: The Live and Let Live System</w:t>
      </w:r>
      <w:r>
        <w:t>, reprint edn (London, Pan Books, 2000).</w:t>
      </w:r>
    </w:p>
    <w:p w:rsidR="00CF41BE" w:rsidRDefault="00BD35A4">
      <w:pPr>
        <w:pStyle w:val="normal0"/>
        <w:numPr>
          <w:ilvl w:val="0"/>
          <w:numId w:val="1"/>
        </w:numPr>
      </w:pPr>
      <w:r>
        <w:t xml:space="preserve">Brown, </w:t>
      </w:r>
      <w:r w:rsidR="00BC3527">
        <w:t>Malcolm</w:t>
      </w:r>
      <w:r>
        <w:t xml:space="preserve">, </w:t>
      </w:r>
      <w:r>
        <w:rPr>
          <w:i/>
        </w:rPr>
        <w:t>The Imperial War Museum Book o</w:t>
      </w:r>
      <w:r>
        <w:rPr>
          <w:i/>
        </w:rPr>
        <w:t>f the Somme,</w:t>
      </w:r>
      <w:r>
        <w:t xml:space="preserve"> main market edn,</w:t>
      </w:r>
      <w:r>
        <w:rPr>
          <w:i/>
        </w:rPr>
        <w:t xml:space="preserve"> </w:t>
      </w:r>
      <w:r>
        <w:t xml:space="preserve">(London, </w:t>
      </w:r>
      <w:proofErr w:type="spellStart"/>
      <w:r>
        <w:t>Sidgwick</w:t>
      </w:r>
      <w:proofErr w:type="spellEnd"/>
      <w:r>
        <w:t xml:space="preserve"> &amp; Jackson, 1996).</w:t>
      </w:r>
    </w:p>
    <w:p w:rsidR="00CF41BE" w:rsidRDefault="00BD35A4">
      <w:pPr>
        <w:pStyle w:val="normal0"/>
        <w:numPr>
          <w:ilvl w:val="0"/>
          <w:numId w:val="1"/>
        </w:numPr>
        <w:spacing w:line="240" w:lineRule="auto"/>
      </w:pPr>
      <w:r>
        <w:t xml:space="preserve"> Foley. T, Robert and McCartney, Helen,</w:t>
      </w:r>
      <w:r>
        <w:rPr>
          <w:i/>
        </w:rPr>
        <w:t xml:space="preserve"> The Some: An Eyewitness History</w:t>
      </w:r>
      <w:r>
        <w:t>, (London, The Folio Society, 2006).</w:t>
      </w:r>
    </w:p>
    <w:p w:rsidR="00CF41BE" w:rsidRDefault="00BD35A4">
      <w:pPr>
        <w:pStyle w:val="normal0"/>
        <w:numPr>
          <w:ilvl w:val="0"/>
          <w:numId w:val="1"/>
        </w:numPr>
        <w:spacing w:line="240" w:lineRule="auto"/>
      </w:pPr>
      <w:r>
        <w:t xml:space="preserve">Hammond, Bryn, </w:t>
      </w:r>
      <w:r>
        <w:rPr>
          <w:i/>
        </w:rPr>
        <w:t>Cambrai 1917: The Myth of the First Great Tank Battle</w:t>
      </w:r>
      <w:r>
        <w:t xml:space="preserve">, second </w:t>
      </w:r>
      <w:proofErr w:type="spellStart"/>
      <w:r>
        <w:t>ed</w:t>
      </w:r>
      <w:proofErr w:type="spellEnd"/>
      <w:r>
        <w:t>, (</w:t>
      </w:r>
      <w:r>
        <w:t>Lond</w:t>
      </w:r>
      <w:r w:rsidR="00BC3527">
        <w:t>on</w:t>
      </w:r>
      <w:r>
        <w:t>, Weidenfeld &amp; Nicolson, 2009).</w:t>
      </w:r>
    </w:p>
    <w:p w:rsidR="00CF41BE" w:rsidRDefault="00BD35A4">
      <w:pPr>
        <w:pStyle w:val="normal0"/>
        <w:numPr>
          <w:ilvl w:val="0"/>
          <w:numId w:val="1"/>
        </w:numPr>
        <w:spacing w:line="240" w:lineRule="auto"/>
      </w:pPr>
      <w:r>
        <w:t xml:space="preserve"> Jones, David, </w:t>
      </w:r>
      <w:r>
        <w:rPr>
          <w:i/>
        </w:rPr>
        <w:t xml:space="preserve">In Parenthesis, </w:t>
      </w:r>
      <w:r>
        <w:t>main edn, (London: Faber and Faber, 2010).</w:t>
      </w:r>
    </w:p>
    <w:p w:rsidR="00CF41BE" w:rsidRDefault="00BD35A4">
      <w:pPr>
        <w:pStyle w:val="normal0"/>
        <w:numPr>
          <w:ilvl w:val="0"/>
          <w:numId w:val="1"/>
        </w:numPr>
        <w:spacing w:line="240" w:lineRule="auto"/>
      </w:pPr>
      <w:r>
        <w:t xml:space="preserve">Lloyd, Nick, </w:t>
      </w:r>
      <w:r>
        <w:rPr>
          <w:i/>
        </w:rPr>
        <w:t>Passchendaele: A New History</w:t>
      </w:r>
      <w:r>
        <w:t>, (Great Britain, Penguin Books, 2017)</w:t>
      </w:r>
    </w:p>
    <w:p w:rsidR="00CF41BE" w:rsidRDefault="00BD35A4">
      <w:pPr>
        <w:pStyle w:val="normal0"/>
        <w:numPr>
          <w:ilvl w:val="0"/>
          <w:numId w:val="1"/>
        </w:numPr>
      </w:pPr>
      <w:r>
        <w:t xml:space="preserve">Travers, Tim, </w:t>
      </w:r>
      <w:r>
        <w:rPr>
          <w:i/>
        </w:rPr>
        <w:t>The Killing Ground: The British Army, The Western Fr</w:t>
      </w:r>
      <w:r>
        <w:rPr>
          <w:i/>
        </w:rPr>
        <w:t>ont &amp; the Emergence of Modern Warfare 1900- 1918</w:t>
      </w:r>
      <w:r>
        <w:t xml:space="preserve">, reprint </w:t>
      </w:r>
      <w:proofErr w:type="spellStart"/>
      <w:r>
        <w:t>ed</w:t>
      </w:r>
      <w:proofErr w:type="spellEnd"/>
      <w:r>
        <w:t>, (Yorkshire, Pen &amp; Sword Military, 2019).</w:t>
      </w:r>
    </w:p>
    <w:p w:rsidR="00CF41BE" w:rsidRDefault="00BD35A4">
      <w:pPr>
        <w:pStyle w:val="normal0"/>
        <w:numPr>
          <w:ilvl w:val="0"/>
          <w:numId w:val="1"/>
        </w:numPr>
      </w:pPr>
      <w:r>
        <w:t>Winter, Denis,</w:t>
      </w:r>
      <w:r>
        <w:rPr>
          <w:i/>
        </w:rPr>
        <w:t xml:space="preserve"> Death’s Men: Soldiers of the Great War</w:t>
      </w:r>
      <w:r>
        <w:t>, second edn, (London, the Penguin Group, 2014).</w:t>
      </w:r>
    </w:p>
    <w:p w:rsidR="00CF41BE" w:rsidRDefault="00CF41BE">
      <w:pPr>
        <w:pStyle w:val="normal0"/>
      </w:pPr>
    </w:p>
    <w:p w:rsidR="00CF41BE" w:rsidRDefault="00CF41BE">
      <w:pPr>
        <w:pStyle w:val="normal0"/>
      </w:pPr>
    </w:p>
    <w:p w:rsidR="00CF41BE" w:rsidRDefault="00CF41BE">
      <w:pPr>
        <w:pStyle w:val="normal0"/>
      </w:pPr>
    </w:p>
    <w:p w:rsidR="00CF41BE" w:rsidRDefault="00BD35A4">
      <w:pPr>
        <w:pStyle w:val="normal0"/>
        <w:jc w:val="center"/>
        <w:rPr>
          <w:b/>
          <w:i/>
        </w:rPr>
      </w:pPr>
      <w:r>
        <w:rPr>
          <w:b/>
          <w:i/>
        </w:rPr>
        <w:t xml:space="preserve"> </w:t>
      </w:r>
    </w:p>
    <w:p w:rsidR="00CF41BE" w:rsidRDefault="00CF41BE">
      <w:pPr>
        <w:pStyle w:val="normal0"/>
      </w:pPr>
    </w:p>
    <w:sectPr w:rsidR="00CF41BE" w:rsidSect="00CF41BE">
      <w:pgSz w:w="11909" w:h="16834"/>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D35A4" w:rsidRDefault="00BD35A4" w:rsidP="00CF41BE">
      <w:pPr>
        <w:spacing w:line="240" w:lineRule="auto"/>
      </w:pPr>
      <w:r>
        <w:separator/>
      </w:r>
    </w:p>
  </w:endnote>
  <w:endnote w:type="continuationSeparator" w:id="0">
    <w:p w:rsidR="00BD35A4" w:rsidRDefault="00BD35A4" w:rsidP="00CF41BE">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D35A4" w:rsidRDefault="00BD35A4" w:rsidP="00CF41BE">
      <w:pPr>
        <w:spacing w:line="240" w:lineRule="auto"/>
      </w:pPr>
      <w:r>
        <w:separator/>
      </w:r>
    </w:p>
  </w:footnote>
  <w:footnote w:type="continuationSeparator" w:id="0">
    <w:p w:rsidR="00BD35A4" w:rsidRDefault="00BD35A4" w:rsidP="00CF41BE">
      <w:pPr>
        <w:spacing w:line="240" w:lineRule="auto"/>
      </w:pPr>
      <w:r>
        <w:continuationSeparator/>
      </w:r>
    </w:p>
  </w:footnote>
  <w:footnote w:id="1">
    <w:p w:rsidR="00CF41BE" w:rsidRDefault="00BD35A4">
      <w:pPr>
        <w:pStyle w:val="normal0"/>
        <w:spacing w:line="240" w:lineRule="auto"/>
        <w:rPr>
          <w:sz w:val="20"/>
          <w:szCs w:val="20"/>
        </w:rPr>
      </w:pPr>
      <w:r>
        <w:rPr>
          <w:vertAlign w:val="superscript"/>
        </w:rPr>
        <w:footnoteRef/>
      </w:r>
      <w:r>
        <w:rPr>
          <w:sz w:val="20"/>
          <w:szCs w:val="20"/>
        </w:rPr>
        <w:t>Winter, Denis,</w:t>
      </w:r>
      <w:r>
        <w:rPr>
          <w:i/>
          <w:sz w:val="20"/>
          <w:szCs w:val="20"/>
        </w:rPr>
        <w:t xml:space="preserve"> Death’s Men: Soldiers of the </w:t>
      </w:r>
      <w:r>
        <w:rPr>
          <w:i/>
          <w:sz w:val="20"/>
          <w:szCs w:val="20"/>
        </w:rPr>
        <w:t>Great War</w:t>
      </w:r>
      <w:r>
        <w:rPr>
          <w:sz w:val="20"/>
          <w:szCs w:val="20"/>
        </w:rPr>
        <w:t>, second edn, (London, the Penguin Group, 2014), p.124.</w:t>
      </w:r>
    </w:p>
  </w:footnote>
  <w:footnote w:id="2">
    <w:p w:rsidR="00CF41BE" w:rsidRDefault="00BD35A4">
      <w:pPr>
        <w:pStyle w:val="normal0"/>
        <w:spacing w:line="240" w:lineRule="auto"/>
        <w:rPr>
          <w:sz w:val="20"/>
          <w:szCs w:val="20"/>
        </w:rPr>
      </w:pPr>
      <w:r>
        <w:rPr>
          <w:vertAlign w:val="superscript"/>
        </w:rPr>
        <w:footnoteRef/>
      </w:r>
      <w:r>
        <w:rPr>
          <w:sz w:val="20"/>
          <w:szCs w:val="20"/>
        </w:rPr>
        <w:t xml:space="preserve"> Winter, Denis, </w:t>
      </w:r>
      <w:r>
        <w:rPr>
          <w:i/>
        </w:rPr>
        <w:t xml:space="preserve">Death’s Men: Soldiers of the Great War, </w:t>
      </w:r>
      <w:r>
        <w:rPr>
          <w:sz w:val="20"/>
          <w:szCs w:val="20"/>
        </w:rPr>
        <w:t>p.124 - 125.</w:t>
      </w:r>
    </w:p>
  </w:footnote>
  <w:footnote w:id="3">
    <w:p w:rsidR="00CF41BE" w:rsidRDefault="00BD35A4">
      <w:pPr>
        <w:pStyle w:val="normal0"/>
        <w:spacing w:line="240" w:lineRule="auto"/>
        <w:rPr>
          <w:sz w:val="20"/>
          <w:szCs w:val="20"/>
        </w:rPr>
      </w:pPr>
      <w:r>
        <w:rPr>
          <w:vertAlign w:val="superscript"/>
        </w:rPr>
        <w:footnoteRef/>
      </w:r>
      <w:r>
        <w:rPr>
          <w:sz w:val="20"/>
          <w:szCs w:val="20"/>
        </w:rPr>
        <w:t xml:space="preserve">  Winter, Denis </w:t>
      </w:r>
      <w:r>
        <w:rPr>
          <w:i/>
        </w:rPr>
        <w:t>Death’s Men: Soldiers of the Great War,</w:t>
      </w:r>
      <w:r>
        <w:rPr>
          <w:sz w:val="20"/>
          <w:szCs w:val="20"/>
        </w:rPr>
        <w:t>p.125.</w:t>
      </w:r>
    </w:p>
  </w:footnote>
  <w:footnote w:id="4">
    <w:p w:rsidR="00CF41BE" w:rsidRDefault="00BD35A4">
      <w:pPr>
        <w:pStyle w:val="normal0"/>
        <w:spacing w:line="240" w:lineRule="auto"/>
        <w:rPr>
          <w:sz w:val="20"/>
          <w:szCs w:val="20"/>
        </w:rPr>
      </w:pPr>
      <w:r>
        <w:rPr>
          <w:vertAlign w:val="superscript"/>
        </w:rPr>
        <w:footnoteRef/>
      </w:r>
      <w:r>
        <w:rPr>
          <w:sz w:val="20"/>
          <w:szCs w:val="20"/>
        </w:rPr>
        <w:t xml:space="preserve"> Ashworth, Tony, </w:t>
      </w:r>
      <w:r>
        <w:rPr>
          <w:i/>
          <w:sz w:val="20"/>
          <w:szCs w:val="20"/>
        </w:rPr>
        <w:t>Trench Warfare 1914-1918: The Live and Let Live System</w:t>
      </w:r>
      <w:r>
        <w:rPr>
          <w:sz w:val="20"/>
          <w:szCs w:val="20"/>
        </w:rPr>
        <w:t>, reprint edn, (London, Pan Books, 2000)</w:t>
      </w:r>
      <w:r>
        <w:rPr>
          <w:sz w:val="20"/>
          <w:szCs w:val="20"/>
        </w:rPr>
        <w:t>, p.82.</w:t>
      </w:r>
    </w:p>
  </w:footnote>
  <w:footnote w:id="5">
    <w:p w:rsidR="00CF41BE" w:rsidRDefault="00BD35A4">
      <w:pPr>
        <w:pStyle w:val="normal0"/>
        <w:spacing w:line="240" w:lineRule="auto"/>
        <w:rPr>
          <w:sz w:val="20"/>
          <w:szCs w:val="20"/>
        </w:rPr>
      </w:pPr>
      <w:r>
        <w:rPr>
          <w:vertAlign w:val="superscript"/>
        </w:rPr>
        <w:footnoteRef/>
      </w:r>
      <w:r>
        <w:rPr>
          <w:sz w:val="20"/>
          <w:szCs w:val="20"/>
        </w:rPr>
        <w:t xml:space="preserve">  Jones, David,  </w:t>
      </w:r>
      <w:r>
        <w:rPr>
          <w:i/>
          <w:sz w:val="20"/>
          <w:szCs w:val="20"/>
        </w:rPr>
        <w:t xml:space="preserve">In Parenthesis, </w:t>
      </w:r>
      <w:r>
        <w:rPr>
          <w:sz w:val="20"/>
          <w:szCs w:val="20"/>
        </w:rPr>
        <w:t>main edn, (London: Faber and Faber, 2010), p.196.</w:t>
      </w:r>
    </w:p>
  </w:footnote>
  <w:footnote w:id="6">
    <w:p w:rsidR="00CF41BE" w:rsidRDefault="00BD35A4">
      <w:pPr>
        <w:pStyle w:val="normal0"/>
        <w:spacing w:line="240" w:lineRule="auto"/>
        <w:rPr>
          <w:sz w:val="20"/>
          <w:szCs w:val="20"/>
        </w:rPr>
      </w:pPr>
      <w:r>
        <w:rPr>
          <w:vertAlign w:val="superscript"/>
        </w:rPr>
        <w:footnoteRef/>
      </w:r>
      <w:r>
        <w:rPr>
          <w:sz w:val="20"/>
          <w:szCs w:val="20"/>
        </w:rPr>
        <w:t xml:space="preserve"> Winter, Denis, </w:t>
      </w:r>
      <w:r>
        <w:rPr>
          <w:i/>
        </w:rPr>
        <w:t>Death’s Men: Soldiers of the Great War,</w:t>
      </w:r>
      <w:r>
        <w:rPr>
          <w:sz w:val="20"/>
          <w:szCs w:val="20"/>
        </w:rPr>
        <w:t xml:space="preserve"> p.128.</w:t>
      </w:r>
    </w:p>
  </w:footnote>
  <w:footnote w:id="7">
    <w:p w:rsidR="00CF41BE" w:rsidRDefault="00BD35A4">
      <w:pPr>
        <w:pStyle w:val="normal0"/>
        <w:spacing w:line="240" w:lineRule="auto"/>
        <w:rPr>
          <w:sz w:val="20"/>
          <w:szCs w:val="20"/>
        </w:rPr>
      </w:pPr>
      <w:r>
        <w:rPr>
          <w:vertAlign w:val="superscript"/>
        </w:rPr>
        <w:footnoteRef/>
      </w:r>
      <w:r>
        <w:rPr>
          <w:sz w:val="20"/>
          <w:szCs w:val="20"/>
        </w:rPr>
        <w:t xml:space="preserve"> Brown, </w:t>
      </w:r>
      <w:r w:rsidR="00BC3527">
        <w:rPr>
          <w:sz w:val="20"/>
          <w:szCs w:val="20"/>
        </w:rPr>
        <w:t>Malcolm</w:t>
      </w:r>
      <w:r>
        <w:rPr>
          <w:sz w:val="20"/>
          <w:szCs w:val="20"/>
        </w:rPr>
        <w:t xml:space="preserve">, </w:t>
      </w:r>
      <w:r>
        <w:rPr>
          <w:i/>
          <w:sz w:val="20"/>
          <w:szCs w:val="20"/>
        </w:rPr>
        <w:t>The Imperial War Museum: Book of the Somme,</w:t>
      </w:r>
      <w:r>
        <w:rPr>
          <w:sz w:val="20"/>
          <w:szCs w:val="20"/>
        </w:rPr>
        <w:t xml:space="preserve"> main market edn,</w:t>
      </w:r>
      <w:r>
        <w:rPr>
          <w:i/>
          <w:sz w:val="20"/>
          <w:szCs w:val="20"/>
        </w:rPr>
        <w:t xml:space="preserve"> </w:t>
      </w:r>
      <w:r>
        <w:rPr>
          <w:sz w:val="20"/>
          <w:szCs w:val="20"/>
        </w:rPr>
        <w:t xml:space="preserve">(London, </w:t>
      </w:r>
      <w:proofErr w:type="spellStart"/>
      <w:r>
        <w:rPr>
          <w:sz w:val="20"/>
          <w:szCs w:val="20"/>
        </w:rPr>
        <w:t>Sidgwick</w:t>
      </w:r>
      <w:proofErr w:type="spellEnd"/>
      <w:r>
        <w:rPr>
          <w:sz w:val="20"/>
          <w:szCs w:val="20"/>
        </w:rPr>
        <w:t xml:space="preserve"> &amp; Jackson, 1996), p.183.</w:t>
      </w:r>
    </w:p>
  </w:footnote>
  <w:footnote w:id="8">
    <w:p w:rsidR="00CF41BE" w:rsidRDefault="00BD35A4">
      <w:pPr>
        <w:pStyle w:val="normal0"/>
        <w:spacing w:line="240" w:lineRule="auto"/>
        <w:rPr>
          <w:sz w:val="20"/>
          <w:szCs w:val="20"/>
        </w:rPr>
      </w:pPr>
      <w:r>
        <w:rPr>
          <w:vertAlign w:val="superscript"/>
        </w:rPr>
        <w:footnoteRef/>
      </w:r>
      <w:r>
        <w:rPr>
          <w:sz w:val="20"/>
          <w:szCs w:val="20"/>
        </w:rPr>
        <w:t xml:space="preserve"> Travers, Tim, </w:t>
      </w:r>
      <w:r>
        <w:rPr>
          <w:i/>
          <w:sz w:val="20"/>
          <w:szCs w:val="20"/>
        </w:rPr>
        <w:t>The Killing Ground: The British Army, the Western Front &amp;</w:t>
      </w:r>
      <w:r>
        <w:rPr>
          <w:i/>
          <w:sz w:val="20"/>
          <w:szCs w:val="20"/>
        </w:rPr>
        <w:t xml:space="preserve"> the Emergence of Modern Warfare 1900- 1918</w:t>
      </w:r>
      <w:r>
        <w:rPr>
          <w:sz w:val="20"/>
          <w:szCs w:val="20"/>
        </w:rPr>
        <w:t xml:space="preserve">, reprint </w:t>
      </w:r>
      <w:proofErr w:type="spellStart"/>
      <w:r>
        <w:rPr>
          <w:sz w:val="20"/>
          <w:szCs w:val="20"/>
        </w:rPr>
        <w:t>ed</w:t>
      </w:r>
      <w:proofErr w:type="spellEnd"/>
      <w:r>
        <w:rPr>
          <w:sz w:val="20"/>
          <w:szCs w:val="20"/>
        </w:rPr>
        <w:t>, (Yorkshire, Pen &amp; Sword Military, 2019), p.178.</w:t>
      </w:r>
    </w:p>
  </w:footnote>
  <w:footnote w:id="9">
    <w:p w:rsidR="00CF41BE" w:rsidRDefault="00BD35A4">
      <w:pPr>
        <w:pStyle w:val="normal0"/>
        <w:spacing w:line="240" w:lineRule="auto"/>
        <w:rPr>
          <w:sz w:val="20"/>
          <w:szCs w:val="20"/>
        </w:rPr>
      </w:pPr>
      <w:r>
        <w:rPr>
          <w:vertAlign w:val="superscript"/>
        </w:rPr>
        <w:footnoteRef/>
      </w:r>
      <w:r>
        <w:rPr>
          <w:sz w:val="20"/>
          <w:szCs w:val="20"/>
        </w:rPr>
        <w:t>Foley. T, Robert and McCartney, Helen,</w:t>
      </w:r>
      <w:r>
        <w:rPr>
          <w:i/>
          <w:sz w:val="20"/>
          <w:szCs w:val="20"/>
        </w:rPr>
        <w:t xml:space="preserve"> The Some: An Eyewitness History</w:t>
      </w:r>
      <w:r>
        <w:rPr>
          <w:sz w:val="20"/>
          <w:szCs w:val="20"/>
        </w:rPr>
        <w:t>, (London, The Folio Society, 2006), p.153</w:t>
      </w:r>
    </w:p>
  </w:footnote>
  <w:footnote w:id="10">
    <w:p w:rsidR="00CF41BE" w:rsidRDefault="00BD35A4">
      <w:pPr>
        <w:pStyle w:val="normal0"/>
        <w:spacing w:line="240" w:lineRule="auto"/>
        <w:rPr>
          <w:sz w:val="20"/>
          <w:szCs w:val="20"/>
        </w:rPr>
      </w:pPr>
      <w:r>
        <w:rPr>
          <w:vertAlign w:val="superscript"/>
        </w:rPr>
        <w:footnoteRef/>
      </w:r>
      <w:r>
        <w:rPr>
          <w:sz w:val="20"/>
          <w:szCs w:val="20"/>
        </w:rPr>
        <w:t xml:space="preserve">  Brown, </w:t>
      </w:r>
      <w:r w:rsidR="00BC3527">
        <w:rPr>
          <w:sz w:val="20"/>
          <w:szCs w:val="20"/>
        </w:rPr>
        <w:t>Malcolm</w:t>
      </w:r>
      <w:r>
        <w:rPr>
          <w:sz w:val="20"/>
          <w:szCs w:val="20"/>
        </w:rPr>
        <w:t xml:space="preserve">, </w:t>
      </w:r>
      <w:r>
        <w:rPr>
          <w:i/>
          <w:sz w:val="20"/>
          <w:szCs w:val="20"/>
        </w:rPr>
        <w:t>The Imperial War Museum: Book of the Somme</w:t>
      </w:r>
      <w:r>
        <w:rPr>
          <w:sz w:val="20"/>
          <w:szCs w:val="20"/>
        </w:rPr>
        <w:t>, p.190.</w:t>
      </w:r>
    </w:p>
  </w:footnote>
  <w:footnote w:id="11">
    <w:p w:rsidR="00CF41BE" w:rsidRDefault="00BD35A4">
      <w:pPr>
        <w:pStyle w:val="normal0"/>
        <w:spacing w:line="240" w:lineRule="auto"/>
        <w:rPr>
          <w:sz w:val="20"/>
          <w:szCs w:val="20"/>
        </w:rPr>
      </w:pPr>
      <w:r>
        <w:rPr>
          <w:vertAlign w:val="superscript"/>
        </w:rPr>
        <w:footnoteRef/>
      </w:r>
      <w:r>
        <w:rPr>
          <w:sz w:val="20"/>
          <w:szCs w:val="20"/>
        </w:rPr>
        <w:t xml:space="preserve"> Brown, </w:t>
      </w:r>
      <w:r w:rsidR="00BC3527">
        <w:rPr>
          <w:sz w:val="20"/>
          <w:szCs w:val="20"/>
        </w:rPr>
        <w:t>Malcolm</w:t>
      </w:r>
      <w:r>
        <w:rPr>
          <w:sz w:val="20"/>
          <w:szCs w:val="20"/>
        </w:rPr>
        <w:t xml:space="preserve">, </w:t>
      </w:r>
      <w:r>
        <w:rPr>
          <w:i/>
          <w:sz w:val="20"/>
          <w:szCs w:val="20"/>
        </w:rPr>
        <w:t xml:space="preserve">The Imperial War Museum: Book of the Somme, </w:t>
      </w:r>
      <w:r>
        <w:rPr>
          <w:sz w:val="20"/>
          <w:szCs w:val="20"/>
        </w:rPr>
        <w:t>p.19</w:t>
      </w:r>
      <w:r>
        <w:rPr>
          <w:sz w:val="20"/>
          <w:szCs w:val="20"/>
        </w:rPr>
        <w:t>6.</w:t>
      </w:r>
    </w:p>
  </w:footnote>
  <w:footnote w:id="12">
    <w:p w:rsidR="00CF41BE" w:rsidRDefault="00BD35A4">
      <w:pPr>
        <w:pStyle w:val="normal0"/>
        <w:spacing w:line="240" w:lineRule="auto"/>
        <w:rPr>
          <w:sz w:val="20"/>
          <w:szCs w:val="20"/>
        </w:rPr>
      </w:pPr>
      <w:r>
        <w:rPr>
          <w:vertAlign w:val="superscript"/>
        </w:rPr>
        <w:footnoteRef/>
      </w:r>
      <w:r>
        <w:rPr>
          <w:sz w:val="20"/>
          <w:szCs w:val="20"/>
        </w:rPr>
        <w:t xml:space="preserve"> Travers, Tim, </w:t>
      </w:r>
      <w:r>
        <w:rPr>
          <w:i/>
          <w:sz w:val="20"/>
          <w:szCs w:val="20"/>
        </w:rPr>
        <w:t>The Killing Ground: The British Army, the Western Front &amp; the Emergence of Modern Warfare 1900- 1918,</w:t>
      </w:r>
      <w:r>
        <w:rPr>
          <w:sz w:val="20"/>
          <w:szCs w:val="20"/>
        </w:rPr>
        <w:t xml:space="preserve"> p.250.</w:t>
      </w:r>
    </w:p>
  </w:footnote>
  <w:footnote w:id="13">
    <w:p w:rsidR="00CF41BE" w:rsidRDefault="00BD35A4">
      <w:pPr>
        <w:pStyle w:val="normal0"/>
        <w:spacing w:line="240" w:lineRule="auto"/>
        <w:rPr>
          <w:sz w:val="20"/>
          <w:szCs w:val="20"/>
        </w:rPr>
      </w:pPr>
      <w:r>
        <w:rPr>
          <w:vertAlign w:val="superscript"/>
        </w:rPr>
        <w:footnoteRef/>
      </w:r>
      <w:r>
        <w:rPr>
          <w:sz w:val="20"/>
          <w:szCs w:val="20"/>
        </w:rPr>
        <w:t xml:space="preserve">Lloyd, Nick, </w:t>
      </w:r>
      <w:r>
        <w:rPr>
          <w:i/>
          <w:sz w:val="20"/>
          <w:szCs w:val="20"/>
        </w:rPr>
        <w:t>Passchendae</w:t>
      </w:r>
      <w:r>
        <w:rPr>
          <w:i/>
          <w:sz w:val="20"/>
          <w:szCs w:val="20"/>
        </w:rPr>
        <w:t>le: A New History,</w:t>
      </w:r>
      <w:r>
        <w:rPr>
          <w:sz w:val="20"/>
          <w:szCs w:val="20"/>
        </w:rPr>
        <w:t xml:space="preserve"> (Great Britain, Penguin Books, 2017). p.80</w:t>
      </w:r>
    </w:p>
  </w:footnote>
  <w:footnote w:id="14">
    <w:p w:rsidR="00CF41BE" w:rsidRDefault="00BD35A4">
      <w:pPr>
        <w:pStyle w:val="normal0"/>
        <w:spacing w:line="240" w:lineRule="auto"/>
        <w:rPr>
          <w:sz w:val="20"/>
          <w:szCs w:val="20"/>
        </w:rPr>
      </w:pPr>
      <w:r>
        <w:rPr>
          <w:vertAlign w:val="superscript"/>
        </w:rPr>
        <w:footnoteRef/>
      </w:r>
      <w:r>
        <w:rPr>
          <w:sz w:val="20"/>
          <w:szCs w:val="20"/>
        </w:rPr>
        <w:t xml:space="preserve"> Lloyd, Nick, Passchendaele: A New History, pp.143- 144. </w:t>
      </w:r>
    </w:p>
  </w:footnote>
  <w:footnote w:id="15">
    <w:p w:rsidR="00CF41BE" w:rsidRDefault="00BD35A4">
      <w:pPr>
        <w:pStyle w:val="normal0"/>
        <w:spacing w:line="240" w:lineRule="auto"/>
        <w:rPr>
          <w:sz w:val="20"/>
          <w:szCs w:val="20"/>
        </w:rPr>
      </w:pPr>
      <w:r>
        <w:rPr>
          <w:vertAlign w:val="superscript"/>
        </w:rPr>
        <w:footnoteRef/>
      </w:r>
      <w:r>
        <w:rPr>
          <w:sz w:val="20"/>
          <w:szCs w:val="20"/>
        </w:rPr>
        <w:t xml:space="preserve"> Hammond </w:t>
      </w:r>
      <w:r>
        <w:rPr>
          <w:sz w:val="20"/>
          <w:szCs w:val="20"/>
        </w:rPr>
        <w:t>Bryn,</w:t>
      </w:r>
      <w:r>
        <w:rPr>
          <w:i/>
          <w:sz w:val="20"/>
          <w:szCs w:val="20"/>
        </w:rPr>
        <w:t xml:space="preserve"> Cambrai 1917 The Myth of the First Great Tank Battle</w:t>
      </w:r>
      <w:r>
        <w:rPr>
          <w:sz w:val="20"/>
          <w:szCs w:val="20"/>
        </w:rPr>
        <w:t>, second edn,</w:t>
      </w:r>
      <w:r>
        <w:rPr>
          <w:i/>
          <w:sz w:val="20"/>
          <w:szCs w:val="20"/>
        </w:rPr>
        <w:t xml:space="preserve"> </w:t>
      </w:r>
      <w:r>
        <w:rPr>
          <w:sz w:val="20"/>
          <w:szCs w:val="20"/>
        </w:rPr>
        <w:t>(Lond</w:t>
      </w:r>
      <w:r w:rsidR="00BC3527">
        <w:rPr>
          <w:sz w:val="20"/>
          <w:szCs w:val="20"/>
        </w:rPr>
        <w:t>on</w:t>
      </w:r>
      <w:r>
        <w:rPr>
          <w:sz w:val="20"/>
          <w:szCs w:val="20"/>
        </w:rPr>
        <w:t>, Weidenfeld &amp; Nicolson, 2009),p.15.</w:t>
      </w:r>
    </w:p>
  </w:footnote>
  <w:footnote w:id="16">
    <w:p w:rsidR="00CF41BE" w:rsidRDefault="00BD35A4">
      <w:pPr>
        <w:pStyle w:val="normal0"/>
        <w:spacing w:line="240" w:lineRule="auto"/>
        <w:rPr>
          <w:sz w:val="20"/>
          <w:szCs w:val="20"/>
        </w:rPr>
      </w:pPr>
      <w:r>
        <w:rPr>
          <w:vertAlign w:val="superscript"/>
        </w:rPr>
        <w:footnoteRef/>
      </w:r>
      <w:r>
        <w:rPr>
          <w:sz w:val="20"/>
          <w:szCs w:val="20"/>
        </w:rPr>
        <w:t xml:space="preserve"> Hammond Bryn, </w:t>
      </w:r>
      <w:r>
        <w:rPr>
          <w:i/>
          <w:sz w:val="20"/>
          <w:szCs w:val="20"/>
        </w:rPr>
        <w:t>Cambrai 1917: The Myth of the First Great Tank Battle</w:t>
      </w:r>
      <w:r>
        <w:rPr>
          <w:sz w:val="20"/>
          <w:szCs w:val="20"/>
        </w:rPr>
        <w:t xml:space="preserve">, pp. 58- 59. </w:t>
      </w:r>
    </w:p>
  </w:footnote>
  <w:footnote w:id="17">
    <w:p w:rsidR="00CF41BE" w:rsidRDefault="00BD35A4">
      <w:pPr>
        <w:pStyle w:val="normal0"/>
        <w:spacing w:line="240" w:lineRule="auto"/>
        <w:rPr>
          <w:sz w:val="20"/>
          <w:szCs w:val="20"/>
        </w:rPr>
      </w:pPr>
      <w:r>
        <w:rPr>
          <w:vertAlign w:val="superscript"/>
        </w:rPr>
        <w:footnoteRef/>
      </w:r>
      <w:r>
        <w:rPr>
          <w:sz w:val="20"/>
          <w:szCs w:val="20"/>
        </w:rPr>
        <w:t xml:space="preserve">Hammond Bryn, </w:t>
      </w:r>
      <w:r>
        <w:rPr>
          <w:i/>
          <w:sz w:val="20"/>
          <w:szCs w:val="20"/>
        </w:rPr>
        <w:t>Cambrai 1917: The Myth of the First Great T</w:t>
      </w:r>
      <w:r>
        <w:rPr>
          <w:i/>
          <w:sz w:val="20"/>
          <w:szCs w:val="20"/>
        </w:rPr>
        <w:t>ank Battle</w:t>
      </w:r>
      <w:r>
        <w:rPr>
          <w:sz w:val="20"/>
          <w:szCs w:val="20"/>
        </w:rPr>
        <w:t>, p.69.</w:t>
      </w:r>
    </w:p>
  </w:footnote>
  <w:footnote w:id="18">
    <w:p w:rsidR="00CF41BE" w:rsidRDefault="00BD35A4">
      <w:pPr>
        <w:pStyle w:val="normal0"/>
        <w:spacing w:line="240" w:lineRule="auto"/>
        <w:rPr>
          <w:sz w:val="20"/>
          <w:szCs w:val="20"/>
        </w:rPr>
      </w:pPr>
      <w:r>
        <w:rPr>
          <w:vertAlign w:val="superscript"/>
        </w:rPr>
        <w:footnoteRef/>
      </w:r>
      <w:r>
        <w:rPr>
          <w:sz w:val="20"/>
          <w:szCs w:val="20"/>
        </w:rPr>
        <w:t xml:space="preserve"> Hammond Bryn, </w:t>
      </w:r>
      <w:r>
        <w:rPr>
          <w:i/>
          <w:sz w:val="20"/>
          <w:szCs w:val="20"/>
        </w:rPr>
        <w:t>Cambrai 1917</w:t>
      </w:r>
      <w:r>
        <w:rPr>
          <w:sz w:val="20"/>
          <w:szCs w:val="20"/>
        </w:rPr>
        <w:t>:</w:t>
      </w:r>
      <w:r>
        <w:rPr>
          <w:i/>
          <w:sz w:val="20"/>
          <w:szCs w:val="20"/>
        </w:rPr>
        <w:t xml:space="preserve"> The Myth of the First Great Tank Battle</w:t>
      </w:r>
      <w:r>
        <w:rPr>
          <w:sz w:val="20"/>
          <w:szCs w:val="20"/>
        </w:rPr>
        <w:t xml:space="preserve">, pp.83- 84. </w:t>
      </w:r>
    </w:p>
  </w:footnote>
  <w:footnote w:id="19">
    <w:p w:rsidR="00CF41BE" w:rsidRDefault="00BD35A4">
      <w:pPr>
        <w:pStyle w:val="normal0"/>
        <w:spacing w:line="240" w:lineRule="auto"/>
        <w:rPr>
          <w:sz w:val="20"/>
          <w:szCs w:val="20"/>
        </w:rPr>
      </w:pPr>
      <w:r>
        <w:rPr>
          <w:vertAlign w:val="superscript"/>
        </w:rPr>
        <w:footnoteRef/>
      </w:r>
      <w:r>
        <w:rPr>
          <w:sz w:val="20"/>
          <w:szCs w:val="20"/>
        </w:rPr>
        <w:t xml:space="preserve">  Hammond Bryn, </w:t>
      </w:r>
      <w:r>
        <w:rPr>
          <w:i/>
          <w:sz w:val="20"/>
          <w:szCs w:val="20"/>
        </w:rPr>
        <w:t>Cambrai 1917: The Myth of the First Great Tank Battle,</w:t>
      </w:r>
      <w:r>
        <w:rPr>
          <w:sz w:val="20"/>
          <w:szCs w:val="20"/>
        </w:rPr>
        <w:t xml:space="preserve"> p.130 </w:t>
      </w:r>
    </w:p>
  </w:footnote>
  <w:footnote w:id="20">
    <w:p w:rsidR="00CF41BE" w:rsidRDefault="00BD35A4">
      <w:pPr>
        <w:pStyle w:val="normal0"/>
        <w:spacing w:line="240" w:lineRule="auto"/>
        <w:rPr>
          <w:sz w:val="20"/>
          <w:szCs w:val="20"/>
        </w:rPr>
      </w:pPr>
      <w:r>
        <w:rPr>
          <w:vertAlign w:val="superscript"/>
        </w:rPr>
        <w:footnoteRef/>
      </w:r>
      <w:r>
        <w:rPr>
          <w:sz w:val="20"/>
          <w:szCs w:val="20"/>
        </w:rPr>
        <w:t xml:space="preserve">  Hammond Bryn, </w:t>
      </w:r>
      <w:r>
        <w:rPr>
          <w:i/>
          <w:sz w:val="20"/>
          <w:szCs w:val="20"/>
        </w:rPr>
        <w:t>Cambrai 1917:</w:t>
      </w:r>
      <w:r>
        <w:rPr>
          <w:sz w:val="20"/>
          <w:szCs w:val="20"/>
        </w:rPr>
        <w:t xml:space="preserve"> </w:t>
      </w:r>
      <w:r>
        <w:rPr>
          <w:i/>
          <w:sz w:val="20"/>
          <w:szCs w:val="20"/>
        </w:rPr>
        <w:t>The Myth of the First Great Tank Battle</w:t>
      </w:r>
      <w:r>
        <w:rPr>
          <w:sz w:val="20"/>
          <w:szCs w:val="20"/>
        </w:rPr>
        <w:t>, p.248</w:t>
      </w:r>
    </w:p>
  </w:footnote>
  <w:footnote w:id="21">
    <w:p w:rsidR="00CF41BE" w:rsidRDefault="00BD35A4">
      <w:pPr>
        <w:pStyle w:val="normal0"/>
        <w:spacing w:line="240" w:lineRule="auto"/>
        <w:rPr>
          <w:sz w:val="20"/>
          <w:szCs w:val="20"/>
        </w:rPr>
      </w:pPr>
      <w:r>
        <w:rPr>
          <w:vertAlign w:val="superscript"/>
        </w:rPr>
        <w:footnoteRef/>
      </w:r>
      <w:r>
        <w:rPr>
          <w:sz w:val="20"/>
          <w:szCs w:val="20"/>
        </w:rPr>
        <w:t>Foley. T, Robert and McCartney, Helen,</w:t>
      </w:r>
      <w:r>
        <w:rPr>
          <w:i/>
          <w:sz w:val="20"/>
          <w:szCs w:val="20"/>
        </w:rPr>
        <w:t xml:space="preserve"> The Some: An Eyewitness History, </w:t>
      </w:r>
      <w:r>
        <w:rPr>
          <w:sz w:val="20"/>
          <w:szCs w:val="20"/>
        </w:rPr>
        <w:t xml:space="preserve"> pp.138- 140. </w:t>
      </w:r>
    </w:p>
  </w:footnote>
  <w:footnote w:id="22">
    <w:p w:rsidR="00CF41BE" w:rsidRDefault="00BD35A4">
      <w:pPr>
        <w:pStyle w:val="normal0"/>
        <w:spacing w:line="240" w:lineRule="auto"/>
        <w:rPr>
          <w:sz w:val="20"/>
          <w:szCs w:val="20"/>
        </w:rPr>
      </w:pPr>
      <w:r>
        <w:rPr>
          <w:vertAlign w:val="superscript"/>
        </w:rPr>
        <w:footnoteRef/>
      </w:r>
      <w:r>
        <w:rPr>
          <w:sz w:val="20"/>
          <w:szCs w:val="20"/>
        </w:rPr>
        <w:t xml:space="preserve"> Ashworth, Tony, </w:t>
      </w:r>
      <w:r>
        <w:rPr>
          <w:i/>
          <w:sz w:val="20"/>
          <w:szCs w:val="20"/>
        </w:rPr>
        <w:t>Trench Warfare 1914-1918: The Live and Let Live System</w:t>
      </w:r>
      <w:r>
        <w:rPr>
          <w:b/>
          <w:i/>
          <w:sz w:val="20"/>
          <w:szCs w:val="20"/>
        </w:rPr>
        <w:t>,</w:t>
      </w:r>
      <w:r>
        <w:rPr>
          <w:sz w:val="20"/>
          <w:szCs w:val="20"/>
        </w:rPr>
        <w:t xml:space="preserve"> p.180.</w:t>
      </w:r>
    </w:p>
  </w:footnote>
  <w:footnote w:id="23">
    <w:p w:rsidR="00CF41BE" w:rsidRDefault="00BD35A4">
      <w:pPr>
        <w:pStyle w:val="normal0"/>
        <w:spacing w:line="240" w:lineRule="auto"/>
        <w:rPr>
          <w:sz w:val="20"/>
          <w:szCs w:val="20"/>
        </w:rPr>
      </w:pPr>
      <w:r>
        <w:rPr>
          <w:vertAlign w:val="superscript"/>
        </w:rPr>
        <w:footnoteRef/>
      </w:r>
      <w:r>
        <w:rPr>
          <w:sz w:val="20"/>
          <w:szCs w:val="20"/>
        </w:rPr>
        <w:t xml:space="preserve"> Ashworth, Tony, </w:t>
      </w:r>
      <w:r>
        <w:rPr>
          <w:i/>
          <w:sz w:val="20"/>
          <w:szCs w:val="20"/>
        </w:rPr>
        <w:t>Trench Warfare 1914-1918: The Live and Let Live System</w:t>
      </w:r>
      <w:r>
        <w:rPr>
          <w:b/>
          <w:i/>
          <w:sz w:val="20"/>
          <w:szCs w:val="20"/>
        </w:rPr>
        <w:t>,</w:t>
      </w:r>
      <w:r>
        <w:rPr>
          <w:sz w:val="20"/>
          <w:szCs w:val="20"/>
        </w:rPr>
        <w:t xml:space="preserve"> p.186.</w:t>
      </w:r>
    </w:p>
  </w:footnote>
  <w:footnote w:id="24">
    <w:p w:rsidR="00CF41BE" w:rsidRDefault="00BD35A4">
      <w:pPr>
        <w:pStyle w:val="normal0"/>
        <w:spacing w:line="240" w:lineRule="auto"/>
        <w:rPr>
          <w:sz w:val="20"/>
          <w:szCs w:val="20"/>
        </w:rPr>
      </w:pPr>
      <w:r>
        <w:rPr>
          <w:vertAlign w:val="superscript"/>
        </w:rPr>
        <w:footnoteRef/>
      </w:r>
      <w:r>
        <w:rPr>
          <w:sz w:val="20"/>
          <w:szCs w:val="20"/>
        </w:rPr>
        <w:t xml:space="preserve"> Foley. T, Robert and McCartney, Helen,</w:t>
      </w:r>
      <w:r>
        <w:rPr>
          <w:i/>
          <w:sz w:val="20"/>
          <w:szCs w:val="20"/>
        </w:rPr>
        <w:t xml:space="preserve"> The</w:t>
      </w:r>
      <w:r>
        <w:rPr>
          <w:i/>
          <w:sz w:val="20"/>
          <w:szCs w:val="20"/>
        </w:rPr>
        <w:t xml:space="preserve"> Some: An Eyewitness History, </w:t>
      </w:r>
      <w:r>
        <w:rPr>
          <w:sz w:val="20"/>
          <w:szCs w:val="20"/>
        </w:rPr>
        <w:t>p.117.</w:t>
      </w:r>
    </w:p>
  </w:footnote>
  <w:footnote w:id="25">
    <w:p w:rsidR="00CF41BE" w:rsidRDefault="00BD35A4">
      <w:pPr>
        <w:pStyle w:val="normal0"/>
        <w:spacing w:line="240" w:lineRule="auto"/>
        <w:rPr>
          <w:sz w:val="20"/>
          <w:szCs w:val="20"/>
        </w:rPr>
      </w:pPr>
      <w:r>
        <w:rPr>
          <w:vertAlign w:val="superscript"/>
        </w:rPr>
        <w:footnoteRef/>
      </w:r>
      <w:r>
        <w:rPr>
          <w:sz w:val="20"/>
          <w:szCs w:val="20"/>
        </w:rPr>
        <w:t xml:space="preserve">Ashworth, Tony, </w:t>
      </w:r>
      <w:r>
        <w:rPr>
          <w:i/>
          <w:sz w:val="20"/>
          <w:szCs w:val="20"/>
        </w:rPr>
        <w:t>Trench Warfare 1914-1918: The Live and Let Live System</w:t>
      </w:r>
      <w:r>
        <w:rPr>
          <w:b/>
          <w:i/>
          <w:sz w:val="20"/>
          <w:szCs w:val="20"/>
        </w:rPr>
        <w:t xml:space="preserve">, </w:t>
      </w:r>
      <w:r>
        <w:rPr>
          <w:sz w:val="20"/>
          <w:szCs w:val="20"/>
        </w:rPr>
        <w:t>p.186.</w:t>
      </w:r>
    </w:p>
  </w:footnote>
  <w:footnote w:id="26">
    <w:p w:rsidR="00CF41BE" w:rsidRDefault="00BD35A4">
      <w:pPr>
        <w:pStyle w:val="normal0"/>
        <w:spacing w:line="240" w:lineRule="auto"/>
        <w:rPr>
          <w:sz w:val="20"/>
          <w:szCs w:val="20"/>
        </w:rPr>
      </w:pPr>
      <w:r>
        <w:rPr>
          <w:vertAlign w:val="superscript"/>
        </w:rPr>
        <w:footnoteRef/>
      </w:r>
      <w:r>
        <w:rPr>
          <w:sz w:val="20"/>
          <w:szCs w:val="20"/>
        </w:rPr>
        <w:t xml:space="preserve"> Winter, Denis, </w:t>
      </w:r>
      <w:r>
        <w:rPr>
          <w:i/>
          <w:sz w:val="20"/>
          <w:szCs w:val="20"/>
        </w:rPr>
        <w:t>Death’s Men: Soldiers of the Great War,</w:t>
      </w:r>
      <w:r>
        <w:rPr>
          <w:sz w:val="20"/>
          <w:szCs w:val="20"/>
        </w:rPr>
        <w:t xml:space="preserve"> p.158.</w:t>
      </w:r>
    </w:p>
  </w:footnote>
  <w:footnote w:id="27">
    <w:p w:rsidR="00CF41BE" w:rsidRDefault="00BD35A4">
      <w:pPr>
        <w:pStyle w:val="normal0"/>
        <w:spacing w:line="240" w:lineRule="auto"/>
        <w:rPr>
          <w:sz w:val="20"/>
          <w:szCs w:val="20"/>
        </w:rPr>
      </w:pPr>
      <w:r>
        <w:rPr>
          <w:vertAlign w:val="superscript"/>
        </w:rPr>
        <w:footnoteRef/>
      </w:r>
      <w:r>
        <w:rPr>
          <w:sz w:val="20"/>
          <w:szCs w:val="20"/>
        </w:rPr>
        <w:t xml:space="preserve"> Winter, Denis, </w:t>
      </w:r>
      <w:r>
        <w:rPr>
          <w:i/>
          <w:sz w:val="20"/>
          <w:szCs w:val="20"/>
        </w:rPr>
        <w:t>Death’s Men: Soldiers of the Great War,</w:t>
      </w:r>
      <w:r>
        <w:rPr>
          <w:sz w:val="20"/>
          <w:szCs w:val="20"/>
        </w:rPr>
        <w:t xml:space="preserve"> p.113.</w:t>
      </w:r>
    </w:p>
  </w:footnote>
  <w:footnote w:id="28">
    <w:p w:rsidR="00CF41BE" w:rsidRDefault="00BD35A4">
      <w:pPr>
        <w:pStyle w:val="normal0"/>
        <w:spacing w:line="240" w:lineRule="auto"/>
        <w:rPr>
          <w:sz w:val="20"/>
          <w:szCs w:val="20"/>
        </w:rPr>
      </w:pPr>
      <w:r>
        <w:rPr>
          <w:vertAlign w:val="superscript"/>
        </w:rPr>
        <w:footnoteRef/>
      </w:r>
      <w:r>
        <w:rPr>
          <w:sz w:val="20"/>
          <w:szCs w:val="20"/>
        </w:rPr>
        <w:t xml:space="preserve">  Brown, </w:t>
      </w:r>
      <w:r w:rsidR="00BC3527">
        <w:rPr>
          <w:sz w:val="20"/>
          <w:szCs w:val="20"/>
        </w:rPr>
        <w:t>Malcolm</w:t>
      </w:r>
      <w:r>
        <w:rPr>
          <w:sz w:val="20"/>
          <w:szCs w:val="20"/>
        </w:rPr>
        <w:t xml:space="preserve">, </w:t>
      </w:r>
      <w:r>
        <w:rPr>
          <w:i/>
          <w:sz w:val="20"/>
          <w:szCs w:val="20"/>
        </w:rPr>
        <w:t>The Imperial War Museum: Book of the Somme</w:t>
      </w:r>
      <w:r>
        <w:rPr>
          <w:sz w:val="20"/>
          <w:szCs w:val="20"/>
        </w:rPr>
        <w:t xml:space="preserve">, p.162. </w:t>
      </w:r>
    </w:p>
  </w:footnote>
  <w:footnote w:id="29">
    <w:p w:rsidR="00CF41BE" w:rsidRDefault="00BD35A4">
      <w:pPr>
        <w:pStyle w:val="normal0"/>
        <w:spacing w:line="240" w:lineRule="auto"/>
        <w:rPr>
          <w:sz w:val="20"/>
          <w:szCs w:val="20"/>
        </w:rPr>
      </w:pPr>
      <w:r>
        <w:rPr>
          <w:vertAlign w:val="superscript"/>
        </w:rPr>
        <w:footnoteRef/>
      </w:r>
      <w:r>
        <w:rPr>
          <w:sz w:val="20"/>
          <w:szCs w:val="20"/>
        </w:rPr>
        <w:t xml:space="preserve"> Hammond, Bryn, </w:t>
      </w:r>
      <w:r>
        <w:rPr>
          <w:i/>
          <w:sz w:val="20"/>
          <w:szCs w:val="20"/>
        </w:rPr>
        <w:t>Cambrai 1917: The Myth of the First Great Tank Battle</w:t>
      </w:r>
      <w:r>
        <w:rPr>
          <w:sz w:val="20"/>
          <w:szCs w:val="20"/>
        </w:rPr>
        <w:t>, p.47.</w:t>
      </w:r>
    </w:p>
  </w:footnote>
  <w:footnote w:id="30">
    <w:p w:rsidR="00CF41BE" w:rsidRDefault="00BD35A4">
      <w:pPr>
        <w:pStyle w:val="normal0"/>
        <w:spacing w:line="240" w:lineRule="auto"/>
        <w:rPr>
          <w:sz w:val="20"/>
          <w:szCs w:val="20"/>
        </w:rPr>
      </w:pPr>
      <w:r>
        <w:rPr>
          <w:vertAlign w:val="superscript"/>
        </w:rPr>
        <w:footnoteRef/>
      </w:r>
      <w:r>
        <w:rPr>
          <w:sz w:val="20"/>
          <w:szCs w:val="20"/>
        </w:rPr>
        <w:t xml:space="preserve"> Winter, </w:t>
      </w:r>
      <w:r>
        <w:rPr>
          <w:i/>
          <w:sz w:val="20"/>
          <w:szCs w:val="20"/>
        </w:rPr>
        <w:t xml:space="preserve">Death’s Men: Soldiers of the Great War, </w:t>
      </w:r>
      <w:r>
        <w:rPr>
          <w:sz w:val="20"/>
          <w:szCs w:val="20"/>
        </w:rPr>
        <w:t>p.184.</w:t>
      </w:r>
    </w:p>
  </w:footnote>
  <w:footnote w:id="31">
    <w:p w:rsidR="00CF41BE" w:rsidRDefault="00BD35A4">
      <w:pPr>
        <w:pStyle w:val="normal0"/>
        <w:spacing w:line="240" w:lineRule="auto"/>
        <w:rPr>
          <w:sz w:val="20"/>
          <w:szCs w:val="20"/>
        </w:rPr>
      </w:pPr>
      <w:r>
        <w:rPr>
          <w:vertAlign w:val="superscript"/>
        </w:rPr>
        <w:footnoteRef/>
      </w:r>
      <w:r>
        <w:rPr>
          <w:sz w:val="20"/>
          <w:szCs w:val="20"/>
        </w:rPr>
        <w:t xml:space="preserve">  Travers, Tim, </w:t>
      </w:r>
      <w:r>
        <w:rPr>
          <w:i/>
          <w:sz w:val="20"/>
          <w:szCs w:val="20"/>
        </w:rPr>
        <w:t xml:space="preserve">The Killing Ground: The British Army, the Western Front &amp; the Emergence of Modern Warfare 1900- 1918, </w:t>
      </w:r>
      <w:r>
        <w:rPr>
          <w:sz w:val="20"/>
          <w:szCs w:val="20"/>
        </w:rPr>
        <w:t>p.146</w:t>
      </w:r>
      <w:r>
        <w:rPr>
          <w:i/>
          <w:sz w:val="20"/>
          <w:szCs w:val="20"/>
        </w:rPr>
        <w:t>.</w:t>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7C78A8"/>
    <w:multiLevelType w:val="multilevel"/>
    <w:tmpl w:val="2FDEA3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footnotePr>
    <w:footnote w:id="-1"/>
    <w:footnote w:id="0"/>
  </w:footnotePr>
  <w:endnotePr>
    <w:endnote w:id="-1"/>
    <w:endnote w:id="0"/>
  </w:endnotePr>
  <w:compat/>
  <w:rsids>
    <w:rsidRoot w:val="00CF41BE"/>
    <w:rsid w:val="00AA1FF1"/>
    <w:rsid w:val="00BC3527"/>
    <w:rsid w:val="00BD35A4"/>
    <w:rsid w:val="00CF41B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0"/>
    <w:next w:val="normal0"/>
    <w:rsid w:val="00CF41BE"/>
    <w:pPr>
      <w:keepNext/>
      <w:keepLines/>
      <w:spacing w:before="400" w:after="120"/>
      <w:outlineLvl w:val="0"/>
    </w:pPr>
    <w:rPr>
      <w:sz w:val="40"/>
      <w:szCs w:val="40"/>
    </w:rPr>
  </w:style>
  <w:style w:type="paragraph" w:styleId="Heading2">
    <w:name w:val="heading 2"/>
    <w:basedOn w:val="normal0"/>
    <w:next w:val="normal0"/>
    <w:rsid w:val="00CF41BE"/>
    <w:pPr>
      <w:keepNext/>
      <w:keepLines/>
      <w:spacing w:before="360" w:after="120"/>
      <w:outlineLvl w:val="1"/>
    </w:pPr>
    <w:rPr>
      <w:sz w:val="32"/>
      <w:szCs w:val="32"/>
    </w:rPr>
  </w:style>
  <w:style w:type="paragraph" w:styleId="Heading3">
    <w:name w:val="heading 3"/>
    <w:basedOn w:val="normal0"/>
    <w:next w:val="normal0"/>
    <w:rsid w:val="00CF41BE"/>
    <w:pPr>
      <w:keepNext/>
      <w:keepLines/>
      <w:spacing w:before="320" w:after="80"/>
      <w:outlineLvl w:val="2"/>
    </w:pPr>
    <w:rPr>
      <w:color w:val="434343"/>
      <w:sz w:val="28"/>
      <w:szCs w:val="28"/>
    </w:rPr>
  </w:style>
  <w:style w:type="paragraph" w:styleId="Heading4">
    <w:name w:val="heading 4"/>
    <w:basedOn w:val="normal0"/>
    <w:next w:val="normal0"/>
    <w:rsid w:val="00CF41BE"/>
    <w:pPr>
      <w:keepNext/>
      <w:keepLines/>
      <w:spacing w:before="280" w:after="80"/>
      <w:outlineLvl w:val="3"/>
    </w:pPr>
    <w:rPr>
      <w:color w:val="666666"/>
      <w:sz w:val="24"/>
      <w:szCs w:val="24"/>
    </w:rPr>
  </w:style>
  <w:style w:type="paragraph" w:styleId="Heading5">
    <w:name w:val="heading 5"/>
    <w:basedOn w:val="normal0"/>
    <w:next w:val="normal0"/>
    <w:rsid w:val="00CF41BE"/>
    <w:pPr>
      <w:keepNext/>
      <w:keepLines/>
      <w:spacing w:before="240" w:after="80"/>
      <w:outlineLvl w:val="4"/>
    </w:pPr>
    <w:rPr>
      <w:color w:val="666666"/>
    </w:rPr>
  </w:style>
  <w:style w:type="paragraph" w:styleId="Heading6">
    <w:name w:val="heading 6"/>
    <w:basedOn w:val="normal0"/>
    <w:next w:val="normal0"/>
    <w:rsid w:val="00CF41B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CF41BE"/>
  </w:style>
  <w:style w:type="paragraph" w:styleId="Title">
    <w:name w:val="Title"/>
    <w:basedOn w:val="normal0"/>
    <w:next w:val="normal0"/>
    <w:rsid w:val="00CF41BE"/>
    <w:pPr>
      <w:keepNext/>
      <w:keepLines/>
      <w:spacing w:after="60"/>
    </w:pPr>
    <w:rPr>
      <w:sz w:val="52"/>
      <w:szCs w:val="52"/>
    </w:rPr>
  </w:style>
  <w:style w:type="paragraph" w:styleId="Subtitle">
    <w:name w:val="Subtitle"/>
    <w:basedOn w:val="normal0"/>
    <w:next w:val="normal0"/>
    <w:rsid w:val="00CF41BE"/>
    <w:pPr>
      <w:keepNext/>
      <w:keepLines/>
      <w:spacing w:after="320"/>
    </w:pPr>
    <w:rPr>
      <w:color w:val="666666"/>
      <w:sz w:val="30"/>
      <w:szCs w:val="30"/>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6</Pages>
  <Words>2724</Words>
  <Characters>15532</Characters>
  <Application>Microsoft Office Word</Application>
  <DocSecurity>0</DocSecurity>
  <Lines>129</Lines>
  <Paragraphs>36</Paragraphs>
  <ScaleCrop>false</ScaleCrop>
  <Company/>
  <LinksUpToDate>false</LinksUpToDate>
  <CharactersWithSpaces>18220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Joseph</dc:creator>
  <cp:lastModifiedBy>Joseph</cp:lastModifiedBy>
  <cp:revision>3</cp:revision>
  <dcterms:created xsi:type="dcterms:W3CDTF">2019-11-15T21:43:00Z</dcterms:created>
  <dcterms:modified xsi:type="dcterms:W3CDTF">2019-11-15T21:43:00Z</dcterms:modified>
</cp:coreProperties>
</file>