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45CA3"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535482B7"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43CB8BF1"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76942546"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0073B5EB"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69CBA103"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72F0C8BE"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5CB1B5BA" w14:textId="77777777" w:rsidR="0095746B" w:rsidRDefault="0095746B" w:rsidP="0095746B">
      <w:pPr>
        <w:spacing w:after="0" w:line="360" w:lineRule="auto"/>
        <w:jc w:val="center"/>
        <w:rPr>
          <w:rFonts w:ascii="Arial" w:eastAsia="Times New Roman" w:hAnsi="Arial" w:cs="Arial"/>
          <w:b/>
          <w:bCs/>
          <w:color w:val="000000"/>
          <w:sz w:val="28"/>
          <w:szCs w:val="28"/>
          <w:lang w:eastAsia="en-IN"/>
        </w:rPr>
      </w:pPr>
    </w:p>
    <w:p w14:paraId="213C3C2F" w14:textId="1A522713" w:rsidR="0095746B" w:rsidRPr="0095746B" w:rsidRDefault="0095746B" w:rsidP="0095746B">
      <w:pPr>
        <w:spacing w:after="0" w:line="360" w:lineRule="auto"/>
        <w:jc w:val="center"/>
        <w:rPr>
          <w:rFonts w:ascii="Arial" w:eastAsia="Times New Roman" w:hAnsi="Arial" w:cs="Arial"/>
          <w:b/>
          <w:bCs/>
          <w:color w:val="000000"/>
          <w:sz w:val="28"/>
          <w:szCs w:val="28"/>
          <w:lang w:eastAsia="en-IN"/>
        </w:rPr>
      </w:pPr>
      <w:r w:rsidRPr="0095746B">
        <w:rPr>
          <w:rFonts w:ascii="Arial" w:eastAsia="Times New Roman" w:hAnsi="Arial" w:cs="Arial"/>
          <w:b/>
          <w:bCs/>
          <w:color w:val="000000"/>
          <w:sz w:val="28"/>
          <w:szCs w:val="28"/>
          <w:lang w:eastAsia="en-IN"/>
        </w:rPr>
        <w:t>Community Engagement</w:t>
      </w:r>
    </w:p>
    <w:p w14:paraId="488F177C" w14:textId="77777777" w:rsidR="00934B38" w:rsidRDefault="00934B38" w:rsidP="00934B38">
      <w:pPr>
        <w:jc w:val="center"/>
        <w:rPr>
          <w:rFonts w:ascii="Arial" w:eastAsia="Times New Roman" w:hAnsi="Arial" w:cs="Arial"/>
          <w:b/>
          <w:bCs/>
          <w:color w:val="000000"/>
          <w:lang w:eastAsia="en-IN"/>
        </w:rPr>
      </w:pPr>
      <w:r>
        <w:rPr>
          <w:rFonts w:ascii="Arial" w:eastAsia="Times New Roman" w:hAnsi="Arial" w:cs="Arial"/>
          <w:b/>
          <w:bCs/>
          <w:color w:val="000000"/>
          <w:lang w:eastAsia="en-IN"/>
        </w:rPr>
        <w:t>LCBB4002</w:t>
      </w:r>
    </w:p>
    <w:p w14:paraId="06B162A7" w14:textId="77777777" w:rsidR="00934B38" w:rsidRDefault="00934B38" w:rsidP="00934B38">
      <w:pPr>
        <w:jc w:val="center"/>
        <w:rPr>
          <w:rFonts w:ascii="Arial" w:eastAsia="Times New Roman" w:hAnsi="Arial" w:cs="Arial"/>
          <w:b/>
          <w:bCs/>
          <w:color w:val="000000"/>
          <w:lang w:eastAsia="en-IN"/>
        </w:rPr>
      </w:pPr>
      <w:r>
        <w:rPr>
          <w:rFonts w:ascii="Arial" w:eastAsia="Times New Roman" w:hAnsi="Arial" w:cs="Arial"/>
          <w:b/>
          <w:bCs/>
          <w:color w:val="000000"/>
          <w:lang w:eastAsia="en-IN"/>
        </w:rPr>
        <w:t>Dr Olu Adegbite</w:t>
      </w:r>
    </w:p>
    <w:p w14:paraId="68CEA0E9" w14:textId="77777777" w:rsidR="00934B38" w:rsidRDefault="00934B38" w:rsidP="00934B38">
      <w:pPr>
        <w:jc w:val="center"/>
        <w:rPr>
          <w:rFonts w:ascii="Arial" w:eastAsia="Times New Roman" w:hAnsi="Arial" w:cs="Arial"/>
          <w:b/>
          <w:bCs/>
          <w:color w:val="000000"/>
          <w:lang w:eastAsia="en-IN"/>
        </w:rPr>
      </w:pPr>
    </w:p>
    <w:p w14:paraId="4A4ECAD0" w14:textId="77777777" w:rsidR="00934B38" w:rsidRDefault="00934B38" w:rsidP="00934B38">
      <w:pPr>
        <w:jc w:val="center"/>
        <w:rPr>
          <w:rFonts w:ascii="Arial" w:eastAsia="Times New Roman" w:hAnsi="Arial" w:cs="Arial"/>
          <w:b/>
          <w:bCs/>
          <w:color w:val="000000"/>
          <w:lang w:eastAsia="en-IN"/>
        </w:rPr>
      </w:pPr>
    </w:p>
    <w:p w14:paraId="0752FEEC" w14:textId="77777777" w:rsidR="00934B38" w:rsidRDefault="00934B38" w:rsidP="00934B38">
      <w:pPr>
        <w:jc w:val="center"/>
        <w:rPr>
          <w:rFonts w:ascii="Arial" w:eastAsia="Times New Roman" w:hAnsi="Arial" w:cs="Arial"/>
          <w:b/>
          <w:bCs/>
          <w:color w:val="000000"/>
          <w:lang w:eastAsia="en-IN"/>
        </w:rPr>
      </w:pPr>
      <w:r>
        <w:rPr>
          <w:rFonts w:ascii="Arial" w:eastAsia="Times New Roman" w:hAnsi="Arial" w:cs="Arial"/>
          <w:b/>
          <w:bCs/>
          <w:color w:val="000000"/>
          <w:lang w:eastAsia="en-IN"/>
        </w:rPr>
        <w:t>Asen M Asenov</w:t>
      </w:r>
    </w:p>
    <w:p w14:paraId="1BC93D53" w14:textId="1B8D905B" w:rsidR="0095746B" w:rsidRDefault="00934B38" w:rsidP="00934B38">
      <w:pPr>
        <w:jc w:val="center"/>
        <w:rPr>
          <w:rFonts w:ascii="Arial" w:eastAsia="Times New Roman" w:hAnsi="Arial" w:cs="Arial"/>
          <w:b/>
          <w:bCs/>
          <w:color w:val="000000"/>
          <w:lang w:eastAsia="en-IN"/>
        </w:rPr>
      </w:pPr>
      <w:r>
        <w:rPr>
          <w:rFonts w:ascii="Arial" w:eastAsia="Times New Roman" w:hAnsi="Arial" w:cs="Arial"/>
          <w:b/>
          <w:bCs/>
          <w:color w:val="000000"/>
          <w:lang w:eastAsia="en-IN"/>
        </w:rPr>
        <w:t>2028526</w:t>
      </w:r>
      <w:r w:rsidR="0095746B">
        <w:rPr>
          <w:rFonts w:ascii="Arial" w:eastAsia="Times New Roman" w:hAnsi="Arial" w:cs="Arial"/>
          <w:b/>
          <w:bCs/>
          <w:color w:val="000000"/>
          <w:lang w:eastAsia="en-IN"/>
        </w:rPr>
        <w:br w:type="page"/>
      </w:r>
    </w:p>
    <w:p w14:paraId="7679CE16" w14:textId="3CB235DD" w:rsidR="007A1C5E" w:rsidRPr="007A1C5E" w:rsidRDefault="007A1C5E" w:rsidP="0095746B">
      <w:pPr>
        <w:rPr>
          <w:rFonts w:ascii="Arial" w:eastAsia="Times New Roman" w:hAnsi="Arial" w:cs="Arial"/>
          <w:b/>
          <w:bCs/>
          <w:color w:val="000000"/>
          <w:lang w:eastAsia="en-IN"/>
        </w:rPr>
      </w:pPr>
      <w:r w:rsidRPr="007A1C5E">
        <w:rPr>
          <w:rFonts w:ascii="Arial" w:eastAsia="Times New Roman" w:hAnsi="Arial" w:cs="Arial"/>
          <w:b/>
          <w:bCs/>
          <w:color w:val="000000"/>
          <w:lang w:eastAsia="en-IN"/>
        </w:rPr>
        <w:lastRenderedPageBreak/>
        <w:t>Introduction </w:t>
      </w:r>
    </w:p>
    <w:p w14:paraId="39E408A5" w14:textId="16C45D36"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Community engagement is a step of working collaboratively through and with a group of people affiliated by simple interest, geographic proximity, or similar situations to issue and address the well-being of the people. In other words, community engagement is the deep participation and involvement of the organizations for community welfare.  Apart from these in simple terms, the term community engagement states the strategic process and specifically works and identifies the group of people. The term</w:t>
      </w:r>
      <w:r w:rsidR="00AF66D4">
        <w:rPr>
          <w:rFonts w:ascii="Arial" w:eastAsia="Times New Roman" w:hAnsi="Arial" w:cs="Arial"/>
          <w:color w:val="000000"/>
          <w:lang w:eastAsia="en-IN"/>
        </w:rPr>
        <w:t>s</w:t>
      </w:r>
      <w:r w:rsidRPr="007A1C5E">
        <w:rPr>
          <w:rFonts w:ascii="Arial" w:eastAsia="Times New Roman" w:hAnsi="Arial" w:cs="Arial"/>
          <w:color w:val="000000"/>
          <w:lang w:eastAsia="en-IN"/>
        </w:rPr>
        <w:t xml:space="preserve"> community and engagement </w:t>
      </w:r>
      <w:r w:rsidR="0095746B">
        <w:rPr>
          <w:rFonts w:ascii="Arial" w:eastAsia="Times New Roman" w:hAnsi="Arial" w:cs="Arial"/>
          <w:color w:val="000000"/>
          <w:lang w:eastAsia="en-IN"/>
        </w:rPr>
        <w:t>are</w:t>
      </w:r>
      <w:r w:rsidRPr="007A1C5E">
        <w:rPr>
          <w:rFonts w:ascii="Arial" w:eastAsia="Times New Roman" w:hAnsi="Arial" w:cs="Arial"/>
          <w:color w:val="000000"/>
          <w:lang w:eastAsia="en-IN"/>
        </w:rPr>
        <w:t xml:space="preserve"> referred to as the to serve to broaden the scope and therefore shifting the focus from the individual to the collective</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Kumar and Kumar, 2020</w:t>
      </w:r>
      <w:r w:rsidRPr="0095746B">
        <w:rPr>
          <w:rFonts w:ascii="Arial" w:eastAsia="Times New Roman" w:hAnsi="Arial" w:cs="Arial"/>
          <w:color w:val="000000"/>
          <w:lang w:eastAsia="en-IN"/>
        </w:rPr>
        <w:t>)</w:t>
      </w:r>
      <w:r w:rsidRPr="007A1C5E">
        <w:rPr>
          <w:rFonts w:ascii="Arial" w:eastAsia="Times New Roman" w:hAnsi="Arial" w:cs="Arial"/>
          <w:color w:val="000000"/>
          <w:lang w:eastAsia="en-IN"/>
        </w:rPr>
        <w:t>. The main purpose of the report is to therefore discuss the importance of community engagement. Apart from these, it aims at the evaluation and the importance of the transferable skills and how it is significant in the engagement of the community. The purpose of the report also states to identify all the transferable skills which are evident in the case study of the community firefighter in East Yorkshire recognized by the queen. The purpose of the report also aims at how the community engagement is taken by Mr. Clark to the next level.</w:t>
      </w:r>
    </w:p>
    <w:p w14:paraId="7C2C7615" w14:textId="77777777" w:rsidR="007A1C5E" w:rsidRPr="007A1C5E" w:rsidRDefault="007A1C5E" w:rsidP="007A1C5E">
      <w:pPr>
        <w:spacing w:after="0" w:line="360" w:lineRule="auto"/>
        <w:jc w:val="both"/>
        <w:rPr>
          <w:rFonts w:ascii="Arial" w:eastAsia="Times New Roman" w:hAnsi="Arial" w:cs="Arial"/>
          <w:lang w:eastAsia="en-IN"/>
        </w:rPr>
      </w:pPr>
    </w:p>
    <w:p w14:paraId="50BB0328" w14:textId="77777777" w:rsidR="007A1C5E" w:rsidRPr="007A1C5E" w:rsidRDefault="007A1C5E" w:rsidP="007A1C5E">
      <w:pPr>
        <w:spacing w:after="0" w:line="360" w:lineRule="auto"/>
        <w:jc w:val="both"/>
        <w:rPr>
          <w:rFonts w:ascii="Arial" w:eastAsia="Times New Roman" w:hAnsi="Arial" w:cs="Arial"/>
          <w:b/>
          <w:bCs/>
          <w:lang w:eastAsia="en-IN"/>
        </w:rPr>
      </w:pPr>
      <w:r w:rsidRPr="007A1C5E">
        <w:rPr>
          <w:rFonts w:ascii="Arial" w:eastAsia="Times New Roman" w:hAnsi="Arial" w:cs="Arial"/>
          <w:b/>
          <w:bCs/>
          <w:color w:val="000000"/>
          <w:lang w:eastAsia="en-IN"/>
        </w:rPr>
        <w:t>Discussion and Analysis</w:t>
      </w:r>
    </w:p>
    <w:p w14:paraId="3174F55E" w14:textId="77777777" w:rsidR="007A1C5E" w:rsidRPr="007A1C5E" w:rsidRDefault="007A1C5E" w:rsidP="007A1C5E">
      <w:pPr>
        <w:spacing w:after="0" w:line="360" w:lineRule="auto"/>
        <w:jc w:val="both"/>
        <w:rPr>
          <w:rFonts w:ascii="Arial" w:eastAsia="Times New Roman" w:hAnsi="Arial" w:cs="Arial"/>
          <w:b/>
          <w:bCs/>
          <w:lang w:eastAsia="en-IN"/>
        </w:rPr>
      </w:pPr>
      <w:r w:rsidRPr="007A1C5E">
        <w:rPr>
          <w:rFonts w:ascii="Arial" w:eastAsia="Times New Roman" w:hAnsi="Arial" w:cs="Arial"/>
          <w:b/>
          <w:bCs/>
          <w:color w:val="000000"/>
          <w:lang w:eastAsia="en-IN"/>
        </w:rPr>
        <w:t>Importance of community engagement. </w:t>
      </w:r>
    </w:p>
    <w:p w14:paraId="6EF5D6D6" w14:textId="36A545E6"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The importance of community engagement is that community engagement increases the understanding along with the visibility of the issues which therefore empowers communities to affect their lives, cities, towns, and neighbo</w:t>
      </w:r>
      <w:r w:rsidRPr="0095746B">
        <w:rPr>
          <w:rFonts w:ascii="Arial" w:eastAsia="Times New Roman" w:hAnsi="Arial" w:cs="Arial"/>
          <w:color w:val="000000"/>
          <w:lang w:eastAsia="en-IN"/>
        </w:rPr>
        <w:t>u</w:t>
      </w:r>
      <w:r w:rsidRPr="007A1C5E">
        <w:rPr>
          <w:rFonts w:ascii="Arial" w:eastAsia="Times New Roman" w:hAnsi="Arial" w:cs="Arial"/>
          <w:color w:val="000000"/>
          <w:lang w:eastAsia="en-IN"/>
        </w:rPr>
        <w:t>rhood over the decision</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Parker</w:t>
      </w:r>
      <w:r w:rsidRPr="0095746B">
        <w:rPr>
          <w:rFonts w:ascii="Arial" w:eastAsia="Times New Roman" w:hAnsi="Arial" w:cs="Arial"/>
          <w:color w:val="000000"/>
          <w:lang w:eastAsia="en-IN"/>
        </w:rPr>
        <w:t xml:space="preserve"> et al., 2019)</w:t>
      </w:r>
      <w:r w:rsidRPr="007A1C5E">
        <w:rPr>
          <w:rFonts w:ascii="Arial" w:eastAsia="Times New Roman" w:hAnsi="Arial" w:cs="Arial"/>
          <w:color w:val="000000"/>
          <w:lang w:eastAsia="en-IN"/>
        </w:rPr>
        <w:t>. With the rise in global public engagement, the significance of community engagement has become the central part of the well-functioning democracy of the twenty-first century. The importance of community engagement are as follows:</w:t>
      </w:r>
    </w:p>
    <w:p w14:paraId="683FB8B7"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Community engagement sustains as well as builds cohesive communities</w:t>
      </w:r>
      <w:r w:rsidRPr="007A1C5E">
        <w:rPr>
          <w:rFonts w:ascii="Arial" w:eastAsia="Times New Roman" w:hAnsi="Arial" w:cs="Arial"/>
          <w:color w:val="000000"/>
          <w:lang w:eastAsia="en-IN"/>
        </w:rPr>
        <w:t>- The importance of community engagement is based on the organizations and the communities to therefore make decisions to create the capital social.</w:t>
      </w:r>
    </w:p>
    <w:p w14:paraId="6F9E30C0" w14:textId="2E3FD499"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Community engagement leads with the improved outcomes</w:t>
      </w:r>
      <w:r w:rsidRPr="007A1C5E">
        <w:rPr>
          <w:rFonts w:ascii="Arial" w:eastAsia="Times New Roman" w:hAnsi="Arial" w:cs="Arial"/>
          <w:color w:val="000000"/>
          <w:lang w:eastAsia="en-IN"/>
        </w:rPr>
        <w:t>- Leading with the improved outcomes the community engagement is important as it leads the public decision making and the government organizations to seek to put the concerns, aspirations, and values of the communities who in return share their values, concern, and aspirations with the governing entities</w:t>
      </w:r>
      <w:r w:rsidR="0095746B" w:rsidRPr="0095746B">
        <w:rPr>
          <w:rFonts w:ascii="Arial" w:eastAsia="Times New Roman" w:hAnsi="Arial" w:cs="Arial"/>
          <w:color w:val="000000"/>
          <w:lang w:eastAsia="en-IN"/>
        </w:rPr>
        <w:t xml:space="preserve"> (</w:t>
      </w:r>
      <w:r w:rsidR="0095746B" w:rsidRPr="007A1C5E">
        <w:rPr>
          <w:rFonts w:ascii="Arial" w:eastAsia="Times New Roman" w:hAnsi="Arial" w:cs="Arial"/>
          <w:color w:val="000000"/>
          <w:lang w:eastAsia="en-IN"/>
        </w:rPr>
        <w:t>Parker</w:t>
      </w:r>
      <w:r w:rsidR="0095746B" w:rsidRPr="0095746B">
        <w:rPr>
          <w:rFonts w:ascii="Arial" w:eastAsia="Times New Roman" w:hAnsi="Arial" w:cs="Arial"/>
          <w:color w:val="000000"/>
          <w:lang w:eastAsia="en-IN"/>
        </w:rPr>
        <w:t xml:space="preserve"> et al., 2019)</w:t>
      </w:r>
      <w:r w:rsidRPr="007A1C5E">
        <w:rPr>
          <w:rFonts w:ascii="Arial" w:eastAsia="Times New Roman" w:hAnsi="Arial" w:cs="Arial"/>
          <w:color w:val="000000"/>
          <w:lang w:eastAsia="en-IN"/>
        </w:rPr>
        <w:t>. The decision-making process is incorporated with the public decision-makers are thus better to meet the needs of the communities.</w:t>
      </w:r>
    </w:p>
    <w:p w14:paraId="22C121A6" w14:textId="09953BB0"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It ensures community engagement and access</w:t>
      </w:r>
      <w:r w:rsidRPr="007A1C5E">
        <w:rPr>
          <w:rFonts w:ascii="Arial" w:eastAsia="Times New Roman" w:hAnsi="Arial" w:cs="Arial"/>
          <w:color w:val="000000"/>
          <w:lang w:eastAsia="en-IN"/>
        </w:rPr>
        <w:t>- Community engagement is important in empowering the community and therefore accessing it. With the values of access and inclusivity, the members of the community are educated on issues and informed</w:t>
      </w:r>
      <w:r w:rsidR="0095746B" w:rsidRPr="0095746B">
        <w:rPr>
          <w:rFonts w:ascii="Arial" w:eastAsia="Times New Roman" w:hAnsi="Arial" w:cs="Arial"/>
          <w:color w:val="000000"/>
          <w:lang w:eastAsia="en-IN"/>
        </w:rPr>
        <w:t xml:space="preserve"> (</w:t>
      </w:r>
      <w:r w:rsidR="0095746B" w:rsidRPr="007A1C5E">
        <w:rPr>
          <w:rFonts w:ascii="Arial" w:eastAsia="Times New Roman" w:hAnsi="Arial" w:cs="Arial"/>
          <w:color w:val="000000"/>
          <w:lang w:eastAsia="en-IN"/>
        </w:rPr>
        <w:t xml:space="preserve">Kumar and </w:t>
      </w:r>
      <w:r w:rsidR="0095746B" w:rsidRPr="007A1C5E">
        <w:rPr>
          <w:rFonts w:ascii="Arial" w:eastAsia="Times New Roman" w:hAnsi="Arial" w:cs="Arial"/>
          <w:color w:val="000000"/>
          <w:lang w:eastAsia="en-IN"/>
        </w:rPr>
        <w:lastRenderedPageBreak/>
        <w:t>Kumar, 2020</w:t>
      </w:r>
      <w:r w:rsidR="0095746B" w:rsidRPr="0095746B">
        <w:rPr>
          <w:rFonts w:ascii="Arial" w:eastAsia="Times New Roman" w:hAnsi="Arial" w:cs="Arial"/>
          <w:color w:val="000000"/>
          <w:lang w:eastAsia="en-IN"/>
        </w:rPr>
        <w:t>)</w:t>
      </w:r>
      <w:r w:rsidRPr="007A1C5E">
        <w:rPr>
          <w:rFonts w:ascii="Arial" w:eastAsia="Times New Roman" w:hAnsi="Arial" w:cs="Arial"/>
          <w:color w:val="000000"/>
          <w:lang w:eastAsia="en-IN"/>
        </w:rPr>
        <w:t>. Apart from these, the locals can contribute towards the engagement and therefore have the capabilities to shape those activities. On the other hand, the building of engagement ideas and participation involves the wellbeing of the people in all the aspects of one’s life.</w:t>
      </w:r>
    </w:p>
    <w:p w14:paraId="6634A65C"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Community engagement helps to promote the local government's sustainable decisions</w:t>
      </w:r>
      <w:r w:rsidRPr="007A1C5E">
        <w:rPr>
          <w:rFonts w:ascii="Arial" w:eastAsia="Times New Roman" w:hAnsi="Arial" w:cs="Arial"/>
          <w:color w:val="000000"/>
          <w:lang w:eastAsia="en-IN"/>
        </w:rPr>
        <w:t>- Community engagement improves the efficiency of the government along with transparency and legitimacy of their decisions making. By encouraging participation and the embarrassment, therefore, enables the makers of the policy to make more informed decisions by gently mapping the needs out, and the local vision of the communities on an issue that matters to them. Community engagement also promotes sustainability decisions by communicating and also recognizing the needs along with the interest of all participants and persons. </w:t>
      </w:r>
    </w:p>
    <w:p w14:paraId="0CDEF516"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Community engagement operates the social transformation</w:t>
      </w:r>
      <w:r w:rsidRPr="007A1C5E">
        <w:rPr>
          <w:rFonts w:ascii="Arial" w:eastAsia="Times New Roman" w:hAnsi="Arial" w:cs="Arial"/>
          <w:color w:val="000000"/>
          <w:lang w:eastAsia="en-IN"/>
        </w:rPr>
        <w:t>- The community engagement importance is that it drives social transformation. Community engagement promotes advocacy that raises awareness. </w:t>
      </w:r>
    </w:p>
    <w:p w14:paraId="606D026A" w14:textId="77777777" w:rsidR="007A1C5E" w:rsidRPr="007A1C5E" w:rsidRDefault="007A1C5E" w:rsidP="007A1C5E">
      <w:pPr>
        <w:spacing w:after="0" w:line="360" w:lineRule="auto"/>
        <w:jc w:val="both"/>
        <w:rPr>
          <w:rFonts w:ascii="Arial" w:eastAsia="Times New Roman" w:hAnsi="Arial" w:cs="Arial"/>
          <w:lang w:eastAsia="en-IN"/>
        </w:rPr>
      </w:pPr>
    </w:p>
    <w:p w14:paraId="510289E7"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Importance of transferable skills in community engagement</w:t>
      </w:r>
      <w:r w:rsidRPr="007A1C5E">
        <w:rPr>
          <w:rFonts w:ascii="Arial" w:eastAsia="Times New Roman" w:hAnsi="Arial" w:cs="Arial"/>
          <w:color w:val="000000"/>
          <w:lang w:eastAsia="en-IN"/>
        </w:rPr>
        <w:t>.</w:t>
      </w:r>
    </w:p>
    <w:p w14:paraId="6971443F" w14:textId="73A8525A"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The importance of transferable skills in community engagement is very much needed as it is a universal essential skill. The transferable skill in community engagement provides success and also success to the teams, organizations, and customers. The transferable skill allows them to take over the control of the engagement of the community</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Anderson</w:t>
      </w:r>
      <w:r w:rsidRPr="0095746B">
        <w:rPr>
          <w:rFonts w:ascii="Arial" w:eastAsia="Times New Roman" w:hAnsi="Arial" w:cs="Arial"/>
          <w:color w:val="000000"/>
          <w:lang w:eastAsia="en-IN"/>
        </w:rPr>
        <w:t xml:space="preserve"> et al., 2018)</w:t>
      </w:r>
      <w:r w:rsidRPr="007A1C5E">
        <w:rPr>
          <w:rFonts w:ascii="Arial" w:eastAsia="Times New Roman" w:hAnsi="Arial" w:cs="Arial"/>
          <w:color w:val="000000"/>
          <w:lang w:eastAsia="en-IN"/>
        </w:rPr>
        <w:t>. The transferable skills are never of the style and therefore the transferable skills follow the success professionally in the community engagement. the importance of the transferable skill in the engagement of the community is that it is developed by taking the training on the business programs which is therefore related to the skills specifically and also thus taping into the coach professionally</w:t>
      </w:r>
      <w:r w:rsidR="0095746B" w:rsidRPr="0095746B">
        <w:rPr>
          <w:rFonts w:ascii="Arial" w:eastAsia="Times New Roman" w:hAnsi="Arial" w:cs="Arial"/>
          <w:color w:val="000000"/>
          <w:lang w:eastAsia="en-IN"/>
        </w:rPr>
        <w:t xml:space="preserve"> (</w:t>
      </w:r>
      <w:r w:rsidR="0095746B" w:rsidRPr="007A1C5E">
        <w:rPr>
          <w:rFonts w:ascii="Arial" w:eastAsia="Times New Roman" w:hAnsi="Arial" w:cs="Arial"/>
          <w:color w:val="000000"/>
          <w:lang w:eastAsia="en-IN"/>
        </w:rPr>
        <w:t>Anderson</w:t>
      </w:r>
      <w:r w:rsidR="0095746B" w:rsidRPr="0095746B">
        <w:rPr>
          <w:rFonts w:ascii="Arial" w:eastAsia="Times New Roman" w:hAnsi="Arial" w:cs="Arial"/>
          <w:color w:val="000000"/>
          <w:lang w:eastAsia="en-IN"/>
        </w:rPr>
        <w:t xml:space="preserve"> et al., 2018)</w:t>
      </w:r>
      <w:r w:rsidRPr="007A1C5E">
        <w:rPr>
          <w:rFonts w:ascii="Arial" w:eastAsia="Times New Roman" w:hAnsi="Arial" w:cs="Arial"/>
          <w:color w:val="000000"/>
          <w:lang w:eastAsia="en-IN"/>
        </w:rPr>
        <w:t>. The importance of the transferable skills is that this is the core skills which value a wide range of situations, jobs and success apart from all these the transferable skills is important because it develops the skills through the career life and mainly in the engagement of the community to builds the communication in it. </w:t>
      </w:r>
    </w:p>
    <w:p w14:paraId="39542337" w14:textId="46704D8B"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The transferable skills in community engagement are the way that helps and thus shows the way through which the job can be done. Apart from these, if the person is not comfortable with the job, with the help of the transferable skills the job becomes the perfect match for the person</w:t>
      </w:r>
      <w:r w:rsidR="0095746B" w:rsidRPr="0095746B">
        <w:rPr>
          <w:rFonts w:ascii="Arial" w:eastAsia="Times New Roman" w:hAnsi="Arial" w:cs="Arial"/>
          <w:color w:val="000000"/>
          <w:lang w:eastAsia="en-IN"/>
        </w:rPr>
        <w:t xml:space="preserve"> </w:t>
      </w:r>
      <w:r w:rsidR="0095746B" w:rsidRPr="0095746B">
        <w:rPr>
          <w:rFonts w:ascii="Arial" w:hAnsi="Arial" w:cs="Arial"/>
          <w:color w:val="000000"/>
          <w:shd w:val="clear" w:color="auto" w:fill="FFFFFF"/>
        </w:rPr>
        <w:t>(Transferable skill, 2021)</w:t>
      </w:r>
      <w:r w:rsidRPr="007A1C5E">
        <w:rPr>
          <w:rFonts w:ascii="Arial" w:eastAsia="Times New Roman" w:hAnsi="Arial" w:cs="Arial"/>
          <w:color w:val="000000"/>
          <w:lang w:eastAsia="en-IN"/>
        </w:rPr>
        <w:t xml:space="preserve">. The transferable skills are used for each profession. The transferable skills are the inspiration for every profession for success in their career life and also in the engagement of the people in groups. The transferable skill is significant because it can be identified simply and provide samples of the transferable skill that has been developed by the group of people and the individual. It is useful because during the jobs and industries </w:t>
      </w:r>
      <w:r w:rsidRPr="007A1C5E">
        <w:rPr>
          <w:rFonts w:ascii="Arial" w:eastAsia="Times New Roman" w:hAnsi="Arial" w:cs="Arial"/>
          <w:color w:val="000000"/>
          <w:lang w:eastAsia="en-IN"/>
        </w:rPr>
        <w:lastRenderedPageBreak/>
        <w:t>sorting these are proficiencies</w:t>
      </w:r>
      <w:r w:rsidR="0095746B">
        <w:rPr>
          <w:rFonts w:ascii="Arial" w:eastAsia="Times New Roman" w:hAnsi="Arial" w:cs="Arial"/>
          <w:color w:val="000000"/>
          <w:lang w:eastAsia="en-IN"/>
        </w:rPr>
        <w:t xml:space="preserve"> </w:t>
      </w:r>
      <w:r w:rsidR="0095746B" w:rsidRPr="0095746B">
        <w:rPr>
          <w:rFonts w:ascii="Arial" w:hAnsi="Arial" w:cs="Arial"/>
          <w:color w:val="000000"/>
          <w:shd w:val="clear" w:color="auto" w:fill="FFFFFF"/>
        </w:rPr>
        <w:t>(Transferable skill, 2021)</w:t>
      </w:r>
      <w:r w:rsidRPr="007A1C5E">
        <w:rPr>
          <w:rFonts w:ascii="Arial" w:eastAsia="Times New Roman" w:hAnsi="Arial" w:cs="Arial"/>
          <w:color w:val="000000"/>
          <w:lang w:eastAsia="en-IN"/>
        </w:rPr>
        <w:t>. The three importance of the transferable skills in community engagement are as follows-</w:t>
      </w:r>
    </w:p>
    <w:p w14:paraId="6BD7D842"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Employees transferable skills which add diversity</w:t>
      </w:r>
      <w:r w:rsidRPr="007A1C5E">
        <w:rPr>
          <w:rFonts w:ascii="Arial" w:eastAsia="Times New Roman" w:hAnsi="Arial" w:cs="Arial"/>
          <w:color w:val="000000"/>
          <w:lang w:eastAsia="en-IN"/>
        </w:rPr>
        <w:t>- The term diversity refers to understanding the innovation to enhance and boost productivity. In much research, it is found that diverse companies are more ready for change.</w:t>
      </w:r>
    </w:p>
    <w:p w14:paraId="52904FAA"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The teams will become better problem solvers</w:t>
      </w:r>
      <w:r w:rsidRPr="007A1C5E">
        <w:rPr>
          <w:rFonts w:ascii="Arial" w:eastAsia="Times New Roman" w:hAnsi="Arial" w:cs="Arial"/>
          <w:color w:val="000000"/>
          <w:lang w:eastAsia="en-IN"/>
        </w:rPr>
        <w:t>- With the transferable skill, the groups and the teams in the community engagement become ready for solving any problem. The people and groups of different types and backgrounds will experience unique points of view when it is involved in solving the problem.</w:t>
      </w:r>
    </w:p>
    <w:p w14:paraId="054D17FC"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Earning and doing better jobs and the employees will stay in their jobs</w:t>
      </w:r>
      <w:r w:rsidRPr="007A1C5E">
        <w:rPr>
          <w:rFonts w:ascii="Arial" w:eastAsia="Times New Roman" w:hAnsi="Arial" w:cs="Arial"/>
          <w:color w:val="000000"/>
          <w:lang w:eastAsia="en-IN"/>
        </w:rPr>
        <w:t>- The transferable skills are important in the engagement of the community because it helps the teams, groups, and employees in the organization to stick with their jobs and get more motivation and engagement to it.</w:t>
      </w:r>
    </w:p>
    <w:p w14:paraId="799DCF3F" w14:textId="5F19DCA3"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Identify</w:t>
      </w:r>
      <w:r w:rsidRPr="0095746B">
        <w:rPr>
          <w:rFonts w:ascii="Arial" w:eastAsia="Times New Roman" w:hAnsi="Arial" w:cs="Arial"/>
          <w:b/>
          <w:bCs/>
          <w:color w:val="000000"/>
          <w:lang w:eastAsia="en-IN"/>
        </w:rPr>
        <w:t>ing</w:t>
      </w:r>
      <w:r w:rsidRPr="007A1C5E">
        <w:rPr>
          <w:rFonts w:ascii="Arial" w:eastAsia="Times New Roman" w:hAnsi="Arial" w:cs="Arial"/>
          <w:b/>
          <w:bCs/>
          <w:color w:val="000000"/>
          <w:lang w:eastAsia="en-IN"/>
        </w:rPr>
        <w:t xml:space="preserve"> and discuss</w:t>
      </w:r>
      <w:r w:rsidRPr="0095746B">
        <w:rPr>
          <w:rFonts w:ascii="Arial" w:eastAsia="Times New Roman" w:hAnsi="Arial" w:cs="Arial"/>
          <w:b/>
          <w:bCs/>
          <w:color w:val="000000"/>
          <w:lang w:eastAsia="en-IN"/>
        </w:rPr>
        <w:t>ing</w:t>
      </w:r>
      <w:r w:rsidRPr="007A1C5E">
        <w:rPr>
          <w:rFonts w:ascii="Arial" w:eastAsia="Times New Roman" w:hAnsi="Arial" w:cs="Arial"/>
          <w:b/>
          <w:bCs/>
          <w:color w:val="000000"/>
          <w:lang w:eastAsia="en-IN"/>
        </w:rPr>
        <w:t xml:space="preserve"> some transferable skills that are evident in the case</w:t>
      </w:r>
      <w:r w:rsidRPr="007A1C5E">
        <w:rPr>
          <w:rFonts w:ascii="Arial" w:eastAsia="Times New Roman" w:hAnsi="Arial" w:cs="Arial"/>
          <w:color w:val="000000"/>
          <w:lang w:eastAsia="en-IN"/>
        </w:rPr>
        <w:t>.</w:t>
      </w:r>
    </w:p>
    <w:p w14:paraId="3624A6A3"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The transferable skill which is evident in the case study of Mr. Tony Clark following the organizer of the community firefighting are as follows:</w:t>
      </w:r>
    </w:p>
    <w:p w14:paraId="371993B5" w14:textId="01BC3FFF"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Problem-solving</w:t>
      </w:r>
      <w:r w:rsidRPr="007A1C5E">
        <w:rPr>
          <w:rFonts w:ascii="Arial" w:eastAsia="Times New Roman" w:hAnsi="Arial" w:cs="Arial"/>
          <w:color w:val="000000"/>
          <w:lang w:eastAsia="en-IN"/>
        </w:rPr>
        <w:t>- The problem-solving in this scenario is important and evident because the main work of Tony Clark was to solve the problems of the people in touch with the firefighters and the fire stopper</w:t>
      </w:r>
      <w:r w:rsidR="0095746B" w:rsidRPr="0095746B">
        <w:rPr>
          <w:rFonts w:ascii="Arial" w:eastAsia="Times New Roman" w:hAnsi="Arial" w:cs="Arial"/>
          <w:color w:val="000000"/>
          <w:lang w:eastAsia="en-IN"/>
        </w:rPr>
        <w:t xml:space="preserve"> </w:t>
      </w:r>
      <w:r w:rsidR="0095746B" w:rsidRPr="0095746B">
        <w:rPr>
          <w:rFonts w:ascii="Arial" w:hAnsi="Arial" w:cs="Arial"/>
          <w:color w:val="000000"/>
          <w:shd w:val="clear" w:color="auto" w:fill="FFFFFF"/>
        </w:rPr>
        <w:t>(FlexJobs, 2021)</w:t>
      </w:r>
      <w:r w:rsidRPr="007A1C5E">
        <w:rPr>
          <w:rFonts w:ascii="Arial" w:eastAsia="Times New Roman" w:hAnsi="Arial" w:cs="Arial"/>
          <w:color w:val="000000"/>
          <w:lang w:eastAsia="en-IN"/>
        </w:rPr>
        <w:t>. Problem-solving helps Mr. Tony Clark to know the problem and also identify the problem.</w:t>
      </w:r>
    </w:p>
    <w:p w14:paraId="6B444E15"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Critical thinking</w:t>
      </w:r>
      <w:r w:rsidRPr="007A1C5E">
        <w:rPr>
          <w:rFonts w:ascii="Arial" w:eastAsia="Times New Roman" w:hAnsi="Arial" w:cs="Arial"/>
          <w:color w:val="000000"/>
          <w:lang w:eastAsia="en-IN"/>
        </w:rPr>
        <w:t>- Critical thinking is the interpretation and evaluation of information to make a judgment. Mr. Tony Clark critically thinks to organize the community firefighter scheme and help the common people in East Yorkshire.</w:t>
      </w:r>
    </w:p>
    <w:p w14:paraId="367478D6"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Leadership</w:t>
      </w:r>
      <w:r w:rsidRPr="007A1C5E">
        <w:rPr>
          <w:rFonts w:ascii="Arial" w:eastAsia="Times New Roman" w:hAnsi="Arial" w:cs="Arial"/>
          <w:color w:val="000000"/>
          <w:lang w:eastAsia="en-IN"/>
        </w:rPr>
        <w:t>- The transferable skill that is leadership is not always leading the team and guiding the community engagement. Leadership is taking a lead in the project. Mr. Tony Clark leads the scheme in organizing the community firefighting. </w:t>
      </w:r>
    </w:p>
    <w:p w14:paraId="2D4C714D"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Analytical Reasoning</w:t>
      </w:r>
      <w:r w:rsidRPr="007A1C5E">
        <w:rPr>
          <w:rFonts w:ascii="Arial" w:eastAsia="Times New Roman" w:hAnsi="Arial" w:cs="Arial"/>
          <w:color w:val="000000"/>
          <w:lang w:eastAsia="en-IN"/>
        </w:rPr>
        <w:t>- Analytical skills are quite similar to problem-solving skills. Analytical skills break the larger problem into smaller ones and solve the problems accordingly. Mr. Tony Clark also does the same.</w:t>
      </w:r>
    </w:p>
    <w:p w14:paraId="68A35C5B" w14:textId="2D2AF063"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Teamwork</w:t>
      </w:r>
      <w:r w:rsidRPr="007A1C5E">
        <w:rPr>
          <w:rFonts w:ascii="Arial" w:eastAsia="Times New Roman" w:hAnsi="Arial" w:cs="Arial"/>
          <w:color w:val="000000"/>
          <w:lang w:eastAsia="en-IN"/>
        </w:rPr>
        <w:t>- Teamwork is another transferable skill that helps Mr. Tony Clark to organize the community firefighting scheme</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Wilson</w:t>
      </w:r>
      <w:r w:rsidRPr="0095746B">
        <w:rPr>
          <w:rFonts w:ascii="Arial" w:eastAsia="Times New Roman" w:hAnsi="Arial" w:cs="Arial"/>
          <w:color w:val="000000"/>
          <w:lang w:eastAsia="en-IN"/>
        </w:rPr>
        <w:t xml:space="preserve"> et al., 2018)</w:t>
      </w:r>
      <w:r w:rsidRPr="007A1C5E">
        <w:rPr>
          <w:rFonts w:ascii="Arial" w:eastAsia="Times New Roman" w:hAnsi="Arial" w:cs="Arial"/>
          <w:color w:val="000000"/>
          <w:lang w:eastAsia="en-IN"/>
        </w:rPr>
        <w:t>. Teamwork refers to working together in groups to achieve the common end goals. The team of volunteers supports the local fire station during evenings and weekends and has attended 1,037 medical calls and 1,791 fire calls</w:t>
      </w:r>
    </w:p>
    <w:p w14:paraId="5E1AF08A"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Adaptability</w:t>
      </w:r>
      <w:r w:rsidRPr="007A1C5E">
        <w:rPr>
          <w:rFonts w:ascii="Arial" w:eastAsia="Times New Roman" w:hAnsi="Arial" w:cs="Arial"/>
          <w:color w:val="000000"/>
          <w:lang w:eastAsia="en-IN"/>
        </w:rPr>
        <w:t>-Mr. Tony Clark adapts and discovers and also adjusts the workflow, due dates to approach the jobs. He also demonstrates the change in shows which go with the flow.</w:t>
      </w:r>
    </w:p>
    <w:p w14:paraId="4A8AC409"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lastRenderedPageBreak/>
        <w:t>Writing</w:t>
      </w:r>
      <w:r w:rsidRPr="007A1C5E">
        <w:rPr>
          <w:rFonts w:ascii="Arial" w:eastAsia="Times New Roman" w:hAnsi="Arial" w:cs="Arial"/>
          <w:color w:val="000000"/>
          <w:lang w:eastAsia="en-IN"/>
        </w:rPr>
        <w:t>- Writing is also a transferable skill that helps Mr. Tony Clark to organize the community firefighting scheme in East Yorkshire. Writing skills is therefore regarded as the most important transferable skill in the engagement of the community.</w:t>
      </w:r>
    </w:p>
    <w:p w14:paraId="488F684F" w14:textId="115A9F21"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Communication</w:t>
      </w:r>
      <w:r w:rsidRPr="007A1C5E">
        <w:rPr>
          <w:rFonts w:ascii="Arial" w:eastAsia="Times New Roman" w:hAnsi="Arial" w:cs="Arial"/>
          <w:color w:val="000000"/>
          <w:lang w:eastAsia="en-IN"/>
        </w:rPr>
        <w:t>-The communication is also another transferable skill in community engagement</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Lenard</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and Pintarić,</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2018</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Mr. Tony Clark uses these skills in the community firefighting scheme to handle the fluctuations in the field and also to have good communication among the workers and the employees.</w:t>
      </w:r>
    </w:p>
    <w:p w14:paraId="40A16CC6" w14:textId="0C6E2166"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Creativity</w:t>
      </w:r>
      <w:r w:rsidRPr="007A1C5E">
        <w:rPr>
          <w:rFonts w:ascii="Arial" w:eastAsia="Times New Roman" w:hAnsi="Arial" w:cs="Arial"/>
          <w:color w:val="000000"/>
          <w:lang w:eastAsia="en-IN"/>
        </w:rPr>
        <w:t>- Creativity is also a transferable skill which is very much evident in this case study</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Smith</w:t>
      </w:r>
      <w:r w:rsidRPr="0095746B">
        <w:rPr>
          <w:rFonts w:ascii="Arial" w:eastAsia="Times New Roman" w:hAnsi="Arial" w:cs="Arial"/>
          <w:color w:val="000000"/>
          <w:lang w:eastAsia="en-IN"/>
        </w:rPr>
        <w:t xml:space="preserve"> </w:t>
      </w:r>
      <w:r w:rsidRPr="007A1C5E">
        <w:rPr>
          <w:rFonts w:ascii="Arial" w:eastAsia="Times New Roman" w:hAnsi="Arial" w:cs="Arial"/>
          <w:color w:val="000000"/>
          <w:lang w:eastAsia="en-IN"/>
        </w:rPr>
        <w:t>and Reid, 2018</w:t>
      </w:r>
      <w:r w:rsidRPr="0095746B">
        <w:rPr>
          <w:rFonts w:ascii="Arial" w:eastAsia="Times New Roman" w:hAnsi="Arial" w:cs="Arial"/>
          <w:color w:val="000000"/>
          <w:lang w:eastAsia="en-IN"/>
        </w:rPr>
        <w:t>)</w:t>
      </w:r>
      <w:r w:rsidRPr="007A1C5E">
        <w:rPr>
          <w:rFonts w:ascii="Arial" w:eastAsia="Times New Roman" w:hAnsi="Arial" w:cs="Arial"/>
          <w:color w:val="000000"/>
          <w:lang w:eastAsia="en-IN"/>
        </w:rPr>
        <w:t>. Mr. Tony Clark uses his creativity to scheme out the community firefighter among the people in East Yorkshire.</w:t>
      </w:r>
    </w:p>
    <w:p w14:paraId="0BD6CC1D"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Listening</w:t>
      </w:r>
      <w:r w:rsidRPr="007A1C5E">
        <w:rPr>
          <w:rFonts w:ascii="Arial" w:eastAsia="Times New Roman" w:hAnsi="Arial" w:cs="Arial"/>
          <w:color w:val="000000"/>
          <w:lang w:eastAsia="en-IN"/>
        </w:rPr>
        <w:t>- One of the transferable skills is listening. Listening is very much evident in the case scenario because Mr. Tony Clark is very much attentive towards the people of East Yorkshire to help them and keep them safe by organizing the community firefighting scheme.</w:t>
      </w:r>
    </w:p>
    <w:p w14:paraId="4A612264" w14:textId="1E7A7393"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Project Management</w:t>
      </w:r>
      <w:r w:rsidRPr="007A1C5E">
        <w:rPr>
          <w:rFonts w:ascii="Arial" w:eastAsia="Times New Roman" w:hAnsi="Arial" w:cs="Arial"/>
          <w:color w:val="000000"/>
          <w:lang w:eastAsia="en-IN"/>
        </w:rPr>
        <w:t>- Project management is also another transferable skill in this case study of Mr. Clark</w:t>
      </w:r>
      <w:r w:rsidR="0095746B" w:rsidRPr="0095746B">
        <w:rPr>
          <w:rFonts w:ascii="Arial" w:eastAsia="Times New Roman" w:hAnsi="Arial" w:cs="Arial"/>
          <w:color w:val="000000"/>
          <w:lang w:eastAsia="en-IN"/>
        </w:rPr>
        <w:t xml:space="preserve"> (</w:t>
      </w:r>
      <w:r w:rsidR="0095746B" w:rsidRPr="007A1C5E">
        <w:rPr>
          <w:rFonts w:ascii="Arial" w:eastAsia="Times New Roman" w:hAnsi="Arial" w:cs="Arial"/>
          <w:color w:val="000000"/>
          <w:lang w:eastAsia="en-IN"/>
        </w:rPr>
        <w:t>Jena</w:t>
      </w:r>
      <w:r w:rsidR="0095746B" w:rsidRPr="0095746B">
        <w:rPr>
          <w:rFonts w:ascii="Arial" w:eastAsia="Times New Roman" w:hAnsi="Arial" w:cs="Arial"/>
          <w:color w:val="000000"/>
          <w:lang w:eastAsia="en-IN"/>
        </w:rPr>
        <w:t xml:space="preserve"> </w:t>
      </w:r>
      <w:r w:rsidR="0095746B" w:rsidRPr="007A1C5E">
        <w:rPr>
          <w:rFonts w:ascii="Arial" w:eastAsia="Times New Roman" w:hAnsi="Arial" w:cs="Arial"/>
          <w:color w:val="000000"/>
          <w:lang w:eastAsia="en-IN"/>
        </w:rPr>
        <w:t>and Satpathy, 2017</w:t>
      </w:r>
      <w:r w:rsidR="0095746B" w:rsidRPr="0095746B">
        <w:rPr>
          <w:rFonts w:ascii="Arial" w:eastAsia="Times New Roman" w:hAnsi="Arial" w:cs="Arial"/>
          <w:color w:val="000000"/>
          <w:lang w:eastAsia="en-IN"/>
        </w:rPr>
        <w:t>)</w:t>
      </w:r>
      <w:r w:rsidRPr="0095746B">
        <w:rPr>
          <w:rFonts w:ascii="Arial" w:eastAsia="Times New Roman" w:hAnsi="Arial" w:cs="Arial"/>
          <w:color w:val="000000"/>
          <w:lang w:eastAsia="en-IN"/>
        </w:rPr>
        <w:t>.</w:t>
      </w:r>
      <w:r w:rsidR="00AF66D4">
        <w:rPr>
          <w:rFonts w:ascii="Arial" w:eastAsia="Times New Roman" w:hAnsi="Arial" w:cs="Arial"/>
          <w:color w:val="000000"/>
          <w:lang w:eastAsia="en-IN"/>
        </w:rPr>
        <w:t xml:space="preserve"> </w:t>
      </w:r>
      <w:r w:rsidRPr="007A1C5E">
        <w:rPr>
          <w:rFonts w:ascii="Arial" w:eastAsia="Times New Roman" w:hAnsi="Arial" w:cs="Arial"/>
          <w:color w:val="000000"/>
          <w:lang w:eastAsia="en-IN"/>
        </w:rPr>
        <w:t>It helps him to manage the task from the start to finish and also makes sure that everything is on time with the proper planning.</w:t>
      </w:r>
    </w:p>
    <w:p w14:paraId="0B713677"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Attention to detail</w:t>
      </w:r>
      <w:r w:rsidRPr="007A1C5E">
        <w:rPr>
          <w:rFonts w:ascii="Arial" w:eastAsia="Times New Roman" w:hAnsi="Arial" w:cs="Arial"/>
          <w:color w:val="000000"/>
          <w:lang w:eastAsia="en-IN"/>
        </w:rPr>
        <w:t>- Mr. Tony Clark pays attention with full detail so that no such people should be there who are facing problems regarding this scheme.</w:t>
      </w:r>
    </w:p>
    <w:p w14:paraId="1143286F"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Computer skills</w:t>
      </w:r>
      <w:r w:rsidRPr="007A1C5E">
        <w:rPr>
          <w:rFonts w:ascii="Arial" w:eastAsia="Times New Roman" w:hAnsi="Arial" w:cs="Arial"/>
          <w:color w:val="000000"/>
          <w:lang w:eastAsia="en-IN"/>
        </w:rPr>
        <w:t>- The computer skills is an important transferable skill, in this case, study as because with the help of this computer skill Mr. Tony Clark can have a great idea to know the ways around many programs of software.</w:t>
      </w:r>
    </w:p>
    <w:p w14:paraId="5872DC73"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Management</w:t>
      </w:r>
      <w:r w:rsidRPr="007A1C5E">
        <w:rPr>
          <w:rFonts w:ascii="Arial" w:eastAsia="Times New Roman" w:hAnsi="Arial" w:cs="Arial"/>
          <w:color w:val="000000"/>
          <w:lang w:eastAsia="en-IN"/>
        </w:rPr>
        <w:t>- Management is a transferable skill assigned the tasks in the workplace and Mr. Tony Clark assigned the task to the employees and held the management properly in the community of the firefighting scheme.</w:t>
      </w:r>
    </w:p>
    <w:p w14:paraId="49801579"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b/>
          <w:bCs/>
          <w:color w:val="000000"/>
          <w:lang w:eastAsia="en-IN"/>
        </w:rPr>
        <w:t>Relationship Building</w:t>
      </w:r>
      <w:r w:rsidRPr="007A1C5E">
        <w:rPr>
          <w:rFonts w:ascii="Arial" w:eastAsia="Times New Roman" w:hAnsi="Arial" w:cs="Arial"/>
          <w:color w:val="000000"/>
          <w:lang w:eastAsia="en-IN"/>
        </w:rPr>
        <w:t>- Relationship building is very much evident in this case study as Mr. Tony Clark builds a strong relationship among the employees as it is the main key to build the block of the community engagement and the organizations.</w:t>
      </w:r>
    </w:p>
    <w:p w14:paraId="51C499CC" w14:textId="77777777" w:rsidR="007A1C5E" w:rsidRPr="007A1C5E" w:rsidRDefault="007A1C5E" w:rsidP="007A1C5E">
      <w:pPr>
        <w:spacing w:after="0" w:line="360" w:lineRule="auto"/>
        <w:jc w:val="both"/>
        <w:rPr>
          <w:rFonts w:ascii="Arial" w:eastAsia="Times New Roman" w:hAnsi="Arial" w:cs="Arial"/>
          <w:b/>
          <w:bCs/>
          <w:lang w:eastAsia="en-IN"/>
        </w:rPr>
      </w:pPr>
      <w:r w:rsidRPr="007A1C5E">
        <w:rPr>
          <w:rFonts w:ascii="Arial" w:eastAsia="Times New Roman" w:hAnsi="Arial" w:cs="Arial"/>
          <w:b/>
          <w:bCs/>
          <w:color w:val="000000"/>
          <w:lang w:eastAsia="en-IN"/>
        </w:rPr>
        <w:t>Mr. Clark's employers take the community engagement to the next level by some of the important points. </w:t>
      </w:r>
    </w:p>
    <w:p w14:paraId="7E4D14F3" w14:textId="5AB08E04"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Mr. Tony Clark employees take community engagement to the next level</w:t>
      </w:r>
      <w:r w:rsidR="0095746B" w:rsidRPr="0095746B">
        <w:rPr>
          <w:rFonts w:ascii="Arial" w:eastAsia="Times New Roman" w:hAnsi="Arial" w:cs="Arial"/>
          <w:color w:val="000000"/>
          <w:lang w:eastAsia="en-IN"/>
        </w:rPr>
        <w:t xml:space="preserve"> </w:t>
      </w:r>
      <w:r w:rsidR="0095746B" w:rsidRPr="0095746B">
        <w:rPr>
          <w:rFonts w:ascii="Arial" w:hAnsi="Arial" w:cs="Arial"/>
          <w:color w:val="000000"/>
          <w:shd w:val="clear" w:color="auto" w:fill="FFFFFF"/>
        </w:rPr>
        <w:t>(Community engagement, 2021)</w:t>
      </w:r>
      <w:r w:rsidR="0095746B" w:rsidRPr="0095746B">
        <w:rPr>
          <w:rFonts w:ascii="Arial" w:eastAsia="Times New Roman" w:hAnsi="Arial" w:cs="Arial"/>
          <w:color w:val="000000"/>
          <w:lang w:eastAsia="en-IN"/>
        </w:rPr>
        <w:t>.</w:t>
      </w:r>
      <w:r w:rsidRPr="007A1C5E">
        <w:rPr>
          <w:rFonts w:ascii="Arial" w:eastAsia="Times New Roman" w:hAnsi="Arial" w:cs="Arial"/>
          <w:color w:val="000000"/>
          <w:lang w:eastAsia="en-IN"/>
        </w:rPr>
        <w:t xml:space="preserve"> </w:t>
      </w:r>
      <w:r w:rsidR="0095746B" w:rsidRPr="0095746B">
        <w:rPr>
          <w:rFonts w:ascii="Arial" w:eastAsia="Times New Roman" w:hAnsi="Arial" w:cs="Arial"/>
          <w:color w:val="000000"/>
          <w:lang w:eastAsia="en-IN"/>
        </w:rPr>
        <w:t>B</w:t>
      </w:r>
      <w:r w:rsidRPr="007A1C5E">
        <w:rPr>
          <w:rFonts w:ascii="Arial" w:eastAsia="Times New Roman" w:hAnsi="Arial" w:cs="Arial"/>
          <w:color w:val="000000"/>
          <w:lang w:eastAsia="en-IN"/>
        </w:rPr>
        <w:t>y some of the following steps which will be very much important in this case study, they are:</w:t>
      </w:r>
    </w:p>
    <w:p w14:paraId="6E29B96B"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Start with the community which is transparent in the selection process and share results, which will help the community engagement to reach the next level.</w:t>
      </w:r>
    </w:p>
    <w:p w14:paraId="51BB238C"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By identifying and mapping the community priorities with community leaders with an assessment of the community will also help the community engagement to move towards the next level.</w:t>
      </w:r>
    </w:p>
    <w:p w14:paraId="134F9E6F"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lastRenderedPageBreak/>
        <w:t>Preliminarily meetings are held with the leaders of the community and support them to mobilize participation in the community which will help the community engagement to reach the next level.</w:t>
      </w:r>
    </w:p>
    <w:p w14:paraId="707DC35D"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Community assessment meeting is held to elect local representation to coordinate program activities and thus this will also help the community engagement to move towards the next level.</w:t>
      </w:r>
    </w:p>
    <w:p w14:paraId="23BCCC16"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To prioritize and allow the community to select quick impacts projects to solidify local participation and support which will take the engagement of the community to the next level.</w:t>
      </w:r>
    </w:p>
    <w:p w14:paraId="1CEE20DD" w14:textId="77777777" w:rsidR="007A1C5E" w:rsidRPr="007A1C5E" w:rsidRDefault="007A1C5E" w:rsidP="007A1C5E">
      <w:pPr>
        <w:spacing w:after="0" w:line="360" w:lineRule="auto"/>
        <w:jc w:val="both"/>
        <w:rPr>
          <w:rFonts w:ascii="Arial" w:eastAsia="Times New Roman" w:hAnsi="Arial" w:cs="Arial"/>
          <w:b/>
          <w:bCs/>
          <w:lang w:eastAsia="en-IN"/>
        </w:rPr>
      </w:pPr>
      <w:r w:rsidRPr="007A1C5E">
        <w:rPr>
          <w:rFonts w:ascii="Arial" w:eastAsia="Times New Roman" w:hAnsi="Arial" w:cs="Arial"/>
          <w:b/>
          <w:bCs/>
          <w:color w:val="000000"/>
          <w:lang w:eastAsia="en-IN"/>
        </w:rPr>
        <w:t>Conclusion </w:t>
      </w:r>
    </w:p>
    <w:p w14:paraId="766F92F3" w14:textId="77777777" w:rsidR="007A1C5E" w:rsidRPr="007A1C5E" w:rsidRDefault="007A1C5E" w:rsidP="007A1C5E">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This report concludes with the community engagement importance and significance. In this report, the transferable skill is also evaluated and the importance of the transferable skill in the engagement of the community is discussed in detail. Here, the transferable skill is therefore identified and also discussed in context with the case study of Mr. Tony Clark and how the future of the community engagement will rise with the help of the employees of Mr. Tony Clark.</w:t>
      </w:r>
    </w:p>
    <w:p w14:paraId="31657E39" w14:textId="77777777" w:rsidR="007A1C5E" w:rsidRPr="007A1C5E" w:rsidRDefault="007A1C5E" w:rsidP="007A1C5E">
      <w:pPr>
        <w:spacing w:after="240" w:line="360" w:lineRule="auto"/>
        <w:jc w:val="both"/>
        <w:rPr>
          <w:rFonts w:ascii="Arial" w:eastAsia="Times New Roman" w:hAnsi="Arial" w:cs="Arial"/>
          <w:lang w:eastAsia="en-IN"/>
        </w:rPr>
      </w:pPr>
      <w:r w:rsidRPr="007A1C5E">
        <w:rPr>
          <w:rFonts w:ascii="Arial" w:eastAsia="Times New Roman" w:hAnsi="Arial" w:cs="Arial"/>
          <w:lang w:eastAsia="en-IN"/>
        </w:rPr>
        <w:br/>
      </w:r>
      <w:r w:rsidRPr="007A1C5E">
        <w:rPr>
          <w:rFonts w:ascii="Arial" w:eastAsia="Times New Roman" w:hAnsi="Arial" w:cs="Arial"/>
          <w:lang w:eastAsia="en-IN"/>
        </w:rPr>
        <w:br/>
      </w:r>
      <w:r w:rsidRPr="007A1C5E">
        <w:rPr>
          <w:rFonts w:ascii="Arial" w:eastAsia="Times New Roman" w:hAnsi="Arial" w:cs="Arial"/>
          <w:lang w:eastAsia="en-IN"/>
        </w:rPr>
        <w:br/>
      </w:r>
      <w:r w:rsidRPr="007A1C5E">
        <w:rPr>
          <w:rFonts w:ascii="Arial" w:eastAsia="Times New Roman" w:hAnsi="Arial" w:cs="Arial"/>
          <w:lang w:eastAsia="en-IN"/>
        </w:rPr>
        <w:br/>
      </w:r>
    </w:p>
    <w:p w14:paraId="1D8164EE" w14:textId="77777777" w:rsidR="007A1C5E" w:rsidRPr="0095746B" w:rsidRDefault="007A1C5E" w:rsidP="007A1C5E">
      <w:pPr>
        <w:spacing w:line="360" w:lineRule="auto"/>
        <w:jc w:val="both"/>
        <w:rPr>
          <w:rFonts w:ascii="Arial" w:eastAsia="Times New Roman" w:hAnsi="Arial" w:cs="Arial"/>
          <w:color w:val="000000"/>
          <w:lang w:eastAsia="en-IN"/>
        </w:rPr>
      </w:pPr>
      <w:r w:rsidRPr="0095746B">
        <w:rPr>
          <w:rFonts w:ascii="Arial" w:eastAsia="Times New Roman" w:hAnsi="Arial" w:cs="Arial"/>
          <w:color w:val="000000"/>
          <w:lang w:eastAsia="en-IN"/>
        </w:rPr>
        <w:br w:type="page"/>
      </w:r>
    </w:p>
    <w:p w14:paraId="2715AE4D" w14:textId="4ECF9E7E" w:rsidR="006A3841" w:rsidRPr="006A3841" w:rsidRDefault="007A1C5E" w:rsidP="006A3841">
      <w:pPr>
        <w:spacing w:after="0" w:line="360" w:lineRule="auto"/>
        <w:jc w:val="both"/>
        <w:rPr>
          <w:rFonts w:ascii="Arial" w:eastAsia="Times New Roman" w:hAnsi="Arial" w:cs="Arial"/>
          <w:b/>
          <w:bCs/>
          <w:color w:val="000000"/>
          <w:lang w:eastAsia="en-IN"/>
        </w:rPr>
      </w:pPr>
      <w:r w:rsidRPr="007A1C5E">
        <w:rPr>
          <w:rFonts w:ascii="Arial" w:eastAsia="Times New Roman" w:hAnsi="Arial" w:cs="Arial"/>
          <w:b/>
          <w:bCs/>
          <w:color w:val="000000"/>
          <w:lang w:eastAsia="en-IN"/>
        </w:rPr>
        <w:lastRenderedPageBreak/>
        <w:t>Reference list</w:t>
      </w:r>
    </w:p>
    <w:p w14:paraId="05CC867C" w14:textId="77777777" w:rsidR="006A3841" w:rsidRPr="007A1C5E" w:rsidRDefault="006A3841" w:rsidP="006A3841">
      <w:pPr>
        <w:spacing w:after="0" w:line="360" w:lineRule="auto"/>
        <w:jc w:val="both"/>
        <w:rPr>
          <w:rFonts w:ascii="Arial" w:eastAsia="Times New Roman" w:hAnsi="Arial" w:cs="Arial"/>
          <w:lang w:eastAsia="en-IN"/>
        </w:rPr>
      </w:pPr>
    </w:p>
    <w:p w14:paraId="124FF39B"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Anderson, A.R., Ramos, W.D. and Knee, E., 2018. Practice makes perfect: Student employee transferable skill utilization in campus recreation. Recreational Sports Journal, 42(2), pp.174-192.</w:t>
      </w:r>
      <w:r>
        <w:rPr>
          <w:rFonts w:ascii="Arial" w:eastAsia="Times New Roman" w:hAnsi="Arial" w:cs="Arial"/>
          <w:color w:val="000000"/>
          <w:lang w:eastAsia="en-IN"/>
        </w:rPr>
        <w:t xml:space="preserve"> </w:t>
      </w:r>
      <w:r w:rsidRPr="007A1C5E">
        <w:rPr>
          <w:rFonts w:ascii="Arial" w:eastAsia="Times New Roman" w:hAnsi="Arial" w:cs="Arial"/>
          <w:color w:val="000000"/>
          <w:lang w:eastAsia="en-IN"/>
        </w:rPr>
        <w:t>Available at:</w:t>
      </w:r>
      <w:r>
        <w:rPr>
          <w:rFonts w:ascii="Arial" w:eastAsia="Times New Roman" w:hAnsi="Arial" w:cs="Arial"/>
          <w:color w:val="000000"/>
          <w:lang w:eastAsia="en-IN"/>
        </w:rPr>
        <w:t xml:space="preserve"> </w:t>
      </w:r>
      <w:hyperlink r:id="rId7" w:history="1">
        <w:r w:rsidRPr="005B32A8">
          <w:rPr>
            <w:rStyle w:val="Hyperlink"/>
            <w:rFonts w:ascii="Arial" w:eastAsia="Times New Roman" w:hAnsi="Arial" w:cs="Arial"/>
            <w:lang w:eastAsia="en-IN"/>
          </w:rPr>
          <w:t>http://faculty.usi.edu/media/1518/anderson-2018-practice-makes-perfect.pdf</w:t>
        </w:r>
      </w:hyperlink>
    </w:p>
    <w:p w14:paraId="20412966" w14:textId="77777777" w:rsidR="006A3841" w:rsidRP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Community engagement, 2021. Five Steps to Successful Community Engagement and Mobilization. [online] Global Communities. Available at: &lt;https://www.globalcommunities.org/community-engagement-mobilization&gt; [Accessed 15 October 2021].</w:t>
      </w:r>
    </w:p>
    <w:p w14:paraId="7EDDE858" w14:textId="77777777" w:rsidR="006A3841" w:rsidRPr="007A1C5E" w:rsidRDefault="006A3841" w:rsidP="006A3841">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FlexJobs, 2021. 15 Transferable Skills Companies Want: Examples &amp; Definitions | FlexJobs. [online] FlexJobs Job Search Tips and Blog. Available at: &lt;https://www.flexjobs.com/blog/post/transferable-skills/&gt; [Accessed 15 October 2021].</w:t>
      </w:r>
    </w:p>
    <w:p w14:paraId="22278450"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Jena, A. and Satpathy, S.S., 2017. Importance of soft skills in project management. International Journal of Scientific Research and Management, 5(7), pp.6173-6180.</w:t>
      </w:r>
      <w:r>
        <w:rPr>
          <w:rFonts w:ascii="Arial" w:eastAsia="Times New Roman" w:hAnsi="Arial" w:cs="Arial"/>
          <w:color w:val="000000"/>
          <w:lang w:eastAsia="en-IN"/>
        </w:rPr>
        <w:t xml:space="preserve"> </w:t>
      </w:r>
      <w:r w:rsidRPr="007A1C5E">
        <w:rPr>
          <w:rFonts w:ascii="Arial" w:eastAsia="Times New Roman" w:hAnsi="Arial" w:cs="Arial"/>
          <w:color w:val="000000"/>
          <w:lang w:eastAsia="en-IN"/>
        </w:rPr>
        <w:t>Available at:</w:t>
      </w:r>
      <w:r>
        <w:rPr>
          <w:rFonts w:ascii="Arial" w:eastAsia="Times New Roman" w:hAnsi="Arial" w:cs="Arial"/>
          <w:color w:val="000000"/>
          <w:lang w:eastAsia="en-IN"/>
        </w:rPr>
        <w:t xml:space="preserve"> </w:t>
      </w:r>
      <w:hyperlink r:id="rId8" w:history="1">
        <w:r w:rsidRPr="005B32A8">
          <w:rPr>
            <w:rStyle w:val="Hyperlink"/>
            <w:rFonts w:ascii="Arial" w:eastAsia="Times New Roman" w:hAnsi="Arial" w:cs="Arial"/>
            <w:lang w:eastAsia="en-IN"/>
          </w:rPr>
          <w:t>https://www.academia.edu/download/58756515/850-Article_Text-1444-1-10-20171225_2.pdf</w:t>
        </w:r>
      </w:hyperlink>
    </w:p>
    <w:p w14:paraId="610BACC7"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Kumar, J. and Kumar, V., 2020. Drivers of brand community engagement. Journal of Retailing and Consumer Services, 54, p.101949. Available at:</w:t>
      </w:r>
      <w:r>
        <w:rPr>
          <w:rFonts w:ascii="Arial" w:eastAsia="Times New Roman" w:hAnsi="Arial" w:cs="Arial"/>
          <w:color w:val="000000"/>
          <w:lang w:eastAsia="en-IN"/>
        </w:rPr>
        <w:t xml:space="preserve"> </w:t>
      </w:r>
      <w:hyperlink r:id="rId9" w:history="1">
        <w:r w:rsidRPr="005B32A8">
          <w:rPr>
            <w:rStyle w:val="Hyperlink"/>
            <w:rFonts w:ascii="Arial" w:eastAsia="Times New Roman" w:hAnsi="Arial" w:cs="Arial"/>
            <w:lang w:eastAsia="en-IN"/>
          </w:rPr>
          <w:t>https://fardapaper.ir/mohavaha/uploads/2020/08/Fardapaper-Drivers-of-brand-community-engagement.pdf</w:t>
        </w:r>
      </w:hyperlink>
    </w:p>
    <w:p w14:paraId="17F04595"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Lenard, D.B. and Pintarić, L., 2018. COMPARISON OF EMPLOYERS AND STUDENTS PERCEPTIONS REGARDING COMMUNICATION SKILLS. Journal of Teaching English for Specific and Academic Purposes, 6(1), pp.063-082.</w:t>
      </w:r>
      <w:r>
        <w:rPr>
          <w:rFonts w:ascii="Arial" w:eastAsia="Times New Roman" w:hAnsi="Arial" w:cs="Arial"/>
          <w:color w:val="000000"/>
          <w:lang w:eastAsia="en-IN"/>
        </w:rPr>
        <w:t xml:space="preserve"> </w:t>
      </w:r>
      <w:r w:rsidRPr="007A1C5E">
        <w:rPr>
          <w:rFonts w:ascii="Arial" w:eastAsia="Times New Roman" w:hAnsi="Arial" w:cs="Arial"/>
          <w:color w:val="000000"/>
          <w:lang w:eastAsia="en-IN"/>
        </w:rPr>
        <w:t>Available at:</w:t>
      </w:r>
      <w:r>
        <w:rPr>
          <w:rFonts w:ascii="Arial" w:eastAsia="Times New Roman" w:hAnsi="Arial" w:cs="Arial"/>
          <w:color w:val="000000"/>
          <w:lang w:eastAsia="en-IN"/>
        </w:rPr>
        <w:t xml:space="preserve"> </w:t>
      </w:r>
      <w:hyperlink r:id="rId10" w:history="1">
        <w:r w:rsidRPr="005B32A8">
          <w:rPr>
            <w:rStyle w:val="Hyperlink"/>
            <w:rFonts w:ascii="Arial" w:eastAsia="Times New Roman" w:hAnsi="Arial" w:cs="Arial"/>
            <w:lang w:eastAsia="en-IN"/>
          </w:rPr>
          <w:t>http://espeap.junis.ni.ac.rs/index.php/espeap/article/download/634/374</w:t>
        </w:r>
      </w:hyperlink>
    </w:p>
    <w:p w14:paraId="77AA1F32"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Parker, M., Hanson, T.M., Vandi, A., Sao Babawo, L., and Allen, T., 2019. Ebola, community engagement, and saving loved ones. The Lancet, 393(10191), p.2585.</w:t>
      </w:r>
      <w:r>
        <w:rPr>
          <w:rFonts w:ascii="Arial" w:eastAsia="Times New Roman" w:hAnsi="Arial" w:cs="Arial"/>
          <w:color w:val="000000"/>
          <w:lang w:eastAsia="en-IN"/>
        </w:rPr>
        <w:t xml:space="preserve"> </w:t>
      </w:r>
      <w:r w:rsidRPr="007A1C5E">
        <w:rPr>
          <w:rFonts w:ascii="Arial" w:eastAsia="Times New Roman" w:hAnsi="Arial" w:cs="Arial"/>
          <w:color w:val="000000"/>
          <w:lang w:eastAsia="en-IN"/>
        </w:rPr>
        <w:t>Available at:</w:t>
      </w:r>
      <w:r>
        <w:rPr>
          <w:rFonts w:ascii="Arial" w:eastAsia="Times New Roman" w:hAnsi="Arial" w:cs="Arial"/>
          <w:color w:val="000000"/>
          <w:lang w:eastAsia="en-IN"/>
        </w:rPr>
        <w:t xml:space="preserve"> </w:t>
      </w:r>
      <w:hyperlink r:id="rId11" w:history="1">
        <w:r w:rsidRPr="005B32A8">
          <w:rPr>
            <w:rStyle w:val="Hyperlink"/>
            <w:rFonts w:ascii="Arial" w:eastAsia="Times New Roman" w:hAnsi="Arial" w:cs="Arial"/>
            <w:lang w:eastAsia="en-IN"/>
          </w:rPr>
          <w:t>https://researchonline.lshtm.ac.uk/id/eprint/4653584/1/EbolaCommunityEngagementParker2019.pdf</w:t>
        </w:r>
      </w:hyperlink>
    </w:p>
    <w:p w14:paraId="547BB899"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t>Smith, E. and Reid, J., 2018. Using Curriculum Mapping to Articulate Transferable Skill Development in Science Courses: A Pilot Study. International Journal of Innovation in Science and Mathematics Education, 26(7).</w:t>
      </w:r>
      <w:r>
        <w:rPr>
          <w:rFonts w:ascii="Arial" w:eastAsia="Times New Roman" w:hAnsi="Arial" w:cs="Arial"/>
          <w:color w:val="000000"/>
          <w:lang w:eastAsia="en-IN"/>
        </w:rPr>
        <w:t xml:space="preserve"> </w:t>
      </w:r>
      <w:r w:rsidRPr="007A1C5E">
        <w:rPr>
          <w:rFonts w:ascii="Arial" w:eastAsia="Times New Roman" w:hAnsi="Arial" w:cs="Arial"/>
          <w:color w:val="000000"/>
          <w:lang w:eastAsia="en-IN"/>
        </w:rPr>
        <w:t>Available at:</w:t>
      </w:r>
      <w:r>
        <w:rPr>
          <w:rFonts w:ascii="Arial" w:eastAsia="Times New Roman" w:hAnsi="Arial" w:cs="Arial"/>
          <w:color w:val="000000"/>
          <w:lang w:eastAsia="en-IN"/>
        </w:rPr>
        <w:t xml:space="preserve"> </w:t>
      </w:r>
      <w:hyperlink r:id="rId12" w:history="1">
        <w:r w:rsidRPr="005B32A8">
          <w:rPr>
            <w:rStyle w:val="Hyperlink"/>
            <w:rFonts w:ascii="Arial" w:eastAsia="Times New Roman" w:hAnsi="Arial" w:cs="Arial"/>
            <w:lang w:eastAsia="en-IN"/>
          </w:rPr>
          <w:t>https://openjournals.library.sydney.edu.au/index.php/CAL/article/download/12869/11843</w:t>
        </w:r>
      </w:hyperlink>
    </w:p>
    <w:p w14:paraId="2965B41A" w14:textId="77777777" w:rsidR="006A3841" w:rsidRPr="007A1C5E" w:rsidRDefault="006A3841" w:rsidP="006A3841">
      <w:pPr>
        <w:spacing w:after="0" w:line="360" w:lineRule="auto"/>
        <w:jc w:val="both"/>
        <w:rPr>
          <w:rFonts w:ascii="Arial" w:eastAsia="Times New Roman" w:hAnsi="Arial" w:cs="Arial"/>
          <w:lang w:eastAsia="en-IN"/>
        </w:rPr>
      </w:pPr>
      <w:r w:rsidRPr="007A1C5E">
        <w:rPr>
          <w:rFonts w:ascii="Arial" w:eastAsia="Times New Roman" w:hAnsi="Arial" w:cs="Arial"/>
          <w:color w:val="000000"/>
          <w:lang w:eastAsia="en-IN"/>
        </w:rPr>
        <w:t>Transferable skill, 2021. [online] Unicef.org. Available at: &lt;https://www.unicef.org/lac/media/23011/file/ENG-Transferable-Skills-WEB.pdf&gt; [Accessed 15 October 2021].</w:t>
      </w:r>
    </w:p>
    <w:p w14:paraId="3DBB2036" w14:textId="77777777" w:rsidR="006A3841" w:rsidRDefault="006A3841" w:rsidP="006A3841">
      <w:pPr>
        <w:spacing w:after="0" w:line="360" w:lineRule="auto"/>
        <w:jc w:val="both"/>
        <w:rPr>
          <w:rFonts w:ascii="Arial" w:eastAsia="Times New Roman" w:hAnsi="Arial" w:cs="Arial"/>
          <w:color w:val="000000"/>
          <w:lang w:eastAsia="en-IN"/>
        </w:rPr>
      </w:pPr>
      <w:r w:rsidRPr="007A1C5E">
        <w:rPr>
          <w:rFonts w:ascii="Arial" w:eastAsia="Times New Roman" w:hAnsi="Arial" w:cs="Arial"/>
          <w:color w:val="000000"/>
          <w:lang w:eastAsia="en-IN"/>
        </w:rPr>
        <w:lastRenderedPageBreak/>
        <w:t>Wilson, L., Ho, S. and Brookes, R.H., 2018. Student perceptions of teamwork within assessment tasks in undergraduate science degrees. Assessment &amp; Evaluation in Higher Education, 43(5), pp.786-799.</w:t>
      </w:r>
      <w:r>
        <w:rPr>
          <w:rFonts w:ascii="Arial" w:eastAsia="Times New Roman" w:hAnsi="Arial" w:cs="Arial"/>
          <w:color w:val="000000"/>
          <w:lang w:eastAsia="en-IN"/>
        </w:rPr>
        <w:t xml:space="preserve"> </w:t>
      </w:r>
      <w:r w:rsidRPr="007A1C5E">
        <w:rPr>
          <w:rFonts w:ascii="Arial" w:eastAsia="Times New Roman" w:hAnsi="Arial" w:cs="Arial"/>
          <w:color w:val="000000"/>
          <w:lang w:eastAsia="en-IN"/>
        </w:rPr>
        <w:t>Available at:</w:t>
      </w:r>
      <w:r>
        <w:rPr>
          <w:rFonts w:ascii="Arial" w:eastAsia="Times New Roman" w:hAnsi="Arial" w:cs="Arial"/>
          <w:color w:val="000000"/>
          <w:lang w:eastAsia="en-IN"/>
        </w:rPr>
        <w:t xml:space="preserve"> </w:t>
      </w:r>
      <w:hyperlink r:id="rId13" w:history="1">
        <w:r w:rsidRPr="005B32A8">
          <w:rPr>
            <w:rStyle w:val="Hyperlink"/>
            <w:rFonts w:ascii="Arial" w:eastAsia="Times New Roman" w:hAnsi="Arial" w:cs="Arial"/>
            <w:lang w:eastAsia="en-IN"/>
          </w:rPr>
          <w:t>https://blogs.ncl.ac.uk/icmresearchfunding/files/2018/05/Student-perceptions-of-teamwork.pdf</w:t>
        </w:r>
      </w:hyperlink>
    </w:p>
    <w:p w14:paraId="113429F2" w14:textId="77777777" w:rsidR="006A3841" w:rsidRPr="007A1C5E" w:rsidRDefault="006A3841" w:rsidP="006A3841">
      <w:pPr>
        <w:spacing w:after="0" w:line="360" w:lineRule="auto"/>
        <w:jc w:val="both"/>
        <w:rPr>
          <w:rFonts w:ascii="Arial" w:eastAsia="Times New Roman" w:hAnsi="Arial" w:cs="Arial"/>
          <w:lang w:eastAsia="en-IN"/>
        </w:rPr>
      </w:pPr>
    </w:p>
    <w:sectPr w:rsidR="006A3841" w:rsidRPr="007A1C5E">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E3352" w14:textId="77777777" w:rsidR="00640F0B" w:rsidRDefault="00640F0B" w:rsidP="0095746B">
      <w:pPr>
        <w:spacing w:after="0" w:line="240" w:lineRule="auto"/>
      </w:pPr>
      <w:r>
        <w:separator/>
      </w:r>
    </w:p>
  </w:endnote>
  <w:endnote w:type="continuationSeparator" w:id="0">
    <w:p w14:paraId="05A573D9" w14:textId="77777777" w:rsidR="00640F0B" w:rsidRDefault="00640F0B" w:rsidP="00957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3291119"/>
      <w:docPartObj>
        <w:docPartGallery w:val="Page Numbers (Bottom of Page)"/>
        <w:docPartUnique/>
      </w:docPartObj>
    </w:sdtPr>
    <w:sdtEndPr/>
    <w:sdtContent>
      <w:sdt>
        <w:sdtPr>
          <w:id w:val="-1769616900"/>
          <w:docPartObj>
            <w:docPartGallery w:val="Page Numbers (Top of Page)"/>
            <w:docPartUnique/>
          </w:docPartObj>
        </w:sdtPr>
        <w:sdtEndPr/>
        <w:sdtContent>
          <w:p w14:paraId="03C626C6" w14:textId="60E0420F" w:rsidR="0095746B" w:rsidRDefault="0095746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72BED13" w14:textId="77777777" w:rsidR="0095746B" w:rsidRDefault="00957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08580" w14:textId="77777777" w:rsidR="00640F0B" w:rsidRDefault="00640F0B" w:rsidP="0095746B">
      <w:pPr>
        <w:spacing w:after="0" w:line="240" w:lineRule="auto"/>
      </w:pPr>
      <w:r>
        <w:separator/>
      </w:r>
    </w:p>
  </w:footnote>
  <w:footnote w:type="continuationSeparator" w:id="0">
    <w:p w14:paraId="763B1761" w14:textId="77777777" w:rsidR="00640F0B" w:rsidRDefault="00640F0B" w:rsidP="009574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C3sDAwMbY0trQ0N7RQ0lEKTi0uzszPAykwrAUA3ngw5iwAAAA="/>
  </w:docVars>
  <w:rsids>
    <w:rsidRoot w:val="00756AE8"/>
    <w:rsid w:val="00243869"/>
    <w:rsid w:val="00640F0B"/>
    <w:rsid w:val="006A3841"/>
    <w:rsid w:val="00756AE8"/>
    <w:rsid w:val="007A1C5E"/>
    <w:rsid w:val="00907B49"/>
    <w:rsid w:val="00934B38"/>
    <w:rsid w:val="0095746B"/>
    <w:rsid w:val="00AF66D4"/>
    <w:rsid w:val="00C238BF"/>
    <w:rsid w:val="00CB334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164A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6AE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756AE8"/>
    <w:rPr>
      <w:color w:val="0000FF"/>
      <w:u w:val="single"/>
    </w:rPr>
  </w:style>
  <w:style w:type="paragraph" w:styleId="Header">
    <w:name w:val="header"/>
    <w:basedOn w:val="Normal"/>
    <w:link w:val="HeaderChar"/>
    <w:uiPriority w:val="99"/>
    <w:unhideWhenUsed/>
    <w:rsid w:val="00957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46B"/>
  </w:style>
  <w:style w:type="paragraph" w:styleId="Footer">
    <w:name w:val="footer"/>
    <w:basedOn w:val="Normal"/>
    <w:link w:val="FooterChar"/>
    <w:uiPriority w:val="99"/>
    <w:unhideWhenUsed/>
    <w:rsid w:val="00957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46B"/>
  </w:style>
  <w:style w:type="character" w:styleId="UnresolvedMention">
    <w:name w:val="Unresolved Mention"/>
    <w:basedOn w:val="DefaultParagraphFont"/>
    <w:uiPriority w:val="99"/>
    <w:semiHidden/>
    <w:unhideWhenUsed/>
    <w:rsid w:val="006A38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469108">
      <w:bodyDiv w:val="1"/>
      <w:marLeft w:val="0"/>
      <w:marRight w:val="0"/>
      <w:marTop w:val="0"/>
      <w:marBottom w:val="0"/>
      <w:divBdr>
        <w:top w:val="none" w:sz="0" w:space="0" w:color="auto"/>
        <w:left w:val="none" w:sz="0" w:space="0" w:color="auto"/>
        <w:bottom w:val="none" w:sz="0" w:space="0" w:color="auto"/>
        <w:right w:val="none" w:sz="0" w:space="0" w:color="auto"/>
      </w:divBdr>
    </w:div>
    <w:div w:id="144214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demia.edu/download/58756515/850-Article_Text-1444-1-10-20171225_2.pdf" TargetMode="External"/><Relationship Id="rId13" Type="http://schemas.openxmlformats.org/officeDocument/2006/relationships/hyperlink" Target="https://blogs.ncl.ac.uk/icmresearchfunding/files/2018/05/Student-perceptions-of-teamwork.pdf" TargetMode="External"/><Relationship Id="rId3" Type="http://schemas.openxmlformats.org/officeDocument/2006/relationships/settings" Target="settings.xml"/><Relationship Id="rId7" Type="http://schemas.openxmlformats.org/officeDocument/2006/relationships/hyperlink" Target="http://faculty.usi.edu/media/1518/anderson-2018-practice-makes-perfect.pdf" TargetMode="External"/><Relationship Id="rId12" Type="http://schemas.openxmlformats.org/officeDocument/2006/relationships/hyperlink" Target="https://openjournals.library.sydney.edu.au/index.php/CAL/article/download/12869/1184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researchonline.lshtm.ac.uk/id/eprint/4653584/1/EbolaCommunityEngagementParker2019.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espeap.junis.ni.ac.rs/index.php/espeap/article/download/634/374" TargetMode="External"/><Relationship Id="rId4" Type="http://schemas.openxmlformats.org/officeDocument/2006/relationships/webSettings" Target="webSettings.xml"/><Relationship Id="rId9" Type="http://schemas.openxmlformats.org/officeDocument/2006/relationships/hyperlink" Target="https://fardapaper.ir/mohavaha/uploads/2020/08/Fardapaper-Drivers-of-brand-community-engagement.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E9581-4FD8-42A1-89D7-9DCDD356B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2358</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2021-10-15T16:08:00Z</dcterms:created>
  <dcterms:modified xsi:type="dcterms:W3CDTF">2021-10-18T10:43:00Z</dcterms:modified>
</cp:coreProperties>
</file>