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2715A" w14:textId="6DAC13E5" w:rsidR="0016729D" w:rsidRPr="0016729D" w:rsidRDefault="00FB6C48" w:rsidP="0026151D">
      <w:pPr>
        <w:spacing w:beforeAutospacing="1" w:after="0" w:afterAutospacing="1" w:line="240" w:lineRule="auto"/>
        <w:jc w:val="center"/>
        <w:textAlignment w:val="baseline"/>
        <w:rPr>
          <w:rFonts w:ascii="Segoe UI" w:eastAsia="Times New Roman" w:hAnsi="Segoe UI" w:cs="Segoe UI"/>
          <w:kern w:val="0"/>
          <w:sz w:val="18"/>
          <w:szCs w:val="18"/>
          <w:lang w:eastAsia="en-GB"/>
          <w14:ligatures w14:val="none"/>
        </w:rPr>
      </w:pPr>
      <w:r w:rsidRPr="00581E47">
        <w:rPr>
          <w:rFonts w:ascii="Calibri Light" w:eastAsia="Times New Roman" w:hAnsi="Calibri Light" w:cs="Calibri Light"/>
          <w:i/>
          <w:iCs/>
          <w:kern w:val="0"/>
          <w:sz w:val="24"/>
          <w:szCs w:val="24"/>
          <w:u w:val="single"/>
          <w:lang w:eastAsia="en-GB"/>
          <w14:ligatures w14:val="none"/>
        </w:rPr>
        <w:t>The Future Generations Wales Act 2015</w:t>
      </w:r>
      <w:r>
        <w:rPr>
          <w:rFonts w:ascii="Calibri Light" w:eastAsia="Times New Roman" w:hAnsi="Calibri Light" w:cs="Calibri Light"/>
          <w:kern w:val="0"/>
          <w:sz w:val="24"/>
          <w:szCs w:val="24"/>
          <w:u w:val="single"/>
          <w:lang w:eastAsia="en-GB"/>
          <w14:ligatures w14:val="none"/>
        </w:rPr>
        <w:t xml:space="preserve">, an </w:t>
      </w:r>
      <w:r w:rsidR="00581E47">
        <w:rPr>
          <w:rFonts w:ascii="Calibri Light" w:eastAsia="Times New Roman" w:hAnsi="Calibri Light" w:cs="Calibri Light"/>
          <w:kern w:val="0"/>
          <w:sz w:val="24"/>
          <w:szCs w:val="24"/>
          <w:u w:val="single"/>
          <w:lang w:eastAsia="en-GB"/>
          <w14:ligatures w14:val="none"/>
        </w:rPr>
        <w:t>Evaluation</w:t>
      </w:r>
    </w:p>
    <w:p w14:paraId="5C4360B0"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1FE1155C"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The </w:t>
      </w:r>
      <w:r w:rsidRPr="0016729D">
        <w:rPr>
          <w:rFonts w:ascii="Calibri Light" w:eastAsia="Times New Roman" w:hAnsi="Calibri Light" w:cs="Calibri Light"/>
          <w:i/>
          <w:iCs/>
          <w:kern w:val="0"/>
          <w:sz w:val="24"/>
          <w:szCs w:val="24"/>
          <w:lang w:eastAsia="en-GB"/>
          <w14:ligatures w14:val="none"/>
        </w:rPr>
        <w:t>Future Generations (Wales) Act</w:t>
      </w:r>
      <w:r w:rsidRPr="0016729D">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i/>
          <w:iCs/>
          <w:kern w:val="0"/>
          <w:sz w:val="24"/>
          <w:szCs w:val="24"/>
          <w:lang w:eastAsia="en-GB"/>
          <w14:ligatures w14:val="none"/>
        </w:rPr>
        <w:t>2015</w:t>
      </w:r>
      <w:r w:rsidRPr="0016729D">
        <w:rPr>
          <w:rFonts w:ascii="Calibri Light" w:eastAsia="Times New Roman" w:hAnsi="Calibri Light" w:cs="Calibri Light"/>
          <w:kern w:val="0"/>
          <w:sz w:val="24"/>
          <w:szCs w:val="24"/>
          <w:lang w:eastAsia="en-GB"/>
          <w14:ligatures w14:val="none"/>
        </w:rPr>
        <w:t xml:space="preserve"> is a significant piece of legislation designed to safeguard future generations' welfare in Wales and encourage sustainable development. The legislation establishes a comprehensive strategy that mandates public service boards to work together and include the public in decision-making processes, in addition to considering how their actions may affect future generations. Through an emphasis on preventive and long-term planning, the act aims to build a just and sustainable future for Wales. The acknowledgment of the need for a more inclusive and sustainable form of government is the historical context and source of the Future Generations Wales Act. It came forth as a reaction to widespread worries about the long-term health of Welsh environments and communities. The Future Generations Wales Act's main goals and guiding principles include long-term planning and sustainability for the benefit of future generations. This essay will have a particular focus on a healthier Wales and a more equal Wales. This essay will also look at the foundation of the United Nations sustainability agenda and development of the Milennium development goals followed by the sustainable development goals, and how these have influenced the Wellbeing of Future Generations (Wales) Act. </w:t>
      </w:r>
    </w:p>
    <w:p w14:paraId="18FD2099"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41D84D92"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According to Fukuda-Parr (2004), the United Nations launched the Millennium Development Goals (MDGs) in 2000, with the aim of addressing major global concerns such as poverty, education, gender equality, and healthcare by 2015. The MDGs presented nations with a methodical framework for working towards common goals. They were crucial in influencing global development plans and policies (World Health Organization, 2018) According to Dunn et al. (2015) the assessment of their impact on wellbeing revealed both triumphs and challenges. Although this has been effective in certain areas of the world, such as reducing severe poverty and increasing access to elementary education, there are still healthcare inequities. Inadequate money, limited capacity to execute programmes, and gaps in monitoring and evaluation were among the challenges (International Labour Organisation (2015). To fulfil these MDGs, a joint effort by governmental entities, international organisations, and civil society was necessary, shedding light on the intricacies of global development objectives. The lessons learned from the MDGs served as the basis for the Sustainable Development Goals (SDGs), which aim to reduce poverty and inequality (World Health Organization , 2018). While the MDGs had both successes and weaknesses, they served as a springboard for the succeeding Sustainable Development Goals (SDGs), which attempt to build on prior successes while addressing emerging issues. The MDGs were essential in emphasising the need of collective effort and collaboration in improving the well-being of people and communities throughout the world Dunn et al., (2015).  </w:t>
      </w:r>
    </w:p>
    <w:p w14:paraId="2224B887"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75C7C864"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Fehling, Nelson and Venkatapuram (2013); Haq and Zia (2008); Beja (2012) and Giovannini, (2013) illustrate that the achievement of the Millennium Development Goals (MDGs) offers a number of challenges. The primary impediment is a lack of financial resources, which is </w:t>
      </w:r>
      <w:r w:rsidRPr="0016729D">
        <w:rPr>
          <w:rFonts w:ascii="Calibri Light" w:eastAsia="Times New Roman" w:hAnsi="Calibri Light" w:cs="Calibri Light"/>
          <w:kern w:val="0"/>
          <w:sz w:val="24"/>
          <w:szCs w:val="24"/>
          <w:lang w:eastAsia="en-GB"/>
          <w14:ligatures w14:val="none"/>
        </w:rPr>
        <w:lastRenderedPageBreak/>
        <w:t>critical for the implementation and maintenance of goal-oriented programmes. Health advances are also hampered by limited healthcare access, particularly in remote and marginalised populations (Jacob, 2017). </w:t>
      </w:r>
    </w:p>
    <w:p w14:paraId="0C5F8AC2" w14:textId="77777777" w:rsidR="0016729D" w:rsidRPr="0016729D" w:rsidRDefault="0016729D" w:rsidP="0016729D">
      <w:pPr>
        <w:spacing w:after="0" w:line="240" w:lineRule="auto"/>
        <w:textAlignment w:val="baseline"/>
        <w:rPr>
          <w:rFonts w:ascii="Segoe UI" w:eastAsia="Times New Roman" w:hAnsi="Segoe UI" w:cs="Segoe UI"/>
          <w:kern w:val="0"/>
          <w:sz w:val="18"/>
          <w:szCs w:val="18"/>
          <w:lang w:eastAsia="en-GB"/>
          <w14:ligatures w14:val="none"/>
        </w:rPr>
      </w:pPr>
      <w:r w:rsidRPr="0016729D">
        <w:rPr>
          <w:rFonts w:ascii="Calibri" w:eastAsia="Times New Roman" w:hAnsi="Calibri" w:cs="Calibri"/>
          <w:kern w:val="0"/>
          <w:sz w:val="28"/>
          <w:szCs w:val="28"/>
          <w:lang w:eastAsia="en-GB"/>
          <w14:ligatures w14:val="none"/>
        </w:rPr>
        <w:t> </w:t>
      </w:r>
    </w:p>
    <w:p w14:paraId="485AF3A4" w14:textId="77777777" w:rsidR="0016729D" w:rsidRPr="0016729D" w:rsidRDefault="0016729D" w:rsidP="0016729D">
      <w:pPr>
        <w:spacing w:after="0"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The Sustainable Development Goals (SDGs) are the most up to date framework and came into place after the MDGs, allowing the United Nations to lay out a bold plan to improve the world for the benefit of individuals, the environment, and equality. Wales shares this desire and is determined to contribute to the objectives. Reviewing progress since the SDGs were adopted in 2015, Wales continues to monitor the steps it has made to be ready for the culmination of the SDGs which is known as Agenda 2030. Passing the Well-being of Future Generations (Wales) Act 2015, the National Assembly for Wales took a historic step to steer Wales towards a more sustainable future. This demonstrated the unceasing efforts of individuals from throughout Wales to improve the processes that will determine the country's future. It illustrates the dedication of Welsh society to an improved way of life both present and in years to come (Welsh Government, 2019). </w:t>
      </w:r>
    </w:p>
    <w:p w14:paraId="49253E4D" w14:textId="5407FA48" w:rsidR="22591443" w:rsidRDefault="22591443" w:rsidP="22591443">
      <w:pPr>
        <w:spacing w:after="0" w:line="240" w:lineRule="auto"/>
        <w:rPr>
          <w:rFonts w:ascii="Calibri Light" w:eastAsia="Times New Roman" w:hAnsi="Calibri Light" w:cs="Calibri Light"/>
          <w:sz w:val="24"/>
          <w:szCs w:val="24"/>
          <w:lang w:eastAsia="en-GB"/>
        </w:rPr>
      </w:pPr>
    </w:p>
    <w:p w14:paraId="6441B923"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Messham and Sheard, (2020) explain the </w:t>
      </w:r>
      <w:r w:rsidRPr="0016729D">
        <w:rPr>
          <w:rFonts w:ascii="Calibri Light" w:eastAsia="Times New Roman" w:hAnsi="Calibri Light" w:cs="Calibri Light"/>
          <w:i/>
          <w:iCs/>
          <w:kern w:val="0"/>
          <w:sz w:val="24"/>
          <w:szCs w:val="24"/>
          <w:lang w:eastAsia="en-GB"/>
          <w14:ligatures w14:val="none"/>
        </w:rPr>
        <w:t>Wellbeing of Future Generations (Wales) Act 2015</w:t>
      </w:r>
      <w:r w:rsidRPr="0016729D">
        <w:rPr>
          <w:rFonts w:ascii="Calibri Light" w:eastAsia="Times New Roman" w:hAnsi="Calibri Light" w:cs="Calibri Light"/>
          <w:kern w:val="0"/>
          <w:sz w:val="24"/>
          <w:szCs w:val="24"/>
          <w:lang w:eastAsia="en-GB"/>
          <w14:ligatures w14:val="none"/>
        </w:rPr>
        <w:t xml:space="preserve"> was enacted in response to a number of factors indicating the need for a more long-term vision that prioritises the well-being of future generations. This </w:t>
      </w:r>
      <w:r w:rsidRPr="0016729D">
        <w:rPr>
          <w:rFonts w:ascii="Calibri Light" w:eastAsia="Times New Roman" w:hAnsi="Calibri Light" w:cs="Calibri Light"/>
          <w:i/>
          <w:iCs/>
          <w:kern w:val="0"/>
          <w:sz w:val="24"/>
          <w:szCs w:val="24"/>
          <w:lang w:eastAsia="en-GB"/>
          <w14:ligatures w14:val="none"/>
        </w:rPr>
        <w:t>Act</w:t>
      </w:r>
      <w:r w:rsidRPr="0016729D">
        <w:rPr>
          <w:rFonts w:ascii="Calibri Light" w:eastAsia="Times New Roman" w:hAnsi="Calibri Light" w:cs="Calibri Light"/>
          <w:kern w:val="0"/>
          <w:sz w:val="24"/>
          <w:szCs w:val="24"/>
          <w:lang w:eastAsia="en-GB"/>
          <w14:ligatures w14:val="none"/>
        </w:rPr>
        <w:t xml:space="preserve"> intends to safeguard the well-being of current and future generations by achieving seven well-being objectives. These objectives provide the foundation for a successful, resilient, healthy, egalitarian, cohesive, culturally rich, and internationally responsible Wales. By emphasising these objectives, the </w:t>
      </w:r>
      <w:r w:rsidRPr="0016729D">
        <w:rPr>
          <w:rFonts w:ascii="Calibri Light" w:eastAsia="Times New Roman" w:hAnsi="Calibri Light" w:cs="Calibri Light"/>
          <w:i/>
          <w:iCs/>
          <w:kern w:val="0"/>
          <w:sz w:val="24"/>
          <w:szCs w:val="24"/>
          <w:lang w:eastAsia="en-GB"/>
          <w14:ligatures w14:val="none"/>
        </w:rPr>
        <w:t xml:space="preserve">Act </w:t>
      </w:r>
      <w:r w:rsidRPr="0016729D">
        <w:rPr>
          <w:rFonts w:ascii="Calibri Light" w:eastAsia="Times New Roman" w:hAnsi="Calibri Light" w:cs="Calibri Light"/>
          <w:kern w:val="0"/>
          <w:sz w:val="24"/>
          <w:szCs w:val="24"/>
          <w:lang w:eastAsia="en-GB"/>
          <w14:ligatures w14:val="none"/>
        </w:rPr>
        <w:t>intends to provide a comprehensive and long-term framework for improving well-being (Davies, 2016).  </w:t>
      </w:r>
    </w:p>
    <w:p w14:paraId="2A9FCC44" w14:textId="525057D9" w:rsidR="3646F9B2" w:rsidRDefault="3646F9B2" w:rsidP="3646F9B2">
      <w:pPr>
        <w:spacing w:beforeAutospacing="1" w:afterAutospacing="1" w:line="240" w:lineRule="auto"/>
        <w:rPr>
          <w:rFonts w:ascii="Calibri Light" w:eastAsia="Times New Roman" w:hAnsi="Calibri Light" w:cs="Calibri Light"/>
          <w:sz w:val="24"/>
          <w:szCs w:val="24"/>
          <w:lang w:eastAsia="en-GB"/>
        </w:rPr>
      </w:pPr>
    </w:p>
    <w:p w14:paraId="48685665"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Azam (2020), adds that The Future Generations Act has resulted in significant increases in well-being by catalysing positive change and fostering a more inclusive society. It has resulted in a considerable change towards prioritising long-term goals and considering the long-term consequences of decision-making processes. As a result of this transition, strategies that address the root causes of social and environmental issues rather than merely their symptoms have been developed. The </w:t>
      </w:r>
      <w:r w:rsidRPr="0016729D">
        <w:rPr>
          <w:rFonts w:ascii="Calibri Light" w:eastAsia="Times New Roman" w:hAnsi="Calibri Light" w:cs="Calibri Light"/>
          <w:i/>
          <w:iCs/>
          <w:kern w:val="0"/>
          <w:sz w:val="24"/>
          <w:szCs w:val="24"/>
          <w:lang w:eastAsia="en-GB"/>
          <w14:ligatures w14:val="none"/>
        </w:rPr>
        <w:t>Act</w:t>
      </w:r>
      <w:r w:rsidRPr="0016729D">
        <w:rPr>
          <w:rFonts w:ascii="Calibri Light" w:eastAsia="Times New Roman" w:hAnsi="Calibri Light" w:cs="Calibri Light"/>
          <w:kern w:val="0"/>
          <w:sz w:val="24"/>
          <w:szCs w:val="24"/>
          <w:lang w:eastAsia="en-GB"/>
          <w14:ligatures w14:val="none"/>
        </w:rPr>
        <w:t xml:space="preserve"> has the potential to make a significant contribution to the collective welfare of Welsh people and communities by choosing to be preventive and proactive. </w:t>
      </w:r>
    </w:p>
    <w:p w14:paraId="65C742FF"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Times New Roman" w:eastAsia="Times New Roman" w:hAnsi="Times New Roman" w:cs="Times New Roman"/>
          <w:kern w:val="0"/>
          <w:sz w:val="24"/>
          <w:szCs w:val="24"/>
          <w:lang w:eastAsia="en-GB"/>
          <w14:ligatures w14:val="none"/>
        </w:rPr>
        <w:t> </w:t>
      </w:r>
      <w:r w:rsidRPr="0016729D">
        <w:rPr>
          <w:rFonts w:ascii="Times New Roman" w:eastAsia="Times New Roman" w:hAnsi="Times New Roman" w:cs="Times New Roman"/>
          <w:kern w:val="0"/>
          <w:sz w:val="24"/>
          <w:szCs w:val="24"/>
          <w:lang w:eastAsia="en-GB"/>
          <w14:ligatures w14:val="none"/>
        </w:rPr>
        <w:br/>
      </w:r>
      <w:r w:rsidRPr="0016729D">
        <w:rPr>
          <w:rFonts w:ascii="Calibri Light" w:eastAsia="Times New Roman" w:hAnsi="Calibri Light" w:cs="Calibri Light"/>
          <w:kern w:val="0"/>
          <w:sz w:val="24"/>
          <w:szCs w:val="24"/>
          <w:lang w:eastAsia="en-GB"/>
          <w14:ligatures w14:val="none"/>
        </w:rPr>
        <w:t>To summarise, the Future Generations Act provides a plan for a better future, with a focus on sustainable development and increasing the well-being of current and future generations. It promotes cooperation and accountability across a wide range of stakeholders, including government agencies, public service boards, and private individuals. The Act was anticipated to cause good, long-term improvements in the health, social, economic, and environmental sectors of Welsh society via its carefully integrated and forward-thinking policy (Jones, 2019; Azam, 2020) </w:t>
      </w:r>
    </w:p>
    <w:p w14:paraId="28621677"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lastRenderedPageBreak/>
        <w:t> </w:t>
      </w:r>
    </w:p>
    <w:p w14:paraId="5604A74D"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Farrell, (2017) shares that to appreciate the motive behind the Future Generations Act, it is necessary to understand the reasons that contributed to its passage. These variables include a grasp of the need for long-term development, a willingness to confront long-term issues, and an understanding of the relationship between social, economic, and environmental concerns. The Act was also inspired by the recognition that current governance and decision-making processes were incapable of tackling complex challenges or safeguarding the well-being of future generations. In light of these considerations, the Act aims to promote a more comprehensive and proactive approach to policy formation that is based on long-term sustainability and the well-being of all persons and communities (Nesom and MacKillop, 2020; Future Generations Commissioner for Wales, 2015). Welsh Government, (2023a) and Third Sector Support Wales, (2019) explains that the Act recognises the important role that people play in achieving health outcomes and encourages community engagement via the structure of Public Service Boards. The Act attempts to address the various difficulties that Wales faces via this all-encompassing policy (Swansea Council, 2023; Welsh Government, 2015; Natural Resources Wales, 2023). </w:t>
      </w:r>
    </w:p>
    <w:p w14:paraId="0B93072C"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2286E06D"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Welsh Government (2021) shares that the Future Generations Act has seven goals, each concentrating on a different aspect of wellness relevant to Wales. These are a prosperous, resilient, healthier, more equal Wales, a Wales of cohesive communities, a Wales of vibrant culture and thriving Welsh language and a globally responsible Wales. These goals create a wide framework to steer policies towards long-term sustainability and well-being, ensuring that public authorities' activities consider the influence on current and future generations. In essence, the Act promotes a holistic approach to wellness in Wales, building a more sustainable, balanced society (Future Generations Commissioner for Wales, 2015). </w:t>
      </w:r>
    </w:p>
    <w:p w14:paraId="2B5C8D57"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18A710FC"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Welsh Government (2022) explain the careful selection of national indicators is critical in actively tracking the development of wellness goals. These indicators serve as quantitative benchmarks for assessing the efficacy and reach of new policies and actions. Decision-makers are better positioned to make informed decisions and change course, if necessary, based on the data obtained from these national indicators and milestones. This attentive technique allows for evidence-based decision-making and gives a tangible framework for assessing how initiatives affect the overall health and well-being of the population. According to Cookson et al. (2016) the process of selecting explicit indicators capable of successfully evaluating and analysing a country's well-being status is critical (Davidson, 2020). The evaluation of milestones on a regular basis allows stakeholders to track the progress of their efforts, make informed choices, and consistently enhance wellbeing outcomes (Welsh Government, 2023; Future Generations Commissioner for Wales, 2023).  </w:t>
      </w:r>
    </w:p>
    <w:p w14:paraId="5C4346DF"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57C3B6BF" w14:textId="77777777" w:rsidR="000B1F9C" w:rsidRPr="000B1F9C" w:rsidRDefault="000B1F9C" w:rsidP="000B1F9C">
      <w:pPr>
        <w:spacing w:beforeAutospacing="1" w:after="0" w:afterAutospacing="1" w:line="240" w:lineRule="auto"/>
        <w:textAlignment w:val="baseline"/>
        <w:rPr>
          <w:rFonts w:ascii="Calibri Light" w:eastAsia="Times New Roman" w:hAnsi="Calibri Light" w:cs="Calibri Light"/>
          <w:kern w:val="0"/>
          <w:sz w:val="24"/>
          <w:szCs w:val="24"/>
          <w:lang w:eastAsia="en-GB"/>
          <w14:ligatures w14:val="none"/>
        </w:rPr>
      </w:pPr>
      <w:r w:rsidRPr="000B1F9C">
        <w:rPr>
          <w:rFonts w:ascii="Calibri Light" w:eastAsia="Times New Roman" w:hAnsi="Calibri Light" w:cs="Calibri Light"/>
          <w:kern w:val="0"/>
          <w:sz w:val="24"/>
          <w:szCs w:val="24"/>
          <w:lang w:eastAsia="en-GB"/>
          <w14:ligatures w14:val="none"/>
        </w:rPr>
        <w:lastRenderedPageBreak/>
        <w:t>A few measures being monitored in order to attain a healthier and more equitable Wales include tracking the percentage of live single births weighing less than 2,500 grammes at birth, healthy life expectancy from birth, taking into account the difference between the most and least fortunate, The proportion of people who practise two or more healthy lifestyle habits, the proportion of children who practise two or more healthy lifestyle habits, assessment of young children's development, percentage of individuals who have completed the National Qualifications Framework at each level, Gross Disposable Household Income per capita, the percentage of the working population that are either employed permanently or temporarily and are not looking for long-term work, and who make at least the actual Living Wage (Welsh Government, 2022b). </w:t>
      </w:r>
    </w:p>
    <w:p w14:paraId="3103EACE" w14:textId="09DC61DA"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p>
    <w:p w14:paraId="7E53AE4F"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Public Health Wales (2023) and Social Care Wales, (2019) express that one goal of the future generations Act is to improve the health and well-being of the Welsh people, emphasising the need for a healthier Wales. It focuses on the whole person's health, investigating physical, mental, and social components while also advocating for preventative and early intervention techniques. With a healthy population, the Act hopes to foster an atmosphere that promotes healthy, satisfying lives. Several efforts and projects are in place to improve healthcare services, promote healthy lives, and address health inequities. These, however, need additional investigation to determine their usefulness and possible influence on the nation's health and well-being. </w:t>
      </w:r>
    </w:p>
    <w:p w14:paraId="6B5305DB" w14:textId="55DFE0BB"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Public Health Wales (2024) explain that one indicator is the national target for adults' and children's healthy lifestyle habits in Wales which aims to raise the proportion of adults who engage in two or more healthy</w:t>
      </w:r>
      <w:r w:rsidR="6E05E334" w:rsidRPr="0016729D">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kern w:val="0"/>
          <w:sz w:val="24"/>
          <w:szCs w:val="24"/>
          <w:lang w:eastAsia="en-GB"/>
          <w14:ligatures w14:val="none"/>
        </w:rPr>
        <w:t>behaviours to more than 97% by 2050, and the proportion of children who engage in two or more healthy behaviours to 94% by 2035 and more than 99% by 2050. The Welsh government has also proposed things such as introducing a sugar tax on sugary drinks in Wales, encouraging schools to promote healthy eating and adapting school menus, Wales also offer ‘The National Exercise Referral Scheme (NERS) which is the only national referral program in the United Kingdom and aims to ensure all people have access to fitness programs across local authorities and health boards in Wales (Welsh Government, 2023a), (Welsh Parliament, 2014). </w:t>
      </w:r>
    </w:p>
    <w:p w14:paraId="6B1497D2" w14:textId="77777777" w:rsidR="0016729D" w:rsidRPr="0016729D" w:rsidRDefault="0016729D" w:rsidP="0016729D">
      <w:pPr>
        <w:spacing w:after="0" w:line="240" w:lineRule="auto"/>
        <w:textAlignment w:val="baseline"/>
        <w:rPr>
          <w:rFonts w:ascii="Segoe UI" w:eastAsia="Times New Roman" w:hAnsi="Segoe UI" w:cs="Segoe UI"/>
          <w:kern w:val="0"/>
          <w:sz w:val="18"/>
          <w:szCs w:val="18"/>
          <w:lang w:eastAsia="en-GB"/>
          <w14:ligatures w14:val="none"/>
        </w:rPr>
      </w:pPr>
      <w:r w:rsidRPr="0016729D">
        <w:rPr>
          <w:rFonts w:ascii="Calibri" w:eastAsia="Times New Roman" w:hAnsi="Calibri" w:cs="Calibri"/>
          <w:kern w:val="0"/>
          <w:lang w:eastAsia="en-GB"/>
          <w14:ligatures w14:val="none"/>
        </w:rPr>
        <w:t> </w:t>
      </w:r>
    </w:p>
    <w:p w14:paraId="10113779"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According to the Welsh Government (2018) health models serve as conceptual frameworks for comprehending and interpreting health and well-being. The biological model, the social model, and the biopsychosocial model are the most often used models. Bolton &amp; Gillett, (2019) and Lunney et al. (2021) share that the biomedical paradigm sees health as the absence of sickness or infirmity through a biological lens and emphasises the identification and treatment of disorders (Tramonti et al., 2021). The social model, on the other hand, recognises that social, economic, and environmental variables influence health, and prioritises the elimination of social inequities for improved health outcomes. The biopsychosocial approach recognises the interdependence of mental and physical health as well as its environmental impacts by combining biological, psychological, and social viewpoints. These models highlight distinct elements of health and suggest ways for improving well-being (Abbas et al. 2019; Nuzum et al.2020).  </w:t>
      </w:r>
    </w:p>
    <w:p w14:paraId="7F89CAE2"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Times New Roman" w:eastAsia="Times New Roman" w:hAnsi="Times New Roman" w:cs="Times New Roman"/>
          <w:kern w:val="0"/>
          <w:sz w:val="24"/>
          <w:szCs w:val="24"/>
          <w:lang w:eastAsia="en-GB"/>
          <w14:ligatures w14:val="none"/>
        </w:rPr>
        <w:lastRenderedPageBreak/>
        <w:t> </w:t>
      </w:r>
    </w:p>
    <w:p w14:paraId="64394D90"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Another goal of the Act is to build a more equitable Wales by addressing inequality and its consequences for regional well-being (Department of Health &amp; Social Care, 2019). It seeks to guarantee that all residents have an equal opportunity for a healthy and productive life by attempting to reduce disparities in income, education, and access to services. It emphasises socioeconomic determinants of health, recognising that unequal distribution of resources and opportunity may lead to health inequities. The Act seeks to improve the health and well-being of the Welsh by aiming for a more equal society. This is the overall goal of the Future Generations Act, which aims to ensure a thriving, sustainable Wales for future generations (Department of Health, 2023; United Nations, 2015). </w:t>
      </w:r>
    </w:p>
    <w:p w14:paraId="5A93A2DF" w14:textId="346846AB" w:rsidR="47368A1D" w:rsidRDefault="47368A1D" w:rsidP="47368A1D">
      <w:pPr>
        <w:spacing w:beforeAutospacing="1" w:afterAutospacing="1" w:line="240" w:lineRule="auto"/>
        <w:rPr>
          <w:rFonts w:ascii="Calibri Light" w:eastAsia="Times New Roman" w:hAnsi="Calibri Light" w:cs="Calibri Light"/>
          <w:sz w:val="24"/>
          <w:szCs w:val="24"/>
          <w:lang w:eastAsia="en-GB"/>
        </w:rPr>
      </w:pPr>
    </w:p>
    <w:p w14:paraId="05618B1F"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Europe, Wales and Government (2017) and Sharp et al. (2022) share that approaches to achieving a more equal Wales include a variety of programmes and activities aiming at reducing inequities and improving general well-being. The Welsh Government regularly collaborates with third sector groups who act as advocates for different marginalised groups. These include faith, disability and race equality organisations. </w:t>
      </w:r>
    </w:p>
    <w:p w14:paraId="0A22D6C4"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7595E103"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Milner et al. (2021) Borsa et al. (2023) and Green, Gray and Ashton (2019) explains when comparing the concepts of "A More Equal Wales" and "A Healthier Wales," it is critical to recognise the relationship between equality and health quality. Fairness in society might greatly improve health outcomes for individuals and community groups. Anderson et al., (2022) shows that individuals who live in more egalitarian communities have better overall health, while those who live in less equitable cultures may suffer from a variety of health difficulties, including psychological troubles and chronic diseases. Addressing socioeconomic health factors such as financial inequality and access to education and healthcare facilities, as well as dealing with prejudice, is essential on the road to a fairer and healthier Wales</w:t>
      </w:r>
      <w:r w:rsidRPr="0016729D">
        <w:rPr>
          <w:rFonts w:ascii="Calibri Light" w:eastAsia="Times New Roman" w:hAnsi="Calibri Light" w:cs="Calibri Light"/>
          <w:i/>
          <w:iCs/>
          <w:kern w:val="0"/>
          <w:sz w:val="24"/>
          <w:szCs w:val="24"/>
          <w:lang w:eastAsia="en-GB"/>
          <w14:ligatures w14:val="none"/>
        </w:rPr>
        <w:t xml:space="preserve">. </w:t>
      </w:r>
      <w:r w:rsidRPr="0016729D">
        <w:rPr>
          <w:rFonts w:ascii="Calibri Light" w:eastAsia="Times New Roman" w:hAnsi="Calibri Light" w:cs="Calibri Light"/>
          <w:kern w:val="0"/>
          <w:sz w:val="24"/>
          <w:szCs w:val="24"/>
          <w:lang w:eastAsia="en-GB"/>
          <w14:ligatures w14:val="none"/>
        </w:rPr>
        <w:t>By addressing these fundamental structural problems, a society that promotes fairness and improves the health and well-being of its citizens may be realised. Furthermore, it is critical for Welsh public service boards to emphasise initiatives aimed at eliminating health inequalities and guaranteeing equitable access to services, which necessitates effective coordination across multiple sectors such as healthcare providers, local governing bodies, and community organisations. This is done to accommodate the distinctive needs of a varied population while also ensuring that resources are dispersed equally (Llywodraeth Cymru Welsh Government, 2023; Royce, 2022; Stielke, Ashton and Dyakova, 2023). Finally, achieving a more equitable and healthier Wales demands an all-encompassing strategy that addresses both social and health determinants (Green, Gray and Ashton, 2019). </w:t>
      </w:r>
    </w:p>
    <w:p w14:paraId="11E618B1"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434E07A8"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23888B34" w14:textId="6C1C78FE"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Webber, Guo and Mann, (2015) and Resnik, (2007) agree that personal health responsibility is an essential component of total wellbeing. The biomedical paradigm focuses on an </w:t>
      </w:r>
      <w:r w:rsidRPr="0016729D">
        <w:rPr>
          <w:rFonts w:ascii="Calibri Light" w:eastAsia="Times New Roman" w:hAnsi="Calibri Light" w:cs="Calibri Light"/>
          <w:kern w:val="0"/>
          <w:sz w:val="24"/>
          <w:szCs w:val="24"/>
          <w:lang w:eastAsia="en-GB"/>
          <w14:ligatures w14:val="none"/>
        </w:rPr>
        <w:lastRenderedPageBreak/>
        <w:t>individual's physical health, implying that diseases arise from biological irregularities. The sociocultural paradigm, on the other hand, holds that socioeconomic position, education, and social support all have an impact on health. It emphasises the need of addressing these socioeconomic health variables in order to improve wellbeing. However, Holt-White, (2019) adds the responsibility of people cannot be ignored. Individuals may make proactive health-related decisions such as participating in healthy behaviours and seeking preventative care. As a result, they contribute to their overall well-being and reduce the strain on hospital infrastructure. Therefore, a comprehensive approach to health integrates both biological and social perspectives while emphasising the individual's viewpoint. </w:t>
      </w:r>
    </w:p>
    <w:p w14:paraId="48511532"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69A6E7B1"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Personal responsibility in health outcomes research examines people' roles in determining their health. It investigates how people’s behaviours and decisions impact their wellbeing, drawing on concepts from both sociological and biological health models. The biomedical paradigm emphasises biological components as well as human responsibility for health maintenance. The societal model, on the other hand, recognises the effect of social factors and emphasises collective responsibility. This assessment looks at the balance between human choice and society's impact in shaping health outcomes, recognising the importance of both. It emphasises the importance of understanding the complex interplay between personal choices and societal factors in the quest of wellbeing (Björk et al., 2021). </w:t>
      </w:r>
    </w:p>
    <w:p w14:paraId="43136AE9"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5AF93EEA"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26EF81C8"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As part of the Well-being of Future Generations (Wales) Act 2015, Public Service Boards (PSBs) were created in order to bring together local leaders in the public sector, to evaluate and address the requirements for the well-being of their communities. Anderson et al., (2022) and Holland-Hart et al., (2018) agree, that public service boards are governing bodies responsible for overseeing and regulating certain aspects of public services. They are composed of individuals who are appointed or selected based on their qualifications and expertise. The members of a board usually consist of leaders from the following agencies: Natural Resources Wales, Health Board, Fire and Rescue Authority, Local Authorities, Police Forces, Police and Crime Commissioner, and Probation Services. These boards play a vital role in ensuring that public services operate effectively and efficiently. They have various functions and responsibilities, which can include setting policies, making decisions, and monitoring the implementation of programs. Public service boards have a significant impact on the delivery of public services and are crucial for maintaining accountability and transparency (National Health Service, 2023; Tritter, 2011; Jones, Thomas and Rudd, 2004). </w:t>
      </w:r>
    </w:p>
    <w:p w14:paraId="4D52A947"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7734D78A"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Guarneros‐Meza and Martin, (2014) indicate that Public Service Boards (PSBs) in Wales have implemented a variety of projects to improve health and well-being. These projects target many aspects of well-being, such as physical, mental, and social health. Some of the initiatives try to promote a healthy lifestyle, such as programmes to reduce smoking rates </w:t>
      </w:r>
      <w:r w:rsidRPr="0016729D">
        <w:rPr>
          <w:rFonts w:ascii="Calibri Light" w:eastAsia="Times New Roman" w:hAnsi="Calibri Light" w:cs="Calibri Light"/>
          <w:kern w:val="0"/>
          <w:sz w:val="24"/>
          <w:szCs w:val="24"/>
          <w:lang w:eastAsia="en-GB"/>
          <w14:ligatures w14:val="none"/>
        </w:rPr>
        <w:lastRenderedPageBreak/>
        <w:t>and boost physical activity (Murphy et al., 2012). Mawdsley (2021) adds that PSBs are also involved in developing policies to improve access to healthcare services, particularly in underserved areas. Collaboration with healthcare providers to open new clinics or expand existing ones might be part of this. They also have systematic ways of addressing mental health concerns, such as integrating counselling and therapy services in schools and workplaces. They work together to address socioeconomic determinants of health such as poverty and inequity, implementing programmes to improve living circumstances and aid vulnerable groups. These programmes may include housing initiatives, job training, and social support services. To summarise, the projects and programmes established by PSBs in Wales strive to formulate a complete approach to improving health and wellbeing by addressing the many elements that impact persons' overall quality of life (Netherwood, 2017; Sharp et al., 2022). </w:t>
      </w:r>
    </w:p>
    <w:p w14:paraId="413DC5AA"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79D4E066"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Directorate-General for Employment et al. (2018) explain that the comparative analysis of Public Service Boards in Wales includes an assessment of performance against national benchmarks, an appraisal of community involvement in decision-making, and an exploration of the implications this holds for the potency of the Future Generations Act (Davies, 2016). Scrutinising their performance-related data vis-a-vis national parameters enables us to measure the impact of Public Service Boards on enhancing health and well-being. Furthermore, by evaluating community participation in the decision-making process, we can gauge the democratic character and degree of inclusivity of these boards. These factors enable us to identify the pros and cons of various Public Service Boards in Wales, and their repercussions for health and wellbeing outcomes (Future generations Commissioner for Wales, 2023). </w:t>
      </w:r>
    </w:p>
    <w:p w14:paraId="76B19A7E"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1680D447"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It is critical to examine how successfully Public Service Boards (PSBs) satisfy wellness goals when comparing their performance against national benchmarks. Swansea Council’s (2023) examination of PSBs' ability to meet these criteria enables us to comprehend the concrete effects of their actions on health and well-being rates. This evaluation provides critical insights into each PSB's strengths and weaknesses, allowing for a better understanding of their contribution to the broader aims of the Future Generations Act. Furthermore, measuring the level of community engagement in PSB decision-making provides an indication of the Act's capacity to satisfy the demands and goals of local people. This research has consequences for the Future Generations Act's overall effectiveness in improving the health of the Welsh people. </w:t>
      </w:r>
    </w:p>
    <w:p w14:paraId="675C6F0C"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601D1598"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Rabaiotti and Harrison, (2023) explain that an examination of the implications of the Future Generations Act on wellbeing shows that the law has the potential to significantly influence Welsh welfare. The Act's lofty goals of creating a successful, egalitarian, and healthy society are intimately related to important wellness elements. By highlighting these goals, the Act takes proactive efforts towards ensuring a good and sustainable future for future </w:t>
      </w:r>
      <w:r w:rsidRPr="0016729D">
        <w:rPr>
          <w:rFonts w:ascii="Calibri Light" w:eastAsia="Times New Roman" w:hAnsi="Calibri Light" w:cs="Calibri Light"/>
          <w:kern w:val="0"/>
          <w:sz w:val="24"/>
          <w:szCs w:val="24"/>
          <w:lang w:eastAsia="en-GB"/>
          <w14:ligatures w14:val="none"/>
        </w:rPr>
        <w:lastRenderedPageBreak/>
        <w:t>generations. However, rigorous examination of the Act's effects on well-being is critical. Such audits must include an assessment of PSB activities and their effectiveness in improving health and well-being.  </w:t>
      </w:r>
    </w:p>
    <w:p w14:paraId="23B52867" w14:textId="21039804" w:rsidR="13777C76" w:rsidRPr="00E801BF" w:rsidRDefault="0016729D" w:rsidP="00E801BF">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r w:rsidRPr="0016729D">
        <w:rPr>
          <w:rFonts w:ascii="Calibri Light" w:eastAsia="Times New Roman" w:hAnsi="Calibri Light" w:cs="Calibri Light"/>
          <w:color w:val="4471C4"/>
          <w:kern w:val="0"/>
          <w:sz w:val="24"/>
          <w:szCs w:val="24"/>
          <w:lang w:eastAsia="en-GB"/>
          <w14:ligatures w14:val="none"/>
        </w:rPr>
        <w:t> </w:t>
      </w:r>
    </w:p>
    <w:p w14:paraId="01B879F5" w14:textId="5D616987" w:rsidR="6B10469E" w:rsidRDefault="6B10469E" w:rsidP="24403582">
      <w:pPr>
        <w:spacing w:beforeAutospacing="1" w:after="0" w:afterAutospacing="1" w:line="240" w:lineRule="auto"/>
        <w:rPr>
          <w:rFonts w:ascii="Calibri Light" w:eastAsia="Times New Roman" w:hAnsi="Calibri Light" w:cs="Calibri Light"/>
          <w:sz w:val="24"/>
          <w:szCs w:val="24"/>
          <w:lang w:eastAsia="en-GB"/>
        </w:rPr>
      </w:pPr>
      <w:r w:rsidRPr="6F84169B">
        <w:rPr>
          <w:rFonts w:ascii="Calibri Light" w:eastAsia="Times New Roman" w:hAnsi="Calibri Light" w:cs="Calibri Light"/>
          <w:sz w:val="24"/>
          <w:szCs w:val="24"/>
          <w:lang w:eastAsia="en-GB"/>
        </w:rPr>
        <w:t>In passing</w:t>
      </w:r>
      <w:r w:rsidRPr="2DB2C438">
        <w:rPr>
          <w:rFonts w:ascii="Calibri Light" w:eastAsia="Times New Roman" w:hAnsi="Calibri Light" w:cs="Calibri Light"/>
          <w:sz w:val="24"/>
          <w:szCs w:val="24"/>
          <w:lang w:eastAsia="en-GB"/>
        </w:rPr>
        <w:t xml:space="preserve"> the </w:t>
      </w:r>
      <w:r w:rsidRPr="3BABE177">
        <w:rPr>
          <w:rFonts w:ascii="Calibri Light" w:eastAsia="Times New Roman" w:hAnsi="Calibri Light" w:cs="Calibri Light"/>
          <w:i/>
          <w:sz w:val="24"/>
          <w:szCs w:val="24"/>
          <w:lang w:eastAsia="en-GB"/>
        </w:rPr>
        <w:t>Well-being of Future Generations (Wales) Act 2015</w:t>
      </w:r>
      <w:r w:rsidRPr="2DB2C438">
        <w:rPr>
          <w:rFonts w:ascii="Calibri Light" w:eastAsia="Times New Roman" w:hAnsi="Calibri Light" w:cs="Calibri Light"/>
          <w:sz w:val="24"/>
          <w:szCs w:val="24"/>
          <w:lang w:eastAsia="en-GB"/>
        </w:rPr>
        <w:t xml:space="preserve">, the National Assembly for </w:t>
      </w:r>
      <w:r w:rsidRPr="0114C30E">
        <w:rPr>
          <w:rFonts w:ascii="Calibri Light" w:eastAsia="Times New Roman" w:hAnsi="Calibri Light" w:cs="Calibri Light"/>
          <w:sz w:val="24"/>
          <w:szCs w:val="24"/>
          <w:lang w:eastAsia="en-GB"/>
        </w:rPr>
        <w:t xml:space="preserve">Wales </w:t>
      </w:r>
      <w:r w:rsidRPr="78FB0607">
        <w:rPr>
          <w:rFonts w:ascii="Calibri Light" w:eastAsia="Times New Roman" w:hAnsi="Calibri Light" w:cs="Calibri Light"/>
          <w:sz w:val="24"/>
          <w:szCs w:val="24"/>
          <w:lang w:eastAsia="en-GB"/>
        </w:rPr>
        <w:t xml:space="preserve">demonstrated their </w:t>
      </w:r>
      <w:r w:rsidRPr="5DC2AD06">
        <w:rPr>
          <w:rFonts w:ascii="Calibri Light" w:eastAsia="Times New Roman" w:hAnsi="Calibri Light" w:cs="Calibri Light"/>
          <w:sz w:val="24"/>
          <w:szCs w:val="24"/>
          <w:lang w:eastAsia="en-GB"/>
        </w:rPr>
        <w:t xml:space="preserve">commitment </w:t>
      </w:r>
      <w:r w:rsidRPr="1A9A8131">
        <w:rPr>
          <w:rFonts w:ascii="Calibri Light" w:eastAsia="Times New Roman" w:hAnsi="Calibri Light" w:cs="Calibri Light"/>
          <w:sz w:val="24"/>
          <w:szCs w:val="24"/>
          <w:lang w:eastAsia="en-GB"/>
        </w:rPr>
        <w:t xml:space="preserve">to ensuring </w:t>
      </w:r>
      <w:r w:rsidRPr="4D434B9F">
        <w:rPr>
          <w:rFonts w:ascii="Calibri Light" w:eastAsia="Times New Roman" w:hAnsi="Calibri Light" w:cs="Calibri Light"/>
          <w:sz w:val="24"/>
          <w:szCs w:val="24"/>
          <w:lang w:eastAsia="en-GB"/>
        </w:rPr>
        <w:t xml:space="preserve">a more sustainable future for the </w:t>
      </w:r>
      <w:r w:rsidRPr="633E9139">
        <w:rPr>
          <w:rFonts w:ascii="Calibri Light" w:eastAsia="Times New Roman" w:hAnsi="Calibri Light" w:cs="Calibri Light"/>
          <w:sz w:val="24"/>
          <w:szCs w:val="24"/>
          <w:lang w:eastAsia="en-GB"/>
        </w:rPr>
        <w:t>country</w:t>
      </w:r>
      <w:r w:rsidR="5063BD3D" w:rsidRPr="61F0DE0A">
        <w:rPr>
          <w:rFonts w:ascii="Calibri Light" w:eastAsia="Times New Roman" w:hAnsi="Calibri Light" w:cs="Calibri Light"/>
          <w:sz w:val="24"/>
          <w:szCs w:val="24"/>
          <w:lang w:eastAsia="en-GB"/>
        </w:rPr>
        <w:t>,</w:t>
      </w:r>
      <w:r w:rsidR="2BDFA8D6" w:rsidRPr="633E9139">
        <w:rPr>
          <w:rFonts w:ascii="Calibri Light" w:eastAsia="Times New Roman" w:hAnsi="Calibri Light" w:cs="Calibri Light"/>
          <w:sz w:val="24"/>
          <w:szCs w:val="24"/>
          <w:lang w:eastAsia="en-GB"/>
        </w:rPr>
        <w:t xml:space="preserve"> </w:t>
      </w:r>
      <w:r w:rsidR="5063BD3D" w:rsidRPr="1FF08B1F">
        <w:rPr>
          <w:rFonts w:ascii="Calibri Light" w:eastAsia="Times New Roman" w:hAnsi="Calibri Light" w:cs="Calibri Light"/>
          <w:sz w:val="24"/>
          <w:szCs w:val="24"/>
          <w:lang w:eastAsia="en-GB"/>
        </w:rPr>
        <w:t xml:space="preserve">driven by </w:t>
      </w:r>
      <w:r w:rsidR="1F5953C6" w:rsidRPr="6E7CC407">
        <w:rPr>
          <w:rFonts w:ascii="Calibri Light" w:eastAsia="Times New Roman" w:hAnsi="Calibri Light" w:cs="Calibri Light"/>
          <w:sz w:val="24"/>
          <w:szCs w:val="24"/>
          <w:lang w:eastAsia="en-GB"/>
        </w:rPr>
        <w:t>a</w:t>
      </w:r>
      <w:r w:rsidR="5063BD3D" w:rsidRPr="0FE1BC68">
        <w:rPr>
          <w:rFonts w:ascii="Calibri Light" w:eastAsia="Times New Roman" w:hAnsi="Calibri Light" w:cs="Calibri Light"/>
          <w:sz w:val="24"/>
          <w:szCs w:val="24"/>
          <w:lang w:eastAsia="en-GB"/>
        </w:rPr>
        <w:t xml:space="preserve"> </w:t>
      </w:r>
      <w:r w:rsidR="1F5953C6" w:rsidRPr="36C9C533">
        <w:rPr>
          <w:rFonts w:ascii="Calibri Light" w:eastAsia="Times New Roman" w:hAnsi="Calibri Light" w:cs="Calibri Light"/>
          <w:sz w:val="24"/>
          <w:szCs w:val="24"/>
          <w:lang w:eastAsia="en-GB"/>
        </w:rPr>
        <w:t>need to</w:t>
      </w:r>
      <w:r w:rsidR="5063BD3D" w:rsidRPr="7C073DBE">
        <w:rPr>
          <w:rFonts w:ascii="Calibri Light" w:eastAsia="Times New Roman" w:hAnsi="Calibri Light" w:cs="Calibri Light"/>
          <w:sz w:val="24"/>
          <w:szCs w:val="24"/>
          <w:lang w:eastAsia="en-GB"/>
        </w:rPr>
        <w:t xml:space="preserve"> </w:t>
      </w:r>
      <w:r w:rsidR="1F5953C6" w:rsidRPr="55E7C0B1">
        <w:rPr>
          <w:rFonts w:ascii="Calibri Light" w:eastAsia="Times New Roman" w:hAnsi="Calibri Light" w:cs="Calibri Light"/>
          <w:sz w:val="24"/>
          <w:szCs w:val="24"/>
          <w:lang w:eastAsia="en-GB"/>
        </w:rPr>
        <w:t>meet</w:t>
      </w:r>
      <w:r w:rsidR="5063BD3D" w:rsidRPr="34F96F6C">
        <w:rPr>
          <w:rFonts w:ascii="Calibri Light" w:eastAsia="Times New Roman" w:hAnsi="Calibri Light" w:cs="Calibri Light"/>
          <w:sz w:val="24"/>
          <w:szCs w:val="24"/>
          <w:lang w:eastAsia="en-GB"/>
        </w:rPr>
        <w:t xml:space="preserve"> </w:t>
      </w:r>
      <w:r w:rsidR="5063BD3D" w:rsidRPr="7F44A017">
        <w:rPr>
          <w:rFonts w:ascii="Calibri Light" w:eastAsia="Times New Roman" w:hAnsi="Calibri Light" w:cs="Calibri Light"/>
          <w:sz w:val="24"/>
          <w:szCs w:val="24"/>
          <w:lang w:eastAsia="en-GB"/>
        </w:rPr>
        <w:t xml:space="preserve">the </w:t>
      </w:r>
      <w:r w:rsidR="5063BD3D" w:rsidRPr="40BA310F">
        <w:rPr>
          <w:rFonts w:ascii="Calibri Light" w:eastAsia="Times New Roman" w:hAnsi="Calibri Light" w:cs="Calibri Light"/>
          <w:sz w:val="24"/>
          <w:szCs w:val="24"/>
          <w:lang w:eastAsia="en-GB"/>
        </w:rPr>
        <w:t xml:space="preserve">United </w:t>
      </w:r>
      <w:r w:rsidR="5063BD3D" w:rsidRPr="015340CA">
        <w:rPr>
          <w:rFonts w:ascii="Calibri Light" w:eastAsia="Times New Roman" w:hAnsi="Calibri Light" w:cs="Calibri Light"/>
          <w:sz w:val="24"/>
          <w:szCs w:val="24"/>
          <w:lang w:eastAsia="en-GB"/>
        </w:rPr>
        <w:t>Nation</w:t>
      </w:r>
      <w:r w:rsidR="5DBC33D3" w:rsidRPr="015340CA">
        <w:rPr>
          <w:rFonts w:ascii="Calibri Light" w:eastAsia="Times New Roman" w:hAnsi="Calibri Light" w:cs="Calibri Light"/>
          <w:sz w:val="24"/>
          <w:szCs w:val="24"/>
          <w:lang w:eastAsia="en-GB"/>
        </w:rPr>
        <w:t>s’</w:t>
      </w:r>
      <w:r w:rsidR="5063BD3D" w:rsidRPr="2F44AED5">
        <w:rPr>
          <w:rFonts w:ascii="Calibri Light" w:eastAsia="Times New Roman" w:hAnsi="Calibri Light" w:cs="Calibri Light"/>
          <w:sz w:val="24"/>
          <w:szCs w:val="24"/>
          <w:lang w:eastAsia="en-GB"/>
        </w:rPr>
        <w:t xml:space="preserve"> </w:t>
      </w:r>
      <w:r w:rsidR="5063BD3D" w:rsidRPr="1C400565">
        <w:rPr>
          <w:rFonts w:ascii="Calibri Light" w:eastAsia="Times New Roman" w:hAnsi="Calibri Light" w:cs="Calibri Light"/>
          <w:sz w:val="24"/>
          <w:szCs w:val="24"/>
          <w:lang w:eastAsia="en-GB"/>
        </w:rPr>
        <w:t>M</w:t>
      </w:r>
      <w:r w:rsidR="0E70501B" w:rsidRPr="1C400565">
        <w:rPr>
          <w:rFonts w:ascii="Calibri Light" w:eastAsia="Times New Roman" w:hAnsi="Calibri Light" w:cs="Calibri Light"/>
          <w:sz w:val="24"/>
          <w:szCs w:val="24"/>
          <w:lang w:eastAsia="en-GB"/>
        </w:rPr>
        <w:t xml:space="preserve">illenium </w:t>
      </w:r>
      <w:r w:rsidR="5063BD3D" w:rsidRPr="7D52EA1D">
        <w:rPr>
          <w:rFonts w:ascii="Calibri Light" w:eastAsia="Times New Roman" w:hAnsi="Calibri Light" w:cs="Calibri Light"/>
          <w:sz w:val="24"/>
          <w:szCs w:val="24"/>
          <w:lang w:eastAsia="en-GB"/>
        </w:rPr>
        <w:t>D</w:t>
      </w:r>
      <w:r w:rsidR="34AD8811" w:rsidRPr="7D52EA1D">
        <w:rPr>
          <w:rFonts w:ascii="Calibri Light" w:eastAsia="Times New Roman" w:hAnsi="Calibri Light" w:cs="Calibri Light"/>
          <w:sz w:val="24"/>
          <w:szCs w:val="24"/>
          <w:lang w:eastAsia="en-GB"/>
        </w:rPr>
        <w:t xml:space="preserve">evelopment </w:t>
      </w:r>
      <w:r w:rsidR="5063BD3D" w:rsidRPr="5C93D9C8">
        <w:rPr>
          <w:rFonts w:ascii="Calibri Light" w:eastAsia="Times New Roman" w:hAnsi="Calibri Light" w:cs="Calibri Light"/>
          <w:sz w:val="24"/>
          <w:szCs w:val="24"/>
          <w:lang w:eastAsia="en-GB"/>
        </w:rPr>
        <w:t>G</w:t>
      </w:r>
      <w:r w:rsidR="5C2A3784" w:rsidRPr="5C93D9C8">
        <w:rPr>
          <w:rFonts w:ascii="Calibri Light" w:eastAsia="Times New Roman" w:hAnsi="Calibri Light" w:cs="Calibri Light"/>
          <w:sz w:val="24"/>
          <w:szCs w:val="24"/>
          <w:lang w:eastAsia="en-GB"/>
        </w:rPr>
        <w:t>oals</w:t>
      </w:r>
      <w:r w:rsidR="5063BD3D" w:rsidRPr="7DCD7B0B">
        <w:rPr>
          <w:rFonts w:ascii="Calibri Light" w:eastAsia="Times New Roman" w:hAnsi="Calibri Light" w:cs="Calibri Light"/>
          <w:sz w:val="24"/>
          <w:szCs w:val="24"/>
          <w:lang w:eastAsia="en-GB"/>
        </w:rPr>
        <w:t xml:space="preserve"> </w:t>
      </w:r>
      <w:r w:rsidR="5C2A3784" w:rsidRPr="4543B3F5">
        <w:rPr>
          <w:rFonts w:ascii="Calibri Light" w:eastAsia="Times New Roman" w:hAnsi="Calibri Light" w:cs="Calibri Light"/>
          <w:sz w:val="24"/>
          <w:szCs w:val="24"/>
          <w:lang w:eastAsia="en-GB"/>
        </w:rPr>
        <w:t xml:space="preserve">and the more </w:t>
      </w:r>
      <w:r w:rsidR="5C2A3784" w:rsidRPr="4D3634F5">
        <w:rPr>
          <w:rFonts w:ascii="Calibri Light" w:eastAsia="Times New Roman" w:hAnsi="Calibri Light" w:cs="Calibri Light"/>
          <w:sz w:val="24"/>
          <w:szCs w:val="24"/>
          <w:lang w:eastAsia="en-GB"/>
        </w:rPr>
        <w:t xml:space="preserve">recent </w:t>
      </w:r>
      <w:r w:rsidR="5C2A3784" w:rsidRPr="75AFF5A7">
        <w:rPr>
          <w:rFonts w:ascii="Calibri Light" w:eastAsia="Times New Roman" w:hAnsi="Calibri Light" w:cs="Calibri Light"/>
          <w:sz w:val="24"/>
          <w:szCs w:val="24"/>
          <w:lang w:eastAsia="en-GB"/>
        </w:rPr>
        <w:t xml:space="preserve">Sustainable Development </w:t>
      </w:r>
      <w:r w:rsidR="5C2A3784" w:rsidRPr="0E871A98">
        <w:rPr>
          <w:rFonts w:ascii="Calibri Light" w:eastAsia="Times New Roman" w:hAnsi="Calibri Light" w:cs="Calibri Light"/>
          <w:sz w:val="24"/>
          <w:szCs w:val="24"/>
          <w:lang w:eastAsia="en-GB"/>
        </w:rPr>
        <w:t>Goals,</w:t>
      </w:r>
      <w:r w:rsidR="5063BD3D" w:rsidRPr="4543B3F5">
        <w:rPr>
          <w:rFonts w:ascii="Calibri Light" w:eastAsia="Times New Roman" w:hAnsi="Calibri Light" w:cs="Calibri Light"/>
          <w:sz w:val="24"/>
          <w:szCs w:val="24"/>
          <w:lang w:eastAsia="en-GB"/>
        </w:rPr>
        <w:t xml:space="preserve"> </w:t>
      </w:r>
      <w:r w:rsidR="5063BD3D" w:rsidRPr="6F6CE777">
        <w:rPr>
          <w:rFonts w:ascii="Calibri Light" w:eastAsia="Times New Roman" w:hAnsi="Calibri Light" w:cs="Calibri Light"/>
          <w:sz w:val="24"/>
          <w:szCs w:val="24"/>
          <w:lang w:eastAsia="en-GB"/>
        </w:rPr>
        <w:t xml:space="preserve">which </w:t>
      </w:r>
      <w:r w:rsidR="5063BD3D" w:rsidRPr="48108F6A">
        <w:rPr>
          <w:rFonts w:ascii="Calibri Light" w:eastAsia="Times New Roman" w:hAnsi="Calibri Light" w:cs="Calibri Light"/>
          <w:sz w:val="24"/>
          <w:szCs w:val="24"/>
          <w:lang w:eastAsia="en-GB"/>
        </w:rPr>
        <w:t>ha</w:t>
      </w:r>
      <w:r w:rsidR="06B25481" w:rsidRPr="48108F6A">
        <w:rPr>
          <w:rFonts w:ascii="Calibri Light" w:eastAsia="Times New Roman" w:hAnsi="Calibri Light" w:cs="Calibri Light"/>
          <w:sz w:val="24"/>
          <w:szCs w:val="24"/>
          <w:lang w:eastAsia="en-GB"/>
        </w:rPr>
        <w:t>ve</w:t>
      </w:r>
      <w:r w:rsidR="5063BD3D" w:rsidRPr="6F6CE777">
        <w:rPr>
          <w:rFonts w:ascii="Calibri Light" w:eastAsia="Times New Roman" w:hAnsi="Calibri Light" w:cs="Calibri Light"/>
          <w:sz w:val="24"/>
          <w:szCs w:val="24"/>
          <w:lang w:eastAsia="en-GB"/>
        </w:rPr>
        <w:t xml:space="preserve"> </w:t>
      </w:r>
      <w:r w:rsidR="5063BD3D" w:rsidRPr="27F2E630">
        <w:rPr>
          <w:rFonts w:ascii="Calibri Light" w:eastAsia="Times New Roman" w:hAnsi="Calibri Light" w:cs="Calibri Light"/>
          <w:sz w:val="24"/>
          <w:szCs w:val="24"/>
          <w:lang w:eastAsia="en-GB"/>
        </w:rPr>
        <w:t xml:space="preserve">highlighted the need for </w:t>
      </w:r>
      <w:r w:rsidR="5063BD3D" w:rsidRPr="3704A3A8">
        <w:rPr>
          <w:rFonts w:ascii="Calibri Light" w:eastAsia="Times New Roman" w:hAnsi="Calibri Light" w:cs="Calibri Light"/>
          <w:sz w:val="24"/>
          <w:szCs w:val="24"/>
          <w:lang w:eastAsia="en-GB"/>
        </w:rPr>
        <w:t xml:space="preserve">a global </w:t>
      </w:r>
      <w:r w:rsidR="5063BD3D" w:rsidRPr="6AA7EEA4">
        <w:rPr>
          <w:rFonts w:ascii="Calibri Light" w:eastAsia="Times New Roman" w:hAnsi="Calibri Light" w:cs="Calibri Light"/>
          <w:sz w:val="24"/>
          <w:szCs w:val="24"/>
          <w:lang w:eastAsia="en-GB"/>
        </w:rPr>
        <w:t>commit</w:t>
      </w:r>
      <w:r w:rsidR="63B2B357" w:rsidRPr="6AA7EEA4">
        <w:rPr>
          <w:rFonts w:ascii="Calibri Light" w:eastAsia="Times New Roman" w:hAnsi="Calibri Light" w:cs="Calibri Light"/>
          <w:sz w:val="24"/>
          <w:szCs w:val="24"/>
          <w:lang w:eastAsia="en-GB"/>
        </w:rPr>
        <w:t xml:space="preserve">ment to </w:t>
      </w:r>
      <w:r w:rsidR="63B2B357" w:rsidRPr="647ED2FF">
        <w:rPr>
          <w:rFonts w:ascii="Calibri Light" w:eastAsia="Times New Roman" w:hAnsi="Calibri Light" w:cs="Calibri Light"/>
          <w:sz w:val="24"/>
          <w:szCs w:val="24"/>
          <w:lang w:eastAsia="en-GB"/>
        </w:rPr>
        <w:t>improving</w:t>
      </w:r>
      <w:r w:rsidR="63B2B357" w:rsidRPr="6AA7EEA4">
        <w:rPr>
          <w:rFonts w:ascii="Calibri Light" w:eastAsia="Times New Roman" w:hAnsi="Calibri Light" w:cs="Calibri Light"/>
          <w:sz w:val="24"/>
          <w:szCs w:val="24"/>
          <w:lang w:eastAsia="en-GB"/>
        </w:rPr>
        <w:t xml:space="preserve"> well</w:t>
      </w:r>
      <w:r w:rsidR="63B2B357" w:rsidRPr="2C1D7F9C">
        <w:rPr>
          <w:rFonts w:ascii="Calibri Light" w:eastAsia="Times New Roman" w:hAnsi="Calibri Light" w:cs="Calibri Light"/>
          <w:sz w:val="24"/>
          <w:szCs w:val="24"/>
          <w:lang w:eastAsia="en-GB"/>
        </w:rPr>
        <w:t xml:space="preserve">-being for </w:t>
      </w:r>
      <w:r w:rsidR="63B2B357" w:rsidRPr="46C4FA53">
        <w:rPr>
          <w:rFonts w:ascii="Calibri Light" w:eastAsia="Times New Roman" w:hAnsi="Calibri Light" w:cs="Calibri Light"/>
          <w:sz w:val="24"/>
          <w:szCs w:val="24"/>
          <w:lang w:eastAsia="en-GB"/>
        </w:rPr>
        <w:t xml:space="preserve">communities </w:t>
      </w:r>
      <w:r w:rsidR="63B2B357" w:rsidRPr="2372E44C">
        <w:rPr>
          <w:rFonts w:ascii="Calibri Light" w:eastAsia="Times New Roman" w:hAnsi="Calibri Light" w:cs="Calibri Light"/>
          <w:sz w:val="24"/>
          <w:szCs w:val="24"/>
          <w:lang w:eastAsia="en-GB"/>
        </w:rPr>
        <w:t>all around the world</w:t>
      </w:r>
      <w:r w:rsidR="5063BD3D" w:rsidRPr="2372E44C">
        <w:rPr>
          <w:rFonts w:ascii="Calibri Light" w:eastAsia="Times New Roman" w:hAnsi="Calibri Light" w:cs="Calibri Light"/>
          <w:sz w:val="24"/>
          <w:szCs w:val="24"/>
          <w:lang w:eastAsia="en-GB"/>
        </w:rPr>
        <w:t>.</w:t>
      </w:r>
    </w:p>
    <w:p w14:paraId="5915960C" w14:textId="76CA1F35" w:rsidR="6B10469E" w:rsidRDefault="6B10469E" w:rsidP="1E607087">
      <w:pPr>
        <w:spacing w:beforeAutospacing="1" w:after="0" w:afterAutospacing="1" w:line="240" w:lineRule="auto"/>
        <w:rPr>
          <w:rFonts w:ascii="Calibri Light" w:eastAsia="Times New Roman" w:hAnsi="Calibri Light" w:cs="Calibri Light"/>
          <w:sz w:val="24"/>
          <w:szCs w:val="24"/>
          <w:lang w:eastAsia="en-GB"/>
        </w:rPr>
      </w:pPr>
    </w:p>
    <w:p w14:paraId="42ED325C" w14:textId="2302E0C7" w:rsidR="6B10469E" w:rsidRDefault="7E4EB15E" w:rsidP="02628105">
      <w:pPr>
        <w:spacing w:beforeAutospacing="1" w:after="0" w:afterAutospacing="1" w:line="240" w:lineRule="auto"/>
        <w:rPr>
          <w:rFonts w:ascii="Calibri Light" w:eastAsia="Times New Roman" w:hAnsi="Calibri Light" w:cs="Calibri Light"/>
          <w:sz w:val="24"/>
          <w:szCs w:val="24"/>
          <w:lang w:eastAsia="en-GB"/>
        </w:rPr>
      </w:pPr>
      <w:r w:rsidRPr="2437B084">
        <w:rPr>
          <w:rFonts w:ascii="Calibri Light" w:eastAsia="Times New Roman" w:hAnsi="Calibri Light" w:cs="Calibri Light"/>
          <w:sz w:val="24"/>
          <w:szCs w:val="24"/>
          <w:lang w:eastAsia="en-GB"/>
        </w:rPr>
        <w:t xml:space="preserve">The </w:t>
      </w:r>
      <w:r w:rsidR="58D13EE3" w:rsidRPr="0440AEE7">
        <w:rPr>
          <w:rFonts w:ascii="Calibri Light" w:eastAsia="Times New Roman" w:hAnsi="Calibri Light" w:cs="Calibri Light"/>
          <w:i/>
          <w:sz w:val="24"/>
          <w:szCs w:val="24"/>
          <w:lang w:eastAsia="en-GB"/>
        </w:rPr>
        <w:t xml:space="preserve">Wellbeing of Future Generations (Wales) </w:t>
      </w:r>
      <w:r w:rsidRPr="0440AEE7">
        <w:rPr>
          <w:rFonts w:ascii="Calibri Light" w:eastAsia="Times New Roman" w:hAnsi="Calibri Light" w:cs="Calibri Light"/>
          <w:i/>
          <w:sz w:val="24"/>
          <w:szCs w:val="24"/>
          <w:lang w:eastAsia="en-GB"/>
        </w:rPr>
        <w:t>Act</w:t>
      </w:r>
      <w:r w:rsidR="1B026491" w:rsidRPr="0440AEE7">
        <w:rPr>
          <w:rFonts w:ascii="Calibri Light" w:eastAsia="Times New Roman" w:hAnsi="Calibri Light" w:cs="Calibri Light"/>
          <w:i/>
          <w:sz w:val="24"/>
          <w:szCs w:val="24"/>
          <w:lang w:eastAsia="en-GB"/>
        </w:rPr>
        <w:t xml:space="preserve"> 2015</w:t>
      </w:r>
      <w:r w:rsidRPr="2437B084">
        <w:rPr>
          <w:rFonts w:ascii="Calibri Light" w:eastAsia="Times New Roman" w:hAnsi="Calibri Light" w:cs="Calibri Light"/>
          <w:sz w:val="24"/>
          <w:szCs w:val="24"/>
          <w:lang w:eastAsia="en-GB"/>
        </w:rPr>
        <w:t xml:space="preserve"> aimed to set </w:t>
      </w:r>
      <w:r w:rsidR="6D947DF7" w:rsidRPr="03615891">
        <w:rPr>
          <w:rFonts w:ascii="Calibri Light" w:eastAsia="Times New Roman" w:hAnsi="Calibri Light" w:cs="Calibri Light"/>
          <w:sz w:val="24"/>
          <w:szCs w:val="24"/>
          <w:lang w:eastAsia="en-GB"/>
        </w:rPr>
        <w:t xml:space="preserve">in </w:t>
      </w:r>
      <w:r w:rsidR="6D947DF7" w:rsidRPr="2D41CCC6">
        <w:rPr>
          <w:rFonts w:ascii="Calibri Light" w:eastAsia="Times New Roman" w:hAnsi="Calibri Light" w:cs="Calibri Light"/>
          <w:sz w:val="24"/>
          <w:szCs w:val="24"/>
          <w:lang w:eastAsia="en-GB"/>
        </w:rPr>
        <w:t xml:space="preserve">place </w:t>
      </w:r>
      <w:r w:rsidRPr="2D41CCC6">
        <w:rPr>
          <w:rFonts w:ascii="Calibri Light" w:eastAsia="Times New Roman" w:hAnsi="Calibri Light" w:cs="Calibri Light"/>
          <w:sz w:val="24"/>
          <w:szCs w:val="24"/>
          <w:lang w:eastAsia="en-GB"/>
        </w:rPr>
        <w:t>a</w:t>
      </w:r>
      <w:r w:rsidRPr="2437B084">
        <w:rPr>
          <w:rFonts w:ascii="Calibri Light" w:eastAsia="Times New Roman" w:hAnsi="Calibri Light" w:cs="Calibri Light"/>
          <w:sz w:val="24"/>
          <w:szCs w:val="24"/>
          <w:lang w:eastAsia="en-GB"/>
        </w:rPr>
        <w:t xml:space="preserve"> long</w:t>
      </w:r>
      <w:r w:rsidR="56264AAC" w:rsidRPr="02823527">
        <w:rPr>
          <w:rFonts w:ascii="Calibri Light" w:eastAsia="Times New Roman" w:hAnsi="Calibri Light" w:cs="Calibri Light"/>
          <w:sz w:val="24"/>
          <w:szCs w:val="24"/>
          <w:lang w:eastAsia="en-GB"/>
        </w:rPr>
        <w:t>-</w:t>
      </w:r>
      <w:r w:rsidRPr="2437B084">
        <w:rPr>
          <w:rFonts w:ascii="Calibri Light" w:eastAsia="Times New Roman" w:hAnsi="Calibri Light" w:cs="Calibri Light"/>
          <w:sz w:val="24"/>
          <w:szCs w:val="24"/>
          <w:lang w:eastAsia="en-GB"/>
        </w:rPr>
        <w:t xml:space="preserve">term plan </w:t>
      </w:r>
      <w:r w:rsidR="77F4353A" w:rsidRPr="57BE0AE0">
        <w:rPr>
          <w:rFonts w:ascii="Calibri Light" w:eastAsia="Times New Roman" w:hAnsi="Calibri Light" w:cs="Calibri Light"/>
          <w:sz w:val="24"/>
          <w:szCs w:val="24"/>
          <w:lang w:eastAsia="en-GB"/>
        </w:rPr>
        <w:t xml:space="preserve">based on a </w:t>
      </w:r>
      <w:r w:rsidR="09E1DF9F" w:rsidRPr="0A91B989">
        <w:rPr>
          <w:rFonts w:ascii="Calibri Light" w:eastAsia="Times New Roman" w:hAnsi="Calibri Light" w:cs="Calibri Light"/>
          <w:sz w:val="24"/>
          <w:szCs w:val="24"/>
          <w:lang w:eastAsia="en-GB"/>
        </w:rPr>
        <w:t>holistic</w:t>
      </w:r>
      <w:r w:rsidR="4D07F185" w:rsidRPr="6B8B72DF">
        <w:rPr>
          <w:rFonts w:ascii="Calibri Light" w:eastAsia="Times New Roman" w:hAnsi="Calibri Light" w:cs="Calibri Light"/>
          <w:sz w:val="24"/>
          <w:szCs w:val="24"/>
          <w:lang w:eastAsia="en-GB"/>
        </w:rPr>
        <w:t xml:space="preserve"> </w:t>
      </w:r>
      <w:r w:rsidR="77F4353A" w:rsidRPr="6B8B72DF">
        <w:rPr>
          <w:rFonts w:ascii="Calibri Light" w:eastAsia="Times New Roman" w:hAnsi="Calibri Light" w:cs="Calibri Light"/>
          <w:sz w:val="24"/>
          <w:szCs w:val="24"/>
          <w:lang w:eastAsia="en-GB"/>
        </w:rPr>
        <w:t>vision</w:t>
      </w:r>
      <w:r w:rsidR="77F4353A" w:rsidRPr="0208215A">
        <w:rPr>
          <w:rFonts w:ascii="Calibri Light" w:eastAsia="Times New Roman" w:hAnsi="Calibri Light" w:cs="Calibri Light"/>
          <w:sz w:val="24"/>
          <w:szCs w:val="24"/>
          <w:lang w:eastAsia="en-GB"/>
        </w:rPr>
        <w:t xml:space="preserve"> </w:t>
      </w:r>
      <w:r w:rsidRPr="0208215A">
        <w:rPr>
          <w:rFonts w:ascii="Calibri Light" w:eastAsia="Times New Roman" w:hAnsi="Calibri Light" w:cs="Calibri Light"/>
          <w:sz w:val="24"/>
          <w:szCs w:val="24"/>
          <w:lang w:eastAsia="en-GB"/>
        </w:rPr>
        <w:t>for</w:t>
      </w:r>
      <w:r w:rsidRPr="2437B084">
        <w:rPr>
          <w:rFonts w:ascii="Calibri Light" w:eastAsia="Times New Roman" w:hAnsi="Calibri Light" w:cs="Calibri Light"/>
          <w:sz w:val="24"/>
          <w:szCs w:val="24"/>
          <w:lang w:eastAsia="en-GB"/>
        </w:rPr>
        <w:t xml:space="preserve"> a </w:t>
      </w:r>
      <w:r w:rsidRPr="15D71CF0">
        <w:rPr>
          <w:rFonts w:ascii="Calibri Light" w:eastAsia="Times New Roman" w:hAnsi="Calibri Light" w:cs="Calibri Light"/>
          <w:sz w:val="24"/>
          <w:szCs w:val="24"/>
          <w:lang w:eastAsia="en-GB"/>
        </w:rPr>
        <w:t xml:space="preserve">better future for </w:t>
      </w:r>
      <w:r w:rsidRPr="4F32F0E1">
        <w:rPr>
          <w:rFonts w:ascii="Calibri Light" w:eastAsia="Times New Roman" w:hAnsi="Calibri Light" w:cs="Calibri Light"/>
          <w:sz w:val="24"/>
          <w:szCs w:val="24"/>
          <w:lang w:eastAsia="en-GB"/>
        </w:rPr>
        <w:t>Wales</w:t>
      </w:r>
      <w:r w:rsidR="4D889F49" w:rsidRPr="4E5B5540">
        <w:rPr>
          <w:rFonts w:ascii="Calibri Light" w:eastAsia="Times New Roman" w:hAnsi="Calibri Light" w:cs="Calibri Light"/>
          <w:sz w:val="24"/>
          <w:szCs w:val="24"/>
          <w:lang w:eastAsia="en-GB"/>
        </w:rPr>
        <w:t>,</w:t>
      </w:r>
      <w:r w:rsidRPr="4E5B5540">
        <w:rPr>
          <w:rFonts w:ascii="Calibri Light" w:eastAsia="Times New Roman" w:hAnsi="Calibri Light" w:cs="Calibri Light"/>
          <w:sz w:val="24"/>
          <w:szCs w:val="24"/>
          <w:lang w:eastAsia="en-GB"/>
        </w:rPr>
        <w:t xml:space="preserve"> encourag</w:t>
      </w:r>
      <w:r w:rsidR="2495B644" w:rsidRPr="4E5B5540">
        <w:rPr>
          <w:rFonts w:ascii="Calibri Light" w:eastAsia="Times New Roman" w:hAnsi="Calibri Light" w:cs="Calibri Light"/>
          <w:sz w:val="24"/>
          <w:szCs w:val="24"/>
          <w:lang w:eastAsia="en-GB"/>
        </w:rPr>
        <w:t>ing</w:t>
      </w:r>
      <w:r w:rsidRPr="42C06DFD">
        <w:rPr>
          <w:rFonts w:ascii="Calibri Light" w:eastAsia="Times New Roman" w:hAnsi="Calibri Light" w:cs="Calibri Light"/>
          <w:sz w:val="24"/>
          <w:szCs w:val="24"/>
          <w:lang w:eastAsia="en-GB"/>
        </w:rPr>
        <w:t xml:space="preserve"> </w:t>
      </w:r>
      <w:r w:rsidRPr="7159C937">
        <w:rPr>
          <w:rFonts w:ascii="Calibri Light" w:eastAsia="Times New Roman" w:hAnsi="Calibri Light" w:cs="Calibri Light"/>
          <w:sz w:val="24"/>
          <w:szCs w:val="24"/>
          <w:lang w:eastAsia="en-GB"/>
        </w:rPr>
        <w:t xml:space="preserve">collaboration </w:t>
      </w:r>
      <w:r w:rsidRPr="62F935A3">
        <w:rPr>
          <w:rFonts w:ascii="Calibri Light" w:eastAsia="Times New Roman" w:hAnsi="Calibri Light" w:cs="Calibri Light"/>
          <w:sz w:val="24"/>
          <w:szCs w:val="24"/>
          <w:lang w:eastAsia="en-GB"/>
        </w:rPr>
        <w:t xml:space="preserve">amongst </w:t>
      </w:r>
      <w:r w:rsidRPr="7B64279E">
        <w:rPr>
          <w:rFonts w:ascii="Calibri Light" w:eastAsia="Times New Roman" w:hAnsi="Calibri Light" w:cs="Calibri Light"/>
          <w:sz w:val="24"/>
          <w:szCs w:val="24"/>
          <w:lang w:eastAsia="en-GB"/>
        </w:rPr>
        <w:t xml:space="preserve">multiple </w:t>
      </w:r>
      <w:r w:rsidRPr="0593315B">
        <w:rPr>
          <w:rFonts w:ascii="Calibri Light" w:eastAsia="Times New Roman" w:hAnsi="Calibri Light" w:cs="Calibri Light"/>
          <w:sz w:val="24"/>
          <w:szCs w:val="24"/>
          <w:lang w:eastAsia="en-GB"/>
        </w:rPr>
        <w:t>stakeholders</w:t>
      </w:r>
      <w:r w:rsidR="3BAFF1F8" w:rsidRPr="076746A8">
        <w:rPr>
          <w:rFonts w:ascii="Calibri Light" w:eastAsia="Times New Roman" w:hAnsi="Calibri Light" w:cs="Calibri Light"/>
          <w:sz w:val="24"/>
          <w:szCs w:val="24"/>
          <w:lang w:eastAsia="en-GB"/>
        </w:rPr>
        <w:t>,</w:t>
      </w:r>
      <w:r w:rsidRPr="66372F59">
        <w:rPr>
          <w:rFonts w:ascii="Calibri Light" w:eastAsia="Times New Roman" w:hAnsi="Calibri Light" w:cs="Calibri Light"/>
          <w:sz w:val="24"/>
          <w:szCs w:val="24"/>
          <w:lang w:eastAsia="en-GB"/>
        </w:rPr>
        <w:t xml:space="preserve"> </w:t>
      </w:r>
      <w:r w:rsidR="3BAFF1F8" w:rsidRPr="4B19605B">
        <w:rPr>
          <w:rFonts w:ascii="Calibri Light" w:eastAsia="Times New Roman" w:hAnsi="Calibri Light" w:cs="Calibri Light"/>
          <w:sz w:val="24"/>
          <w:szCs w:val="24"/>
          <w:lang w:eastAsia="en-GB"/>
        </w:rPr>
        <w:t>including</w:t>
      </w:r>
      <w:r w:rsidRPr="4B19605B">
        <w:rPr>
          <w:rFonts w:ascii="Calibri Light" w:eastAsia="Times New Roman" w:hAnsi="Calibri Light" w:cs="Calibri Light"/>
          <w:sz w:val="24"/>
          <w:szCs w:val="24"/>
          <w:lang w:eastAsia="en-GB"/>
        </w:rPr>
        <w:t xml:space="preserve"> </w:t>
      </w:r>
      <w:r w:rsidR="3BAFF1F8" w:rsidRPr="7A8B217F">
        <w:rPr>
          <w:rFonts w:ascii="Calibri Light" w:eastAsia="Times New Roman" w:hAnsi="Calibri Light" w:cs="Calibri Light"/>
          <w:sz w:val="24"/>
          <w:szCs w:val="24"/>
          <w:lang w:eastAsia="en-GB"/>
        </w:rPr>
        <w:t>health services</w:t>
      </w:r>
      <w:r w:rsidR="3BAFF1F8" w:rsidRPr="28962F21">
        <w:rPr>
          <w:rFonts w:ascii="Calibri Light" w:eastAsia="Times New Roman" w:hAnsi="Calibri Light" w:cs="Calibri Light"/>
          <w:sz w:val="24"/>
          <w:szCs w:val="24"/>
          <w:lang w:eastAsia="en-GB"/>
        </w:rPr>
        <w:t>,</w:t>
      </w:r>
      <w:r w:rsidRPr="1BA0AECB">
        <w:rPr>
          <w:rFonts w:ascii="Calibri Light" w:eastAsia="Times New Roman" w:hAnsi="Calibri Light" w:cs="Calibri Light"/>
          <w:sz w:val="24"/>
          <w:szCs w:val="24"/>
          <w:lang w:eastAsia="en-GB"/>
        </w:rPr>
        <w:t xml:space="preserve"> </w:t>
      </w:r>
      <w:r w:rsidR="3BAFF1F8" w:rsidRPr="1E3FE95F">
        <w:rPr>
          <w:rFonts w:ascii="Calibri Light" w:eastAsia="Times New Roman" w:hAnsi="Calibri Light" w:cs="Calibri Light"/>
          <w:sz w:val="24"/>
          <w:szCs w:val="24"/>
          <w:lang w:eastAsia="en-GB"/>
        </w:rPr>
        <w:t xml:space="preserve">local and </w:t>
      </w:r>
      <w:r w:rsidR="3BAFF1F8" w:rsidRPr="6B23FB8F">
        <w:rPr>
          <w:rFonts w:ascii="Calibri Light" w:eastAsia="Times New Roman" w:hAnsi="Calibri Light" w:cs="Calibri Light"/>
          <w:sz w:val="24"/>
          <w:szCs w:val="24"/>
          <w:lang w:eastAsia="en-GB"/>
        </w:rPr>
        <w:t xml:space="preserve">national government and </w:t>
      </w:r>
      <w:r w:rsidR="7185E1CE" w:rsidRPr="382168EE">
        <w:rPr>
          <w:rFonts w:ascii="Calibri Light" w:eastAsia="Times New Roman" w:hAnsi="Calibri Light" w:cs="Calibri Light"/>
          <w:sz w:val="24"/>
          <w:szCs w:val="24"/>
          <w:lang w:eastAsia="en-GB"/>
        </w:rPr>
        <w:t>third</w:t>
      </w:r>
      <w:r w:rsidR="7185E1CE" w:rsidRPr="79E2E140">
        <w:rPr>
          <w:rFonts w:ascii="Calibri Light" w:eastAsia="Times New Roman" w:hAnsi="Calibri Light" w:cs="Calibri Light"/>
          <w:sz w:val="24"/>
          <w:szCs w:val="24"/>
          <w:lang w:eastAsia="en-GB"/>
        </w:rPr>
        <w:t xml:space="preserve"> sector organisations</w:t>
      </w:r>
      <w:r w:rsidR="7185E1CE" w:rsidRPr="4DE62FE9">
        <w:rPr>
          <w:rFonts w:ascii="Calibri Light" w:eastAsia="Times New Roman" w:hAnsi="Calibri Light" w:cs="Calibri Light"/>
          <w:sz w:val="24"/>
          <w:szCs w:val="24"/>
          <w:lang w:eastAsia="en-GB"/>
        </w:rPr>
        <w:t>,</w:t>
      </w:r>
      <w:r w:rsidRPr="1E3FE95F">
        <w:rPr>
          <w:rFonts w:ascii="Calibri Light" w:eastAsia="Times New Roman" w:hAnsi="Calibri Light" w:cs="Calibri Light"/>
          <w:sz w:val="24"/>
          <w:szCs w:val="24"/>
          <w:lang w:eastAsia="en-GB"/>
        </w:rPr>
        <w:t xml:space="preserve"> </w:t>
      </w:r>
      <w:r w:rsidR="071DFCD1" w:rsidRPr="0C3F4A72">
        <w:rPr>
          <w:rFonts w:ascii="Calibri Light" w:eastAsia="Times New Roman" w:hAnsi="Calibri Light" w:cs="Calibri Light"/>
          <w:sz w:val="24"/>
          <w:szCs w:val="24"/>
          <w:lang w:eastAsia="en-GB"/>
        </w:rPr>
        <w:t xml:space="preserve">in </w:t>
      </w:r>
      <w:r w:rsidR="071DFCD1" w:rsidRPr="4AA27D74">
        <w:rPr>
          <w:rFonts w:ascii="Calibri Light" w:eastAsia="Times New Roman" w:hAnsi="Calibri Light" w:cs="Calibri Light"/>
          <w:sz w:val="24"/>
          <w:szCs w:val="24"/>
          <w:lang w:eastAsia="en-GB"/>
        </w:rPr>
        <w:t xml:space="preserve">pursuit of </w:t>
      </w:r>
      <w:r w:rsidR="071DFCD1" w:rsidRPr="52DC8614">
        <w:rPr>
          <w:rFonts w:ascii="Calibri Light" w:eastAsia="Times New Roman" w:hAnsi="Calibri Light" w:cs="Calibri Light"/>
          <w:sz w:val="24"/>
          <w:szCs w:val="24"/>
          <w:lang w:eastAsia="en-GB"/>
        </w:rPr>
        <w:t xml:space="preserve">improvements to </w:t>
      </w:r>
      <w:r w:rsidR="071DFCD1" w:rsidRPr="019D1D55">
        <w:rPr>
          <w:rFonts w:ascii="Calibri Light" w:eastAsia="Times New Roman" w:hAnsi="Calibri Light" w:cs="Calibri Light"/>
          <w:sz w:val="24"/>
          <w:szCs w:val="24"/>
          <w:lang w:eastAsia="en-GB"/>
        </w:rPr>
        <w:t xml:space="preserve">health, social, </w:t>
      </w:r>
      <w:r w:rsidR="071DFCD1" w:rsidRPr="0FAAD922">
        <w:rPr>
          <w:rFonts w:ascii="Calibri Light" w:eastAsia="Times New Roman" w:hAnsi="Calibri Light" w:cs="Calibri Light"/>
          <w:sz w:val="24"/>
          <w:szCs w:val="24"/>
          <w:lang w:eastAsia="en-GB"/>
        </w:rPr>
        <w:t xml:space="preserve">economic and </w:t>
      </w:r>
      <w:r w:rsidR="071DFCD1" w:rsidRPr="7377FF92">
        <w:rPr>
          <w:rFonts w:ascii="Calibri Light" w:eastAsia="Times New Roman" w:hAnsi="Calibri Light" w:cs="Calibri Light"/>
          <w:sz w:val="24"/>
          <w:szCs w:val="24"/>
          <w:lang w:eastAsia="en-GB"/>
        </w:rPr>
        <w:t xml:space="preserve">environmental </w:t>
      </w:r>
      <w:r w:rsidR="071DFCD1" w:rsidRPr="38D5C3B8">
        <w:rPr>
          <w:rFonts w:ascii="Calibri Light" w:eastAsia="Times New Roman" w:hAnsi="Calibri Light" w:cs="Calibri Light"/>
          <w:sz w:val="24"/>
          <w:szCs w:val="24"/>
          <w:lang w:eastAsia="en-GB"/>
        </w:rPr>
        <w:t>policies</w:t>
      </w:r>
      <w:r w:rsidR="52CBAA3F" w:rsidRPr="1FA89ED8">
        <w:rPr>
          <w:rFonts w:ascii="Calibri Light" w:eastAsia="Times New Roman" w:hAnsi="Calibri Light" w:cs="Calibri Light"/>
          <w:sz w:val="24"/>
          <w:szCs w:val="24"/>
          <w:lang w:eastAsia="en-GB"/>
        </w:rPr>
        <w:t xml:space="preserve">, whilst also </w:t>
      </w:r>
      <w:r w:rsidR="52CBAA3F" w:rsidRPr="08587905">
        <w:rPr>
          <w:rFonts w:ascii="Calibri Light" w:eastAsia="Times New Roman" w:hAnsi="Calibri Light" w:cs="Calibri Light"/>
          <w:sz w:val="24"/>
          <w:szCs w:val="24"/>
          <w:lang w:eastAsia="en-GB"/>
        </w:rPr>
        <w:t xml:space="preserve">fostering community </w:t>
      </w:r>
      <w:r w:rsidR="52CBAA3F" w:rsidRPr="7E6E6637">
        <w:rPr>
          <w:rFonts w:ascii="Calibri Light" w:eastAsia="Times New Roman" w:hAnsi="Calibri Light" w:cs="Calibri Light"/>
          <w:sz w:val="24"/>
          <w:szCs w:val="24"/>
          <w:lang w:eastAsia="en-GB"/>
        </w:rPr>
        <w:t>engagement.</w:t>
      </w:r>
      <w:r w:rsidR="3DF576A4" w:rsidRPr="21AE444E">
        <w:rPr>
          <w:rFonts w:ascii="Calibri Light" w:eastAsia="Times New Roman" w:hAnsi="Calibri Light" w:cs="Calibri Light"/>
          <w:sz w:val="24"/>
          <w:szCs w:val="24"/>
          <w:lang w:eastAsia="en-GB"/>
        </w:rPr>
        <w:t xml:space="preserve"> </w:t>
      </w:r>
      <w:r w:rsidR="3DF576A4" w:rsidRPr="1E528FAF">
        <w:rPr>
          <w:rFonts w:ascii="Calibri Light" w:eastAsia="Times New Roman" w:hAnsi="Calibri Light" w:cs="Calibri Light"/>
          <w:sz w:val="24"/>
          <w:szCs w:val="24"/>
          <w:lang w:eastAsia="en-GB"/>
        </w:rPr>
        <w:t xml:space="preserve">Through the </w:t>
      </w:r>
      <w:r w:rsidR="3DF576A4" w:rsidRPr="11BFC131">
        <w:rPr>
          <w:rFonts w:ascii="Calibri Light" w:eastAsia="Times New Roman" w:hAnsi="Calibri Light" w:cs="Calibri Light"/>
          <w:sz w:val="24"/>
          <w:szCs w:val="24"/>
          <w:lang w:eastAsia="en-GB"/>
        </w:rPr>
        <w:t xml:space="preserve">Act, the </w:t>
      </w:r>
      <w:r w:rsidR="3DF576A4" w:rsidRPr="0122A4E1">
        <w:rPr>
          <w:rFonts w:ascii="Calibri Light" w:eastAsia="Times New Roman" w:hAnsi="Calibri Light" w:cs="Calibri Light"/>
          <w:sz w:val="24"/>
          <w:szCs w:val="24"/>
          <w:lang w:eastAsia="en-GB"/>
        </w:rPr>
        <w:t xml:space="preserve">National Assembly </w:t>
      </w:r>
      <w:r w:rsidR="3DF576A4" w:rsidRPr="76CC5F1E">
        <w:rPr>
          <w:rFonts w:ascii="Calibri Light" w:eastAsia="Times New Roman" w:hAnsi="Calibri Light" w:cs="Calibri Light"/>
          <w:sz w:val="24"/>
          <w:szCs w:val="24"/>
          <w:lang w:eastAsia="en-GB"/>
        </w:rPr>
        <w:t xml:space="preserve">for </w:t>
      </w:r>
      <w:r w:rsidR="3DF576A4" w:rsidRPr="7AB4924C">
        <w:rPr>
          <w:rFonts w:ascii="Calibri Light" w:eastAsia="Times New Roman" w:hAnsi="Calibri Light" w:cs="Calibri Light"/>
          <w:sz w:val="24"/>
          <w:szCs w:val="24"/>
          <w:lang w:eastAsia="en-GB"/>
        </w:rPr>
        <w:t xml:space="preserve">Wales </w:t>
      </w:r>
      <w:r w:rsidR="3DF576A4" w:rsidRPr="33FFF4B5">
        <w:rPr>
          <w:rFonts w:ascii="Calibri Light" w:eastAsia="Times New Roman" w:hAnsi="Calibri Light" w:cs="Calibri Light"/>
          <w:sz w:val="24"/>
          <w:szCs w:val="24"/>
          <w:lang w:eastAsia="en-GB"/>
        </w:rPr>
        <w:t xml:space="preserve">further </w:t>
      </w:r>
      <w:r w:rsidR="3DF576A4" w:rsidRPr="467BE811">
        <w:rPr>
          <w:rFonts w:ascii="Calibri Light" w:eastAsia="Times New Roman" w:hAnsi="Calibri Light" w:cs="Calibri Light"/>
          <w:sz w:val="24"/>
          <w:szCs w:val="24"/>
          <w:lang w:eastAsia="en-GB"/>
        </w:rPr>
        <w:t>demonstrate</w:t>
      </w:r>
      <w:r w:rsidR="3DF576A4" w:rsidRPr="33FFF4B5">
        <w:rPr>
          <w:rFonts w:ascii="Calibri Light" w:eastAsia="Times New Roman" w:hAnsi="Calibri Light" w:cs="Calibri Light"/>
          <w:sz w:val="24"/>
          <w:szCs w:val="24"/>
          <w:lang w:eastAsia="en-GB"/>
        </w:rPr>
        <w:t xml:space="preserve"> </w:t>
      </w:r>
      <w:r w:rsidR="3DF576A4" w:rsidRPr="60F0362E">
        <w:rPr>
          <w:rFonts w:ascii="Calibri Light" w:eastAsia="Times New Roman" w:hAnsi="Calibri Light" w:cs="Calibri Light"/>
          <w:sz w:val="24"/>
          <w:szCs w:val="24"/>
          <w:lang w:eastAsia="en-GB"/>
        </w:rPr>
        <w:t>thei</w:t>
      </w:r>
      <w:r w:rsidR="2776057B" w:rsidRPr="60F0362E">
        <w:rPr>
          <w:rFonts w:ascii="Calibri Light" w:eastAsia="Times New Roman" w:hAnsi="Calibri Light" w:cs="Calibri Light"/>
          <w:sz w:val="24"/>
          <w:szCs w:val="24"/>
          <w:lang w:eastAsia="en-GB"/>
        </w:rPr>
        <w:t>r holistic</w:t>
      </w:r>
      <w:r w:rsidR="3DF576A4" w:rsidRPr="57520ABC">
        <w:rPr>
          <w:rFonts w:ascii="Calibri Light" w:eastAsia="Times New Roman" w:hAnsi="Calibri Light" w:cs="Calibri Light"/>
          <w:sz w:val="24"/>
          <w:szCs w:val="24"/>
          <w:lang w:eastAsia="en-GB"/>
        </w:rPr>
        <w:t xml:space="preserve"> </w:t>
      </w:r>
      <w:r w:rsidR="36B25E59" w:rsidRPr="7F13B11E">
        <w:rPr>
          <w:rFonts w:ascii="Calibri Light" w:eastAsia="Times New Roman" w:hAnsi="Calibri Light" w:cs="Calibri Light"/>
          <w:sz w:val="24"/>
          <w:szCs w:val="24"/>
          <w:lang w:eastAsia="en-GB"/>
        </w:rPr>
        <w:t xml:space="preserve">vision through the </w:t>
      </w:r>
      <w:r w:rsidR="36B25E59" w:rsidRPr="62E0D78F">
        <w:rPr>
          <w:rFonts w:ascii="Calibri Light" w:eastAsia="Times New Roman" w:hAnsi="Calibri Light" w:cs="Calibri Light"/>
          <w:sz w:val="24"/>
          <w:szCs w:val="24"/>
          <w:lang w:eastAsia="en-GB"/>
        </w:rPr>
        <w:t xml:space="preserve">implementation of a </w:t>
      </w:r>
      <w:r w:rsidR="36B25E59" w:rsidRPr="2CBBA841">
        <w:rPr>
          <w:rFonts w:ascii="Calibri Light" w:eastAsia="Times New Roman" w:hAnsi="Calibri Light" w:cs="Calibri Light"/>
          <w:sz w:val="24"/>
          <w:szCs w:val="24"/>
          <w:lang w:eastAsia="en-GB"/>
        </w:rPr>
        <w:t>bio</w:t>
      </w:r>
      <w:r w:rsidR="3AD9D597" w:rsidRPr="2CBBA841">
        <w:rPr>
          <w:rFonts w:ascii="Calibri Light" w:eastAsia="Times New Roman" w:hAnsi="Calibri Light" w:cs="Calibri Light"/>
          <w:sz w:val="24"/>
          <w:szCs w:val="24"/>
          <w:lang w:eastAsia="en-GB"/>
        </w:rPr>
        <w:t>psychosocial</w:t>
      </w:r>
      <w:r w:rsidR="36B25E59" w:rsidRPr="54141106">
        <w:rPr>
          <w:rFonts w:ascii="Calibri Light" w:eastAsia="Times New Roman" w:hAnsi="Calibri Light" w:cs="Calibri Light"/>
          <w:sz w:val="24"/>
          <w:szCs w:val="24"/>
          <w:lang w:eastAsia="en-GB"/>
        </w:rPr>
        <w:t xml:space="preserve"> </w:t>
      </w:r>
      <w:r w:rsidR="36B25E59" w:rsidRPr="100F1F8C">
        <w:rPr>
          <w:rFonts w:ascii="Calibri Light" w:eastAsia="Times New Roman" w:hAnsi="Calibri Light" w:cs="Calibri Light"/>
          <w:sz w:val="24"/>
          <w:szCs w:val="24"/>
          <w:lang w:eastAsia="en-GB"/>
        </w:rPr>
        <w:t>approach</w:t>
      </w:r>
      <w:r w:rsidR="7AAAFF62" w:rsidRPr="52745728">
        <w:rPr>
          <w:rFonts w:ascii="Calibri Light" w:eastAsia="Times New Roman" w:hAnsi="Calibri Light" w:cs="Calibri Light"/>
          <w:sz w:val="24"/>
          <w:szCs w:val="24"/>
          <w:lang w:eastAsia="en-GB"/>
        </w:rPr>
        <w:t>,</w:t>
      </w:r>
      <w:r w:rsidR="36B25E59" w:rsidRPr="100F1F8C">
        <w:rPr>
          <w:rFonts w:ascii="Calibri Light" w:eastAsia="Times New Roman" w:hAnsi="Calibri Light" w:cs="Calibri Light"/>
          <w:sz w:val="24"/>
          <w:szCs w:val="24"/>
          <w:lang w:eastAsia="en-GB"/>
        </w:rPr>
        <w:t xml:space="preserve"> which addresses how </w:t>
      </w:r>
      <w:r w:rsidR="4449D497" w:rsidRPr="05BF658F">
        <w:rPr>
          <w:rFonts w:ascii="Calibri Light" w:eastAsia="Times New Roman" w:hAnsi="Calibri Light" w:cs="Calibri Light"/>
          <w:sz w:val="24"/>
          <w:szCs w:val="24"/>
          <w:lang w:eastAsia="en-GB"/>
        </w:rPr>
        <w:t xml:space="preserve">mental </w:t>
      </w:r>
      <w:r w:rsidR="36B25E59" w:rsidRPr="05BF658F">
        <w:rPr>
          <w:rFonts w:ascii="Calibri Light" w:eastAsia="Times New Roman" w:hAnsi="Calibri Light" w:cs="Calibri Light"/>
          <w:sz w:val="24"/>
          <w:szCs w:val="24"/>
          <w:lang w:eastAsia="en-GB"/>
        </w:rPr>
        <w:t>and</w:t>
      </w:r>
      <w:r w:rsidR="36B25E59" w:rsidRPr="100F1F8C">
        <w:rPr>
          <w:rFonts w:ascii="Calibri Light" w:eastAsia="Times New Roman" w:hAnsi="Calibri Light" w:cs="Calibri Light"/>
          <w:sz w:val="24"/>
          <w:szCs w:val="24"/>
          <w:lang w:eastAsia="en-GB"/>
        </w:rPr>
        <w:t xml:space="preserve"> </w:t>
      </w:r>
      <w:r w:rsidR="502488C5" w:rsidRPr="73C8C9E7">
        <w:rPr>
          <w:rFonts w:ascii="Calibri Light" w:eastAsia="Times New Roman" w:hAnsi="Calibri Light" w:cs="Calibri Light"/>
          <w:sz w:val="24"/>
          <w:szCs w:val="24"/>
          <w:lang w:eastAsia="en-GB"/>
        </w:rPr>
        <w:t>physical</w:t>
      </w:r>
      <w:r w:rsidR="36B25E59" w:rsidRPr="6CBD0984">
        <w:rPr>
          <w:rFonts w:ascii="Calibri Light" w:eastAsia="Times New Roman" w:hAnsi="Calibri Light" w:cs="Calibri Light"/>
          <w:sz w:val="24"/>
          <w:szCs w:val="24"/>
          <w:lang w:eastAsia="en-GB"/>
        </w:rPr>
        <w:t xml:space="preserve"> </w:t>
      </w:r>
      <w:r w:rsidR="502488C5" w:rsidRPr="6DDBD0C0">
        <w:rPr>
          <w:rFonts w:ascii="Calibri Light" w:eastAsia="Times New Roman" w:hAnsi="Calibri Light" w:cs="Calibri Light"/>
          <w:sz w:val="24"/>
          <w:szCs w:val="24"/>
          <w:lang w:eastAsia="en-GB"/>
        </w:rPr>
        <w:t xml:space="preserve">health </w:t>
      </w:r>
      <w:r w:rsidR="36B25E59" w:rsidRPr="6DDBD0C0">
        <w:rPr>
          <w:rFonts w:ascii="Calibri Light" w:eastAsia="Times New Roman" w:hAnsi="Calibri Light" w:cs="Calibri Light"/>
          <w:sz w:val="24"/>
          <w:szCs w:val="24"/>
          <w:lang w:eastAsia="en-GB"/>
        </w:rPr>
        <w:t>are</w:t>
      </w:r>
      <w:r w:rsidR="36B25E59" w:rsidRPr="6CBD0984">
        <w:rPr>
          <w:rFonts w:ascii="Calibri Light" w:eastAsia="Times New Roman" w:hAnsi="Calibri Light" w:cs="Calibri Light"/>
          <w:sz w:val="24"/>
          <w:szCs w:val="24"/>
          <w:lang w:eastAsia="en-GB"/>
        </w:rPr>
        <w:t xml:space="preserve"> linked</w:t>
      </w:r>
      <w:r w:rsidR="2EDE3E57" w:rsidRPr="024590CC">
        <w:rPr>
          <w:rFonts w:ascii="Calibri Light" w:eastAsia="Times New Roman" w:hAnsi="Calibri Light" w:cs="Calibri Light"/>
          <w:sz w:val="24"/>
          <w:szCs w:val="24"/>
          <w:lang w:eastAsia="en-GB"/>
        </w:rPr>
        <w:t>,</w:t>
      </w:r>
      <w:r w:rsidR="5F7B3D2C" w:rsidRPr="4442E42B">
        <w:rPr>
          <w:rFonts w:ascii="Calibri Light" w:eastAsia="Times New Roman" w:hAnsi="Calibri Light" w:cs="Calibri Light"/>
          <w:sz w:val="24"/>
          <w:szCs w:val="24"/>
          <w:lang w:eastAsia="en-GB"/>
        </w:rPr>
        <w:t xml:space="preserve"> </w:t>
      </w:r>
      <w:r w:rsidR="36B25E59" w:rsidRPr="4536D8F4">
        <w:rPr>
          <w:rFonts w:ascii="Calibri Light" w:eastAsia="Times New Roman" w:hAnsi="Calibri Light" w:cs="Calibri Light"/>
          <w:sz w:val="24"/>
          <w:szCs w:val="24"/>
          <w:lang w:eastAsia="en-GB"/>
        </w:rPr>
        <w:t xml:space="preserve">with improvements to one </w:t>
      </w:r>
      <w:r w:rsidR="36B25E59" w:rsidRPr="4D958CE9">
        <w:rPr>
          <w:rFonts w:ascii="Calibri Light" w:eastAsia="Times New Roman" w:hAnsi="Calibri Light" w:cs="Calibri Light"/>
          <w:sz w:val="24"/>
          <w:szCs w:val="24"/>
          <w:lang w:eastAsia="en-GB"/>
        </w:rPr>
        <w:t xml:space="preserve">leading to improvements to the </w:t>
      </w:r>
      <w:r w:rsidR="36B25E59" w:rsidRPr="23906D5F">
        <w:rPr>
          <w:rFonts w:ascii="Calibri Light" w:eastAsia="Times New Roman" w:hAnsi="Calibri Light" w:cs="Calibri Light"/>
          <w:sz w:val="24"/>
          <w:szCs w:val="24"/>
          <w:lang w:eastAsia="en-GB"/>
        </w:rPr>
        <w:t>other</w:t>
      </w:r>
      <w:r w:rsidR="0B8C2850" w:rsidRPr="37A92541">
        <w:rPr>
          <w:rFonts w:ascii="Calibri Light" w:eastAsia="Times New Roman" w:hAnsi="Calibri Light" w:cs="Calibri Light"/>
          <w:sz w:val="24"/>
          <w:szCs w:val="24"/>
          <w:lang w:eastAsia="en-GB"/>
        </w:rPr>
        <w:t xml:space="preserve">, and all impacted by </w:t>
      </w:r>
      <w:r w:rsidR="0B8C2850" w:rsidRPr="0D581E5C">
        <w:rPr>
          <w:rFonts w:ascii="Calibri Light" w:eastAsia="Times New Roman" w:hAnsi="Calibri Light" w:cs="Calibri Light"/>
          <w:sz w:val="24"/>
          <w:szCs w:val="24"/>
          <w:lang w:eastAsia="en-GB"/>
        </w:rPr>
        <w:t xml:space="preserve">environmental </w:t>
      </w:r>
      <w:r w:rsidR="0B8C2850" w:rsidRPr="2963BBE5">
        <w:rPr>
          <w:rFonts w:ascii="Calibri Light" w:eastAsia="Times New Roman" w:hAnsi="Calibri Light" w:cs="Calibri Light"/>
          <w:sz w:val="24"/>
          <w:szCs w:val="24"/>
          <w:lang w:eastAsia="en-GB"/>
        </w:rPr>
        <w:t>factors</w:t>
      </w:r>
      <w:r w:rsidR="0B8C2850" w:rsidRPr="3DE21AF7">
        <w:rPr>
          <w:rFonts w:ascii="Calibri Light" w:eastAsia="Times New Roman" w:hAnsi="Calibri Light" w:cs="Calibri Light"/>
          <w:sz w:val="24"/>
          <w:szCs w:val="24"/>
          <w:lang w:eastAsia="en-GB"/>
        </w:rPr>
        <w:t>.</w:t>
      </w:r>
      <w:r w:rsidR="7989BA3D" w:rsidRPr="0BA87161">
        <w:rPr>
          <w:rFonts w:ascii="Calibri Light" w:eastAsia="Times New Roman" w:hAnsi="Calibri Light" w:cs="Calibri Light"/>
          <w:sz w:val="24"/>
          <w:szCs w:val="24"/>
          <w:lang w:eastAsia="en-GB"/>
        </w:rPr>
        <w:t xml:space="preserve"> </w:t>
      </w:r>
      <w:r w:rsidR="7989BA3D" w:rsidRPr="5637A436">
        <w:rPr>
          <w:rFonts w:ascii="Calibri Light" w:eastAsia="Times New Roman" w:hAnsi="Calibri Light" w:cs="Calibri Light"/>
          <w:sz w:val="24"/>
          <w:szCs w:val="24"/>
          <w:lang w:eastAsia="en-GB"/>
        </w:rPr>
        <w:t xml:space="preserve">Moreover, the Act </w:t>
      </w:r>
      <w:r w:rsidR="7989BA3D" w:rsidRPr="096EBC3E">
        <w:rPr>
          <w:rFonts w:ascii="Calibri Light" w:eastAsia="Times New Roman" w:hAnsi="Calibri Light" w:cs="Calibri Light"/>
          <w:sz w:val="24"/>
          <w:szCs w:val="24"/>
          <w:lang w:eastAsia="en-GB"/>
        </w:rPr>
        <w:t xml:space="preserve">sets out to </w:t>
      </w:r>
      <w:r w:rsidR="7989BA3D" w:rsidRPr="6D80D99D">
        <w:rPr>
          <w:rFonts w:ascii="Calibri Light" w:eastAsia="Times New Roman" w:hAnsi="Calibri Light" w:cs="Calibri Light"/>
          <w:sz w:val="24"/>
          <w:szCs w:val="24"/>
          <w:lang w:eastAsia="en-GB"/>
        </w:rPr>
        <w:t xml:space="preserve">ensure a more </w:t>
      </w:r>
      <w:r w:rsidR="7989BA3D" w:rsidRPr="336CEB5C">
        <w:rPr>
          <w:rFonts w:ascii="Calibri Light" w:eastAsia="Times New Roman" w:hAnsi="Calibri Light" w:cs="Calibri Light"/>
          <w:sz w:val="24"/>
          <w:szCs w:val="24"/>
          <w:lang w:eastAsia="en-GB"/>
        </w:rPr>
        <w:t xml:space="preserve">equitable </w:t>
      </w:r>
      <w:r w:rsidR="7989BA3D" w:rsidRPr="0D519475">
        <w:rPr>
          <w:rFonts w:ascii="Calibri Light" w:eastAsia="Times New Roman" w:hAnsi="Calibri Light" w:cs="Calibri Light"/>
          <w:sz w:val="24"/>
          <w:szCs w:val="24"/>
          <w:lang w:eastAsia="en-GB"/>
        </w:rPr>
        <w:t>Wales</w:t>
      </w:r>
      <w:r w:rsidR="7989BA3D" w:rsidRPr="58D44E19">
        <w:rPr>
          <w:rFonts w:ascii="Calibri Light" w:eastAsia="Times New Roman" w:hAnsi="Calibri Light" w:cs="Calibri Light"/>
          <w:sz w:val="24"/>
          <w:szCs w:val="24"/>
          <w:lang w:eastAsia="en-GB"/>
        </w:rPr>
        <w:t xml:space="preserve"> </w:t>
      </w:r>
      <w:r w:rsidR="7989BA3D" w:rsidRPr="21691B89">
        <w:rPr>
          <w:rFonts w:ascii="Calibri Light" w:eastAsia="Times New Roman" w:hAnsi="Calibri Light" w:cs="Calibri Light"/>
          <w:sz w:val="24"/>
          <w:szCs w:val="24"/>
          <w:lang w:eastAsia="en-GB"/>
        </w:rPr>
        <w:t xml:space="preserve">through reducing </w:t>
      </w:r>
      <w:r w:rsidR="7989BA3D" w:rsidRPr="1D79F7EF">
        <w:rPr>
          <w:rFonts w:ascii="Calibri Light" w:eastAsia="Times New Roman" w:hAnsi="Calibri Light" w:cs="Calibri Light"/>
          <w:sz w:val="24"/>
          <w:szCs w:val="24"/>
          <w:lang w:eastAsia="en-GB"/>
        </w:rPr>
        <w:t xml:space="preserve">disparities in </w:t>
      </w:r>
      <w:r w:rsidR="7989BA3D" w:rsidRPr="45F3B8A1">
        <w:rPr>
          <w:rFonts w:ascii="Calibri Light" w:eastAsia="Times New Roman" w:hAnsi="Calibri Light" w:cs="Calibri Light"/>
          <w:sz w:val="24"/>
          <w:szCs w:val="24"/>
          <w:lang w:eastAsia="en-GB"/>
        </w:rPr>
        <w:t xml:space="preserve">income, education and </w:t>
      </w:r>
      <w:r w:rsidR="7989BA3D" w:rsidRPr="44F93813">
        <w:rPr>
          <w:rFonts w:ascii="Calibri Light" w:eastAsia="Times New Roman" w:hAnsi="Calibri Light" w:cs="Calibri Light"/>
          <w:sz w:val="24"/>
          <w:szCs w:val="24"/>
          <w:lang w:eastAsia="en-GB"/>
        </w:rPr>
        <w:t xml:space="preserve">access to </w:t>
      </w:r>
      <w:r w:rsidR="7989BA3D" w:rsidRPr="14CF5C9F">
        <w:rPr>
          <w:rFonts w:ascii="Calibri Light" w:eastAsia="Times New Roman" w:hAnsi="Calibri Light" w:cs="Calibri Light"/>
          <w:sz w:val="24"/>
          <w:szCs w:val="24"/>
          <w:lang w:eastAsia="en-GB"/>
        </w:rPr>
        <w:t>services</w:t>
      </w:r>
      <w:r w:rsidR="4B6181D6" w:rsidRPr="562BCD33">
        <w:rPr>
          <w:rFonts w:ascii="Calibri Light" w:eastAsia="Times New Roman" w:hAnsi="Calibri Light" w:cs="Calibri Light"/>
          <w:sz w:val="24"/>
          <w:szCs w:val="24"/>
          <w:lang w:eastAsia="en-GB"/>
        </w:rPr>
        <w:t>,</w:t>
      </w:r>
      <w:r w:rsidR="7989BA3D" w:rsidRPr="31D11AFB">
        <w:rPr>
          <w:rFonts w:ascii="Calibri Light" w:eastAsia="Times New Roman" w:hAnsi="Calibri Light" w:cs="Calibri Light"/>
          <w:sz w:val="24"/>
          <w:szCs w:val="24"/>
          <w:lang w:eastAsia="en-GB"/>
        </w:rPr>
        <w:t xml:space="preserve"> </w:t>
      </w:r>
      <w:r w:rsidR="7989BA3D" w:rsidRPr="6E2CB5D6">
        <w:rPr>
          <w:rFonts w:ascii="Calibri Light" w:eastAsia="Times New Roman" w:hAnsi="Calibri Light" w:cs="Calibri Light"/>
          <w:sz w:val="24"/>
          <w:szCs w:val="24"/>
          <w:lang w:eastAsia="en-GB"/>
        </w:rPr>
        <w:t xml:space="preserve">which </w:t>
      </w:r>
      <w:r w:rsidR="69C907CE" w:rsidRPr="69E4311D">
        <w:rPr>
          <w:rFonts w:ascii="Calibri Light" w:eastAsia="Times New Roman" w:hAnsi="Calibri Light" w:cs="Calibri Light"/>
          <w:sz w:val="24"/>
          <w:szCs w:val="24"/>
          <w:lang w:eastAsia="en-GB"/>
        </w:rPr>
        <w:t>aims</w:t>
      </w:r>
      <w:r w:rsidR="0E7F04F4" w:rsidRPr="2CE776D3">
        <w:rPr>
          <w:rFonts w:ascii="Calibri Light" w:eastAsia="Times New Roman" w:hAnsi="Calibri Light" w:cs="Calibri Light"/>
          <w:sz w:val="24"/>
          <w:szCs w:val="24"/>
          <w:lang w:eastAsia="en-GB"/>
        </w:rPr>
        <w:t xml:space="preserve"> </w:t>
      </w:r>
      <w:r w:rsidR="69C907CE" w:rsidRPr="7FA8F818">
        <w:rPr>
          <w:rFonts w:ascii="Calibri Light" w:eastAsia="Times New Roman" w:hAnsi="Calibri Light" w:cs="Calibri Light"/>
          <w:sz w:val="24"/>
          <w:szCs w:val="24"/>
          <w:lang w:eastAsia="en-GB"/>
        </w:rPr>
        <w:t>to</w:t>
      </w:r>
      <w:r w:rsidR="0E7F04F4" w:rsidRPr="7FA8F818">
        <w:rPr>
          <w:rFonts w:ascii="Calibri Light" w:eastAsia="Times New Roman" w:hAnsi="Calibri Light" w:cs="Calibri Light"/>
          <w:sz w:val="24"/>
          <w:szCs w:val="24"/>
          <w:lang w:eastAsia="en-GB"/>
        </w:rPr>
        <w:t xml:space="preserve"> </w:t>
      </w:r>
      <w:r w:rsidR="0E7F04F4" w:rsidRPr="65467450">
        <w:rPr>
          <w:rFonts w:ascii="Calibri Light" w:eastAsia="Times New Roman" w:hAnsi="Calibri Light" w:cs="Calibri Light"/>
          <w:sz w:val="24"/>
          <w:szCs w:val="24"/>
          <w:lang w:eastAsia="en-GB"/>
        </w:rPr>
        <w:t>lead</w:t>
      </w:r>
      <w:r w:rsidR="0E7F04F4" w:rsidRPr="2CE776D3">
        <w:rPr>
          <w:rFonts w:ascii="Calibri Light" w:eastAsia="Times New Roman" w:hAnsi="Calibri Light" w:cs="Calibri Light"/>
          <w:sz w:val="24"/>
          <w:szCs w:val="24"/>
          <w:lang w:eastAsia="en-GB"/>
        </w:rPr>
        <w:t xml:space="preserve"> to a </w:t>
      </w:r>
      <w:r w:rsidR="0E7F04F4" w:rsidRPr="6B25FE80">
        <w:rPr>
          <w:rFonts w:ascii="Calibri Light" w:eastAsia="Times New Roman" w:hAnsi="Calibri Light" w:cs="Calibri Light"/>
          <w:sz w:val="24"/>
          <w:szCs w:val="24"/>
          <w:lang w:eastAsia="en-GB"/>
        </w:rPr>
        <w:t xml:space="preserve">reduction in health </w:t>
      </w:r>
      <w:r w:rsidR="0E7F04F4" w:rsidRPr="630C417A">
        <w:rPr>
          <w:rFonts w:ascii="Calibri Light" w:eastAsia="Times New Roman" w:hAnsi="Calibri Light" w:cs="Calibri Light"/>
          <w:sz w:val="24"/>
          <w:szCs w:val="24"/>
          <w:lang w:eastAsia="en-GB"/>
        </w:rPr>
        <w:t>inequities</w:t>
      </w:r>
      <w:r w:rsidR="2F6F4F72" w:rsidRPr="4AE5AEF6">
        <w:rPr>
          <w:rFonts w:ascii="Calibri Light" w:eastAsia="Times New Roman" w:hAnsi="Calibri Light" w:cs="Calibri Light"/>
          <w:sz w:val="24"/>
          <w:szCs w:val="24"/>
          <w:lang w:eastAsia="en-GB"/>
        </w:rPr>
        <w:t xml:space="preserve"> </w:t>
      </w:r>
      <w:r w:rsidR="2F6F4F72" w:rsidRPr="12A2167C">
        <w:rPr>
          <w:rFonts w:ascii="Calibri Light" w:eastAsia="Times New Roman" w:hAnsi="Calibri Light" w:cs="Calibri Light"/>
          <w:sz w:val="24"/>
          <w:szCs w:val="24"/>
          <w:lang w:eastAsia="en-GB"/>
        </w:rPr>
        <w:t>between regions</w:t>
      </w:r>
      <w:r w:rsidR="2F6F4F72" w:rsidRPr="0D83ECEE">
        <w:rPr>
          <w:rFonts w:ascii="Calibri Light" w:eastAsia="Times New Roman" w:hAnsi="Calibri Light" w:cs="Calibri Light"/>
          <w:sz w:val="24"/>
          <w:szCs w:val="24"/>
          <w:lang w:eastAsia="en-GB"/>
        </w:rPr>
        <w:t xml:space="preserve">, improving </w:t>
      </w:r>
      <w:r w:rsidR="2F6F4F72" w:rsidRPr="61873B96">
        <w:rPr>
          <w:rFonts w:ascii="Calibri Light" w:eastAsia="Times New Roman" w:hAnsi="Calibri Light" w:cs="Calibri Light"/>
          <w:sz w:val="24"/>
          <w:szCs w:val="24"/>
          <w:lang w:eastAsia="en-GB"/>
        </w:rPr>
        <w:t xml:space="preserve">the </w:t>
      </w:r>
      <w:r w:rsidR="2F6F4F72" w:rsidRPr="2D8E8822">
        <w:rPr>
          <w:rFonts w:ascii="Calibri Light" w:eastAsia="Times New Roman" w:hAnsi="Calibri Light" w:cs="Calibri Light"/>
          <w:sz w:val="24"/>
          <w:szCs w:val="24"/>
          <w:lang w:eastAsia="en-GB"/>
        </w:rPr>
        <w:t>country's</w:t>
      </w:r>
      <w:r w:rsidR="2F6F4F72" w:rsidRPr="680C18A7">
        <w:rPr>
          <w:rFonts w:ascii="Calibri Light" w:eastAsia="Times New Roman" w:hAnsi="Calibri Light" w:cs="Calibri Light"/>
          <w:sz w:val="24"/>
          <w:szCs w:val="24"/>
          <w:lang w:eastAsia="en-GB"/>
        </w:rPr>
        <w:t xml:space="preserve"> overall</w:t>
      </w:r>
      <w:r w:rsidR="2F6F4F72" w:rsidRPr="3C44842E">
        <w:rPr>
          <w:rFonts w:ascii="Calibri Light" w:eastAsia="Times New Roman" w:hAnsi="Calibri Light" w:cs="Calibri Light"/>
          <w:sz w:val="24"/>
          <w:szCs w:val="24"/>
          <w:lang w:eastAsia="en-GB"/>
        </w:rPr>
        <w:t xml:space="preserve"> well</w:t>
      </w:r>
      <w:r w:rsidR="2F6F4F72" w:rsidRPr="4DFEFD57">
        <w:rPr>
          <w:rFonts w:ascii="Calibri Light" w:eastAsia="Times New Roman" w:hAnsi="Calibri Light" w:cs="Calibri Light"/>
          <w:sz w:val="24"/>
          <w:szCs w:val="24"/>
          <w:lang w:eastAsia="en-GB"/>
        </w:rPr>
        <w:t>-being</w:t>
      </w:r>
      <w:r w:rsidR="0E7F04F4" w:rsidRPr="4DFEFD57">
        <w:rPr>
          <w:rFonts w:ascii="Calibri Light" w:eastAsia="Times New Roman" w:hAnsi="Calibri Light" w:cs="Calibri Light"/>
          <w:sz w:val="24"/>
          <w:szCs w:val="24"/>
          <w:lang w:eastAsia="en-GB"/>
        </w:rPr>
        <w:t xml:space="preserve">. </w:t>
      </w:r>
    </w:p>
    <w:p w14:paraId="192CB29B" w14:textId="6250F006" w:rsidR="6B10469E" w:rsidRDefault="6B10469E" w:rsidP="46A2E94C">
      <w:pPr>
        <w:spacing w:beforeAutospacing="1" w:after="0" w:afterAutospacing="1" w:line="240" w:lineRule="auto"/>
        <w:rPr>
          <w:rFonts w:ascii="Calibri Light" w:eastAsia="Times New Roman" w:hAnsi="Calibri Light" w:cs="Calibri Light"/>
          <w:sz w:val="24"/>
          <w:szCs w:val="24"/>
          <w:lang w:eastAsia="en-GB"/>
        </w:rPr>
      </w:pPr>
    </w:p>
    <w:p w14:paraId="232F4A6C" w14:textId="48960D01" w:rsidR="555CB024" w:rsidRDefault="06C6EDC5" w:rsidP="68EF056A">
      <w:pPr>
        <w:spacing w:beforeAutospacing="1" w:afterAutospacing="1" w:line="240" w:lineRule="auto"/>
        <w:rPr>
          <w:rFonts w:ascii="Calibri Light" w:eastAsia="Times New Roman" w:hAnsi="Calibri Light" w:cs="Calibri Light"/>
          <w:sz w:val="24"/>
          <w:szCs w:val="24"/>
          <w:lang w:eastAsia="en-GB"/>
        </w:rPr>
      </w:pPr>
      <w:r w:rsidRPr="2CFBEB6A">
        <w:rPr>
          <w:rFonts w:ascii="Calibri Light" w:eastAsia="Times New Roman" w:hAnsi="Calibri Light" w:cs="Calibri Light"/>
          <w:sz w:val="24"/>
          <w:szCs w:val="24"/>
          <w:lang w:eastAsia="en-GB"/>
        </w:rPr>
        <w:t>The Act</w:t>
      </w:r>
      <w:r w:rsidR="4C4DF59B" w:rsidRPr="23D86343">
        <w:rPr>
          <w:rFonts w:ascii="Calibri Light" w:eastAsia="Times New Roman" w:hAnsi="Calibri Light" w:cs="Calibri Light"/>
          <w:sz w:val="24"/>
          <w:szCs w:val="24"/>
          <w:lang w:eastAsia="en-GB"/>
        </w:rPr>
        <w:t xml:space="preserve"> emphasises the importance of understanding the complex interplay between personal choices and societal factors in the quest </w:t>
      </w:r>
      <w:r w:rsidR="02E28A04" w:rsidRPr="29349FD2">
        <w:rPr>
          <w:rFonts w:ascii="Calibri Light" w:eastAsia="Times New Roman" w:hAnsi="Calibri Light" w:cs="Calibri Light"/>
          <w:sz w:val="24"/>
          <w:szCs w:val="24"/>
          <w:lang w:eastAsia="en-GB"/>
        </w:rPr>
        <w:t>for</w:t>
      </w:r>
      <w:r w:rsidR="4C4DF59B" w:rsidRPr="23D86343">
        <w:rPr>
          <w:rFonts w:ascii="Calibri Light" w:eastAsia="Times New Roman" w:hAnsi="Calibri Light" w:cs="Calibri Light"/>
          <w:sz w:val="24"/>
          <w:szCs w:val="24"/>
          <w:lang w:eastAsia="en-GB"/>
        </w:rPr>
        <w:t xml:space="preserve"> wellbeing (Björk et al., 2021). </w:t>
      </w:r>
      <w:r w:rsidR="78CFACBE" w:rsidRPr="6520ED00">
        <w:rPr>
          <w:rFonts w:ascii="Calibri Light" w:eastAsia="Times New Roman" w:hAnsi="Calibri Light" w:cs="Calibri Light"/>
          <w:sz w:val="24"/>
          <w:szCs w:val="24"/>
          <w:lang w:eastAsia="en-GB"/>
        </w:rPr>
        <w:t>There is a</w:t>
      </w:r>
      <w:r w:rsidR="05D49C5F" w:rsidRPr="17BCF441">
        <w:rPr>
          <w:rFonts w:ascii="Calibri Light" w:eastAsia="Times New Roman" w:hAnsi="Calibri Light" w:cs="Calibri Light"/>
          <w:sz w:val="24"/>
          <w:szCs w:val="24"/>
          <w:lang w:eastAsia="en-GB"/>
        </w:rPr>
        <w:t xml:space="preserve"> </w:t>
      </w:r>
      <w:r w:rsidR="05D49C5F" w:rsidRPr="2992E55B">
        <w:rPr>
          <w:rFonts w:ascii="Calibri Light" w:eastAsia="Times New Roman" w:hAnsi="Calibri Light" w:cs="Calibri Light"/>
          <w:sz w:val="24"/>
          <w:szCs w:val="24"/>
          <w:lang w:eastAsia="en-GB"/>
        </w:rPr>
        <w:t>particular</w:t>
      </w:r>
      <w:r w:rsidR="78CFACBE" w:rsidRPr="6520ED00">
        <w:rPr>
          <w:rFonts w:ascii="Calibri Light" w:eastAsia="Times New Roman" w:hAnsi="Calibri Light" w:cs="Calibri Light"/>
          <w:sz w:val="24"/>
          <w:szCs w:val="24"/>
          <w:lang w:eastAsia="en-GB"/>
        </w:rPr>
        <w:t xml:space="preserve"> focus on </w:t>
      </w:r>
      <w:r w:rsidR="78CFACBE" w:rsidRPr="08248AFC">
        <w:rPr>
          <w:rFonts w:ascii="Calibri Light" w:eastAsia="Times New Roman" w:hAnsi="Calibri Light" w:cs="Calibri Light"/>
          <w:sz w:val="24"/>
          <w:szCs w:val="24"/>
          <w:lang w:eastAsia="en-GB"/>
        </w:rPr>
        <w:t xml:space="preserve">prevention, </w:t>
      </w:r>
      <w:r w:rsidR="78CFACBE" w:rsidRPr="0BA08B35">
        <w:rPr>
          <w:rFonts w:ascii="Calibri Light" w:eastAsia="Times New Roman" w:hAnsi="Calibri Light" w:cs="Calibri Light"/>
          <w:sz w:val="24"/>
          <w:szCs w:val="24"/>
          <w:lang w:eastAsia="en-GB"/>
        </w:rPr>
        <w:t xml:space="preserve">education and </w:t>
      </w:r>
      <w:r w:rsidR="78CFACBE" w:rsidRPr="6444275B">
        <w:rPr>
          <w:rFonts w:ascii="Calibri Light" w:eastAsia="Times New Roman" w:hAnsi="Calibri Light" w:cs="Calibri Light"/>
          <w:sz w:val="24"/>
          <w:szCs w:val="24"/>
          <w:lang w:eastAsia="en-GB"/>
        </w:rPr>
        <w:t xml:space="preserve">engagement </w:t>
      </w:r>
      <w:r w:rsidR="78CFACBE" w:rsidRPr="6CC09639">
        <w:rPr>
          <w:rFonts w:ascii="Calibri Light" w:eastAsia="Times New Roman" w:hAnsi="Calibri Light" w:cs="Calibri Light"/>
          <w:sz w:val="24"/>
          <w:szCs w:val="24"/>
          <w:lang w:eastAsia="en-GB"/>
        </w:rPr>
        <w:t xml:space="preserve">and giving </w:t>
      </w:r>
      <w:r w:rsidR="78CFACBE" w:rsidRPr="4F4BB47C">
        <w:rPr>
          <w:rFonts w:ascii="Calibri Light" w:eastAsia="Times New Roman" w:hAnsi="Calibri Light" w:cs="Calibri Light"/>
          <w:sz w:val="24"/>
          <w:szCs w:val="24"/>
          <w:lang w:eastAsia="en-GB"/>
        </w:rPr>
        <w:t xml:space="preserve">people </w:t>
      </w:r>
      <w:r w:rsidR="78CFACBE" w:rsidRPr="432518F3">
        <w:rPr>
          <w:rFonts w:ascii="Calibri Light" w:eastAsia="Times New Roman" w:hAnsi="Calibri Light" w:cs="Calibri Light"/>
          <w:sz w:val="24"/>
          <w:szCs w:val="24"/>
          <w:lang w:eastAsia="en-GB"/>
        </w:rPr>
        <w:t xml:space="preserve">the </w:t>
      </w:r>
      <w:r w:rsidR="3AEB68F4" w:rsidRPr="432518F3">
        <w:rPr>
          <w:rFonts w:ascii="Calibri Light" w:eastAsia="Times New Roman" w:hAnsi="Calibri Light" w:cs="Calibri Light"/>
          <w:sz w:val="24"/>
          <w:szCs w:val="24"/>
          <w:lang w:eastAsia="en-GB"/>
        </w:rPr>
        <w:t xml:space="preserve">tools </w:t>
      </w:r>
      <w:r w:rsidR="3AEB68F4" w:rsidRPr="220F8BA8">
        <w:rPr>
          <w:rFonts w:ascii="Calibri Light" w:eastAsia="Times New Roman" w:hAnsi="Calibri Light" w:cs="Calibri Light"/>
          <w:sz w:val="24"/>
          <w:szCs w:val="24"/>
          <w:lang w:eastAsia="en-GB"/>
        </w:rPr>
        <w:t xml:space="preserve">they need </w:t>
      </w:r>
      <w:r w:rsidR="3AEB68F4" w:rsidRPr="08804C68">
        <w:rPr>
          <w:rFonts w:ascii="Calibri Light" w:eastAsia="Times New Roman" w:hAnsi="Calibri Light" w:cs="Calibri Light"/>
          <w:sz w:val="24"/>
          <w:szCs w:val="24"/>
          <w:lang w:eastAsia="en-GB"/>
        </w:rPr>
        <w:t xml:space="preserve">to </w:t>
      </w:r>
      <w:r w:rsidR="3AEB68F4" w:rsidRPr="5351A293">
        <w:rPr>
          <w:rFonts w:ascii="Calibri Light" w:eastAsia="Times New Roman" w:hAnsi="Calibri Light" w:cs="Calibri Light"/>
          <w:sz w:val="24"/>
          <w:szCs w:val="24"/>
          <w:lang w:eastAsia="en-GB"/>
        </w:rPr>
        <w:t xml:space="preserve">lead </w:t>
      </w:r>
      <w:r w:rsidR="609475A7" w:rsidRPr="55226D84">
        <w:rPr>
          <w:rFonts w:ascii="Calibri Light" w:eastAsia="Times New Roman" w:hAnsi="Calibri Light" w:cs="Calibri Light"/>
          <w:sz w:val="24"/>
          <w:szCs w:val="24"/>
          <w:lang w:eastAsia="en-GB"/>
        </w:rPr>
        <w:t>fulfilling</w:t>
      </w:r>
      <w:r w:rsidR="3AEB68F4" w:rsidRPr="501A9949">
        <w:rPr>
          <w:rFonts w:ascii="Calibri Light" w:eastAsia="Times New Roman" w:hAnsi="Calibri Light" w:cs="Calibri Light"/>
          <w:sz w:val="24"/>
          <w:szCs w:val="24"/>
          <w:lang w:eastAsia="en-GB"/>
        </w:rPr>
        <w:t xml:space="preserve"> lives </w:t>
      </w:r>
      <w:r w:rsidR="3AEB68F4" w:rsidRPr="2035B4C4">
        <w:rPr>
          <w:rFonts w:ascii="Calibri Light" w:eastAsia="Times New Roman" w:hAnsi="Calibri Light" w:cs="Calibri Light"/>
          <w:sz w:val="24"/>
          <w:szCs w:val="24"/>
          <w:lang w:eastAsia="en-GB"/>
        </w:rPr>
        <w:t xml:space="preserve">whilst </w:t>
      </w:r>
      <w:r w:rsidR="3AEB68F4" w:rsidRPr="1CABD3B3">
        <w:rPr>
          <w:rFonts w:ascii="Calibri Light" w:eastAsia="Times New Roman" w:hAnsi="Calibri Light" w:cs="Calibri Light"/>
          <w:sz w:val="24"/>
          <w:szCs w:val="24"/>
          <w:lang w:eastAsia="en-GB"/>
        </w:rPr>
        <w:t>protecting</w:t>
      </w:r>
      <w:r w:rsidR="3AEB68F4" w:rsidRPr="1FE2DCFD">
        <w:rPr>
          <w:rFonts w:ascii="Calibri Light" w:eastAsia="Times New Roman" w:hAnsi="Calibri Light" w:cs="Calibri Light"/>
          <w:sz w:val="24"/>
          <w:szCs w:val="24"/>
          <w:lang w:eastAsia="en-GB"/>
        </w:rPr>
        <w:t xml:space="preserve"> </w:t>
      </w:r>
      <w:r w:rsidR="3AEB68F4" w:rsidRPr="00034612">
        <w:rPr>
          <w:rFonts w:ascii="Calibri Light" w:eastAsia="Times New Roman" w:hAnsi="Calibri Light" w:cs="Calibri Light"/>
          <w:sz w:val="24"/>
          <w:szCs w:val="24"/>
          <w:lang w:eastAsia="en-GB"/>
        </w:rPr>
        <w:t xml:space="preserve">the sustainability </w:t>
      </w:r>
      <w:r w:rsidR="3AEB68F4" w:rsidRPr="1F8D7485">
        <w:rPr>
          <w:rFonts w:ascii="Calibri Light" w:eastAsia="Times New Roman" w:hAnsi="Calibri Light" w:cs="Calibri Light"/>
          <w:sz w:val="24"/>
          <w:szCs w:val="24"/>
          <w:lang w:eastAsia="en-GB"/>
        </w:rPr>
        <w:t xml:space="preserve">of </w:t>
      </w:r>
      <w:r w:rsidR="3AEB68F4" w:rsidRPr="00034612">
        <w:rPr>
          <w:rFonts w:ascii="Calibri Light" w:eastAsia="Times New Roman" w:hAnsi="Calibri Light" w:cs="Calibri Light"/>
          <w:sz w:val="24"/>
          <w:szCs w:val="24"/>
          <w:lang w:eastAsia="en-GB"/>
        </w:rPr>
        <w:t>public</w:t>
      </w:r>
      <w:r w:rsidR="3AEB68F4" w:rsidRPr="47A4835F">
        <w:rPr>
          <w:rFonts w:ascii="Calibri Light" w:eastAsia="Times New Roman" w:hAnsi="Calibri Light" w:cs="Calibri Light"/>
          <w:sz w:val="24"/>
          <w:szCs w:val="24"/>
          <w:lang w:eastAsia="en-GB"/>
        </w:rPr>
        <w:t xml:space="preserve"> </w:t>
      </w:r>
      <w:r w:rsidR="3AEB68F4" w:rsidRPr="50FDB7E2">
        <w:rPr>
          <w:rFonts w:ascii="Calibri Light" w:eastAsia="Times New Roman" w:hAnsi="Calibri Light" w:cs="Calibri Light"/>
          <w:sz w:val="24"/>
          <w:szCs w:val="24"/>
          <w:lang w:eastAsia="en-GB"/>
        </w:rPr>
        <w:t>services</w:t>
      </w:r>
      <w:r w:rsidR="3AEB68F4" w:rsidRPr="2A28B136">
        <w:rPr>
          <w:rFonts w:ascii="Calibri Light" w:eastAsia="Times New Roman" w:hAnsi="Calibri Light" w:cs="Calibri Light"/>
          <w:sz w:val="24"/>
          <w:szCs w:val="24"/>
          <w:lang w:eastAsia="en-GB"/>
        </w:rPr>
        <w:t xml:space="preserve">. </w:t>
      </w:r>
      <w:r w:rsidR="75A22A5D" w:rsidRPr="2A28B136">
        <w:rPr>
          <w:rFonts w:ascii="Calibri Light" w:eastAsia="Times New Roman" w:hAnsi="Calibri Light" w:cs="Calibri Light"/>
          <w:sz w:val="24"/>
          <w:szCs w:val="24"/>
          <w:lang w:eastAsia="en-GB"/>
        </w:rPr>
        <w:t>Furthermore</w:t>
      </w:r>
      <w:r w:rsidR="75A22A5D" w:rsidRPr="278168F8">
        <w:rPr>
          <w:rFonts w:ascii="Calibri Light" w:eastAsia="Times New Roman" w:hAnsi="Calibri Light" w:cs="Calibri Light"/>
          <w:sz w:val="24"/>
          <w:szCs w:val="24"/>
          <w:lang w:eastAsia="en-GB"/>
        </w:rPr>
        <w:t xml:space="preserve">, </w:t>
      </w:r>
      <w:r w:rsidR="75A22A5D" w:rsidRPr="523521B5">
        <w:rPr>
          <w:rFonts w:ascii="Calibri Light" w:eastAsia="Times New Roman" w:hAnsi="Calibri Light" w:cs="Calibri Light"/>
          <w:sz w:val="24"/>
          <w:szCs w:val="24"/>
          <w:lang w:eastAsia="en-GB"/>
        </w:rPr>
        <w:t>i</w:t>
      </w:r>
      <w:r w:rsidR="555CB024" w:rsidRPr="523521B5">
        <w:rPr>
          <w:rFonts w:ascii="Calibri Light" w:eastAsia="Times New Roman" w:hAnsi="Calibri Light" w:cs="Calibri Light"/>
          <w:sz w:val="24"/>
          <w:szCs w:val="24"/>
          <w:lang w:eastAsia="en-GB"/>
        </w:rPr>
        <w:t>n</w:t>
      </w:r>
      <w:r w:rsidR="555CB024" w:rsidRPr="68EF056A">
        <w:rPr>
          <w:rFonts w:ascii="Calibri Light" w:eastAsia="Times New Roman" w:hAnsi="Calibri Light" w:cs="Calibri Light"/>
          <w:sz w:val="24"/>
          <w:szCs w:val="24"/>
          <w:lang w:eastAsia="en-GB"/>
        </w:rPr>
        <w:t xml:space="preserve"> carefully identifying national indicators to track the development of wellness goals, the National Assembly for Wales are able to effectively assess policies and actio</w:t>
      </w:r>
      <w:r w:rsidR="189F260F" w:rsidRPr="68EF056A">
        <w:rPr>
          <w:rFonts w:ascii="Calibri Light" w:eastAsia="Times New Roman" w:hAnsi="Calibri Light" w:cs="Calibri Light"/>
          <w:sz w:val="24"/>
          <w:szCs w:val="24"/>
          <w:lang w:eastAsia="en-GB"/>
        </w:rPr>
        <w:t>ns in order to drive informed evaluation and changes.</w:t>
      </w:r>
      <w:r w:rsidR="17F8CADA" w:rsidRPr="68EF056A">
        <w:rPr>
          <w:rFonts w:ascii="Calibri Light" w:eastAsia="Times New Roman" w:hAnsi="Calibri Light" w:cs="Calibri Light"/>
          <w:sz w:val="24"/>
          <w:szCs w:val="24"/>
          <w:lang w:eastAsia="en-GB"/>
        </w:rPr>
        <w:t xml:space="preserve"> On balance, it appears that the Well-being of Future Generations Act is having a positive impact on policy</w:t>
      </w:r>
      <w:r w:rsidR="0003C9E8" w:rsidRPr="47FF278D">
        <w:rPr>
          <w:rFonts w:ascii="Calibri Light" w:eastAsia="Times New Roman" w:hAnsi="Calibri Light" w:cs="Calibri Light"/>
          <w:sz w:val="24"/>
          <w:szCs w:val="24"/>
          <w:lang w:eastAsia="en-GB"/>
        </w:rPr>
        <w:t>,</w:t>
      </w:r>
      <w:r w:rsidR="17F8CADA" w:rsidRPr="68EF056A">
        <w:rPr>
          <w:rFonts w:ascii="Calibri Light" w:eastAsia="Times New Roman" w:hAnsi="Calibri Light" w:cs="Calibri Light"/>
          <w:sz w:val="24"/>
          <w:szCs w:val="24"/>
          <w:lang w:eastAsia="en-GB"/>
        </w:rPr>
        <w:t xml:space="preserve"> that will</w:t>
      </w:r>
      <w:r w:rsidR="2BDFA8D6" w:rsidRPr="68EF056A">
        <w:rPr>
          <w:rFonts w:ascii="Calibri Light" w:eastAsia="Times New Roman" w:hAnsi="Calibri Light" w:cs="Calibri Light"/>
          <w:sz w:val="24"/>
          <w:szCs w:val="24"/>
          <w:lang w:eastAsia="en-GB"/>
        </w:rPr>
        <w:t xml:space="preserve"> le</w:t>
      </w:r>
      <w:r w:rsidR="73CB1736" w:rsidRPr="68EF056A">
        <w:rPr>
          <w:rFonts w:ascii="Calibri Light" w:eastAsia="Times New Roman" w:hAnsi="Calibri Light" w:cs="Calibri Light"/>
          <w:sz w:val="24"/>
          <w:szCs w:val="24"/>
          <w:lang w:eastAsia="en-GB"/>
        </w:rPr>
        <w:t>a</w:t>
      </w:r>
      <w:r w:rsidR="2BDFA8D6" w:rsidRPr="68EF056A">
        <w:rPr>
          <w:rFonts w:ascii="Calibri Light" w:eastAsia="Times New Roman" w:hAnsi="Calibri Light" w:cs="Calibri Light"/>
          <w:sz w:val="24"/>
          <w:szCs w:val="24"/>
          <w:lang w:eastAsia="en-GB"/>
        </w:rPr>
        <w:t>d to</w:t>
      </w:r>
      <w:r w:rsidR="33CDDE96" w:rsidRPr="68EF056A">
        <w:rPr>
          <w:rFonts w:ascii="Calibri Light" w:eastAsia="Times New Roman" w:hAnsi="Calibri Light" w:cs="Calibri Light"/>
          <w:sz w:val="24"/>
          <w:szCs w:val="24"/>
          <w:lang w:eastAsia="en-GB"/>
        </w:rPr>
        <w:t xml:space="preserve"> </w:t>
      </w:r>
      <w:r w:rsidR="2BDFA8D6" w:rsidRPr="68EF056A">
        <w:rPr>
          <w:rFonts w:ascii="Calibri Light" w:eastAsia="Times New Roman" w:hAnsi="Calibri Light" w:cs="Calibri Light"/>
          <w:sz w:val="24"/>
          <w:szCs w:val="24"/>
          <w:lang w:eastAsia="en-GB"/>
        </w:rPr>
        <w:t>improv</w:t>
      </w:r>
      <w:r w:rsidR="28EE6323" w:rsidRPr="68EF056A">
        <w:rPr>
          <w:rFonts w:ascii="Calibri Light" w:eastAsia="Times New Roman" w:hAnsi="Calibri Light" w:cs="Calibri Light"/>
          <w:sz w:val="24"/>
          <w:szCs w:val="24"/>
          <w:lang w:eastAsia="en-GB"/>
        </w:rPr>
        <w:t>ing</w:t>
      </w:r>
      <w:r w:rsidR="2BDFA8D6" w:rsidRPr="68EF056A">
        <w:rPr>
          <w:rFonts w:ascii="Calibri Light" w:eastAsia="Times New Roman" w:hAnsi="Calibri Light" w:cs="Calibri Light"/>
          <w:sz w:val="24"/>
          <w:szCs w:val="24"/>
          <w:lang w:eastAsia="en-GB"/>
        </w:rPr>
        <w:t xml:space="preserve"> long term</w:t>
      </w:r>
      <w:r w:rsidR="33CDDE96" w:rsidRPr="68EF056A">
        <w:rPr>
          <w:rFonts w:ascii="Calibri Light" w:eastAsia="Times New Roman" w:hAnsi="Calibri Light" w:cs="Calibri Light"/>
          <w:sz w:val="24"/>
          <w:szCs w:val="24"/>
          <w:lang w:eastAsia="en-GB"/>
        </w:rPr>
        <w:t xml:space="preserve"> societal well-being throughout </w:t>
      </w:r>
      <w:r w:rsidR="624AD5C3" w:rsidRPr="68EF056A">
        <w:rPr>
          <w:rFonts w:ascii="Calibri Light" w:eastAsia="Times New Roman" w:hAnsi="Calibri Light" w:cs="Calibri Light"/>
          <w:sz w:val="24"/>
          <w:szCs w:val="24"/>
          <w:lang w:eastAsia="en-GB"/>
        </w:rPr>
        <w:t>Wales</w:t>
      </w:r>
      <w:r w:rsidR="3E854824" w:rsidRPr="3D180381">
        <w:rPr>
          <w:rFonts w:ascii="Calibri Light" w:eastAsia="Times New Roman" w:hAnsi="Calibri Light" w:cs="Calibri Light"/>
          <w:sz w:val="24"/>
          <w:szCs w:val="24"/>
          <w:lang w:eastAsia="en-GB"/>
        </w:rPr>
        <w:t>,</w:t>
      </w:r>
      <w:r w:rsidR="624AD5C3" w:rsidRPr="68EF056A">
        <w:rPr>
          <w:rFonts w:ascii="Calibri Light" w:eastAsia="Times New Roman" w:hAnsi="Calibri Light" w:cs="Calibri Light"/>
          <w:sz w:val="24"/>
          <w:szCs w:val="24"/>
          <w:lang w:eastAsia="en-GB"/>
        </w:rPr>
        <w:t xml:space="preserve"> </w:t>
      </w:r>
      <w:r w:rsidR="66D84C5B" w:rsidRPr="68EF056A">
        <w:rPr>
          <w:rFonts w:ascii="Calibri Light" w:eastAsia="Times New Roman" w:hAnsi="Calibri Light" w:cs="Calibri Light"/>
          <w:sz w:val="24"/>
          <w:szCs w:val="24"/>
          <w:lang w:eastAsia="en-GB"/>
        </w:rPr>
        <w:t>through the implementation of proactive and preventative strategies</w:t>
      </w:r>
      <w:r w:rsidR="0D03EC44" w:rsidRPr="68EF056A">
        <w:rPr>
          <w:rFonts w:ascii="Calibri Light" w:eastAsia="Times New Roman" w:hAnsi="Calibri Light" w:cs="Calibri Light"/>
          <w:sz w:val="24"/>
          <w:szCs w:val="24"/>
          <w:lang w:eastAsia="en-GB"/>
        </w:rPr>
        <w:t xml:space="preserve">, encouraging collaboration amongst sectors and enabling a more egalitarian nation. </w:t>
      </w:r>
    </w:p>
    <w:p w14:paraId="21F72AE1" w14:textId="35755EC9" w:rsidR="13777C76" w:rsidRDefault="13777C76" w:rsidP="13777C76">
      <w:pPr>
        <w:spacing w:beforeAutospacing="1" w:afterAutospacing="1" w:line="240" w:lineRule="auto"/>
        <w:rPr>
          <w:rFonts w:ascii="Calibri Light" w:eastAsia="Times New Roman" w:hAnsi="Calibri Light" w:cs="Calibri Light"/>
          <w:sz w:val="24"/>
          <w:szCs w:val="24"/>
          <w:lang w:eastAsia="en-GB"/>
        </w:rPr>
      </w:pPr>
    </w:p>
    <w:p w14:paraId="467ABFAE" w14:textId="3AAB9D1F" w:rsidR="4BB92E49" w:rsidRDefault="4BB92E49" w:rsidP="4BB92E49">
      <w:pPr>
        <w:spacing w:beforeAutospacing="1" w:afterAutospacing="1" w:line="240" w:lineRule="auto"/>
        <w:rPr>
          <w:rFonts w:ascii="Calibri Light" w:eastAsia="Times New Roman" w:hAnsi="Calibri Light" w:cs="Calibri Light"/>
          <w:b/>
          <w:bCs/>
          <w:sz w:val="36"/>
          <w:szCs w:val="36"/>
          <w:lang w:eastAsia="en-GB"/>
        </w:rPr>
      </w:pPr>
    </w:p>
    <w:p w14:paraId="0E619CC2" w14:textId="1932F497" w:rsidR="4BB92E49" w:rsidRDefault="4BB92E49" w:rsidP="4BB92E49">
      <w:pPr>
        <w:spacing w:beforeAutospacing="1" w:afterAutospacing="1" w:line="240" w:lineRule="auto"/>
        <w:rPr>
          <w:rFonts w:ascii="Calibri Light" w:eastAsia="Times New Roman" w:hAnsi="Calibri Light" w:cs="Calibri Light"/>
          <w:b/>
          <w:bCs/>
          <w:sz w:val="36"/>
          <w:szCs w:val="36"/>
          <w:lang w:eastAsia="en-GB"/>
        </w:rPr>
      </w:pPr>
    </w:p>
    <w:p w14:paraId="79FBDCF3" w14:textId="6CBD813F" w:rsidR="4BB92E49" w:rsidRDefault="4BB92E49" w:rsidP="4BB92E49">
      <w:pPr>
        <w:spacing w:beforeAutospacing="1" w:afterAutospacing="1" w:line="240" w:lineRule="auto"/>
        <w:rPr>
          <w:rFonts w:ascii="Calibri Light" w:eastAsia="Times New Roman" w:hAnsi="Calibri Light" w:cs="Calibri Light"/>
          <w:b/>
          <w:bCs/>
          <w:sz w:val="36"/>
          <w:szCs w:val="36"/>
          <w:lang w:eastAsia="en-GB"/>
        </w:rPr>
      </w:pPr>
    </w:p>
    <w:p w14:paraId="06A78108" w14:textId="32E1C019" w:rsidR="070A0357" w:rsidRDefault="070A0357" w:rsidP="070A0357">
      <w:pPr>
        <w:spacing w:beforeAutospacing="1" w:afterAutospacing="1" w:line="240" w:lineRule="auto"/>
        <w:rPr>
          <w:rFonts w:ascii="Calibri Light" w:eastAsia="Times New Roman" w:hAnsi="Calibri Light" w:cs="Calibri Light"/>
          <w:b/>
          <w:bCs/>
          <w:sz w:val="36"/>
          <w:szCs w:val="36"/>
          <w:lang w:eastAsia="en-GB"/>
        </w:rPr>
      </w:pPr>
    </w:p>
    <w:p w14:paraId="10839838" w14:textId="5C540563" w:rsidR="562074FC" w:rsidRDefault="562074FC" w:rsidP="562074FC">
      <w:pPr>
        <w:spacing w:beforeAutospacing="1" w:afterAutospacing="1" w:line="240" w:lineRule="auto"/>
        <w:rPr>
          <w:rFonts w:ascii="Calibri Light" w:eastAsia="Times New Roman" w:hAnsi="Calibri Light" w:cs="Calibri Light"/>
          <w:b/>
          <w:bCs/>
          <w:sz w:val="36"/>
          <w:szCs w:val="36"/>
          <w:lang w:eastAsia="en-GB"/>
        </w:rPr>
      </w:pPr>
    </w:p>
    <w:p w14:paraId="7E491DC2"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b/>
          <w:bCs/>
          <w:kern w:val="0"/>
          <w:sz w:val="18"/>
          <w:szCs w:val="18"/>
          <w:lang w:eastAsia="en-GB"/>
          <w14:ligatures w14:val="none"/>
        </w:rPr>
      </w:pPr>
      <w:r w:rsidRPr="0016729D">
        <w:rPr>
          <w:rFonts w:ascii="Calibri Light" w:eastAsia="Times New Roman" w:hAnsi="Calibri Light" w:cs="Calibri Light"/>
          <w:b/>
          <w:bCs/>
          <w:kern w:val="0"/>
          <w:sz w:val="36"/>
          <w:szCs w:val="36"/>
          <w:lang w:eastAsia="en-GB"/>
          <w14:ligatures w14:val="none"/>
        </w:rPr>
        <w:t>Reference list </w:t>
      </w:r>
    </w:p>
    <w:p w14:paraId="560788CC" w14:textId="77777777" w:rsidR="0016729D" w:rsidRPr="0016729D" w:rsidRDefault="0016729D" w:rsidP="0016729D">
      <w:pPr>
        <w:spacing w:beforeAutospacing="1" w:after="0" w:afterAutospacing="1" w:line="240" w:lineRule="auto"/>
        <w:textAlignment w:val="baseline"/>
        <w:rPr>
          <w:rFonts w:ascii="Segoe UI" w:eastAsia="Times New Roman" w:hAnsi="Segoe UI" w:cs="Segoe UI"/>
          <w:b/>
          <w:bCs/>
          <w:kern w:val="0"/>
          <w:sz w:val="18"/>
          <w:szCs w:val="18"/>
          <w:lang w:eastAsia="en-GB"/>
          <w14:ligatures w14:val="none"/>
        </w:rPr>
      </w:pPr>
      <w:r w:rsidRPr="0016729D">
        <w:rPr>
          <w:rFonts w:ascii="Calibri Light" w:eastAsia="Times New Roman" w:hAnsi="Calibri Light" w:cs="Calibri Light"/>
          <w:b/>
          <w:bCs/>
          <w:kern w:val="0"/>
          <w:sz w:val="36"/>
          <w:szCs w:val="36"/>
          <w:lang w:eastAsia="en-GB"/>
          <w14:ligatures w14:val="none"/>
        </w:rPr>
        <w:t> </w:t>
      </w:r>
    </w:p>
    <w:p w14:paraId="7A17D48B" w14:textId="0606EB36"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A Stielke, Ashton, K. and M Dyakova (2023). Shifting towards a Well-being Economy in Wales for a fairer, sustainable and healthier society. </w:t>
      </w:r>
      <w:r w:rsidRPr="0016729D">
        <w:rPr>
          <w:rFonts w:ascii="Calibri Light" w:eastAsia="Times New Roman" w:hAnsi="Calibri Light" w:cs="Calibri Light"/>
          <w:i/>
          <w:iCs/>
          <w:kern w:val="0"/>
          <w:sz w:val="24"/>
          <w:szCs w:val="24"/>
          <w:lang w:eastAsia="en-GB"/>
          <w14:ligatures w14:val="none"/>
        </w:rPr>
        <w:t>European journal of public health</w:t>
      </w:r>
      <w:r w:rsidRPr="0016729D">
        <w:rPr>
          <w:rFonts w:ascii="Calibri Light" w:eastAsia="Times New Roman" w:hAnsi="Calibri Light" w:cs="Calibri Light"/>
          <w:kern w:val="0"/>
          <w:sz w:val="24"/>
          <w:szCs w:val="24"/>
          <w:lang w:eastAsia="en-GB"/>
          <w14:ligatures w14:val="none"/>
        </w:rPr>
        <w:t>, 33(Supplement_2) </w:t>
      </w:r>
    </w:p>
    <w:p w14:paraId="3AEA9277" w14:textId="77777777" w:rsidR="00037158" w:rsidRPr="0016729D" w:rsidRDefault="00037158"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7F41E1E9" w14:textId="527A34E2"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Abbas, J., Mahmood, S., Ali, H., Raza, M.A., Ali, G., Aman, J., Bano, S. and Nurunnabi, M. (2019). The effects of corporate social responsibility practices and environmental factors through a moderating role of social media marketing on sustainable performance of firms’ operating in multan, pakistan. </w:t>
      </w:r>
      <w:r w:rsidRPr="0016729D">
        <w:rPr>
          <w:rFonts w:ascii="Calibri Light" w:eastAsia="Times New Roman" w:hAnsi="Calibri Light" w:cs="Calibri Light"/>
          <w:i/>
          <w:iCs/>
          <w:kern w:val="0"/>
          <w:sz w:val="24"/>
          <w:szCs w:val="24"/>
          <w:lang w:eastAsia="en-GB"/>
          <w14:ligatures w14:val="none"/>
        </w:rPr>
        <w:t>Sustainability</w:t>
      </w:r>
      <w:r w:rsidRPr="0016729D">
        <w:rPr>
          <w:rFonts w:ascii="Calibri Light" w:eastAsia="Times New Roman" w:hAnsi="Calibri Light" w:cs="Calibri Light"/>
          <w:kern w:val="0"/>
          <w:sz w:val="24"/>
          <w:szCs w:val="24"/>
          <w:lang w:eastAsia="en-GB"/>
          <w14:ligatures w14:val="none"/>
        </w:rPr>
        <w:t xml:space="preserve">, 11(12), p.3434. </w:t>
      </w:r>
    </w:p>
    <w:p w14:paraId="5F6DF876" w14:textId="77777777" w:rsidR="00037158" w:rsidRPr="0016729D" w:rsidRDefault="00037158"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D84ACF2"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Anderson, M., Pitchforth, E., Edwards, N., Alderwick, H., McGuire, A. and Elías Mossialos (2022). United Kingdom: Health System Review. </w:t>
      </w:r>
      <w:r w:rsidRPr="0016729D">
        <w:rPr>
          <w:rFonts w:ascii="Calibri Light" w:eastAsia="Times New Roman" w:hAnsi="Calibri Light" w:cs="Calibri Light"/>
          <w:i/>
          <w:iCs/>
          <w:kern w:val="0"/>
          <w:sz w:val="24"/>
          <w:szCs w:val="24"/>
          <w:lang w:eastAsia="en-GB"/>
          <w14:ligatures w14:val="none"/>
        </w:rPr>
        <w:t>PubMed</w:t>
      </w:r>
      <w:r w:rsidRPr="0016729D">
        <w:rPr>
          <w:rFonts w:ascii="Calibri Light" w:eastAsia="Times New Roman" w:hAnsi="Calibri Light" w:cs="Calibri Light"/>
          <w:kern w:val="0"/>
          <w:sz w:val="24"/>
          <w:szCs w:val="24"/>
          <w:lang w:eastAsia="en-GB"/>
          <w14:ligatures w14:val="none"/>
        </w:rPr>
        <w:t>, 24(1), pp.1–194. </w:t>
      </w:r>
    </w:p>
    <w:p w14:paraId="1FEBD1BF" w14:textId="77777777" w:rsidR="00B34715" w:rsidRPr="0016729D" w:rsidRDefault="00B3471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5EB78CA" w14:textId="354B99C5"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Azam, S. (2020). A ‘futures’ approach towards the wellbeing of future generations in Wales and beyond. </w:t>
      </w:r>
      <w:r w:rsidRPr="0016729D">
        <w:rPr>
          <w:rFonts w:ascii="Calibri Light" w:eastAsia="Times New Roman" w:hAnsi="Calibri Light" w:cs="Calibri Light"/>
          <w:i/>
          <w:iCs/>
          <w:kern w:val="0"/>
          <w:sz w:val="24"/>
          <w:szCs w:val="24"/>
          <w:lang w:eastAsia="en-GB"/>
          <w14:ligatures w14:val="none"/>
        </w:rPr>
        <w:t>European Journal of Public Health</w:t>
      </w:r>
      <w:r w:rsidRPr="0016729D">
        <w:rPr>
          <w:rFonts w:ascii="Calibri Light" w:eastAsia="Times New Roman" w:hAnsi="Calibri Light" w:cs="Calibri Light"/>
          <w:kern w:val="0"/>
          <w:sz w:val="24"/>
          <w:szCs w:val="24"/>
          <w:lang w:eastAsia="en-GB"/>
          <w14:ligatures w14:val="none"/>
        </w:rPr>
        <w:t xml:space="preserve">, 30(Supplement_5). </w:t>
      </w:r>
    </w:p>
    <w:p w14:paraId="597F305D"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5858BB1" w14:textId="3618BAD5"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Beja, E.L. (2012). Subjective Well-Being Approach to the Valuation of International Development: Evidence for the Millennium Development Goals. </w:t>
      </w:r>
      <w:r w:rsidRPr="0016729D">
        <w:rPr>
          <w:rFonts w:ascii="Calibri Light" w:eastAsia="Times New Roman" w:hAnsi="Calibri Light" w:cs="Calibri Light"/>
          <w:i/>
          <w:iCs/>
          <w:kern w:val="0"/>
          <w:sz w:val="24"/>
          <w:szCs w:val="24"/>
          <w:lang w:eastAsia="en-GB"/>
          <w14:ligatures w14:val="none"/>
        </w:rPr>
        <w:t>Social Indicators Research</w:t>
      </w:r>
      <w:r w:rsidRPr="0016729D">
        <w:rPr>
          <w:rFonts w:ascii="Calibri Light" w:eastAsia="Times New Roman" w:hAnsi="Calibri Light" w:cs="Calibri Light"/>
          <w:kern w:val="0"/>
          <w:sz w:val="24"/>
          <w:szCs w:val="24"/>
          <w:lang w:eastAsia="en-GB"/>
          <w14:ligatures w14:val="none"/>
        </w:rPr>
        <w:t xml:space="preserve">, 111(1), pp.141–159. </w:t>
      </w:r>
    </w:p>
    <w:p w14:paraId="6DA88B41"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F4CC284" w14:textId="616E26ED"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Björk, J., Stenfors, T., Juth, N. and Gunnarsson, A.B. (2021). Personal responsibility for health? A phenomenographic analysis of general practitioners’ conceptions. </w:t>
      </w:r>
      <w:r w:rsidRPr="0016729D">
        <w:rPr>
          <w:rFonts w:ascii="Calibri Light" w:eastAsia="Times New Roman" w:hAnsi="Calibri Light" w:cs="Calibri Light"/>
          <w:i/>
          <w:iCs/>
          <w:kern w:val="0"/>
          <w:sz w:val="24"/>
          <w:szCs w:val="24"/>
          <w:lang w:eastAsia="en-GB"/>
          <w14:ligatures w14:val="none"/>
        </w:rPr>
        <w:t>Scandinavian Journal of Primary Health Care</w:t>
      </w:r>
      <w:r w:rsidRPr="0016729D">
        <w:rPr>
          <w:rFonts w:ascii="Calibri Light" w:eastAsia="Times New Roman" w:hAnsi="Calibri Light" w:cs="Calibri Light"/>
          <w:kern w:val="0"/>
          <w:sz w:val="24"/>
          <w:szCs w:val="24"/>
          <w:lang w:eastAsia="en-GB"/>
          <w14:ligatures w14:val="none"/>
        </w:rPr>
        <w:t xml:space="preserve">, pp.1–10. </w:t>
      </w:r>
    </w:p>
    <w:p w14:paraId="1EFCC068" w14:textId="77777777" w:rsidR="00E671EB" w:rsidRPr="0016729D" w:rsidRDefault="00E671EB"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ECF2B28"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Bolton, D. and Gillett, G. (2019). </w:t>
      </w:r>
      <w:r w:rsidRPr="0016729D">
        <w:rPr>
          <w:rFonts w:ascii="Calibri Light" w:eastAsia="Times New Roman" w:hAnsi="Calibri Light" w:cs="Calibri Light"/>
          <w:i/>
          <w:iCs/>
          <w:kern w:val="0"/>
          <w:sz w:val="24"/>
          <w:szCs w:val="24"/>
          <w:lang w:eastAsia="en-GB"/>
          <w14:ligatures w14:val="none"/>
        </w:rPr>
        <w:t>The Biopsychosocial Model of Health and Disease New Philosophical and Scientific Developments</w:t>
      </w:r>
      <w:r w:rsidRPr="0016729D">
        <w:rPr>
          <w:rFonts w:ascii="Calibri Light" w:eastAsia="Times New Roman" w:hAnsi="Calibri Light" w:cs="Calibri Light"/>
          <w:kern w:val="0"/>
          <w:sz w:val="24"/>
          <w:szCs w:val="24"/>
          <w:lang w:eastAsia="en-GB"/>
          <w14:ligatures w14:val="none"/>
        </w:rPr>
        <w:t>. </w:t>
      </w:r>
    </w:p>
    <w:p w14:paraId="0CA80FC0"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CB751E9" w14:textId="2F4D2442"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Borsa, A., Bejarano, G., Ellen, M. and Bruch, J.D. (2023). Evaluating trends in private equity ownership and impacts on health outcomes, costs, and quality: systematic review. </w:t>
      </w:r>
      <w:r w:rsidRPr="0016729D">
        <w:rPr>
          <w:rFonts w:ascii="Calibri Light" w:eastAsia="Times New Roman" w:hAnsi="Calibri Light" w:cs="Calibri Light"/>
          <w:i/>
          <w:iCs/>
          <w:kern w:val="0"/>
          <w:sz w:val="24"/>
          <w:szCs w:val="24"/>
          <w:lang w:eastAsia="en-GB"/>
          <w14:ligatures w14:val="none"/>
        </w:rPr>
        <w:t>BMJ</w:t>
      </w:r>
      <w:r w:rsidRPr="0016729D">
        <w:rPr>
          <w:rFonts w:ascii="Calibri Light" w:eastAsia="Times New Roman" w:hAnsi="Calibri Light" w:cs="Calibri Light"/>
          <w:kern w:val="0"/>
          <w:sz w:val="24"/>
          <w:szCs w:val="24"/>
          <w:lang w:eastAsia="en-GB"/>
          <w14:ligatures w14:val="none"/>
        </w:rPr>
        <w:t>, 382</w:t>
      </w:r>
    </w:p>
    <w:p w14:paraId="59395865" w14:textId="77777777" w:rsidR="00E671EB" w:rsidRPr="0016729D" w:rsidRDefault="00E671EB"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FCE09D8" w14:textId="4284ACD8"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Cookson, R., Asaria, M., Ali, S., Ferguson, B., Fleetcroft, R., Goddard, M., Goldblatt, P., Laudicella, M. and Raine, R. (2016). </w:t>
      </w:r>
      <w:r w:rsidRPr="0016729D">
        <w:rPr>
          <w:rFonts w:ascii="Calibri Light" w:eastAsia="Times New Roman" w:hAnsi="Calibri Light" w:cs="Calibri Light"/>
          <w:i/>
          <w:iCs/>
          <w:kern w:val="0"/>
          <w:sz w:val="24"/>
          <w:szCs w:val="24"/>
          <w:lang w:eastAsia="en-GB"/>
          <w14:ligatures w14:val="none"/>
        </w:rPr>
        <w:t>Indicator selection</w:t>
      </w:r>
      <w:r w:rsidRPr="0016729D">
        <w:rPr>
          <w:rFonts w:ascii="Calibri Light" w:eastAsia="Times New Roman" w:hAnsi="Calibri Light" w:cs="Calibri Light"/>
          <w:kern w:val="0"/>
          <w:sz w:val="24"/>
          <w:szCs w:val="24"/>
          <w:lang w:eastAsia="en-GB"/>
          <w14:ligatures w14:val="none"/>
        </w:rPr>
        <w:t xml:space="preserve">. </w:t>
      </w:r>
      <w:r w:rsidRPr="00E671EB">
        <w:rPr>
          <w:rFonts w:ascii="Calibri Light" w:eastAsia="Times New Roman" w:hAnsi="Calibri Light" w:cs="Calibri Light"/>
          <w:i/>
          <w:iCs/>
          <w:kern w:val="0"/>
          <w:sz w:val="24"/>
          <w:szCs w:val="24"/>
          <w:lang w:eastAsia="en-GB"/>
          <w14:ligatures w14:val="none"/>
        </w:rPr>
        <w:t>www.ncbi.nlm.nih.gov</w:t>
      </w:r>
      <w:r w:rsidRPr="00E671EB">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kern w:val="0"/>
          <w:sz w:val="24"/>
          <w:szCs w:val="24"/>
          <w:lang w:eastAsia="en-GB"/>
          <w14:ligatures w14:val="none"/>
        </w:rPr>
        <w:t>NIHR Journals Library. </w:t>
      </w:r>
    </w:p>
    <w:p w14:paraId="540F4B28"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E5C9822"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Davidson, J. (2020). </w:t>
      </w:r>
      <w:r w:rsidRPr="0016729D">
        <w:rPr>
          <w:rFonts w:ascii="Calibri Light" w:eastAsia="Times New Roman" w:hAnsi="Calibri Light" w:cs="Calibri Light"/>
          <w:i/>
          <w:iCs/>
          <w:kern w:val="0"/>
          <w:sz w:val="24"/>
          <w:szCs w:val="24"/>
          <w:lang w:eastAsia="en-GB"/>
          <w14:ligatures w14:val="none"/>
        </w:rPr>
        <w:t>#Futuregen : lessons from a small country</w:t>
      </w:r>
      <w:r w:rsidRPr="0016729D">
        <w:rPr>
          <w:rFonts w:ascii="Calibri Light" w:eastAsia="Times New Roman" w:hAnsi="Calibri Light" w:cs="Calibri Light"/>
          <w:kern w:val="0"/>
          <w:sz w:val="24"/>
          <w:szCs w:val="24"/>
          <w:lang w:eastAsia="en-GB"/>
          <w14:ligatures w14:val="none"/>
        </w:rPr>
        <w:t>. White River Junction, Vermont: Chelsea Green Publishing. </w:t>
      </w:r>
    </w:p>
    <w:p w14:paraId="446E7E6F" w14:textId="77777777" w:rsidR="00E671EB" w:rsidRPr="0016729D" w:rsidRDefault="00E671EB"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1452326" w14:textId="5DF554AB"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lastRenderedPageBreak/>
        <w:t xml:space="preserve">Davies, H. (2016). The Well-being of Future Generations (Wales) Act 2015. </w:t>
      </w:r>
      <w:r w:rsidRPr="0016729D">
        <w:rPr>
          <w:rFonts w:ascii="Calibri Light" w:eastAsia="Times New Roman" w:hAnsi="Calibri Light" w:cs="Calibri Light"/>
          <w:i/>
          <w:iCs/>
          <w:kern w:val="0"/>
          <w:sz w:val="24"/>
          <w:szCs w:val="24"/>
          <w:lang w:eastAsia="en-GB"/>
          <w14:ligatures w14:val="none"/>
        </w:rPr>
        <w:t>Environmental Law Review</w:t>
      </w:r>
      <w:r w:rsidRPr="0016729D">
        <w:rPr>
          <w:rFonts w:ascii="Calibri Light" w:eastAsia="Times New Roman" w:hAnsi="Calibri Light" w:cs="Calibri Light"/>
          <w:kern w:val="0"/>
          <w:sz w:val="24"/>
          <w:szCs w:val="24"/>
          <w:lang w:eastAsia="en-GB"/>
          <w14:ligatures w14:val="none"/>
        </w:rPr>
        <w:t>, 18(1), pp.41–56</w:t>
      </w:r>
    </w:p>
    <w:p w14:paraId="7E1F1544"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46237A1" w14:textId="41319650" w:rsidR="0016729D" w:rsidRPr="001E763B"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Department of Health (2023). </w:t>
      </w:r>
      <w:r w:rsidRPr="0016729D">
        <w:rPr>
          <w:rFonts w:ascii="Calibri Light" w:eastAsia="Times New Roman" w:hAnsi="Calibri Light" w:cs="Calibri Light"/>
          <w:i/>
          <w:iCs/>
          <w:kern w:val="0"/>
          <w:sz w:val="24"/>
          <w:szCs w:val="24"/>
          <w:lang w:eastAsia="en-GB"/>
          <w14:ligatures w14:val="none"/>
        </w:rPr>
        <w:t>Wellbeing Why it matters to health policy Health is the top thing people say matters to their wellbeing</w:t>
      </w:r>
      <w:r w:rsidRPr="0016729D">
        <w:rPr>
          <w:rFonts w:ascii="Calibri Light" w:eastAsia="Times New Roman" w:hAnsi="Calibri Light" w:cs="Calibri Light"/>
          <w:kern w:val="0"/>
          <w:sz w:val="24"/>
          <w:szCs w:val="24"/>
          <w:lang w:eastAsia="en-GB"/>
          <w14:ligatures w14:val="none"/>
        </w:rPr>
        <w:t xml:space="preserve">. </w:t>
      </w:r>
      <w:r w:rsidR="001E763B">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online</w:t>
      </w:r>
      <w:r w:rsidR="001E763B">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xml:space="preserve">Available at: </w:t>
      </w:r>
      <w:r w:rsidRPr="001E763B">
        <w:rPr>
          <w:rFonts w:ascii="Calibri Light" w:eastAsia="Times New Roman" w:hAnsi="Calibri Light" w:cs="Calibri Light"/>
          <w:kern w:val="0"/>
          <w:sz w:val="24"/>
          <w:szCs w:val="24"/>
          <w:lang w:eastAsia="en-GB"/>
          <w14:ligatures w14:val="none"/>
        </w:rPr>
        <w:t xml:space="preserve">https://assets.publishing.service.gov.uk/media/5a7ba1d6ed915d4147621a24/Narrative__January_2014_.pdf </w:t>
      </w:r>
      <w:r w:rsidR="001E763B" w:rsidRPr="001E763B">
        <w:rPr>
          <w:rFonts w:ascii="Calibri Light" w:eastAsia="Times New Roman" w:hAnsi="Calibri Light" w:cs="Calibri Light"/>
          <w:kern w:val="0"/>
          <w:sz w:val="24"/>
          <w:szCs w:val="24"/>
          <w:lang w:eastAsia="en-GB"/>
          <w14:ligatures w14:val="none"/>
        </w:rPr>
        <w:t>(</w:t>
      </w:r>
      <w:r w:rsidRPr="001E763B">
        <w:rPr>
          <w:rFonts w:ascii="Calibri Light" w:eastAsia="Times New Roman" w:hAnsi="Calibri Light" w:cs="Calibri Light"/>
          <w:kern w:val="0"/>
          <w:sz w:val="24"/>
          <w:szCs w:val="24"/>
          <w:lang w:eastAsia="en-GB"/>
          <w14:ligatures w14:val="none"/>
        </w:rPr>
        <w:t>Accessed 28 Nov. 2023</w:t>
      </w:r>
      <w:r w:rsidR="001E763B" w:rsidRPr="001E763B">
        <w:rPr>
          <w:rFonts w:ascii="Calibri Light" w:eastAsia="Times New Roman" w:hAnsi="Calibri Light" w:cs="Calibri Light"/>
          <w:kern w:val="0"/>
          <w:sz w:val="24"/>
          <w:szCs w:val="24"/>
          <w:lang w:eastAsia="en-GB"/>
          <w14:ligatures w14:val="none"/>
        </w:rPr>
        <w:t>)</w:t>
      </w:r>
      <w:r w:rsidRPr="001E763B">
        <w:rPr>
          <w:rFonts w:ascii="Calibri Light" w:eastAsia="Times New Roman" w:hAnsi="Calibri Light" w:cs="Calibri Light"/>
          <w:kern w:val="0"/>
          <w:sz w:val="24"/>
          <w:szCs w:val="24"/>
          <w:lang w:eastAsia="en-GB"/>
          <w14:ligatures w14:val="none"/>
        </w:rPr>
        <w:t>. </w:t>
      </w:r>
    </w:p>
    <w:p w14:paraId="1135175E" w14:textId="77777777" w:rsidR="001E763B" w:rsidRPr="0016729D" w:rsidRDefault="001E763B"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26FCF8A0" w14:textId="2F2E8AAE"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Department of Health &amp; Social Care (2019). </w:t>
      </w:r>
      <w:r w:rsidRPr="0016729D">
        <w:rPr>
          <w:rFonts w:ascii="Calibri Light" w:eastAsia="Times New Roman" w:hAnsi="Calibri Light" w:cs="Calibri Light"/>
          <w:i/>
          <w:iCs/>
          <w:kern w:val="0"/>
          <w:sz w:val="24"/>
          <w:szCs w:val="24"/>
          <w:lang w:eastAsia="en-GB"/>
          <w14:ligatures w14:val="none"/>
        </w:rPr>
        <w:t>Department of Health and Social Care</w:t>
      </w:r>
      <w:r w:rsidRPr="0016729D">
        <w:rPr>
          <w:rFonts w:ascii="Calibri Light" w:eastAsia="Times New Roman" w:hAnsi="Calibri Light" w:cs="Calibri Light"/>
          <w:kern w:val="0"/>
          <w:sz w:val="24"/>
          <w:szCs w:val="24"/>
          <w:lang w:eastAsia="en-GB"/>
          <w14:ligatures w14:val="none"/>
        </w:rPr>
        <w:t xml:space="preserve">. [online] GOV.UK. Available at: </w:t>
      </w:r>
      <w:r w:rsidRPr="001E763B">
        <w:rPr>
          <w:rFonts w:ascii="Calibri Light" w:eastAsia="Times New Roman" w:hAnsi="Calibri Light" w:cs="Calibri Light"/>
          <w:kern w:val="0"/>
          <w:sz w:val="24"/>
          <w:szCs w:val="24"/>
          <w:lang w:eastAsia="en-GB"/>
          <w14:ligatures w14:val="none"/>
        </w:rPr>
        <w:t xml:space="preserve">https://www.gov.uk/government/organisations/department-of-health-and-social-care </w:t>
      </w:r>
      <w:r w:rsidR="007037E0">
        <w:rPr>
          <w:rFonts w:ascii="Calibri Light" w:eastAsia="Times New Roman" w:hAnsi="Calibri Light" w:cs="Calibri Light"/>
          <w:kern w:val="0"/>
          <w:sz w:val="24"/>
          <w:szCs w:val="24"/>
          <w:lang w:eastAsia="en-GB"/>
          <w14:ligatures w14:val="none"/>
        </w:rPr>
        <w:t>(</w:t>
      </w:r>
      <w:r w:rsidRPr="001E763B">
        <w:rPr>
          <w:rFonts w:ascii="Calibri Light" w:eastAsia="Times New Roman" w:hAnsi="Calibri Light" w:cs="Calibri Light"/>
          <w:kern w:val="0"/>
          <w:sz w:val="24"/>
          <w:szCs w:val="24"/>
          <w:lang w:eastAsia="en-GB"/>
          <w14:ligatures w14:val="none"/>
        </w:rPr>
        <w:t>Accessed 28 Nov. 2023</w:t>
      </w:r>
      <w:r w:rsidR="001E763B">
        <w:rPr>
          <w:rFonts w:ascii="Calibri Light" w:eastAsia="Times New Roman" w:hAnsi="Calibri Light" w:cs="Calibri Light"/>
          <w:kern w:val="0"/>
          <w:sz w:val="24"/>
          <w:szCs w:val="24"/>
          <w:lang w:eastAsia="en-GB"/>
          <w14:ligatures w14:val="none"/>
        </w:rPr>
        <w:t>)</w:t>
      </w:r>
      <w:r w:rsidRPr="001E763B">
        <w:rPr>
          <w:rFonts w:ascii="Calibri Light" w:eastAsia="Times New Roman" w:hAnsi="Calibri Light" w:cs="Calibri Light"/>
          <w:kern w:val="0"/>
          <w:sz w:val="24"/>
          <w:szCs w:val="24"/>
          <w:lang w:eastAsia="en-GB"/>
          <w14:ligatures w14:val="none"/>
        </w:rPr>
        <w:t>. </w:t>
      </w:r>
    </w:p>
    <w:p w14:paraId="234D0FBE" w14:textId="77777777" w:rsidR="00F85A86" w:rsidRPr="0016729D" w:rsidRDefault="00F85A86"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1DAE37F"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Directorate-General for Employment, S.A. and I. (European C., Palaric, E., Thijs, N. and Hammerschmid, G. (2018). </w:t>
      </w:r>
      <w:r w:rsidRPr="0016729D">
        <w:rPr>
          <w:rFonts w:ascii="Calibri Light" w:eastAsia="Times New Roman" w:hAnsi="Calibri Light" w:cs="Calibri Light"/>
          <w:i/>
          <w:iCs/>
          <w:kern w:val="0"/>
          <w:sz w:val="24"/>
          <w:szCs w:val="24"/>
          <w:lang w:eastAsia="en-GB"/>
          <w14:ligatures w14:val="none"/>
        </w:rPr>
        <w:t>A comparative overview of public administration characteristics and performance in EU28</w:t>
      </w:r>
      <w:r w:rsidRPr="0016729D">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i/>
          <w:iCs/>
          <w:kern w:val="0"/>
          <w:sz w:val="24"/>
          <w:szCs w:val="24"/>
          <w:lang w:eastAsia="en-GB"/>
          <w14:ligatures w14:val="none"/>
        </w:rPr>
        <w:t>Publications Office of the European Union</w:t>
      </w:r>
      <w:r w:rsidRPr="0016729D">
        <w:rPr>
          <w:rFonts w:ascii="Calibri Light" w:eastAsia="Times New Roman" w:hAnsi="Calibri Light" w:cs="Calibri Light"/>
          <w:kern w:val="0"/>
          <w:sz w:val="24"/>
          <w:szCs w:val="24"/>
          <w:lang w:eastAsia="en-GB"/>
          <w14:ligatures w14:val="none"/>
        </w:rPr>
        <w:t>. LU: Publications Office of the European Union. </w:t>
      </w:r>
    </w:p>
    <w:p w14:paraId="64334C05" w14:textId="77777777" w:rsidR="00F85A86" w:rsidRPr="0016729D" w:rsidRDefault="00F85A86"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5566304" w14:textId="73763371"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Dunn, C., Callahan, K., Katabarwa, M., Richards, F., Hopkins, D., Withers, P.C., Buyon, L.E. and McFarland, D. (2015). The Contributions of Onchocerciasis Control and Elimination Programs toward the Achievement of the Millennium Development Goals. </w:t>
      </w:r>
      <w:r w:rsidRPr="0016729D">
        <w:rPr>
          <w:rFonts w:ascii="Calibri Light" w:eastAsia="Times New Roman" w:hAnsi="Calibri Light" w:cs="Calibri Light"/>
          <w:i/>
          <w:iCs/>
          <w:kern w:val="0"/>
          <w:sz w:val="24"/>
          <w:szCs w:val="24"/>
          <w:lang w:eastAsia="en-GB"/>
          <w14:ligatures w14:val="none"/>
        </w:rPr>
        <w:t>PLOS Neglected Tropical Diseases</w:t>
      </w:r>
      <w:r w:rsidRPr="0016729D">
        <w:rPr>
          <w:rFonts w:ascii="Calibri Light" w:eastAsia="Times New Roman" w:hAnsi="Calibri Light" w:cs="Calibri Light"/>
          <w:kern w:val="0"/>
          <w:sz w:val="24"/>
          <w:szCs w:val="24"/>
          <w:lang w:eastAsia="en-GB"/>
          <w14:ligatures w14:val="none"/>
        </w:rPr>
        <w:t>, 9(5), p</w:t>
      </w:r>
      <w:r w:rsidR="00B34715">
        <w:rPr>
          <w:rFonts w:ascii="Calibri Light" w:eastAsia="Times New Roman" w:hAnsi="Calibri Light" w:cs="Calibri Light"/>
          <w:kern w:val="0"/>
          <w:sz w:val="24"/>
          <w:szCs w:val="24"/>
          <w:lang w:eastAsia="en-GB"/>
          <w14:ligatures w14:val="none"/>
        </w:rPr>
        <w:t>p.167-189</w:t>
      </w:r>
      <w:r w:rsidR="009F2AB7">
        <w:rPr>
          <w:rFonts w:ascii="Calibri Light" w:eastAsia="Times New Roman" w:hAnsi="Calibri Light" w:cs="Calibri Light"/>
          <w:kern w:val="0"/>
          <w:sz w:val="24"/>
          <w:szCs w:val="24"/>
          <w:lang w:eastAsia="en-GB"/>
          <w14:ligatures w14:val="none"/>
        </w:rPr>
        <w:t>.</w:t>
      </w:r>
    </w:p>
    <w:p w14:paraId="378D6D65" w14:textId="77777777" w:rsidR="00F85A86" w:rsidRPr="0016729D" w:rsidRDefault="00F85A86"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E216F29" w14:textId="77777777" w:rsidR="0016729D" w:rsidRPr="0016729D"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Europe, W.H.O.R.O. for, Wales, L.C.C. / P.H. and Government, L.C. / W. (2017). </w:t>
      </w:r>
      <w:r w:rsidRPr="0016729D">
        <w:rPr>
          <w:rFonts w:ascii="Calibri Light" w:eastAsia="Times New Roman" w:hAnsi="Calibri Light" w:cs="Calibri Light"/>
          <w:i/>
          <w:iCs/>
          <w:kern w:val="0"/>
          <w:sz w:val="24"/>
          <w:szCs w:val="24"/>
          <w:lang w:eastAsia="en-GB"/>
          <w14:ligatures w14:val="none"/>
        </w:rPr>
        <w:t>Sustainable development in Wales and other regions in Europe: achieving health and equity for present and future generations</w:t>
      </w:r>
      <w:r w:rsidRPr="0016729D">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i/>
          <w:iCs/>
          <w:kern w:val="0"/>
          <w:sz w:val="24"/>
          <w:szCs w:val="24"/>
          <w:lang w:eastAsia="en-GB"/>
          <w14:ligatures w14:val="none"/>
        </w:rPr>
        <w:t>iris.who.int</w:t>
      </w:r>
      <w:r w:rsidRPr="0016729D">
        <w:rPr>
          <w:rFonts w:ascii="Calibri Light" w:eastAsia="Times New Roman" w:hAnsi="Calibri Light" w:cs="Calibri Light"/>
          <w:kern w:val="0"/>
          <w:sz w:val="24"/>
          <w:szCs w:val="24"/>
          <w:lang w:eastAsia="en-GB"/>
          <w14:ligatures w14:val="none"/>
        </w:rPr>
        <w:t>. World Health Organization. Regional Office for Europe. </w:t>
      </w:r>
    </w:p>
    <w:p w14:paraId="13B26884" w14:textId="1999FC41"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Farrell, R. (2017). Arrowhead. </w:t>
      </w:r>
      <w:r w:rsidRPr="0016729D">
        <w:rPr>
          <w:rFonts w:ascii="Calibri Light" w:eastAsia="Times New Roman" w:hAnsi="Calibri Light" w:cs="Calibri Light"/>
          <w:i/>
          <w:iCs/>
          <w:kern w:val="0"/>
          <w:sz w:val="24"/>
          <w:szCs w:val="24"/>
          <w:lang w:eastAsia="en-GB"/>
          <w14:ligatures w14:val="none"/>
        </w:rPr>
        <w:t>Leviathan</w:t>
      </w:r>
      <w:r w:rsidRPr="0016729D">
        <w:rPr>
          <w:rFonts w:ascii="Calibri Light" w:eastAsia="Times New Roman" w:hAnsi="Calibri Light" w:cs="Calibri Light"/>
          <w:kern w:val="0"/>
          <w:sz w:val="24"/>
          <w:szCs w:val="24"/>
          <w:lang w:eastAsia="en-GB"/>
          <w14:ligatures w14:val="none"/>
        </w:rPr>
        <w:t xml:space="preserve">, 19(3), pp.103–104. </w:t>
      </w:r>
    </w:p>
    <w:p w14:paraId="775F66C1" w14:textId="77777777" w:rsidR="00F85A86" w:rsidRPr="0016729D" w:rsidRDefault="00F85A86"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E6043BB" w14:textId="436F143E"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Fehling, M., Nelson, B.D. and Venkatapuram, S. (2013). Limitations of the Millennium Development Goals: a literature review. </w:t>
      </w:r>
      <w:r w:rsidRPr="0016729D">
        <w:rPr>
          <w:rFonts w:ascii="Calibri Light" w:eastAsia="Times New Roman" w:hAnsi="Calibri Light" w:cs="Calibri Light"/>
          <w:i/>
          <w:iCs/>
          <w:kern w:val="0"/>
          <w:sz w:val="24"/>
          <w:szCs w:val="24"/>
          <w:lang w:eastAsia="en-GB"/>
          <w14:ligatures w14:val="none"/>
        </w:rPr>
        <w:t>Global Public Health</w:t>
      </w:r>
      <w:r w:rsidRPr="0016729D">
        <w:rPr>
          <w:rFonts w:ascii="Calibri Light" w:eastAsia="Times New Roman" w:hAnsi="Calibri Light" w:cs="Calibri Light"/>
          <w:kern w:val="0"/>
          <w:sz w:val="24"/>
          <w:szCs w:val="24"/>
          <w:lang w:eastAsia="en-GB"/>
          <w14:ligatures w14:val="none"/>
        </w:rPr>
        <w:t xml:space="preserve">, 8(10), pp.1109–1122. </w:t>
      </w:r>
    </w:p>
    <w:p w14:paraId="2F77D255" w14:textId="77777777" w:rsidR="00411B15" w:rsidRPr="0016729D" w:rsidRDefault="00411B1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E13241E" w14:textId="17686512"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Fukuda-Parr, S. (2004). Millennium Development Goals: Why They Matter. </w:t>
      </w:r>
      <w:r w:rsidRPr="0016729D">
        <w:rPr>
          <w:rFonts w:ascii="Calibri Light" w:eastAsia="Times New Roman" w:hAnsi="Calibri Light" w:cs="Calibri Light"/>
          <w:i/>
          <w:iCs/>
          <w:kern w:val="0"/>
          <w:sz w:val="24"/>
          <w:szCs w:val="24"/>
          <w:lang w:eastAsia="en-GB"/>
          <w14:ligatures w14:val="none"/>
        </w:rPr>
        <w:t>Global Governance: A Review of Multilateralism and International Organizations</w:t>
      </w:r>
      <w:r w:rsidRPr="0016729D">
        <w:rPr>
          <w:rFonts w:ascii="Calibri Light" w:eastAsia="Times New Roman" w:hAnsi="Calibri Light" w:cs="Calibri Light"/>
          <w:kern w:val="0"/>
          <w:sz w:val="24"/>
          <w:szCs w:val="24"/>
          <w:lang w:eastAsia="en-GB"/>
          <w14:ligatures w14:val="none"/>
        </w:rPr>
        <w:t xml:space="preserve">, 10(4), pp.395–402. </w:t>
      </w:r>
    </w:p>
    <w:p w14:paraId="28B625F1" w14:textId="77777777" w:rsidR="00411B15" w:rsidRPr="0016729D" w:rsidRDefault="00411B1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F5D5BCF" w14:textId="55CC989D"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Future Generations Commissioner for Wales (2015). </w:t>
      </w:r>
      <w:r w:rsidRPr="0016729D">
        <w:rPr>
          <w:rFonts w:ascii="Calibri Light" w:eastAsia="Times New Roman" w:hAnsi="Calibri Light" w:cs="Calibri Light"/>
          <w:i/>
          <w:iCs/>
          <w:kern w:val="0"/>
          <w:sz w:val="24"/>
          <w:szCs w:val="24"/>
          <w:lang w:eastAsia="en-GB"/>
          <w14:ligatures w14:val="none"/>
        </w:rPr>
        <w:t>Well-being of Future Generations (Wales) Act 2015 – The Future Generations Commissioner for Wales</w:t>
      </w:r>
      <w:r w:rsidRPr="0016729D">
        <w:rPr>
          <w:rFonts w:ascii="Calibri Light" w:eastAsia="Times New Roman" w:hAnsi="Calibri Light" w:cs="Calibri Light"/>
          <w:kern w:val="0"/>
          <w:sz w:val="24"/>
          <w:szCs w:val="24"/>
          <w:lang w:eastAsia="en-GB"/>
          <w14:ligatures w14:val="none"/>
        </w:rPr>
        <w:t xml:space="preserve">. </w:t>
      </w:r>
      <w:r w:rsidR="007037E0">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online</w:t>
      </w:r>
      <w:r w:rsidR="007037E0">
        <w:rPr>
          <w:rFonts w:ascii="Calibri Light" w:eastAsia="Times New Roman" w:hAnsi="Calibri Light" w:cs="Calibri Light"/>
          <w:kern w:val="0"/>
          <w:sz w:val="24"/>
          <w:szCs w:val="24"/>
          <w:lang w:eastAsia="en-GB"/>
          <w14:ligatures w14:val="none"/>
        </w:rPr>
        <w:t xml:space="preserve">) </w:t>
      </w:r>
      <w:r w:rsidRPr="007037E0">
        <w:rPr>
          <w:rFonts w:ascii="Calibri Light" w:eastAsia="Times New Roman" w:hAnsi="Calibri Light" w:cs="Calibri Light"/>
          <w:kern w:val="0"/>
          <w:sz w:val="24"/>
          <w:szCs w:val="24"/>
          <w:lang w:eastAsia="en-GB"/>
          <w14:ligatures w14:val="none"/>
        </w:rPr>
        <w:t xml:space="preserve">www.futuregenerations.wales. Available at: </w:t>
      </w:r>
      <w:hyperlink r:id="rId8" w:tgtFrame="_blank" w:history="1">
        <w:r w:rsidRPr="007037E0">
          <w:rPr>
            <w:rFonts w:ascii="Calibri Light" w:eastAsia="Times New Roman" w:hAnsi="Calibri Light" w:cs="Calibri Light"/>
            <w:kern w:val="0"/>
            <w:sz w:val="24"/>
            <w:szCs w:val="24"/>
            <w:lang w:eastAsia="en-GB"/>
            <w14:ligatures w14:val="none"/>
          </w:rPr>
          <w:t>https://www.futuregenerations.wales/about-us/future-generations-act/</w:t>
        </w:r>
      </w:hyperlink>
      <w:r w:rsidRPr="007037E0">
        <w:rPr>
          <w:rFonts w:ascii="Calibri Light" w:eastAsia="Times New Roman" w:hAnsi="Calibri Light" w:cs="Calibri Light"/>
          <w:kern w:val="0"/>
          <w:sz w:val="24"/>
          <w:szCs w:val="24"/>
          <w:lang w:eastAsia="en-GB"/>
          <w14:ligatures w14:val="none"/>
        </w:rPr>
        <w:t xml:space="preserve"> </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Accessed 28 Nov. 2023</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 </w:t>
      </w:r>
    </w:p>
    <w:p w14:paraId="471DECF7" w14:textId="77777777" w:rsidR="00411B15" w:rsidRPr="0016729D" w:rsidRDefault="00411B1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B97BD90" w14:textId="6C160AF4"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Future Generations Commissioner for Wales (2023). </w:t>
      </w:r>
      <w:r w:rsidRPr="0016729D">
        <w:rPr>
          <w:rFonts w:ascii="Calibri Light" w:eastAsia="Times New Roman" w:hAnsi="Calibri Light" w:cs="Calibri Light"/>
          <w:i/>
          <w:iCs/>
          <w:kern w:val="0"/>
          <w:sz w:val="24"/>
          <w:szCs w:val="24"/>
          <w:lang w:eastAsia="en-GB"/>
          <w14:ligatures w14:val="none"/>
        </w:rPr>
        <w:t xml:space="preserve">‘We’re not making enough progress in delivering the Well-being of Future Generations Act, as there is a mixed picture against national indicators. We need to use this report to encourage bold and urgent action,’ – The </w:t>
      </w:r>
      <w:r w:rsidRPr="007037E0">
        <w:rPr>
          <w:rFonts w:ascii="Calibri Light" w:eastAsia="Times New Roman" w:hAnsi="Calibri Light" w:cs="Calibri Light"/>
          <w:i/>
          <w:iCs/>
          <w:kern w:val="0"/>
          <w:sz w:val="24"/>
          <w:szCs w:val="24"/>
          <w:lang w:eastAsia="en-GB"/>
          <w14:ligatures w14:val="none"/>
        </w:rPr>
        <w:t>Future Generations Commissioner for Wales</w:t>
      </w:r>
      <w:r w:rsidRPr="007037E0">
        <w:rPr>
          <w:rFonts w:ascii="Calibri Light" w:eastAsia="Times New Roman" w:hAnsi="Calibri Light" w:cs="Calibri Light"/>
          <w:kern w:val="0"/>
          <w:sz w:val="24"/>
          <w:szCs w:val="24"/>
          <w:lang w:eastAsia="en-GB"/>
          <w14:ligatures w14:val="none"/>
        </w:rPr>
        <w:t xml:space="preserve">. </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online</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 xml:space="preserve"> </w:t>
      </w:r>
      <w:hyperlink r:id="rId9" w:tgtFrame="_blank" w:history="1">
        <w:r w:rsidRPr="007037E0">
          <w:rPr>
            <w:rFonts w:ascii="Calibri Light" w:eastAsia="Times New Roman" w:hAnsi="Calibri Light" w:cs="Calibri Light"/>
            <w:kern w:val="0"/>
            <w:sz w:val="24"/>
            <w:szCs w:val="24"/>
            <w:lang w:eastAsia="en-GB"/>
            <w14:ligatures w14:val="none"/>
          </w:rPr>
          <w:t>www.futuregenerations.wales</w:t>
        </w:r>
      </w:hyperlink>
      <w:r w:rsidRPr="007037E0">
        <w:rPr>
          <w:rFonts w:ascii="Calibri Light" w:eastAsia="Times New Roman" w:hAnsi="Calibri Light" w:cs="Calibri Light"/>
          <w:kern w:val="0"/>
          <w:sz w:val="24"/>
          <w:szCs w:val="24"/>
          <w:lang w:eastAsia="en-GB"/>
          <w14:ligatures w14:val="none"/>
        </w:rPr>
        <w:t xml:space="preserve">. Available at: </w:t>
      </w:r>
      <w:hyperlink r:id="rId10" w:tgtFrame="_blank" w:history="1">
        <w:r w:rsidRPr="007037E0">
          <w:rPr>
            <w:rFonts w:ascii="Calibri Light" w:eastAsia="Times New Roman" w:hAnsi="Calibri Light" w:cs="Calibri Light"/>
            <w:kern w:val="0"/>
            <w:sz w:val="24"/>
            <w:szCs w:val="24"/>
            <w:lang w:eastAsia="en-GB"/>
            <w14:ligatures w14:val="none"/>
          </w:rPr>
          <w:t>https://www.futuregenerations.wales/news/were-not-making-enough-progress-in-delivering-the-well-being-of-future-generations-act-as-there-is-a-mixed-picture-against-national-indicators-we-need-to-use-this-report-to-encoura/</w:t>
        </w:r>
      </w:hyperlink>
      <w:r w:rsidRPr="007037E0">
        <w:rPr>
          <w:rFonts w:ascii="Calibri Light" w:eastAsia="Times New Roman" w:hAnsi="Calibri Light" w:cs="Calibri Light"/>
          <w:kern w:val="0"/>
          <w:sz w:val="24"/>
          <w:szCs w:val="24"/>
          <w:lang w:eastAsia="en-GB"/>
          <w14:ligatures w14:val="none"/>
        </w:rPr>
        <w:t xml:space="preserve"> </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Accessed 4 Dec. 2023</w:t>
      </w:r>
      <w:r w:rsidR="007037E0">
        <w:rPr>
          <w:rFonts w:ascii="Calibri Light" w:eastAsia="Times New Roman" w:hAnsi="Calibri Light" w:cs="Calibri Light"/>
          <w:kern w:val="0"/>
          <w:sz w:val="24"/>
          <w:szCs w:val="24"/>
          <w:lang w:eastAsia="en-GB"/>
          <w14:ligatures w14:val="none"/>
        </w:rPr>
        <w:t>)</w:t>
      </w:r>
      <w:r w:rsidRPr="007037E0">
        <w:rPr>
          <w:rFonts w:ascii="Calibri Light" w:eastAsia="Times New Roman" w:hAnsi="Calibri Light" w:cs="Calibri Light"/>
          <w:kern w:val="0"/>
          <w:sz w:val="24"/>
          <w:szCs w:val="24"/>
          <w:lang w:eastAsia="en-GB"/>
          <w14:ligatures w14:val="none"/>
        </w:rPr>
        <w:t>. </w:t>
      </w:r>
    </w:p>
    <w:p w14:paraId="62BD1F3F" w14:textId="77777777" w:rsidR="00411B15" w:rsidRPr="0016729D" w:rsidRDefault="00411B1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0C95A17" w14:textId="47838A12" w:rsidR="00270533" w:rsidRPr="00B649A5"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Future generations Commissioner for Wales (2023). </w:t>
      </w:r>
      <w:r w:rsidRPr="0016729D">
        <w:rPr>
          <w:rFonts w:ascii="Calibri Light" w:eastAsia="Times New Roman" w:hAnsi="Calibri Light" w:cs="Calibri Light"/>
          <w:i/>
          <w:iCs/>
          <w:kern w:val="0"/>
          <w:sz w:val="24"/>
          <w:szCs w:val="24"/>
          <w:lang w:eastAsia="en-GB"/>
          <w14:ligatures w14:val="none"/>
        </w:rPr>
        <w:t xml:space="preserve">Public Services Boards – The Future </w:t>
      </w:r>
      <w:r w:rsidRPr="00B649A5">
        <w:rPr>
          <w:rFonts w:ascii="Calibri Light" w:eastAsia="Times New Roman" w:hAnsi="Calibri Light" w:cs="Calibri Light"/>
          <w:i/>
          <w:iCs/>
          <w:kern w:val="0"/>
          <w:sz w:val="24"/>
          <w:szCs w:val="24"/>
          <w:lang w:eastAsia="en-GB"/>
          <w14:ligatures w14:val="none"/>
        </w:rPr>
        <w:t>Generations Commissioner for Wales</w:t>
      </w:r>
      <w:r w:rsidRPr="00B649A5">
        <w:rPr>
          <w:rFonts w:ascii="Calibri Light" w:eastAsia="Times New Roman" w:hAnsi="Calibri Light" w:cs="Calibri Light"/>
          <w:kern w:val="0"/>
          <w:sz w:val="24"/>
          <w:szCs w:val="24"/>
          <w:lang w:eastAsia="en-GB"/>
          <w14:ligatures w14:val="none"/>
        </w:rPr>
        <w:t xml:space="preserve">. </w:t>
      </w:r>
      <w:r w:rsidR="00B649A5">
        <w:rPr>
          <w:rFonts w:ascii="Calibri Light" w:eastAsia="Times New Roman" w:hAnsi="Calibri Light" w:cs="Calibri Light"/>
          <w:kern w:val="0"/>
          <w:sz w:val="24"/>
          <w:szCs w:val="24"/>
          <w:lang w:eastAsia="en-GB"/>
          <w14:ligatures w14:val="none"/>
        </w:rPr>
        <w:t>(</w:t>
      </w:r>
      <w:r w:rsidRPr="00B649A5">
        <w:rPr>
          <w:rFonts w:ascii="Calibri Light" w:eastAsia="Times New Roman" w:hAnsi="Calibri Light" w:cs="Calibri Light"/>
          <w:kern w:val="0"/>
          <w:sz w:val="24"/>
          <w:szCs w:val="24"/>
          <w:lang w:eastAsia="en-GB"/>
          <w14:ligatures w14:val="none"/>
        </w:rPr>
        <w:t>online</w:t>
      </w:r>
      <w:r w:rsidR="00B649A5">
        <w:rPr>
          <w:rFonts w:ascii="Calibri Light" w:eastAsia="Times New Roman" w:hAnsi="Calibri Light" w:cs="Calibri Light"/>
          <w:kern w:val="0"/>
          <w:sz w:val="24"/>
          <w:szCs w:val="24"/>
          <w:lang w:eastAsia="en-GB"/>
          <w14:ligatures w14:val="none"/>
        </w:rPr>
        <w:t>)</w:t>
      </w:r>
      <w:r w:rsidRPr="00B649A5">
        <w:rPr>
          <w:rFonts w:ascii="Calibri Light" w:eastAsia="Times New Roman" w:hAnsi="Calibri Light" w:cs="Calibri Light"/>
          <w:kern w:val="0"/>
          <w:sz w:val="24"/>
          <w:szCs w:val="24"/>
          <w:lang w:eastAsia="en-GB"/>
          <w14:ligatures w14:val="none"/>
        </w:rPr>
        <w:t xml:space="preserve"> </w:t>
      </w:r>
      <w:hyperlink r:id="rId11" w:tgtFrame="_blank" w:history="1">
        <w:r w:rsidRPr="00B649A5">
          <w:rPr>
            <w:rFonts w:ascii="Calibri Light" w:eastAsia="Times New Roman" w:hAnsi="Calibri Light" w:cs="Calibri Light"/>
            <w:kern w:val="0"/>
            <w:sz w:val="24"/>
            <w:szCs w:val="24"/>
            <w:lang w:eastAsia="en-GB"/>
            <w14:ligatures w14:val="none"/>
          </w:rPr>
          <w:t>www.futuregenerations.wales</w:t>
        </w:r>
      </w:hyperlink>
      <w:r w:rsidRPr="00B649A5">
        <w:rPr>
          <w:rFonts w:ascii="Calibri Light" w:eastAsia="Times New Roman" w:hAnsi="Calibri Light" w:cs="Calibri Light"/>
          <w:kern w:val="0"/>
          <w:sz w:val="24"/>
          <w:szCs w:val="24"/>
          <w:lang w:eastAsia="en-GB"/>
          <w14:ligatures w14:val="none"/>
        </w:rPr>
        <w:t xml:space="preserve">. Available at: </w:t>
      </w:r>
      <w:hyperlink r:id="rId12" w:tgtFrame="_blank" w:history="1">
        <w:r w:rsidRPr="00B649A5">
          <w:rPr>
            <w:rFonts w:ascii="Calibri Light" w:eastAsia="Times New Roman" w:hAnsi="Calibri Light" w:cs="Calibri Light"/>
            <w:kern w:val="0"/>
            <w:sz w:val="24"/>
            <w:szCs w:val="24"/>
            <w:lang w:eastAsia="en-GB"/>
            <w14:ligatures w14:val="none"/>
          </w:rPr>
          <w:t>https://www.futuregenerations.wales/work/public-service-boards/</w:t>
        </w:r>
      </w:hyperlink>
      <w:r w:rsidRPr="00B649A5">
        <w:rPr>
          <w:rFonts w:ascii="Calibri Light" w:eastAsia="Times New Roman" w:hAnsi="Calibri Light" w:cs="Calibri Light"/>
          <w:kern w:val="0"/>
          <w:sz w:val="24"/>
          <w:szCs w:val="24"/>
          <w:lang w:eastAsia="en-GB"/>
          <w14:ligatures w14:val="none"/>
        </w:rPr>
        <w:t xml:space="preserve"> </w:t>
      </w:r>
      <w:r w:rsidR="00B649A5">
        <w:rPr>
          <w:rFonts w:ascii="Calibri Light" w:eastAsia="Times New Roman" w:hAnsi="Calibri Light" w:cs="Calibri Light"/>
          <w:kern w:val="0"/>
          <w:sz w:val="24"/>
          <w:szCs w:val="24"/>
          <w:lang w:eastAsia="en-GB"/>
          <w14:ligatures w14:val="none"/>
        </w:rPr>
        <w:t>(</w:t>
      </w:r>
      <w:r w:rsidRPr="00B649A5">
        <w:rPr>
          <w:rFonts w:ascii="Calibri Light" w:eastAsia="Times New Roman" w:hAnsi="Calibri Light" w:cs="Calibri Light"/>
          <w:kern w:val="0"/>
          <w:sz w:val="24"/>
          <w:szCs w:val="24"/>
          <w:lang w:eastAsia="en-GB"/>
          <w14:ligatures w14:val="none"/>
        </w:rPr>
        <w:t>Accessed 3 Dec. 2023</w:t>
      </w:r>
      <w:r w:rsidR="00B649A5">
        <w:rPr>
          <w:rFonts w:ascii="Calibri Light" w:eastAsia="Times New Roman" w:hAnsi="Calibri Light" w:cs="Calibri Light"/>
          <w:kern w:val="0"/>
          <w:sz w:val="24"/>
          <w:szCs w:val="24"/>
          <w:lang w:eastAsia="en-GB"/>
          <w14:ligatures w14:val="none"/>
        </w:rPr>
        <w:t>)</w:t>
      </w:r>
      <w:r w:rsidRPr="00B649A5">
        <w:rPr>
          <w:rFonts w:ascii="Calibri Light" w:eastAsia="Times New Roman" w:hAnsi="Calibri Light" w:cs="Calibri Light"/>
          <w:kern w:val="0"/>
          <w:sz w:val="24"/>
          <w:szCs w:val="24"/>
          <w:lang w:eastAsia="en-GB"/>
          <w14:ligatures w14:val="none"/>
        </w:rPr>
        <w:t>.</w:t>
      </w:r>
    </w:p>
    <w:p w14:paraId="574FFAFA" w14:textId="1EBE2CCC" w:rsidR="0016729D" w:rsidRPr="00B649A5"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B649A5">
        <w:rPr>
          <w:rFonts w:ascii="Calibri Light" w:eastAsia="Times New Roman" w:hAnsi="Calibri Light" w:cs="Calibri Light"/>
          <w:kern w:val="0"/>
          <w:sz w:val="24"/>
          <w:szCs w:val="24"/>
          <w:lang w:eastAsia="en-GB"/>
          <w14:ligatures w14:val="none"/>
        </w:rPr>
        <w:lastRenderedPageBreak/>
        <w:t> </w:t>
      </w:r>
    </w:p>
    <w:p w14:paraId="325C3578" w14:textId="1C54C1C9"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Giovannini, E. (2013). Using ‘Equitable and Sustainable Wellbeing’ to Build the Post-MDGs Framework. </w:t>
      </w:r>
      <w:r w:rsidRPr="0016729D">
        <w:rPr>
          <w:rFonts w:ascii="Calibri Light" w:eastAsia="Times New Roman" w:hAnsi="Calibri Light" w:cs="Calibri Light"/>
          <w:i/>
          <w:iCs/>
          <w:kern w:val="0"/>
          <w:sz w:val="24"/>
          <w:szCs w:val="24"/>
          <w:lang w:eastAsia="en-GB"/>
          <w14:ligatures w14:val="none"/>
        </w:rPr>
        <w:t>IDS Bulletin</w:t>
      </w:r>
      <w:r w:rsidRPr="0016729D">
        <w:rPr>
          <w:rFonts w:ascii="Calibri Light" w:eastAsia="Times New Roman" w:hAnsi="Calibri Light" w:cs="Calibri Light"/>
          <w:kern w:val="0"/>
          <w:sz w:val="24"/>
          <w:szCs w:val="24"/>
          <w:lang w:eastAsia="en-GB"/>
          <w14:ligatures w14:val="none"/>
        </w:rPr>
        <w:t xml:space="preserve">, 44(5-6), pp.89–96. </w:t>
      </w:r>
    </w:p>
    <w:p w14:paraId="42200BE5" w14:textId="77777777" w:rsidR="00270533" w:rsidRPr="0016729D" w:rsidRDefault="00270533"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4F11A09" w14:textId="4CEAF758" w:rsidR="00270533"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Green, L., Gray, B.J. and Ashton, K. (2019). Using health impact assessments to implement the sustainable development goals in practice: a case study in Wales. </w:t>
      </w:r>
      <w:r w:rsidRPr="0016729D">
        <w:rPr>
          <w:rFonts w:ascii="Calibri Light" w:eastAsia="Times New Roman" w:hAnsi="Calibri Light" w:cs="Calibri Light"/>
          <w:i/>
          <w:iCs/>
          <w:kern w:val="0"/>
          <w:sz w:val="24"/>
          <w:szCs w:val="24"/>
          <w:lang w:eastAsia="en-GB"/>
          <w14:ligatures w14:val="none"/>
        </w:rPr>
        <w:t>Impact Assessment and Project Appraisal</w:t>
      </w:r>
      <w:r w:rsidRPr="0016729D">
        <w:rPr>
          <w:rFonts w:ascii="Calibri Light" w:eastAsia="Times New Roman" w:hAnsi="Calibri Light" w:cs="Calibri Light"/>
          <w:kern w:val="0"/>
          <w:sz w:val="24"/>
          <w:szCs w:val="24"/>
          <w:lang w:eastAsia="en-GB"/>
          <w14:ligatures w14:val="none"/>
        </w:rPr>
        <w:t>, 38(3), pp.214–224</w:t>
      </w:r>
      <w:r w:rsidR="008A7F34">
        <w:rPr>
          <w:rFonts w:ascii="Calibri Light" w:eastAsia="Times New Roman" w:hAnsi="Calibri Light" w:cs="Calibri Light"/>
          <w:kern w:val="0"/>
          <w:sz w:val="24"/>
          <w:szCs w:val="24"/>
          <w:lang w:eastAsia="en-GB"/>
          <w14:ligatures w14:val="none"/>
        </w:rPr>
        <w:t>.</w:t>
      </w:r>
    </w:p>
    <w:p w14:paraId="771307C4" w14:textId="77777777" w:rsidR="008A7F34" w:rsidRPr="0016729D" w:rsidRDefault="008A7F3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FCFB16E" w14:textId="71E0731B" w:rsidR="00270533"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Guarneros‐Meza, V. and Martin, S. (2014). Local Service Boards in Wales. </w:t>
      </w:r>
      <w:r w:rsidRPr="0016729D">
        <w:rPr>
          <w:rFonts w:ascii="Calibri Light" w:eastAsia="Times New Roman" w:hAnsi="Calibri Light" w:cs="Calibri Light"/>
          <w:i/>
          <w:iCs/>
          <w:kern w:val="0"/>
          <w:sz w:val="24"/>
          <w:szCs w:val="24"/>
          <w:lang w:eastAsia="en-GB"/>
          <w14:ligatures w14:val="none"/>
        </w:rPr>
        <w:t>Palgrave Macmillan UK eBooks</w:t>
      </w:r>
      <w:r w:rsidRPr="0016729D">
        <w:rPr>
          <w:rFonts w:ascii="Calibri Light" w:eastAsia="Times New Roman" w:hAnsi="Calibri Light" w:cs="Calibri Light"/>
          <w:kern w:val="0"/>
          <w:sz w:val="24"/>
          <w:szCs w:val="24"/>
          <w:lang w:eastAsia="en-GB"/>
          <w14:ligatures w14:val="none"/>
        </w:rPr>
        <w:t>, pp.103–113</w:t>
      </w:r>
      <w:r w:rsidR="008A7F34">
        <w:rPr>
          <w:rFonts w:ascii="Calibri Light" w:eastAsia="Times New Roman" w:hAnsi="Calibri Light" w:cs="Calibri Light"/>
          <w:kern w:val="0"/>
          <w:sz w:val="24"/>
          <w:szCs w:val="24"/>
          <w:lang w:eastAsia="en-GB"/>
          <w14:ligatures w14:val="none"/>
        </w:rPr>
        <w:t>.</w:t>
      </w:r>
    </w:p>
    <w:p w14:paraId="6150810B" w14:textId="77777777" w:rsidR="008A7F34" w:rsidRPr="0016729D" w:rsidRDefault="008A7F3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62B93CD"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Haq, R. and Zia, U. (2008). Dimensions of Well-being and the Millennium Development Goals. </w:t>
      </w:r>
      <w:r w:rsidRPr="0016729D">
        <w:rPr>
          <w:rFonts w:ascii="Calibri Light" w:eastAsia="Times New Roman" w:hAnsi="Calibri Light" w:cs="Calibri Light"/>
          <w:i/>
          <w:iCs/>
          <w:kern w:val="0"/>
          <w:sz w:val="24"/>
          <w:szCs w:val="24"/>
          <w:lang w:eastAsia="en-GB"/>
          <w14:ligatures w14:val="none"/>
        </w:rPr>
        <w:t>The Pakistan Development Review</w:t>
      </w:r>
      <w:r w:rsidRPr="0016729D">
        <w:rPr>
          <w:rFonts w:ascii="Calibri Light" w:eastAsia="Times New Roman" w:hAnsi="Calibri Light" w:cs="Calibri Light"/>
          <w:kern w:val="0"/>
          <w:sz w:val="24"/>
          <w:szCs w:val="24"/>
          <w:lang w:eastAsia="en-GB"/>
          <w14:ligatures w14:val="none"/>
        </w:rPr>
        <w:t>, 47(4), pp.851–876. </w:t>
      </w:r>
    </w:p>
    <w:p w14:paraId="16E3F836" w14:textId="77777777" w:rsidR="00270533" w:rsidRPr="0016729D" w:rsidRDefault="00270533"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047427C3" w14:textId="0E7520D6" w:rsidR="00820555"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Holland-Hart, D.M., Addis, S.M., Edwards, A., Kenkre, J.E. and Wood, F. (2018). Coproduction and health: Public and clinicians’ perceptions of the barriers and facilitators. </w:t>
      </w:r>
      <w:r w:rsidRPr="0016729D">
        <w:rPr>
          <w:rFonts w:ascii="Calibri Light" w:eastAsia="Times New Roman" w:hAnsi="Calibri Light" w:cs="Calibri Light"/>
          <w:i/>
          <w:iCs/>
          <w:kern w:val="0"/>
          <w:sz w:val="24"/>
          <w:szCs w:val="24"/>
          <w:lang w:eastAsia="en-GB"/>
          <w14:ligatures w14:val="none"/>
        </w:rPr>
        <w:t>Health Expectations</w:t>
      </w:r>
      <w:r w:rsidRPr="0016729D">
        <w:rPr>
          <w:rFonts w:ascii="Calibri Light" w:eastAsia="Times New Roman" w:hAnsi="Calibri Light" w:cs="Calibri Light"/>
          <w:kern w:val="0"/>
          <w:sz w:val="24"/>
          <w:szCs w:val="24"/>
          <w:lang w:eastAsia="en-GB"/>
          <w14:ligatures w14:val="none"/>
        </w:rPr>
        <w:t xml:space="preserve">, 22(1), pp.93–101. </w:t>
      </w:r>
    </w:p>
    <w:p w14:paraId="30C5626B" w14:textId="77777777" w:rsidR="008A7F34" w:rsidRPr="0016729D" w:rsidRDefault="008A7F3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A3DC0FB" w14:textId="31A09BF8" w:rsidR="0016729D" w:rsidRPr="008A7F34"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8A7F34">
        <w:rPr>
          <w:rFonts w:ascii="Calibri Light" w:eastAsia="Times New Roman" w:hAnsi="Calibri Light" w:cs="Calibri Light"/>
          <w:kern w:val="0"/>
          <w:sz w:val="24"/>
          <w:szCs w:val="24"/>
          <w:lang w:eastAsia="en-GB"/>
          <w14:ligatures w14:val="none"/>
        </w:rPr>
        <w:t xml:space="preserve">Holt-White, E. (2019). </w:t>
      </w:r>
      <w:r w:rsidRPr="008A7F34">
        <w:rPr>
          <w:rFonts w:ascii="Calibri Light" w:eastAsia="Times New Roman" w:hAnsi="Calibri Light" w:cs="Calibri Light"/>
          <w:i/>
          <w:iCs/>
          <w:kern w:val="0"/>
          <w:sz w:val="24"/>
          <w:szCs w:val="24"/>
          <w:lang w:eastAsia="en-GB"/>
          <w14:ligatures w14:val="none"/>
        </w:rPr>
        <w:t>Public opinion on the determinants of and responsibility for health - The Health Foundation</w:t>
      </w:r>
      <w:r w:rsidRPr="008A7F34">
        <w:rPr>
          <w:rFonts w:ascii="Calibri Light" w:eastAsia="Times New Roman" w:hAnsi="Calibri Light" w:cs="Calibri Light"/>
          <w:kern w:val="0"/>
          <w:sz w:val="24"/>
          <w:szCs w:val="24"/>
          <w:lang w:eastAsia="en-GB"/>
          <w14:ligatures w14:val="none"/>
        </w:rPr>
        <w:t xml:space="preserve">. </w:t>
      </w:r>
      <w:r w:rsidR="008A7F34">
        <w:rPr>
          <w:rFonts w:ascii="Calibri Light" w:eastAsia="Times New Roman" w:hAnsi="Calibri Light" w:cs="Calibri Light"/>
          <w:kern w:val="0"/>
          <w:sz w:val="24"/>
          <w:szCs w:val="24"/>
          <w:lang w:eastAsia="en-GB"/>
          <w14:ligatures w14:val="none"/>
        </w:rPr>
        <w:t>(</w:t>
      </w:r>
      <w:r w:rsidRPr="008A7F34">
        <w:rPr>
          <w:rFonts w:ascii="Calibri Light" w:eastAsia="Times New Roman" w:hAnsi="Calibri Light" w:cs="Calibri Light"/>
          <w:kern w:val="0"/>
          <w:sz w:val="24"/>
          <w:szCs w:val="24"/>
          <w:lang w:eastAsia="en-GB"/>
          <w14:ligatures w14:val="none"/>
        </w:rPr>
        <w:t>online</w:t>
      </w:r>
      <w:r w:rsidR="008A7F34">
        <w:rPr>
          <w:rFonts w:ascii="Calibri Light" w:eastAsia="Times New Roman" w:hAnsi="Calibri Light" w:cs="Calibri Light"/>
          <w:kern w:val="0"/>
          <w:sz w:val="24"/>
          <w:szCs w:val="24"/>
          <w:lang w:eastAsia="en-GB"/>
          <w14:ligatures w14:val="none"/>
        </w:rPr>
        <w:t xml:space="preserve">) </w:t>
      </w:r>
      <w:hyperlink r:id="rId13" w:history="1">
        <w:r w:rsidR="008A7F34" w:rsidRPr="008A7F34">
          <w:rPr>
            <w:rStyle w:val="Hyperlink"/>
            <w:rFonts w:ascii="Calibri Light" w:eastAsia="Times New Roman" w:hAnsi="Calibri Light" w:cs="Calibri Light"/>
            <w:color w:val="auto"/>
            <w:kern w:val="0"/>
            <w:sz w:val="24"/>
            <w:szCs w:val="24"/>
            <w:u w:val="none"/>
            <w:lang w:eastAsia="en-GB"/>
            <w14:ligatures w14:val="none"/>
          </w:rPr>
          <w:t>www.health.org.uk</w:t>
        </w:r>
      </w:hyperlink>
      <w:r w:rsidRPr="008A7F34">
        <w:rPr>
          <w:rFonts w:ascii="Calibri Light" w:eastAsia="Times New Roman" w:hAnsi="Calibri Light" w:cs="Calibri Light"/>
          <w:kern w:val="0"/>
          <w:sz w:val="24"/>
          <w:szCs w:val="24"/>
          <w:lang w:eastAsia="en-GB"/>
          <w14:ligatures w14:val="none"/>
        </w:rPr>
        <w:t xml:space="preserve">. Available at: </w:t>
      </w:r>
      <w:hyperlink r:id="rId14" w:tgtFrame="_blank" w:history="1">
        <w:r w:rsidRPr="008A7F34">
          <w:rPr>
            <w:rFonts w:ascii="Calibri Light" w:eastAsia="Times New Roman" w:hAnsi="Calibri Light" w:cs="Calibri Light"/>
            <w:kern w:val="0"/>
            <w:sz w:val="24"/>
            <w:szCs w:val="24"/>
            <w:lang w:eastAsia="en-GB"/>
            <w14:ligatures w14:val="none"/>
          </w:rPr>
          <w:t>https://www.health.org.uk/blogs/public-opinion-on-the-determinants-of-and-responsibility-for-health</w:t>
        </w:r>
      </w:hyperlink>
      <w:r w:rsidRPr="008A7F34">
        <w:rPr>
          <w:rFonts w:ascii="Calibri Light" w:eastAsia="Times New Roman" w:hAnsi="Calibri Light" w:cs="Calibri Light"/>
          <w:kern w:val="0"/>
          <w:sz w:val="24"/>
          <w:szCs w:val="24"/>
          <w:lang w:eastAsia="en-GB"/>
          <w14:ligatures w14:val="none"/>
        </w:rPr>
        <w:t xml:space="preserve"> </w:t>
      </w:r>
      <w:r w:rsidR="008A7F34">
        <w:rPr>
          <w:rFonts w:ascii="Calibri Light" w:eastAsia="Times New Roman" w:hAnsi="Calibri Light" w:cs="Calibri Light"/>
          <w:kern w:val="0"/>
          <w:sz w:val="24"/>
          <w:szCs w:val="24"/>
          <w:lang w:eastAsia="en-GB"/>
          <w14:ligatures w14:val="none"/>
        </w:rPr>
        <w:t>(</w:t>
      </w:r>
      <w:r w:rsidRPr="008A7F34">
        <w:rPr>
          <w:rFonts w:ascii="Calibri Light" w:eastAsia="Times New Roman" w:hAnsi="Calibri Light" w:cs="Calibri Light"/>
          <w:kern w:val="0"/>
          <w:sz w:val="24"/>
          <w:szCs w:val="24"/>
          <w:lang w:eastAsia="en-GB"/>
          <w14:ligatures w14:val="none"/>
        </w:rPr>
        <w:t>Accessed 9 Dec. 2023</w:t>
      </w:r>
      <w:r w:rsidR="008A7F34">
        <w:rPr>
          <w:rFonts w:ascii="Calibri Light" w:eastAsia="Times New Roman" w:hAnsi="Calibri Light" w:cs="Calibri Light"/>
          <w:kern w:val="0"/>
          <w:sz w:val="24"/>
          <w:szCs w:val="24"/>
          <w:lang w:eastAsia="en-GB"/>
          <w14:ligatures w14:val="none"/>
        </w:rPr>
        <w:t>)</w:t>
      </w:r>
      <w:r w:rsidRPr="008A7F34">
        <w:rPr>
          <w:rFonts w:ascii="Calibri Light" w:eastAsia="Times New Roman" w:hAnsi="Calibri Light" w:cs="Calibri Light"/>
          <w:kern w:val="0"/>
          <w:sz w:val="24"/>
          <w:szCs w:val="24"/>
          <w:lang w:eastAsia="en-GB"/>
          <w14:ligatures w14:val="none"/>
        </w:rPr>
        <w:t>. </w:t>
      </w:r>
    </w:p>
    <w:p w14:paraId="097F0571"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E212185" w14:textId="646A5E82" w:rsidR="0016729D" w:rsidRPr="008A7F34"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International Labour Organization (2015). </w:t>
      </w:r>
      <w:r w:rsidRPr="0016729D">
        <w:rPr>
          <w:rFonts w:ascii="Calibri Light" w:eastAsia="Times New Roman" w:hAnsi="Calibri Light" w:cs="Calibri Light"/>
          <w:i/>
          <w:iCs/>
          <w:kern w:val="0"/>
          <w:sz w:val="24"/>
          <w:szCs w:val="24"/>
          <w:lang w:eastAsia="en-GB"/>
          <w14:ligatures w14:val="none"/>
        </w:rPr>
        <w:t>Millennium Development Goals</w:t>
      </w:r>
      <w:r w:rsidRPr="0016729D">
        <w:rPr>
          <w:rFonts w:ascii="Calibri Light" w:eastAsia="Times New Roman" w:hAnsi="Calibri Light" w:cs="Calibri Light"/>
          <w:kern w:val="0"/>
          <w:sz w:val="24"/>
          <w:szCs w:val="24"/>
          <w:lang w:eastAsia="en-GB"/>
          <w14:ligatures w14:val="none"/>
        </w:rPr>
        <w:t xml:space="preserve">. [online] Ilo.org. </w:t>
      </w:r>
      <w:r w:rsidRPr="008A7F34">
        <w:rPr>
          <w:rFonts w:ascii="Calibri Light" w:eastAsia="Times New Roman" w:hAnsi="Calibri Light" w:cs="Calibri Light"/>
          <w:kern w:val="0"/>
          <w:sz w:val="24"/>
          <w:szCs w:val="24"/>
          <w:lang w:eastAsia="en-GB"/>
          <w14:ligatures w14:val="none"/>
        </w:rPr>
        <w:t xml:space="preserve">Available at: https://www.ilo.org/global/topics/millennium-development-goals/lang--en/index.htm </w:t>
      </w:r>
      <w:r w:rsidR="00D150DA">
        <w:rPr>
          <w:rFonts w:ascii="Calibri Light" w:eastAsia="Times New Roman" w:hAnsi="Calibri Light" w:cs="Calibri Light"/>
          <w:kern w:val="0"/>
          <w:sz w:val="24"/>
          <w:szCs w:val="24"/>
          <w:lang w:eastAsia="en-GB"/>
          <w14:ligatures w14:val="none"/>
        </w:rPr>
        <w:t>(</w:t>
      </w:r>
      <w:r w:rsidRPr="008A7F34">
        <w:rPr>
          <w:rFonts w:ascii="Calibri Light" w:eastAsia="Times New Roman" w:hAnsi="Calibri Light" w:cs="Calibri Light"/>
          <w:kern w:val="0"/>
          <w:sz w:val="24"/>
          <w:szCs w:val="24"/>
          <w:lang w:eastAsia="en-GB"/>
          <w14:ligatures w14:val="none"/>
        </w:rPr>
        <w:t>Accessed 29 Nov. 2023</w:t>
      </w:r>
      <w:r w:rsidR="00D150DA">
        <w:rPr>
          <w:rFonts w:ascii="Calibri Light" w:eastAsia="Times New Roman" w:hAnsi="Calibri Light" w:cs="Calibri Light"/>
          <w:kern w:val="0"/>
          <w:sz w:val="24"/>
          <w:szCs w:val="24"/>
          <w:lang w:eastAsia="en-GB"/>
          <w14:ligatures w14:val="none"/>
        </w:rPr>
        <w:t>)</w:t>
      </w:r>
      <w:r w:rsidRPr="008A7F34">
        <w:rPr>
          <w:rFonts w:ascii="Calibri Light" w:eastAsia="Times New Roman" w:hAnsi="Calibri Light" w:cs="Calibri Light"/>
          <w:kern w:val="0"/>
          <w:sz w:val="24"/>
          <w:szCs w:val="24"/>
          <w:lang w:eastAsia="en-GB"/>
          <w14:ligatures w14:val="none"/>
        </w:rPr>
        <w:t>. </w:t>
      </w:r>
    </w:p>
    <w:p w14:paraId="4FB92699" w14:textId="77777777" w:rsidR="00820555" w:rsidRPr="0016729D" w:rsidRDefault="00820555"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80FB7F7" w14:textId="5FB887F4"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Jacob, A. (2017). Mind the Gap: Analyzing the Impact of Data Gap in Millennium Development Goals’ (MDGs) Indicators on the Progress toward MDGs. </w:t>
      </w:r>
      <w:r w:rsidRPr="0016729D">
        <w:rPr>
          <w:rFonts w:ascii="Calibri Light" w:eastAsia="Times New Roman" w:hAnsi="Calibri Light" w:cs="Calibri Light"/>
          <w:i/>
          <w:iCs/>
          <w:kern w:val="0"/>
          <w:sz w:val="24"/>
          <w:szCs w:val="24"/>
          <w:lang w:eastAsia="en-GB"/>
          <w14:ligatures w14:val="none"/>
        </w:rPr>
        <w:t>World Development</w:t>
      </w:r>
      <w:r w:rsidRPr="0016729D">
        <w:rPr>
          <w:rFonts w:ascii="Calibri Light" w:eastAsia="Times New Roman" w:hAnsi="Calibri Light" w:cs="Calibri Light"/>
          <w:kern w:val="0"/>
          <w:sz w:val="24"/>
          <w:szCs w:val="24"/>
          <w:lang w:eastAsia="en-GB"/>
          <w14:ligatures w14:val="none"/>
        </w:rPr>
        <w:t xml:space="preserve">, 93, pp.260–278. </w:t>
      </w:r>
    </w:p>
    <w:p w14:paraId="670EFCB5" w14:textId="77777777" w:rsidR="00B84F82" w:rsidRPr="0016729D" w:rsidRDefault="00B84F82"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E1177F7" w14:textId="4544769B"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Jones, N., Thomas, P. and Rudd, L. (2004). Collaborating for Mental Health Services in Wales: A Process Evaluation. </w:t>
      </w:r>
      <w:r w:rsidRPr="0016729D">
        <w:rPr>
          <w:rFonts w:ascii="Calibri Light" w:eastAsia="Times New Roman" w:hAnsi="Calibri Light" w:cs="Calibri Light"/>
          <w:i/>
          <w:iCs/>
          <w:kern w:val="0"/>
          <w:sz w:val="24"/>
          <w:szCs w:val="24"/>
          <w:lang w:eastAsia="en-GB"/>
          <w14:ligatures w14:val="none"/>
        </w:rPr>
        <w:t>Public Administration</w:t>
      </w:r>
      <w:r w:rsidRPr="0016729D">
        <w:rPr>
          <w:rFonts w:ascii="Calibri Light" w:eastAsia="Times New Roman" w:hAnsi="Calibri Light" w:cs="Calibri Light"/>
          <w:kern w:val="0"/>
          <w:sz w:val="24"/>
          <w:szCs w:val="24"/>
          <w:lang w:eastAsia="en-GB"/>
          <w14:ligatures w14:val="none"/>
        </w:rPr>
        <w:t xml:space="preserve">, 82(1), pp.109–121. </w:t>
      </w:r>
    </w:p>
    <w:p w14:paraId="6726E19D" w14:textId="77777777" w:rsidR="00B84F82" w:rsidRPr="0016729D" w:rsidRDefault="00B84F82"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F341486" w14:textId="6E86DF6A"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Jones, R. (2019). Governing the future and the search for spatial justice: Wales’ Well-being of Future Generations Act. </w:t>
      </w:r>
      <w:r w:rsidRPr="0016729D">
        <w:rPr>
          <w:rFonts w:ascii="Calibri Light" w:eastAsia="Times New Roman" w:hAnsi="Calibri Light" w:cs="Calibri Light"/>
          <w:i/>
          <w:iCs/>
          <w:kern w:val="0"/>
          <w:sz w:val="24"/>
          <w:szCs w:val="24"/>
          <w:lang w:eastAsia="en-GB"/>
          <w14:ligatures w14:val="none"/>
        </w:rPr>
        <w:t>Fennia - International Journal of Geography</w:t>
      </w:r>
      <w:r w:rsidRPr="0016729D">
        <w:rPr>
          <w:rFonts w:ascii="Calibri Light" w:eastAsia="Times New Roman" w:hAnsi="Calibri Light" w:cs="Calibri Light"/>
          <w:kern w:val="0"/>
          <w:sz w:val="24"/>
          <w:szCs w:val="24"/>
          <w:lang w:eastAsia="en-GB"/>
          <w14:ligatures w14:val="none"/>
        </w:rPr>
        <w:t xml:space="preserve">, 197(1), pp.8–24. </w:t>
      </w:r>
    </w:p>
    <w:p w14:paraId="6EEFA48B" w14:textId="77777777" w:rsidR="00B84F82" w:rsidRPr="0016729D" w:rsidRDefault="00B84F82"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C0431B2"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Llywodraeth Cymru Welsh Government (2023). </w:t>
      </w:r>
      <w:r w:rsidRPr="0016729D">
        <w:rPr>
          <w:rFonts w:ascii="Calibri Light" w:eastAsia="Times New Roman" w:hAnsi="Calibri Light" w:cs="Calibri Light"/>
          <w:i/>
          <w:iCs/>
          <w:kern w:val="0"/>
          <w:sz w:val="24"/>
          <w:szCs w:val="24"/>
          <w:lang w:eastAsia="en-GB"/>
          <w14:ligatures w14:val="none"/>
        </w:rPr>
        <w:t>A More Equal Wales 1 A More Equal Wales The Socio-economic Duty Equality Act 2010 Statutory Guidance 2 A More Equal Wales 2</w:t>
      </w:r>
      <w:r w:rsidRPr="0016729D">
        <w:rPr>
          <w:rFonts w:ascii="Calibri Light" w:eastAsia="Times New Roman" w:hAnsi="Calibri Light" w:cs="Calibri Light"/>
          <w:kern w:val="0"/>
          <w:sz w:val="24"/>
          <w:szCs w:val="24"/>
          <w:lang w:eastAsia="en-GB"/>
          <w14:ligatures w14:val="none"/>
        </w:rPr>
        <w:t>. </w:t>
      </w:r>
    </w:p>
    <w:p w14:paraId="7625520A" w14:textId="77777777" w:rsidR="00D150DA" w:rsidRPr="0016729D" w:rsidRDefault="00D150DA"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7F34B69" w14:textId="10C953A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Lunney, J.K., Van Goor, A., Walker, K.E., Hailstock, T., Franklin, J. and Dai, C. (2021). Importance of the pig as a human biomedical model. </w:t>
      </w:r>
      <w:r w:rsidRPr="0016729D">
        <w:rPr>
          <w:rFonts w:ascii="Calibri Light" w:eastAsia="Times New Roman" w:hAnsi="Calibri Light" w:cs="Calibri Light"/>
          <w:i/>
          <w:iCs/>
          <w:kern w:val="0"/>
          <w:sz w:val="24"/>
          <w:szCs w:val="24"/>
          <w:lang w:eastAsia="en-GB"/>
          <w14:ligatures w14:val="none"/>
        </w:rPr>
        <w:t>Science Translational Medicine</w:t>
      </w:r>
      <w:r w:rsidRPr="0016729D">
        <w:rPr>
          <w:rFonts w:ascii="Calibri Light" w:eastAsia="Times New Roman" w:hAnsi="Calibri Light" w:cs="Calibri Light"/>
          <w:kern w:val="0"/>
          <w:sz w:val="24"/>
          <w:szCs w:val="24"/>
          <w:lang w:eastAsia="en-GB"/>
          <w14:ligatures w14:val="none"/>
        </w:rPr>
        <w:t xml:space="preserve">, 13(621). </w:t>
      </w:r>
    </w:p>
    <w:p w14:paraId="5CC0FCCF" w14:textId="77777777" w:rsidR="00B84F82" w:rsidRPr="0016729D" w:rsidRDefault="00B84F82"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17E8FB7" w14:textId="72058626" w:rsidR="00B84F82"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Mawdsley, G. (2021). </w:t>
      </w:r>
      <w:r w:rsidRPr="0016729D">
        <w:rPr>
          <w:rFonts w:ascii="Calibri Light" w:eastAsia="Times New Roman" w:hAnsi="Calibri Light" w:cs="Calibri Light"/>
          <w:i/>
          <w:iCs/>
          <w:kern w:val="0"/>
          <w:sz w:val="24"/>
          <w:szCs w:val="24"/>
          <w:lang w:eastAsia="en-GB"/>
          <w14:ligatures w14:val="none"/>
        </w:rPr>
        <w:t>Public Services Boards workshop: future trends and local well-being assessments</w:t>
      </w:r>
      <w:r w:rsidRPr="0016729D">
        <w:rPr>
          <w:rFonts w:ascii="Calibri Light" w:eastAsia="Times New Roman" w:hAnsi="Calibri Light" w:cs="Calibri Light"/>
          <w:kern w:val="0"/>
          <w:sz w:val="24"/>
          <w:szCs w:val="24"/>
          <w:lang w:eastAsia="en-GB"/>
          <w14:ligatures w14:val="none"/>
        </w:rPr>
        <w:t xml:space="preserve">. [online] Shaping Wales’ Future Blog. Available at: </w:t>
      </w:r>
      <w:hyperlink r:id="rId15" w:tgtFrame="_blank" w:history="1">
        <w:r w:rsidRPr="00D150DA">
          <w:rPr>
            <w:rFonts w:ascii="Calibri Light" w:eastAsia="Times New Roman" w:hAnsi="Calibri Light" w:cs="Calibri Light"/>
            <w:kern w:val="0"/>
            <w:sz w:val="24"/>
            <w:szCs w:val="24"/>
            <w:lang w:eastAsia="en-GB"/>
            <w14:ligatures w14:val="none"/>
          </w:rPr>
          <w:t>https://shapingwalesfuture.blog.gov.wales/2021/11/16/public-services-boards-workshop-future-trends-and-local-well-being-assessments/</w:t>
        </w:r>
      </w:hyperlink>
      <w:r w:rsidRPr="00D150DA">
        <w:rPr>
          <w:rFonts w:ascii="Calibri Light" w:eastAsia="Times New Roman" w:hAnsi="Calibri Light" w:cs="Calibri Light"/>
          <w:kern w:val="0"/>
          <w:sz w:val="24"/>
          <w:szCs w:val="24"/>
          <w:lang w:eastAsia="en-GB"/>
          <w14:ligatures w14:val="none"/>
        </w:rPr>
        <w:t xml:space="preserve"> </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Accessed 4 Dec. 2023</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w:t>
      </w:r>
    </w:p>
    <w:p w14:paraId="2BA0DB81" w14:textId="72AF7DEB" w:rsidR="0016729D" w:rsidRPr="0016729D"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5511ADF7" w14:textId="58F8639A" w:rsidR="0016729D" w:rsidRPr="0016729D"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xml:space="preserve">Messham, E. and Sheard, S. (2020). Taking the long view: the development of the Well-being of Future Generations (Wales) Act. </w:t>
      </w:r>
      <w:r w:rsidRPr="0016729D">
        <w:rPr>
          <w:rFonts w:ascii="Calibri Light" w:eastAsia="Times New Roman" w:hAnsi="Calibri Light" w:cs="Calibri Light"/>
          <w:i/>
          <w:iCs/>
          <w:kern w:val="0"/>
          <w:sz w:val="24"/>
          <w:szCs w:val="24"/>
          <w:lang w:eastAsia="en-GB"/>
          <w14:ligatures w14:val="none"/>
        </w:rPr>
        <w:t>Health Research Policy and Systems</w:t>
      </w:r>
      <w:r w:rsidRPr="0016729D">
        <w:rPr>
          <w:rFonts w:ascii="Calibri Light" w:eastAsia="Times New Roman" w:hAnsi="Calibri Light" w:cs="Calibri Light"/>
          <w:kern w:val="0"/>
          <w:sz w:val="24"/>
          <w:szCs w:val="24"/>
          <w:lang w:eastAsia="en-GB"/>
          <w14:ligatures w14:val="none"/>
        </w:rPr>
        <w:t xml:space="preserve">, 18(1). </w:t>
      </w:r>
    </w:p>
    <w:p w14:paraId="224BCF39" w14:textId="4C11F844"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lastRenderedPageBreak/>
        <w:t xml:space="preserve">Milner, A., Kavanagh, A., Scovelle, A.J., O’Neil, A., Kalb, G., Hewitt, B. and King, T.L. (2021). Gender Equality and Health in High-Income Countries: A Systematic Review of Within-Country Indicators of Gender Equality in Relation to Health Outcomes. </w:t>
      </w:r>
      <w:r w:rsidRPr="0016729D">
        <w:rPr>
          <w:rFonts w:ascii="Calibri Light" w:eastAsia="Times New Roman" w:hAnsi="Calibri Light" w:cs="Calibri Light"/>
          <w:i/>
          <w:iCs/>
          <w:kern w:val="0"/>
          <w:sz w:val="24"/>
          <w:szCs w:val="24"/>
          <w:lang w:eastAsia="en-GB"/>
          <w14:ligatures w14:val="none"/>
        </w:rPr>
        <w:t>Women’s Health Reports</w:t>
      </w:r>
      <w:r w:rsidRPr="0016729D">
        <w:rPr>
          <w:rFonts w:ascii="Calibri Light" w:eastAsia="Times New Roman" w:hAnsi="Calibri Light" w:cs="Calibri Light"/>
          <w:kern w:val="0"/>
          <w:sz w:val="24"/>
          <w:szCs w:val="24"/>
          <w:lang w:eastAsia="en-GB"/>
          <w14:ligatures w14:val="none"/>
        </w:rPr>
        <w:t>, 2(1), pp.113–123</w:t>
      </w:r>
    </w:p>
    <w:p w14:paraId="1DEE26B8" w14:textId="77777777" w:rsidR="00F85A86" w:rsidRPr="0016729D" w:rsidRDefault="00F85A86"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1598629" w14:textId="686E2311"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Murphy, S.M., Edwards, R.T., Williams, N., Raisanen, L., Moore, G., Linck, P., Hounsome, N., Din, N.U. and Moore, L. (2012). An evaluation of the effectiveness and cost effectiveness of the National Exercise Referral Scheme in Wales, UK: a randomised controlled trial of a public health policy initiative. </w:t>
      </w:r>
      <w:r w:rsidRPr="0016729D">
        <w:rPr>
          <w:rFonts w:ascii="Calibri Light" w:eastAsia="Times New Roman" w:hAnsi="Calibri Light" w:cs="Calibri Light"/>
          <w:i/>
          <w:iCs/>
          <w:kern w:val="0"/>
          <w:sz w:val="24"/>
          <w:szCs w:val="24"/>
          <w:lang w:eastAsia="en-GB"/>
          <w14:ligatures w14:val="none"/>
        </w:rPr>
        <w:t>Journal of Epidemiology and Community Health</w:t>
      </w:r>
      <w:r w:rsidRPr="0016729D">
        <w:rPr>
          <w:rFonts w:ascii="Calibri Light" w:eastAsia="Times New Roman" w:hAnsi="Calibri Light" w:cs="Calibri Light"/>
          <w:kern w:val="0"/>
          <w:sz w:val="24"/>
          <w:szCs w:val="24"/>
          <w:lang w:eastAsia="en-GB"/>
          <w14:ligatures w14:val="none"/>
        </w:rPr>
        <w:t xml:space="preserve">, 66(8), pp.745–753. </w:t>
      </w:r>
    </w:p>
    <w:p w14:paraId="7DC55D16" w14:textId="77777777" w:rsidR="00C67F04" w:rsidRPr="0016729D" w:rsidRDefault="00C67F0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727CC588" w14:textId="22830702" w:rsidR="0016729D" w:rsidRPr="00D150DA"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D150DA">
        <w:rPr>
          <w:rFonts w:ascii="Calibri Light" w:eastAsia="Times New Roman" w:hAnsi="Calibri Light" w:cs="Calibri Light"/>
          <w:kern w:val="0"/>
          <w:sz w:val="24"/>
          <w:szCs w:val="24"/>
          <w:lang w:eastAsia="en-GB"/>
          <w14:ligatures w14:val="none"/>
        </w:rPr>
        <w:t xml:space="preserve">National Health Service (2023). </w:t>
      </w:r>
      <w:r w:rsidRPr="00D150DA">
        <w:rPr>
          <w:rFonts w:ascii="Calibri Light" w:eastAsia="Times New Roman" w:hAnsi="Calibri Light" w:cs="Calibri Light"/>
          <w:i/>
          <w:iCs/>
          <w:kern w:val="0"/>
          <w:sz w:val="24"/>
          <w:szCs w:val="24"/>
          <w:lang w:eastAsia="en-GB"/>
          <w14:ligatures w14:val="none"/>
        </w:rPr>
        <w:t>Home</w:t>
      </w:r>
      <w:r w:rsidRPr="00D150DA">
        <w:rPr>
          <w:rFonts w:ascii="Calibri Light" w:eastAsia="Times New Roman" w:hAnsi="Calibri Light" w:cs="Calibri Light"/>
          <w:kern w:val="0"/>
          <w:sz w:val="24"/>
          <w:szCs w:val="24"/>
          <w:lang w:eastAsia="en-GB"/>
          <w14:ligatures w14:val="none"/>
        </w:rPr>
        <w:t xml:space="preserve">. </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online</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 xml:space="preserve"> Public Health Wales. Available at: https://phw.nhs.wales/?gclid=EAIaIQobChMIks6z7JXlggMVN42DBx3PLAl9EAAYASAAEgJkl_D_BwE </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Accessed 27 Nov. 2023</w:t>
      </w:r>
      <w:r w:rsidR="00D150DA">
        <w:rPr>
          <w:rFonts w:ascii="Calibri Light" w:eastAsia="Times New Roman" w:hAnsi="Calibri Light" w:cs="Calibri Light"/>
          <w:kern w:val="0"/>
          <w:sz w:val="24"/>
          <w:szCs w:val="24"/>
          <w:lang w:eastAsia="en-GB"/>
          <w14:ligatures w14:val="none"/>
        </w:rPr>
        <w:t>)</w:t>
      </w:r>
      <w:r w:rsidRPr="00D150DA">
        <w:rPr>
          <w:rFonts w:ascii="Calibri Light" w:eastAsia="Times New Roman" w:hAnsi="Calibri Light" w:cs="Calibri Light"/>
          <w:kern w:val="0"/>
          <w:sz w:val="24"/>
          <w:szCs w:val="24"/>
          <w:lang w:eastAsia="en-GB"/>
          <w14:ligatures w14:val="none"/>
        </w:rPr>
        <w:t>. </w:t>
      </w:r>
    </w:p>
    <w:p w14:paraId="334E97D7" w14:textId="77777777" w:rsidR="00C67F04" w:rsidRPr="0016729D" w:rsidRDefault="00C67F0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7B2EF2A" w14:textId="52E17446" w:rsidR="0016729D" w:rsidRPr="00596AB3"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Natural Resources Wales (2023). </w:t>
      </w:r>
      <w:r w:rsidRPr="0016729D">
        <w:rPr>
          <w:rFonts w:ascii="Calibri Light" w:eastAsia="Times New Roman" w:hAnsi="Calibri Light" w:cs="Calibri Light"/>
          <w:i/>
          <w:iCs/>
          <w:kern w:val="0"/>
          <w:sz w:val="24"/>
          <w:szCs w:val="24"/>
          <w:lang w:eastAsia="en-GB"/>
          <w14:ligatures w14:val="none"/>
        </w:rPr>
        <w:t xml:space="preserve">Natural Resources Wales / The Well-being of Future </w:t>
      </w:r>
      <w:r w:rsidRPr="00596AB3">
        <w:rPr>
          <w:rFonts w:ascii="Calibri Light" w:eastAsia="Times New Roman" w:hAnsi="Calibri Light" w:cs="Calibri Light"/>
          <w:i/>
          <w:iCs/>
          <w:kern w:val="0"/>
          <w:sz w:val="24"/>
          <w:szCs w:val="24"/>
          <w:lang w:eastAsia="en-GB"/>
          <w14:ligatures w14:val="none"/>
        </w:rPr>
        <w:t>Generations</w:t>
      </w:r>
      <w:r w:rsidRPr="00596AB3">
        <w:rPr>
          <w:rFonts w:ascii="Calibri Light" w:eastAsia="Times New Roman" w:hAnsi="Calibri Light" w:cs="Calibri Light"/>
          <w:kern w:val="0"/>
          <w:sz w:val="24"/>
          <w:szCs w:val="24"/>
          <w:lang w:eastAsia="en-GB"/>
          <w14:ligatures w14:val="none"/>
        </w:rPr>
        <w:t xml:space="preserve">. </w:t>
      </w:r>
      <w:r w:rsidR="00596AB3">
        <w:rPr>
          <w:rFonts w:ascii="Calibri Light" w:eastAsia="Times New Roman" w:hAnsi="Calibri Light" w:cs="Calibri Light"/>
          <w:kern w:val="0"/>
          <w:sz w:val="24"/>
          <w:szCs w:val="24"/>
          <w:lang w:eastAsia="en-GB"/>
          <w14:ligatures w14:val="none"/>
        </w:rPr>
        <w:t>(</w:t>
      </w:r>
      <w:r w:rsidRPr="00596AB3">
        <w:rPr>
          <w:rFonts w:ascii="Calibri Light" w:eastAsia="Times New Roman" w:hAnsi="Calibri Light" w:cs="Calibri Light"/>
          <w:kern w:val="0"/>
          <w:sz w:val="24"/>
          <w:szCs w:val="24"/>
          <w:lang w:eastAsia="en-GB"/>
          <w14:ligatures w14:val="none"/>
        </w:rPr>
        <w:t>online</w:t>
      </w:r>
      <w:r w:rsidR="00596AB3">
        <w:rPr>
          <w:rFonts w:ascii="Calibri Light" w:eastAsia="Times New Roman" w:hAnsi="Calibri Light" w:cs="Calibri Light"/>
          <w:kern w:val="0"/>
          <w:sz w:val="24"/>
          <w:szCs w:val="24"/>
          <w:lang w:eastAsia="en-GB"/>
          <w14:ligatures w14:val="none"/>
        </w:rPr>
        <w:t>)</w:t>
      </w:r>
      <w:r w:rsidRPr="00596AB3">
        <w:rPr>
          <w:rFonts w:ascii="Calibri Light" w:eastAsia="Times New Roman" w:hAnsi="Calibri Light" w:cs="Calibri Light"/>
          <w:kern w:val="0"/>
          <w:sz w:val="24"/>
          <w:szCs w:val="24"/>
          <w:lang w:eastAsia="en-GB"/>
          <w14:ligatures w14:val="none"/>
        </w:rPr>
        <w:t xml:space="preserve"> naturalresources.wales. Available at: </w:t>
      </w:r>
      <w:hyperlink r:id="rId16" w:tgtFrame="_blank" w:history="1">
        <w:r w:rsidRPr="00596AB3">
          <w:rPr>
            <w:rFonts w:ascii="Calibri Light" w:eastAsia="Times New Roman" w:hAnsi="Calibri Light" w:cs="Calibri Light"/>
            <w:kern w:val="0"/>
            <w:sz w:val="24"/>
            <w:szCs w:val="24"/>
            <w:lang w:eastAsia="en-GB"/>
            <w14:ligatures w14:val="none"/>
          </w:rPr>
          <w:t>https://naturalresources.wales/about-us/what-we-do/strategies-and-plans/the-well-being-of-future-generations/?lang=en</w:t>
        </w:r>
      </w:hyperlink>
      <w:r w:rsidRPr="00596AB3">
        <w:rPr>
          <w:rFonts w:ascii="Calibri Light" w:eastAsia="Times New Roman" w:hAnsi="Calibri Light" w:cs="Calibri Light"/>
          <w:kern w:val="0"/>
          <w:sz w:val="24"/>
          <w:szCs w:val="24"/>
          <w:lang w:eastAsia="en-GB"/>
          <w14:ligatures w14:val="none"/>
        </w:rPr>
        <w:t xml:space="preserve"> </w:t>
      </w:r>
      <w:r w:rsidR="00D150DA" w:rsidRPr="00596AB3">
        <w:rPr>
          <w:rFonts w:ascii="Calibri Light" w:eastAsia="Times New Roman" w:hAnsi="Calibri Light" w:cs="Calibri Light"/>
          <w:kern w:val="0"/>
          <w:sz w:val="24"/>
          <w:szCs w:val="24"/>
          <w:lang w:eastAsia="en-GB"/>
          <w14:ligatures w14:val="none"/>
        </w:rPr>
        <w:t>(</w:t>
      </w:r>
      <w:r w:rsidRPr="00596AB3">
        <w:rPr>
          <w:rFonts w:ascii="Calibri Light" w:eastAsia="Times New Roman" w:hAnsi="Calibri Light" w:cs="Calibri Light"/>
          <w:kern w:val="0"/>
          <w:sz w:val="24"/>
          <w:szCs w:val="24"/>
          <w:lang w:eastAsia="en-GB"/>
          <w14:ligatures w14:val="none"/>
        </w:rPr>
        <w:t>Accessed 29 Nov. 2023</w:t>
      </w:r>
      <w:r w:rsidR="00D150DA" w:rsidRPr="00596AB3">
        <w:rPr>
          <w:rFonts w:ascii="Calibri Light" w:eastAsia="Times New Roman" w:hAnsi="Calibri Light" w:cs="Calibri Light"/>
          <w:kern w:val="0"/>
          <w:sz w:val="24"/>
          <w:szCs w:val="24"/>
          <w:lang w:eastAsia="en-GB"/>
          <w14:ligatures w14:val="none"/>
        </w:rPr>
        <w:t>).</w:t>
      </w:r>
      <w:r w:rsidRPr="00596AB3">
        <w:rPr>
          <w:rFonts w:ascii="Calibri Light" w:eastAsia="Times New Roman" w:hAnsi="Calibri Light" w:cs="Calibri Light"/>
          <w:kern w:val="0"/>
          <w:sz w:val="24"/>
          <w:szCs w:val="24"/>
          <w:lang w:eastAsia="en-GB"/>
          <w14:ligatures w14:val="none"/>
        </w:rPr>
        <w:t> </w:t>
      </w:r>
    </w:p>
    <w:p w14:paraId="2287EE9D" w14:textId="77777777" w:rsidR="00C67F04" w:rsidRPr="0016729D" w:rsidRDefault="00C67F0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68DE25E" w14:textId="2E36963F"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Nesom, S. and MacKillop, E. (2020). What matters in the implementation of sustainable development policies? Findings from the Well-Being of Future Generations (Wales) Act, 2015. </w:t>
      </w:r>
      <w:r w:rsidRPr="0016729D">
        <w:rPr>
          <w:rFonts w:ascii="Calibri Light" w:eastAsia="Times New Roman" w:hAnsi="Calibri Light" w:cs="Calibri Light"/>
          <w:i/>
          <w:iCs/>
          <w:kern w:val="0"/>
          <w:sz w:val="24"/>
          <w:szCs w:val="24"/>
          <w:lang w:eastAsia="en-GB"/>
          <w14:ligatures w14:val="none"/>
        </w:rPr>
        <w:t>Journal of Environmental Policy &amp; Planning</w:t>
      </w:r>
      <w:r w:rsidRPr="0016729D">
        <w:rPr>
          <w:rFonts w:ascii="Calibri Light" w:eastAsia="Times New Roman" w:hAnsi="Calibri Light" w:cs="Calibri Light"/>
          <w:kern w:val="0"/>
          <w:sz w:val="24"/>
          <w:szCs w:val="24"/>
          <w:lang w:eastAsia="en-GB"/>
          <w14:ligatures w14:val="none"/>
        </w:rPr>
        <w:t xml:space="preserve">, 23(4), pp.1–14. </w:t>
      </w:r>
    </w:p>
    <w:p w14:paraId="644F20FD" w14:textId="77777777" w:rsidR="00C67F04" w:rsidRPr="0016729D" w:rsidRDefault="00C67F0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C320E42"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Netherwood, F. (2017). WELL-BEING ASSESSMENTS IN WALES: OVERVIEW REPORT A report commissioned by the Office of the Future Generations Commissioner from: Contents. </w:t>
      </w:r>
      <w:r w:rsidRPr="0016729D">
        <w:rPr>
          <w:rFonts w:ascii="Calibri Light" w:eastAsia="Times New Roman" w:hAnsi="Calibri Light" w:cs="Calibri Light"/>
          <w:i/>
          <w:iCs/>
          <w:kern w:val="0"/>
          <w:sz w:val="24"/>
          <w:szCs w:val="24"/>
          <w:lang w:eastAsia="en-GB"/>
          <w14:ligatures w14:val="none"/>
        </w:rPr>
        <w:t>Well Being Assessments in Wales: Overview Report</w:t>
      </w:r>
      <w:r w:rsidRPr="0016729D">
        <w:rPr>
          <w:rFonts w:ascii="Calibri Light" w:eastAsia="Times New Roman" w:hAnsi="Calibri Light" w:cs="Calibri Light"/>
          <w:kern w:val="0"/>
          <w:sz w:val="24"/>
          <w:szCs w:val="24"/>
          <w:lang w:eastAsia="en-GB"/>
          <w14:ligatures w14:val="none"/>
        </w:rPr>
        <w:t>, 1. </w:t>
      </w:r>
    </w:p>
    <w:p w14:paraId="3ED74915" w14:textId="77777777" w:rsidR="00675891" w:rsidRPr="0016729D" w:rsidRDefault="00675891"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759D936" w14:textId="3338D68D"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Nuzum, H., Stickel, A., Corona, M., Zeller, M., Melrose, R.J. and Wilkins, S.S. (2020). </w:t>
      </w:r>
      <w:r w:rsidRPr="0016729D">
        <w:rPr>
          <w:rFonts w:ascii="Calibri Light" w:eastAsia="Times New Roman" w:hAnsi="Calibri Light" w:cs="Calibri Light"/>
          <w:i/>
          <w:iCs/>
          <w:kern w:val="0"/>
          <w:sz w:val="24"/>
          <w:szCs w:val="24"/>
          <w:lang w:eastAsia="en-GB"/>
          <w14:ligatures w14:val="none"/>
        </w:rPr>
        <w:t xml:space="preserve">Potential </w:t>
      </w:r>
      <w:r w:rsidRPr="00675891">
        <w:rPr>
          <w:rFonts w:ascii="Calibri Light" w:eastAsia="Times New Roman" w:hAnsi="Calibri Light" w:cs="Calibri Light"/>
          <w:i/>
          <w:iCs/>
          <w:kern w:val="0"/>
          <w:sz w:val="24"/>
          <w:szCs w:val="24"/>
          <w:lang w:eastAsia="en-GB"/>
          <w14:ligatures w14:val="none"/>
        </w:rPr>
        <w:t>Benefits of Physical Activity in MCI and Dementia</w:t>
      </w:r>
      <w:r w:rsidRPr="00675891">
        <w:rPr>
          <w:rFonts w:ascii="Calibri Light" w:eastAsia="Times New Roman" w:hAnsi="Calibri Light" w:cs="Calibri Light"/>
          <w:kern w:val="0"/>
          <w:sz w:val="24"/>
          <w:szCs w:val="24"/>
          <w:lang w:eastAsia="en-GB"/>
          <w14:ligatures w14:val="none"/>
        </w:rPr>
        <w:t xml:space="preserve">. </w:t>
      </w:r>
      <w:r w:rsidR="00675891">
        <w:rPr>
          <w:rFonts w:ascii="Calibri Light" w:eastAsia="Times New Roman" w:hAnsi="Calibri Light" w:cs="Calibri Light"/>
          <w:kern w:val="0"/>
          <w:sz w:val="24"/>
          <w:szCs w:val="24"/>
          <w:lang w:eastAsia="en-GB"/>
          <w14:ligatures w14:val="none"/>
        </w:rPr>
        <w:t>(</w:t>
      </w:r>
      <w:r w:rsidRPr="00675891">
        <w:rPr>
          <w:rFonts w:ascii="Calibri Light" w:eastAsia="Times New Roman" w:hAnsi="Calibri Light" w:cs="Calibri Light"/>
          <w:kern w:val="0"/>
          <w:sz w:val="24"/>
          <w:szCs w:val="24"/>
          <w:lang w:eastAsia="en-GB"/>
          <w14:ligatures w14:val="none"/>
        </w:rPr>
        <w:t>online</w:t>
      </w:r>
      <w:r w:rsidR="00675891">
        <w:rPr>
          <w:rFonts w:ascii="Calibri Light" w:eastAsia="Times New Roman" w:hAnsi="Calibri Light" w:cs="Calibri Light"/>
          <w:kern w:val="0"/>
          <w:sz w:val="24"/>
          <w:szCs w:val="24"/>
          <w:lang w:eastAsia="en-GB"/>
          <w14:ligatures w14:val="none"/>
        </w:rPr>
        <w:t xml:space="preserve">) </w:t>
      </w:r>
      <w:r w:rsidRPr="00675891">
        <w:rPr>
          <w:rFonts w:ascii="Calibri Light" w:eastAsia="Times New Roman" w:hAnsi="Calibri Light" w:cs="Calibri Light"/>
          <w:kern w:val="0"/>
          <w:sz w:val="24"/>
          <w:szCs w:val="24"/>
          <w:lang w:eastAsia="en-GB"/>
          <w14:ligatures w14:val="none"/>
        </w:rPr>
        <w:t xml:space="preserve">Behavioural Neurology. Available at: </w:t>
      </w:r>
      <w:hyperlink r:id="rId17" w:tgtFrame="_blank" w:history="1">
        <w:r w:rsidRPr="00675891">
          <w:rPr>
            <w:rFonts w:ascii="Calibri Light" w:eastAsia="Times New Roman" w:hAnsi="Calibri Light" w:cs="Calibri Light"/>
            <w:kern w:val="0"/>
            <w:sz w:val="24"/>
            <w:szCs w:val="24"/>
            <w:lang w:eastAsia="en-GB"/>
            <w14:ligatures w14:val="none"/>
          </w:rPr>
          <w:t>https://www.hindawi.com/journals/bn/2020/7807856/</w:t>
        </w:r>
      </w:hyperlink>
      <w:r w:rsidRPr="00675891">
        <w:rPr>
          <w:rFonts w:ascii="Calibri Light" w:eastAsia="Times New Roman" w:hAnsi="Calibri Light" w:cs="Calibri Light"/>
          <w:kern w:val="0"/>
          <w:sz w:val="24"/>
          <w:szCs w:val="24"/>
          <w:lang w:eastAsia="en-GB"/>
          <w14:ligatures w14:val="none"/>
        </w:rPr>
        <w:t xml:space="preserve"> </w:t>
      </w:r>
      <w:r w:rsidR="00675891">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Accessed 9 Dec. 2023</w:t>
      </w:r>
      <w:r w:rsidR="00675891">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w:t>
      </w:r>
    </w:p>
    <w:p w14:paraId="7CADCD78" w14:textId="77777777" w:rsidR="00DF4F7E" w:rsidRPr="0016729D" w:rsidRDefault="00DF4F7E"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2CEEC15D" w14:textId="42823821"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Public Health Wales (2023). </w:t>
      </w:r>
      <w:r w:rsidRPr="0016729D">
        <w:rPr>
          <w:rFonts w:ascii="Calibri Light" w:eastAsia="Times New Roman" w:hAnsi="Calibri Light" w:cs="Calibri Light"/>
          <w:i/>
          <w:iCs/>
          <w:kern w:val="0"/>
          <w:sz w:val="24"/>
          <w:szCs w:val="24"/>
          <w:lang w:eastAsia="en-GB"/>
          <w14:ligatures w14:val="none"/>
        </w:rPr>
        <w:t>Working Together for a Healthier Wales</w:t>
      </w:r>
      <w:r w:rsidRPr="0016729D">
        <w:rPr>
          <w:rFonts w:ascii="Calibri Light" w:eastAsia="Times New Roman" w:hAnsi="Calibri Light" w:cs="Calibri Light"/>
          <w:kern w:val="0"/>
          <w:sz w:val="24"/>
          <w:szCs w:val="24"/>
          <w:lang w:eastAsia="en-GB"/>
          <w14:ligatures w14:val="none"/>
        </w:rPr>
        <w:t xml:space="preserve">. [online] Public Health Wales. Available at: </w:t>
      </w:r>
      <w:r w:rsidRPr="00675891">
        <w:rPr>
          <w:rFonts w:ascii="Calibri Light" w:eastAsia="Times New Roman" w:hAnsi="Calibri Light" w:cs="Calibri Light"/>
          <w:kern w:val="0"/>
          <w:sz w:val="24"/>
          <w:szCs w:val="24"/>
          <w:lang w:eastAsia="en-GB"/>
          <w14:ligatures w14:val="none"/>
        </w:rPr>
        <w:t xml:space="preserve">https://phw.nhs.wales/about-us/working-together-for-a-healthier-wales/ </w:t>
      </w:r>
      <w:r w:rsidR="00675891" w:rsidRPr="00675891">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Accessed 28 Nov. 2023</w:t>
      </w:r>
      <w:r w:rsidR="00675891">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w:t>
      </w:r>
    </w:p>
    <w:p w14:paraId="72A2D142" w14:textId="77777777" w:rsidR="001B6979" w:rsidRPr="0016729D" w:rsidRDefault="001B697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E7CD0F8" w14:textId="5CB7626B" w:rsidR="0016729D" w:rsidRPr="00CA7CC8"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Public Health Wales (2024). </w:t>
      </w:r>
      <w:r w:rsidRPr="0016729D">
        <w:rPr>
          <w:rFonts w:ascii="Calibri Light" w:eastAsia="Times New Roman" w:hAnsi="Calibri Light" w:cs="Calibri Light"/>
          <w:i/>
          <w:iCs/>
          <w:kern w:val="0"/>
          <w:sz w:val="24"/>
          <w:szCs w:val="24"/>
          <w:lang w:eastAsia="en-GB"/>
          <w14:ligatures w14:val="none"/>
        </w:rPr>
        <w:t>Wales National Exercise Referral Scheme</w:t>
      </w:r>
      <w:r w:rsidRPr="0016729D">
        <w:rPr>
          <w:rFonts w:ascii="Calibri Light" w:eastAsia="Times New Roman" w:hAnsi="Calibri Light" w:cs="Calibri Light"/>
          <w:kern w:val="0"/>
          <w:sz w:val="24"/>
          <w:szCs w:val="24"/>
          <w:lang w:eastAsia="en-GB"/>
          <w14:ligatures w14:val="none"/>
        </w:rPr>
        <w:t xml:space="preserve">. [online] Public Health </w:t>
      </w:r>
      <w:r w:rsidRPr="00CA7CC8">
        <w:rPr>
          <w:rFonts w:ascii="Calibri Light" w:eastAsia="Times New Roman" w:hAnsi="Calibri Light" w:cs="Calibri Light"/>
          <w:kern w:val="0"/>
          <w:sz w:val="24"/>
          <w:szCs w:val="24"/>
          <w:lang w:eastAsia="en-GB"/>
          <w14:ligatures w14:val="none"/>
        </w:rPr>
        <w:t xml:space="preserve">Wales. Available at: </w:t>
      </w:r>
      <w:hyperlink r:id="rId18" w:tgtFrame="_blank" w:history="1">
        <w:r w:rsidRPr="00CA7CC8">
          <w:rPr>
            <w:rFonts w:ascii="Calibri Light" w:eastAsia="Times New Roman" w:hAnsi="Calibri Light" w:cs="Calibri Light"/>
            <w:kern w:val="0"/>
            <w:sz w:val="24"/>
            <w:szCs w:val="24"/>
            <w:lang w:eastAsia="en-GB"/>
            <w14:ligatures w14:val="none"/>
          </w:rPr>
          <w:t>https://phw.nhs.wales/services-and-teams/wales-national-exercise-referral-scheme/</w:t>
        </w:r>
      </w:hyperlink>
      <w:r w:rsidRPr="00CA7CC8">
        <w:rPr>
          <w:rFonts w:ascii="Calibri Light" w:eastAsia="Times New Roman" w:hAnsi="Calibri Light" w:cs="Calibri Light"/>
          <w:kern w:val="0"/>
          <w:sz w:val="24"/>
          <w:szCs w:val="24"/>
          <w:lang w:eastAsia="en-GB"/>
          <w14:ligatures w14:val="none"/>
        </w:rPr>
        <w:t xml:space="preserve"> </w:t>
      </w:r>
      <w:r w:rsidR="00CA7CC8" w:rsidRPr="00CA7CC8">
        <w:rPr>
          <w:rFonts w:ascii="Calibri Light" w:eastAsia="Times New Roman" w:hAnsi="Calibri Light" w:cs="Calibri Light"/>
          <w:kern w:val="0"/>
          <w:sz w:val="24"/>
          <w:szCs w:val="24"/>
          <w:lang w:eastAsia="en-GB"/>
          <w14:ligatures w14:val="none"/>
        </w:rPr>
        <w:t>(</w:t>
      </w:r>
      <w:r w:rsidRPr="00CA7CC8">
        <w:rPr>
          <w:rFonts w:ascii="Calibri Light" w:eastAsia="Times New Roman" w:hAnsi="Calibri Light" w:cs="Calibri Light"/>
          <w:kern w:val="0"/>
          <w:sz w:val="24"/>
          <w:szCs w:val="24"/>
          <w:lang w:eastAsia="en-GB"/>
          <w14:ligatures w14:val="none"/>
        </w:rPr>
        <w:t>Accessed 9 Dec. 2023</w:t>
      </w:r>
      <w:r w:rsidR="00CA7CC8" w:rsidRPr="00CA7CC8">
        <w:rPr>
          <w:rFonts w:ascii="Calibri Light" w:eastAsia="Times New Roman" w:hAnsi="Calibri Light" w:cs="Calibri Light"/>
          <w:kern w:val="0"/>
          <w:sz w:val="24"/>
          <w:szCs w:val="24"/>
          <w:lang w:eastAsia="en-GB"/>
          <w14:ligatures w14:val="none"/>
        </w:rPr>
        <w:t>)</w:t>
      </w:r>
      <w:r w:rsidRPr="00CA7CC8">
        <w:rPr>
          <w:rFonts w:ascii="Calibri Light" w:eastAsia="Times New Roman" w:hAnsi="Calibri Light" w:cs="Calibri Light"/>
          <w:kern w:val="0"/>
          <w:sz w:val="24"/>
          <w:szCs w:val="24"/>
          <w:lang w:eastAsia="en-GB"/>
          <w14:ligatures w14:val="none"/>
        </w:rPr>
        <w:t>. </w:t>
      </w:r>
    </w:p>
    <w:p w14:paraId="7CF54850" w14:textId="77777777" w:rsidR="001B6979" w:rsidRPr="0016729D" w:rsidRDefault="001B697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5595DBA" w14:textId="5D01523C" w:rsidR="001B6979"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Rabaiotti, E. and Harrison, M.I. (2023). Is partnership working? Complexities and barriers in the development of community safety practice in Wales. </w:t>
      </w:r>
      <w:r w:rsidRPr="0016729D">
        <w:rPr>
          <w:rFonts w:ascii="Calibri Light" w:eastAsia="Times New Roman" w:hAnsi="Calibri Light" w:cs="Calibri Light"/>
          <w:i/>
          <w:iCs/>
          <w:kern w:val="0"/>
          <w:sz w:val="24"/>
          <w:szCs w:val="24"/>
          <w:lang w:eastAsia="en-GB"/>
          <w14:ligatures w14:val="none"/>
        </w:rPr>
        <w:t>Crime Prevention and Community Safety</w:t>
      </w:r>
      <w:r w:rsidRPr="0016729D">
        <w:rPr>
          <w:rFonts w:ascii="Calibri Light" w:eastAsia="Times New Roman" w:hAnsi="Calibri Light" w:cs="Calibri Light"/>
          <w:kern w:val="0"/>
          <w:sz w:val="24"/>
          <w:szCs w:val="24"/>
          <w:lang w:eastAsia="en-GB"/>
          <w14:ligatures w14:val="none"/>
        </w:rPr>
        <w:t xml:space="preserve">, 25(3), pp.318–337. </w:t>
      </w:r>
    </w:p>
    <w:p w14:paraId="67F68A7F" w14:textId="77777777" w:rsidR="00CA7CC8" w:rsidRPr="0016729D" w:rsidRDefault="00CA7CC8"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F2621E3" w14:textId="259ED556" w:rsidR="001B6979"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Resnik, D.B. (2007). Responsibility for health: personal, social, and environmental. </w:t>
      </w:r>
      <w:r w:rsidRPr="0016729D">
        <w:rPr>
          <w:rFonts w:ascii="Calibri Light" w:eastAsia="Times New Roman" w:hAnsi="Calibri Light" w:cs="Calibri Light"/>
          <w:i/>
          <w:iCs/>
          <w:kern w:val="0"/>
          <w:sz w:val="24"/>
          <w:szCs w:val="24"/>
          <w:lang w:eastAsia="en-GB"/>
          <w14:ligatures w14:val="none"/>
        </w:rPr>
        <w:t>Journal of Medical Ethics</w:t>
      </w:r>
      <w:r w:rsidRPr="0016729D">
        <w:rPr>
          <w:rFonts w:ascii="Calibri Light" w:eastAsia="Times New Roman" w:hAnsi="Calibri Light" w:cs="Calibri Light"/>
          <w:kern w:val="0"/>
          <w:sz w:val="24"/>
          <w:szCs w:val="24"/>
          <w:lang w:eastAsia="en-GB"/>
          <w14:ligatures w14:val="none"/>
        </w:rPr>
        <w:t xml:space="preserve">, 33(8), pp.444–445. </w:t>
      </w:r>
    </w:p>
    <w:p w14:paraId="12BA6318" w14:textId="77777777" w:rsidR="00CA7CC8" w:rsidRPr="0016729D" w:rsidRDefault="00CA7CC8"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F843221" w14:textId="13784AFD"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Royce, R. (2022). Is </w:t>
      </w:r>
      <w:r w:rsidRPr="0016729D">
        <w:rPr>
          <w:rFonts w:ascii="Calibri Light" w:eastAsia="Times New Roman" w:hAnsi="Calibri Light" w:cs="Calibri Light"/>
          <w:i/>
          <w:iCs/>
          <w:kern w:val="0"/>
          <w:sz w:val="24"/>
          <w:szCs w:val="24"/>
          <w:lang w:eastAsia="en-GB"/>
          <w14:ligatures w14:val="none"/>
        </w:rPr>
        <w:t>A healthier Wales: our workforce strategy for health and social care</w:t>
      </w:r>
      <w:r w:rsidRPr="0016729D">
        <w:rPr>
          <w:rFonts w:ascii="Calibri Light" w:eastAsia="Times New Roman" w:hAnsi="Calibri Light" w:cs="Calibri Light"/>
          <w:kern w:val="0"/>
          <w:sz w:val="24"/>
          <w:szCs w:val="24"/>
          <w:lang w:eastAsia="en-GB"/>
          <w14:ligatures w14:val="none"/>
        </w:rPr>
        <w:t xml:space="preserve"> actually a strategy?. </w:t>
      </w:r>
      <w:r w:rsidRPr="0016729D">
        <w:rPr>
          <w:rFonts w:ascii="Calibri Light" w:eastAsia="Times New Roman" w:hAnsi="Calibri Light" w:cs="Calibri Light"/>
          <w:i/>
          <w:iCs/>
          <w:kern w:val="0"/>
          <w:sz w:val="24"/>
          <w:szCs w:val="24"/>
          <w:lang w:eastAsia="en-GB"/>
          <w14:ligatures w14:val="none"/>
        </w:rPr>
        <w:t>British Journal of Healthcare Management</w:t>
      </w:r>
      <w:r w:rsidRPr="0016729D">
        <w:rPr>
          <w:rFonts w:ascii="Calibri Light" w:eastAsia="Times New Roman" w:hAnsi="Calibri Light" w:cs="Calibri Light"/>
          <w:kern w:val="0"/>
          <w:sz w:val="24"/>
          <w:szCs w:val="24"/>
          <w:lang w:eastAsia="en-GB"/>
          <w14:ligatures w14:val="none"/>
        </w:rPr>
        <w:t xml:space="preserve">, 28(10), pp.1–6. </w:t>
      </w:r>
    </w:p>
    <w:p w14:paraId="25E5249C" w14:textId="77777777" w:rsidR="001B6979" w:rsidRPr="0016729D" w:rsidRDefault="001B697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27EF74F" w14:textId="6A1C13C1" w:rsidR="006777A4" w:rsidRDefault="0016729D" w:rsidP="006777A4">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lastRenderedPageBreak/>
        <w:t xml:space="preserve">Sharp, C.A., Mackintosh, K.A., Willmot, R., Hughes, R., McNarry, M.A. and Milton, K. (2022). National Policy Response to the United Nations Sustainable Development Goals: A Physical Activity Case Study of Wales. </w:t>
      </w:r>
      <w:r w:rsidRPr="0016729D">
        <w:rPr>
          <w:rFonts w:ascii="Calibri Light" w:eastAsia="Times New Roman" w:hAnsi="Calibri Light" w:cs="Calibri Light"/>
          <w:i/>
          <w:iCs/>
          <w:kern w:val="0"/>
          <w:sz w:val="24"/>
          <w:szCs w:val="24"/>
          <w:lang w:eastAsia="en-GB"/>
          <w14:ligatures w14:val="none"/>
        </w:rPr>
        <w:t>Journal of Physical Activity and Health</w:t>
      </w:r>
      <w:r w:rsidRPr="0016729D">
        <w:rPr>
          <w:rFonts w:ascii="Calibri Light" w:eastAsia="Times New Roman" w:hAnsi="Calibri Light" w:cs="Calibri Light"/>
          <w:kern w:val="0"/>
          <w:sz w:val="24"/>
          <w:szCs w:val="24"/>
          <w:lang w:eastAsia="en-GB"/>
          <w14:ligatures w14:val="none"/>
        </w:rPr>
        <w:t xml:space="preserve">, 19(4), pp.316–326. </w:t>
      </w:r>
    </w:p>
    <w:p w14:paraId="1F857339" w14:textId="77777777" w:rsidR="001B6979" w:rsidRPr="0016729D" w:rsidRDefault="001B697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5AC4F0A"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Social Care Wales (2019). </w:t>
      </w:r>
      <w:r w:rsidRPr="0016729D">
        <w:rPr>
          <w:rFonts w:ascii="Calibri Light" w:eastAsia="Times New Roman" w:hAnsi="Calibri Light" w:cs="Calibri Light"/>
          <w:i/>
          <w:iCs/>
          <w:kern w:val="0"/>
          <w:sz w:val="24"/>
          <w:szCs w:val="24"/>
          <w:lang w:eastAsia="en-GB"/>
          <w14:ligatures w14:val="none"/>
        </w:rPr>
        <w:t>A HEALTHIER WALES: OUR WORKFORCE STRATEGY FOR HEALTH AND SOCIAL CARE</w:t>
      </w:r>
      <w:r w:rsidRPr="0016729D">
        <w:rPr>
          <w:rFonts w:ascii="Calibri Light" w:eastAsia="Times New Roman" w:hAnsi="Calibri Light" w:cs="Calibri Light"/>
          <w:kern w:val="0"/>
          <w:sz w:val="24"/>
          <w:szCs w:val="24"/>
          <w:lang w:eastAsia="en-GB"/>
          <w14:ligatures w14:val="none"/>
        </w:rPr>
        <w:t>. </w:t>
      </w:r>
    </w:p>
    <w:p w14:paraId="2D2BFC8C" w14:textId="77777777" w:rsidR="001B6979" w:rsidRPr="0016729D" w:rsidRDefault="001B697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8ABBB2F" w14:textId="77777777" w:rsidR="00C86FF7"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Swanea Council (2023). </w:t>
      </w:r>
      <w:r w:rsidRPr="0016729D">
        <w:rPr>
          <w:rFonts w:ascii="Calibri Light" w:eastAsia="Times New Roman" w:hAnsi="Calibri Light" w:cs="Calibri Light"/>
          <w:i/>
          <w:iCs/>
          <w:kern w:val="0"/>
          <w:sz w:val="24"/>
          <w:szCs w:val="24"/>
          <w:lang w:eastAsia="en-GB"/>
          <w14:ligatures w14:val="none"/>
        </w:rPr>
        <w:t>Briefing – Swansea Public Services Board (PSB) Performance Framework</w:t>
      </w:r>
      <w:r w:rsidRPr="0016729D">
        <w:rPr>
          <w:rFonts w:ascii="Calibri Light" w:eastAsia="Times New Roman" w:hAnsi="Calibri Light" w:cs="Calibri Light"/>
          <w:kern w:val="0"/>
          <w:sz w:val="24"/>
          <w:szCs w:val="24"/>
          <w:lang w:eastAsia="en-GB"/>
          <w14:ligatures w14:val="none"/>
        </w:rPr>
        <w:t>. Swansea Council: Swansea Public Services Board, pp.1–3.</w:t>
      </w:r>
    </w:p>
    <w:p w14:paraId="2E610B20" w14:textId="2692614E" w:rsidR="0016729D" w:rsidRPr="0016729D"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16729D">
        <w:rPr>
          <w:rFonts w:ascii="Calibri Light" w:eastAsia="Times New Roman" w:hAnsi="Calibri Light" w:cs="Calibri Light"/>
          <w:kern w:val="0"/>
          <w:sz w:val="24"/>
          <w:szCs w:val="24"/>
          <w:lang w:eastAsia="en-GB"/>
          <w14:ligatures w14:val="none"/>
        </w:rPr>
        <w:t> </w:t>
      </w:r>
    </w:p>
    <w:p w14:paraId="5BF491F5" w14:textId="5E41F990"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6777A4">
        <w:rPr>
          <w:rFonts w:ascii="Calibri Light" w:eastAsia="Times New Roman" w:hAnsi="Calibri Light" w:cs="Calibri Light"/>
          <w:kern w:val="0"/>
          <w:sz w:val="24"/>
          <w:szCs w:val="24"/>
          <w:lang w:eastAsia="en-GB"/>
          <w14:ligatures w14:val="none"/>
        </w:rPr>
        <w:t xml:space="preserve">Swansea Council (2023). </w:t>
      </w:r>
      <w:r w:rsidRPr="006777A4">
        <w:rPr>
          <w:rFonts w:ascii="Calibri Light" w:eastAsia="Times New Roman" w:hAnsi="Calibri Light" w:cs="Calibri Light"/>
          <w:i/>
          <w:iCs/>
          <w:kern w:val="0"/>
          <w:sz w:val="24"/>
          <w:szCs w:val="24"/>
          <w:lang w:eastAsia="en-GB"/>
          <w14:ligatures w14:val="none"/>
        </w:rPr>
        <w:t>Well-being of Future Generations</w:t>
      </w:r>
      <w:r w:rsidRPr="006777A4">
        <w:rPr>
          <w:rFonts w:ascii="Calibri Light" w:eastAsia="Times New Roman" w:hAnsi="Calibri Light" w:cs="Calibri Light"/>
          <w:kern w:val="0"/>
          <w:sz w:val="24"/>
          <w:szCs w:val="24"/>
          <w:lang w:eastAsia="en-GB"/>
          <w14:ligatures w14:val="none"/>
        </w:rPr>
        <w:t xml:space="preserve">. </w:t>
      </w:r>
      <w:r w:rsid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online</w:t>
      </w:r>
      <w:r w:rsid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 xml:space="preserve"> Swansea. Available at: https://www.swansea.gov.uk/wellbeingfuturegenerations?lang=en </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Accessed 29 Nov. 2023</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w:t>
      </w:r>
    </w:p>
    <w:p w14:paraId="5650F9B3" w14:textId="77777777" w:rsidR="00C86FF7" w:rsidRPr="0016729D" w:rsidRDefault="00C86FF7"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0903AD8" w14:textId="1F59C891" w:rsidR="0016729D" w:rsidRPr="006777A4"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Third Sector Support Wales (2019). </w:t>
      </w:r>
      <w:r w:rsidRPr="0016729D">
        <w:rPr>
          <w:rFonts w:ascii="Calibri Light" w:eastAsia="Times New Roman" w:hAnsi="Calibri Light" w:cs="Calibri Light"/>
          <w:i/>
          <w:iCs/>
          <w:kern w:val="0"/>
          <w:sz w:val="24"/>
          <w:szCs w:val="24"/>
          <w:lang w:eastAsia="en-GB"/>
          <w14:ligatures w14:val="none"/>
        </w:rPr>
        <w:t>The Wellbeing of Future Generations Act - WCVA</w:t>
      </w:r>
      <w:r w:rsidRPr="0016729D">
        <w:rPr>
          <w:rFonts w:ascii="Calibri Light" w:eastAsia="Times New Roman" w:hAnsi="Calibri Light" w:cs="Calibri Light"/>
          <w:kern w:val="0"/>
          <w:sz w:val="24"/>
          <w:szCs w:val="24"/>
          <w:lang w:eastAsia="en-GB"/>
          <w14:ligatures w14:val="none"/>
        </w:rPr>
        <w:t xml:space="preserve">. </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online</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xml:space="preserve"> </w:t>
      </w:r>
      <w:r w:rsidRPr="006777A4">
        <w:rPr>
          <w:rFonts w:ascii="Calibri Light" w:eastAsia="Times New Roman" w:hAnsi="Calibri Light" w:cs="Calibri Light"/>
          <w:kern w:val="0"/>
          <w:sz w:val="24"/>
          <w:szCs w:val="24"/>
          <w:lang w:eastAsia="en-GB"/>
          <w14:ligatures w14:val="none"/>
        </w:rPr>
        <w:t xml:space="preserve">WCVA. Available at: https://wcva.cymru/influencing/legislation/the-wellbeing-of-future-generations-act/ </w:t>
      </w:r>
      <w:r w:rsidR="006777A4" w:rsidRP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Accessed 29 Nov. 2023</w:t>
      </w:r>
      <w:r w:rsidR="006777A4" w:rsidRP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 </w:t>
      </w:r>
    </w:p>
    <w:p w14:paraId="6C31EA03" w14:textId="77777777" w:rsidR="00C34AD0" w:rsidRPr="0016729D" w:rsidRDefault="00C34AD0"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77EDE086" w14:textId="77777777" w:rsidR="00C34AD0" w:rsidRDefault="0016729D" w:rsidP="00C34AD0">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Tramonti, F., Giorgi, F. and Fanali, A. (2021). Systems thinking and the biopsychosocial approach: A multilevel framework for patient‐centred care. </w:t>
      </w:r>
      <w:r w:rsidRPr="0016729D">
        <w:rPr>
          <w:rFonts w:ascii="Calibri Light" w:eastAsia="Times New Roman" w:hAnsi="Calibri Light" w:cs="Calibri Light"/>
          <w:i/>
          <w:iCs/>
          <w:kern w:val="0"/>
          <w:sz w:val="24"/>
          <w:szCs w:val="24"/>
          <w:lang w:eastAsia="en-GB"/>
          <w14:ligatures w14:val="none"/>
        </w:rPr>
        <w:t>Systems Research and Behavioral Science</w:t>
      </w:r>
      <w:r w:rsidRPr="0016729D">
        <w:rPr>
          <w:rFonts w:ascii="Calibri Light" w:eastAsia="Times New Roman" w:hAnsi="Calibri Light" w:cs="Calibri Light"/>
          <w:kern w:val="0"/>
          <w:sz w:val="24"/>
          <w:szCs w:val="24"/>
          <w:lang w:eastAsia="en-GB"/>
          <w14:ligatures w14:val="none"/>
        </w:rPr>
        <w:t>, 38(2), pp.215–230.</w:t>
      </w:r>
    </w:p>
    <w:p w14:paraId="482E5E50" w14:textId="5618291B" w:rsidR="0016729D" w:rsidRPr="0016729D" w:rsidRDefault="0016729D" w:rsidP="00C34AD0">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w:t>
      </w:r>
    </w:p>
    <w:p w14:paraId="35E507D8" w14:textId="527027C2"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Tritter, J.Q. (2011). Public and patient participation in health care and health policy in the United Kingdom. </w:t>
      </w:r>
      <w:r w:rsidRPr="0016729D">
        <w:rPr>
          <w:rFonts w:ascii="Calibri Light" w:eastAsia="Times New Roman" w:hAnsi="Calibri Light" w:cs="Calibri Light"/>
          <w:i/>
          <w:iCs/>
          <w:kern w:val="0"/>
          <w:sz w:val="24"/>
          <w:szCs w:val="24"/>
          <w:lang w:eastAsia="en-GB"/>
          <w14:ligatures w14:val="none"/>
        </w:rPr>
        <w:t>Health Expectations</w:t>
      </w:r>
      <w:r w:rsidRPr="0016729D">
        <w:rPr>
          <w:rFonts w:ascii="Calibri Light" w:eastAsia="Times New Roman" w:hAnsi="Calibri Light" w:cs="Calibri Light"/>
          <w:kern w:val="0"/>
          <w:sz w:val="24"/>
          <w:szCs w:val="24"/>
          <w:lang w:eastAsia="en-GB"/>
          <w14:ligatures w14:val="none"/>
        </w:rPr>
        <w:t>, 14(2), pp.220–223</w:t>
      </w:r>
    </w:p>
    <w:p w14:paraId="464FFF6F" w14:textId="77777777" w:rsidR="00C34AD0" w:rsidRPr="0016729D" w:rsidRDefault="00C34AD0"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2E6AA8B6" w14:textId="5D14465A" w:rsidR="0016729D" w:rsidRPr="006777A4"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United Nations (2015). </w:t>
      </w:r>
      <w:r w:rsidRPr="0016729D">
        <w:rPr>
          <w:rFonts w:ascii="Calibri Light" w:eastAsia="Times New Roman" w:hAnsi="Calibri Light" w:cs="Calibri Light"/>
          <w:i/>
          <w:iCs/>
          <w:kern w:val="0"/>
          <w:sz w:val="24"/>
          <w:szCs w:val="24"/>
          <w:lang w:eastAsia="en-GB"/>
          <w14:ligatures w14:val="none"/>
        </w:rPr>
        <w:t>Post 2015 process .:. Sustainable Development Knowledge Platform</w:t>
      </w:r>
      <w:r w:rsidRPr="0016729D">
        <w:rPr>
          <w:rFonts w:ascii="Calibri Light" w:eastAsia="Times New Roman" w:hAnsi="Calibri Light" w:cs="Calibri Light"/>
          <w:kern w:val="0"/>
          <w:sz w:val="24"/>
          <w:szCs w:val="24"/>
          <w:lang w:eastAsia="en-GB"/>
          <w14:ligatures w14:val="none"/>
        </w:rPr>
        <w:t xml:space="preserve">. [online] Un.org. </w:t>
      </w:r>
      <w:r w:rsidRPr="006777A4">
        <w:rPr>
          <w:rFonts w:ascii="Calibri Light" w:eastAsia="Times New Roman" w:hAnsi="Calibri Light" w:cs="Calibri Light"/>
          <w:kern w:val="0"/>
          <w:sz w:val="24"/>
          <w:szCs w:val="24"/>
          <w:lang w:eastAsia="en-GB"/>
          <w14:ligatures w14:val="none"/>
        </w:rPr>
        <w:t xml:space="preserve">Available at: https://sustainabledevelopment.un.org/post2015 </w:t>
      </w:r>
      <w:r w:rsidR="006777A4" w:rsidRP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Accessed 28 Nov. 2023</w:t>
      </w:r>
      <w:r w:rsidR="006777A4" w:rsidRPr="006777A4">
        <w:rPr>
          <w:rFonts w:ascii="Calibri Light" w:eastAsia="Times New Roman" w:hAnsi="Calibri Light" w:cs="Calibri Light"/>
          <w:kern w:val="0"/>
          <w:sz w:val="24"/>
          <w:szCs w:val="24"/>
          <w:lang w:eastAsia="en-GB"/>
          <w14:ligatures w14:val="none"/>
        </w:rPr>
        <w:t>)</w:t>
      </w:r>
      <w:r w:rsidRPr="006777A4">
        <w:rPr>
          <w:rFonts w:ascii="Calibri Light" w:eastAsia="Times New Roman" w:hAnsi="Calibri Light" w:cs="Calibri Light"/>
          <w:kern w:val="0"/>
          <w:sz w:val="24"/>
          <w:szCs w:val="24"/>
          <w:lang w:eastAsia="en-GB"/>
          <w14:ligatures w14:val="none"/>
        </w:rPr>
        <w:t>. </w:t>
      </w:r>
    </w:p>
    <w:p w14:paraId="59C4E59E" w14:textId="77777777" w:rsidR="00C34AD0" w:rsidRPr="0016729D" w:rsidRDefault="00C34AD0"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CD70D48"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Webber, D.E., Guo, Z. and Mann, S. (2015). THE RESPONSIBILITIES OF THE HEALTHY: A ‘MANIFESTO’ FOR SELF-CARE. </w:t>
      </w:r>
      <w:r w:rsidRPr="0016729D">
        <w:rPr>
          <w:rFonts w:ascii="Calibri Light" w:eastAsia="Times New Roman" w:hAnsi="Calibri Light" w:cs="Calibri Light"/>
          <w:i/>
          <w:iCs/>
          <w:kern w:val="0"/>
          <w:sz w:val="24"/>
          <w:szCs w:val="24"/>
          <w:lang w:eastAsia="en-GB"/>
          <w14:ligatures w14:val="none"/>
        </w:rPr>
        <w:t>SelfCare Journal</w:t>
      </w:r>
      <w:r w:rsidRPr="0016729D">
        <w:rPr>
          <w:rFonts w:ascii="Calibri Light" w:eastAsia="Times New Roman" w:hAnsi="Calibri Light" w:cs="Calibri Light"/>
          <w:kern w:val="0"/>
          <w:sz w:val="24"/>
          <w:szCs w:val="24"/>
          <w:lang w:eastAsia="en-GB"/>
          <w14:ligatures w14:val="none"/>
        </w:rPr>
        <w:t>. </w:t>
      </w:r>
    </w:p>
    <w:p w14:paraId="07300E5B"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712561B7" w14:textId="3EE0FD7E"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(2015). </w:t>
      </w:r>
      <w:r w:rsidRPr="0016729D">
        <w:rPr>
          <w:rFonts w:ascii="Calibri Light" w:eastAsia="Times New Roman" w:hAnsi="Calibri Light" w:cs="Calibri Light"/>
          <w:i/>
          <w:iCs/>
          <w:kern w:val="0"/>
          <w:sz w:val="24"/>
          <w:szCs w:val="24"/>
          <w:lang w:eastAsia="en-GB"/>
          <w14:ligatures w14:val="none"/>
        </w:rPr>
        <w:t>Well-being of Future Generations (Wales) Act 2015</w:t>
      </w:r>
      <w:r w:rsidRPr="0016729D">
        <w:rPr>
          <w:rFonts w:ascii="Calibri Light" w:eastAsia="Times New Roman" w:hAnsi="Calibri Light" w:cs="Calibri Light"/>
          <w:kern w:val="0"/>
          <w:sz w:val="24"/>
          <w:szCs w:val="24"/>
          <w:lang w:eastAsia="en-GB"/>
          <w14:ligatures w14:val="none"/>
        </w:rPr>
        <w:t xml:space="preserve">. </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online</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xml:space="preserve"> Legislation.gov.uk. Available at: </w:t>
      </w:r>
      <w:r w:rsidRPr="006777A4">
        <w:rPr>
          <w:rFonts w:ascii="Calibri Light" w:eastAsia="Times New Roman" w:hAnsi="Calibri Light" w:cs="Calibri Light"/>
          <w:kern w:val="0"/>
          <w:sz w:val="24"/>
          <w:szCs w:val="24"/>
          <w:lang w:eastAsia="en-GB"/>
          <w14:ligatures w14:val="none"/>
        </w:rPr>
        <w:t xml:space="preserve">https://www.legislation.gov.uk/anaw/2015/2/contents/enacted </w:t>
      </w:r>
      <w:r w:rsidR="006777A4" w:rsidRP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Accessed 9 Dec. 2023</w:t>
      </w:r>
      <w:r w:rsidR="006777A4">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w:t>
      </w:r>
    </w:p>
    <w:p w14:paraId="6F4AE122"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2228C29"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(2018). </w:t>
      </w:r>
      <w:r w:rsidRPr="0016729D">
        <w:rPr>
          <w:rFonts w:ascii="Calibri Light" w:eastAsia="Times New Roman" w:hAnsi="Calibri Light" w:cs="Calibri Light"/>
          <w:i/>
          <w:iCs/>
          <w:kern w:val="0"/>
          <w:sz w:val="24"/>
          <w:szCs w:val="24"/>
          <w:lang w:eastAsia="en-GB"/>
          <w14:ligatures w14:val="none"/>
        </w:rPr>
        <w:t>A Healthier Wales: our Plan for Health and Social Care</w:t>
      </w:r>
      <w:r w:rsidRPr="0016729D">
        <w:rPr>
          <w:rFonts w:ascii="Calibri Light" w:eastAsia="Times New Roman" w:hAnsi="Calibri Light" w:cs="Calibri Light"/>
          <w:kern w:val="0"/>
          <w:sz w:val="24"/>
          <w:szCs w:val="24"/>
          <w:lang w:eastAsia="en-GB"/>
          <w14:ligatures w14:val="none"/>
        </w:rPr>
        <w:t>. </w:t>
      </w:r>
    </w:p>
    <w:p w14:paraId="29E19243"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267E347"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(2019). </w:t>
      </w:r>
      <w:r w:rsidRPr="0016729D">
        <w:rPr>
          <w:rFonts w:ascii="Calibri Light" w:eastAsia="Times New Roman" w:hAnsi="Calibri Light" w:cs="Calibri Light"/>
          <w:i/>
          <w:iCs/>
          <w:kern w:val="0"/>
          <w:sz w:val="24"/>
          <w:szCs w:val="24"/>
          <w:lang w:eastAsia="en-GB"/>
          <w14:ligatures w14:val="none"/>
        </w:rPr>
        <w:t>Y Cymru a Garem The Wales We Want WALES AND THE SUSTAINABLE DEVELOPMENT GOALS 2019 Supplementary Report to the United Kingdom of Great Britain and Northern Ireland Voluntary National Review of progress towards the Sustainable Development Goals 2030 Globally Responsible Prosperous Resilient Healthier More Equal Cohesive Communities Vibrant Culture and Thriving Welsh Language</w:t>
      </w:r>
      <w:r w:rsidRPr="0016729D">
        <w:rPr>
          <w:rFonts w:ascii="Calibri Light" w:eastAsia="Times New Roman" w:hAnsi="Calibri Light" w:cs="Calibri Light"/>
          <w:kern w:val="0"/>
          <w:sz w:val="24"/>
          <w:szCs w:val="24"/>
          <w:lang w:eastAsia="en-GB"/>
          <w14:ligatures w14:val="none"/>
        </w:rPr>
        <w:t>. </w:t>
      </w:r>
    </w:p>
    <w:p w14:paraId="41F463D1" w14:textId="77777777" w:rsidR="000427E4" w:rsidRPr="0016729D" w:rsidRDefault="000427E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2686E13A" w14:textId="77777777"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(2021). </w:t>
      </w:r>
      <w:r w:rsidRPr="0016729D">
        <w:rPr>
          <w:rFonts w:ascii="Calibri Light" w:eastAsia="Times New Roman" w:hAnsi="Calibri Light" w:cs="Calibri Light"/>
          <w:i/>
          <w:iCs/>
          <w:kern w:val="0"/>
          <w:sz w:val="24"/>
          <w:szCs w:val="24"/>
          <w:lang w:eastAsia="en-GB"/>
          <w14:ligatures w14:val="none"/>
        </w:rPr>
        <w:t>Well-being of Future Generations (Wales) Act 2015 Essentials Guide</w:t>
      </w:r>
      <w:r w:rsidRPr="0016729D">
        <w:rPr>
          <w:rFonts w:ascii="Calibri Light" w:eastAsia="Times New Roman" w:hAnsi="Calibri Light" w:cs="Calibri Light"/>
          <w:kern w:val="0"/>
          <w:sz w:val="24"/>
          <w:szCs w:val="24"/>
          <w:lang w:eastAsia="en-GB"/>
          <w14:ligatures w14:val="none"/>
        </w:rPr>
        <w:t>. </w:t>
      </w:r>
    </w:p>
    <w:p w14:paraId="2EBDE7EE"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1F7B3E05" w14:textId="4CBAB4B5"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(2022a). </w:t>
      </w:r>
      <w:r w:rsidRPr="0016729D">
        <w:rPr>
          <w:rFonts w:ascii="Calibri Light" w:eastAsia="Times New Roman" w:hAnsi="Calibri Light" w:cs="Calibri Light"/>
          <w:i/>
          <w:iCs/>
          <w:kern w:val="0"/>
          <w:sz w:val="24"/>
          <w:szCs w:val="24"/>
          <w:lang w:eastAsia="en-GB"/>
          <w14:ligatures w14:val="none"/>
        </w:rPr>
        <w:t xml:space="preserve">National indicators and national milestones for Wales [HTML] | </w:t>
      </w:r>
      <w:r w:rsidRPr="00FC39F6">
        <w:rPr>
          <w:rFonts w:ascii="Calibri Light" w:eastAsia="Times New Roman" w:hAnsi="Calibri Light" w:cs="Calibri Light"/>
          <w:i/>
          <w:iCs/>
          <w:kern w:val="0"/>
          <w:sz w:val="24"/>
          <w:szCs w:val="24"/>
          <w:lang w:eastAsia="en-GB"/>
          <w14:ligatures w14:val="none"/>
        </w:rPr>
        <w:t>GOV.WALES</w:t>
      </w:r>
      <w:r w:rsidRPr="00FC39F6">
        <w:rPr>
          <w:rFonts w:ascii="Calibri Light" w:eastAsia="Times New Roman" w:hAnsi="Calibri Light" w:cs="Calibri Light"/>
          <w:kern w:val="0"/>
          <w:sz w:val="24"/>
          <w:szCs w:val="24"/>
          <w:lang w:eastAsia="en-GB"/>
          <w14:ligatures w14:val="none"/>
        </w:rPr>
        <w:t xml:space="preserve">. </w:t>
      </w:r>
      <w:r w:rsidR="00FC39F6">
        <w:rPr>
          <w:rFonts w:ascii="Calibri Light" w:eastAsia="Times New Roman" w:hAnsi="Calibri Light" w:cs="Calibri Light"/>
          <w:kern w:val="0"/>
          <w:sz w:val="24"/>
          <w:szCs w:val="24"/>
          <w:lang w:eastAsia="en-GB"/>
          <w14:ligatures w14:val="none"/>
        </w:rPr>
        <w:t>(</w:t>
      </w:r>
      <w:r w:rsidRPr="00FC39F6">
        <w:rPr>
          <w:rFonts w:ascii="Calibri Light" w:eastAsia="Times New Roman" w:hAnsi="Calibri Light" w:cs="Calibri Light"/>
          <w:kern w:val="0"/>
          <w:sz w:val="24"/>
          <w:szCs w:val="24"/>
          <w:lang w:eastAsia="en-GB"/>
          <w14:ligatures w14:val="none"/>
        </w:rPr>
        <w:t>online</w:t>
      </w:r>
      <w:r w:rsidR="00FC39F6">
        <w:rPr>
          <w:rFonts w:ascii="Calibri Light" w:eastAsia="Times New Roman" w:hAnsi="Calibri Light" w:cs="Calibri Light"/>
          <w:kern w:val="0"/>
          <w:sz w:val="24"/>
          <w:szCs w:val="24"/>
          <w:lang w:eastAsia="en-GB"/>
          <w14:ligatures w14:val="none"/>
        </w:rPr>
        <w:t>)</w:t>
      </w:r>
      <w:r w:rsidRPr="00FC39F6">
        <w:rPr>
          <w:rFonts w:ascii="Calibri Light" w:eastAsia="Times New Roman" w:hAnsi="Calibri Light" w:cs="Calibri Light"/>
          <w:kern w:val="0"/>
          <w:sz w:val="24"/>
          <w:szCs w:val="24"/>
          <w:lang w:eastAsia="en-GB"/>
          <w14:ligatures w14:val="none"/>
        </w:rPr>
        <w:t xml:space="preserve"> www.gov.wales. Available at: </w:t>
      </w:r>
      <w:hyperlink r:id="rId19" w:tgtFrame="_blank" w:history="1">
        <w:r w:rsidRPr="00FC39F6">
          <w:rPr>
            <w:rFonts w:ascii="Calibri Light" w:eastAsia="Times New Roman" w:hAnsi="Calibri Light" w:cs="Calibri Light"/>
            <w:kern w:val="0"/>
            <w:sz w:val="24"/>
            <w:szCs w:val="24"/>
            <w:lang w:eastAsia="en-GB"/>
            <w14:ligatures w14:val="none"/>
          </w:rPr>
          <w:t>https://www.gov.wales/well-being-future-generations-national-indicators-2021-html</w:t>
        </w:r>
      </w:hyperlink>
      <w:r w:rsidRPr="00FC39F6">
        <w:rPr>
          <w:rFonts w:ascii="Calibri Light" w:eastAsia="Times New Roman" w:hAnsi="Calibri Light" w:cs="Calibri Light"/>
          <w:kern w:val="0"/>
          <w:sz w:val="24"/>
          <w:szCs w:val="24"/>
          <w:lang w:eastAsia="en-GB"/>
          <w14:ligatures w14:val="none"/>
        </w:rPr>
        <w:t xml:space="preserve"> </w:t>
      </w:r>
      <w:r w:rsidR="00FC39F6">
        <w:rPr>
          <w:rFonts w:ascii="Calibri Light" w:eastAsia="Times New Roman" w:hAnsi="Calibri Light" w:cs="Calibri Light"/>
          <w:kern w:val="0"/>
          <w:sz w:val="24"/>
          <w:szCs w:val="24"/>
          <w:lang w:eastAsia="en-GB"/>
          <w14:ligatures w14:val="none"/>
        </w:rPr>
        <w:t>(</w:t>
      </w:r>
      <w:r w:rsidRPr="00FC39F6">
        <w:rPr>
          <w:rFonts w:ascii="Calibri Light" w:eastAsia="Times New Roman" w:hAnsi="Calibri Light" w:cs="Calibri Light"/>
          <w:kern w:val="0"/>
          <w:sz w:val="24"/>
          <w:szCs w:val="24"/>
          <w:lang w:eastAsia="en-GB"/>
          <w14:ligatures w14:val="none"/>
        </w:rPr>
        <w:t>Accessed 9 Dec. 2023</w:t>
      </w:r>
      <w:r w:rsidR="00FC39F6">
        <w:rPr>
          <w:rFonts w:ascii="Calibri Light" w:eastAsia="Times New Roman" w:hAnsi="Calibri Light" w:cs="Calibri Light"/>
          <w:kern w:val="0"/>
          <w:sz w:val="24"/>
          <w:szCs w:val="24"/>
          <w:lang w:eastAsia="en-GB"/>
          <w14:ligatures w14:val="none"/>
        </w:rPr>
        <w:t>)</w:t>
      </w:r>
      <w:r w:rsidRPr="00FC39F6">
        <w:rPr>
          <w:rFonts w:ascii="Calibri Light" w:eastAsia="Times New Roman" w:hAnsi="Calibri Light" w:cs="Calibri Light"/>
          <w:kern w:val="0"/>
          <w:sz w:val="24"/>
          <w:szCs w:val="24"/>
          <w:lang w:eastAsia="en-GB"/>
          <w14:ligatures w14:val="none"/>
        </w:rPr>
        <w:t>. </w:t>
      </w:r>
    </w:p>
    <w:p w14:paraId="6E35174F"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56071863" w14:textId="213E037D"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6729D">
        <w:rPr>
          <w:rFonts w:ascii="Calibri Light" w:eastAsia="Times New Roman" w:hAnsi="Calibri Light" w:cs="Calibri Light"/>
          <w:kern w:val="0"/>
          <w:sz w:val="24"/>
          <w:szCs w:val="24"/>
          <w:lang w:eastAsia="en-GB"/>
          <w14:ligatures w14:val="none"/>
        </w:rPr>
        <w:t xml:space="preserve">Welsh Government (2022b). </w:t>
      </w:r>
      <w:r w:rsidRPr="0016729D">
        <w:rPr>
          <w:rFonts w:ascii="Calibri Light" w:eastAsia="Times New Roman" w:hAnsi="Calibri Light" w:cs="Calibri Light"/>
          <w:i/>
          <w:iCs/>
          <w:kern w:val="0"/>
          <w:sz w:val="24"/>
          <w:szCs w:val="24"/>
          <w:lang w:eastAsia="en-GB"/>
          <w14:ligatures w14:val="none"/>
        </w:rPr>
        <w:t>Wellbeing of Wales: national indicators</w:t>
      </w:r>
      <w:r w:rsidRPr="0016729D">
        <w:rPr>
          <w:rFonts w:ascii="Calibri Light" w:eastAsia="Times New Roman" w:hAnsi="Calibri Light" w:cs="Calibri Light"/>
          <w:kern w:val="0"/>
          <w:sz w:val="24"/>
          <w:szCs w:val="24"/>
          <w:lang w:eastAsia="en-GB"/>
          <w14:ligatures w14:val="none"/>
        </w:rPr>
        <w:t xml:space="preserve">. </w:t>
      </w:r>
      <w:r w:rsidR="00172343">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online</w:t>
      </w:r>
      <w:r w:rsidR="00172343">
        <w:rPr>
          <w:rFonts w:ascii="Calibri Light" w:eastAsia="Times New Roman" w:hAnsi="Calibri Light" w:cs="Calibri Light"/>
          <w:kern w:val="0"/>
          <w:sz w:val="24"/>
          <w:szCs w:val="24"/>
          <w:lang w:eastAsia="en-GB"/>
          <w14:ligatures w14:val="none"/>
        </w:rPr>
        <w:t xml:space="preserve">) </w:t>
      </w:r>
      <w:r w:rsidRPr="0016729D">
        <w:rPr>
          <w:rFonts w:ascii="Calibri Light" w:eastAsia="Times New Roman" w:hAnsi="Calibri Light" w:cs="Calibri Light"/>
          <w:kern w:val="0"/>
          <w:sz w:val="24"/>
          <w:szCs w:val="24"/>
          <w:lang w:eastAsia="en-GB"/>
          <w14:ligatures w14:val="none"/>
        </w:rPr>
        <w:t xml:space="preserve">GOV.WALES. Available </w:t>
      </w:r>
      <w:r w:rsidRPr="00172343">
        <w:rPr>
          <w:rFonts w:ascii="Calibri Light" w:eastAsia="Times New Roman" w:hAnsi="Calibri Light" w:cs="Calibri Light"/>
          <w:kern w:val="0"/>
          <w:sz w:val="24"/>
          <w:szCs w:val="24"/>
          <w:lang w:eastAsia="en-GB"/>
          <w14:ligatures w14:val="none"/>
        </w:rPr>
        <w:t xml:space="preserve">at: </w:t>
      </w:r>
      <w:r w:rsidR="00172343" w:rsidRPr="00172343">
        <w:rPr>
          <w:rFonts w:ascii="Calibri Light" w:eastAsia="Times New Roman" w:hAnsi="Calibri Light" w:cs="Calibri Light"/>
          <w:kern w:val="0"/>
          <w:sz w:val="24"/>
          <w:szCs w:val="24"/>
          <w:lang w:eastAsia="en-GB"/>
          <w14:ligatures w14:val="none"/>
        </w:rPr>
        <w:t>https://www.gov.wales/wellbeing-wales-national-indicators (Acessed 9 Dec 2023).</w:t>
      </w:r>
    </w:p>
    <w:p w14:paraId="00F492AC" w14:textId="77777777" w:rsidR="00476554" w:rsidRPr="00172343"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693F6E3F" w14:textId="66F88755"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72343">
        <w:rPr>
          <w:rFonts w:ascii="Calibri Light" w:eastAsia="Times New Roman" w:hAnsi="Calibri Light" w:cs="Calibri Light"/>
          <w:kern w:val="0"/>
          <w:sz w:val="24"/>
          <w:szCs w:val="24"/>
          <w:lang w:eastAsia="en-GB"/>
          <w14:ligatures w14:val="none"/>
        </w:rPr>
        <w:t xml:space="preserve">Welsh Government (2023a). </w:t>
      </w:r>
      <w:r w:rsidRPr="00172343">
        <w:rPr>
          <w:rFonts w:ascii="Calibri Light" w:eastAsia="Times New Roman" w:hAnsi="Calibri Light" w:cs="Calibri Light"/>
          <w:i/>
          <w:iCs/>
          <w:kern w:val="0"/>
          <w:sz w:val="24"/>
          <w:szCs w:val="24"/>
          <w:lang w:eastAsia="en-GB"/>
          <w14:ligatures w14:val="none"/>
        </w:rPr>
        <w:t>The Well-being of Future Generations</w:t>
      </w:r>
      <w:r w:rsidRPr="00172343">
        <w:rPr>
          <w:rFonts w:ascii="Calibri Light" w:eastAsia="Times New Roman" w:hAnsi="Calibri Light" w:cs="Calibri Light"/>
          <w:kern w:val="0"/>
          <w:sz w:val="24"/>
          <w:szCs w:val="24"/>
          <w:lang w:eastAsia="en-GB"/>
          <w14:ligatures w14:val="none"/>
        </w:rPr>
        <w:t xml:space="preserve">. </w:t>
      </w:r>
      <w:r w:rsid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online</w:t>
      </w:r>
      <w:r w:rsid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xml:space="preserve"> GOV.WALES. Available at: https://www.gov.wales/well-being-of-future-generations-wales </w:t>
      </w:r>
      <w:r w:rsid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xml:space="preserve">Accessed </w:t>
      </w:r>
      <w:r w:rsidRPr="0016729D">
        <w:rPr>
          <w:rFonts w:ascii="Calibri Light" w:eastAsia="Times New Roman" w:hAnsi="Calibri Light" w:cs="Calibri Light"/>
          <w:kern w:val="0"/>
          <w:sz w:val="24"/>
          <w:szCs w:val="24"/>
          <w:lang w:eastAsia="en-GB"/>
          <w14:ligatures w14:val="none"/>
        </w:rPr>
        <w:t>29 Nov. 2023</w:t>
      </w:r>
      <w:r w:rsidR="00172343">
        <w:rPr>
          <w:rFonts w:ascii="Calibri Light" w:eastAsia="Times New Roman" w:hAnsi="Calibri Light" w:cs="Calibri Light"/>
          <w:kern w:val="0"/>
          <w:sz w:val="24"/>
          <w:szCs w:val="24"/>
          <w:lang w:eastAsia="en-GB"/>
          <w14:ligatures w14:val="none"/>
        </w:rPr>
        <w:t>)</w:t>
      </w:r>
      <w:r w:rsidRPr="0016729D">
        <w:rPr>
          <w:rFonts w:ascii="Calibri Light" w:eastAsia="Times New Roman" w:hAnsi="Calibri Light" w:cs="Calibri Light"/>
          <w:kern w:val="0"/>
          <w:sz w:val="24"/>
          <w:szCs w:val="24"/>
          <w:lang w:eastAsia="en-GB"/>
          <w14:ligatures w14:val="none"/>
        </w:rPr>
        <w:t>. </w:t>
      </w:r>
    </w:p>
    <w:p w14:paraId="6CC9DC57" w14:textId="77777777" w:rsidR="00476554" w:rsidRPr="0016729D"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1755063" w14:textId="76A51517" w:rsidR="0016729D" w:rsidRPr="00172343"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72343">
        <w:rPr>
          <w:rFonts w:ascii="Calibri Light" w:eastAsia="Times New Roman" w:hAnsi="Calibri Light" w:cs="Calibri Light"/>
          <w:kern w:val="0"/>
          <w:sz w:val="24"/>
          <w:szCs w:val="24"/>
          <w:lang w:eastAsia="en-GB"/>
          <w14:ligatures w14:val="none"/>
        </w:rPr>
        <w:t xml:space="preserve">Welsh Government (2023b). </w:t>
      </w:r>
      <w:r w:rsidRPr="00172343">
        <w:rPr>
          <w:rFonts w:ascii="Calibri Light" w:eastAsia="Times New Roman" w:hAnsi="Calibri Light" w:cs="Calibri Light"/>
          <w:i/>
          <w:iCs/>
          <w:kern w:val="0"/>
          <w:sz w:val="24"/>
          <w:szCs w:val="24"/>
          <w:lang w:eastAsia="en-GB"/>
          <w14:ligatures w14:val="none"/>
        </w:rPr>
        <w:t>Wellbeing of Wales: 2023 | GOV.WALES</w:t>
      </w:r>
      <w:r w:rsidRPr="00172343">
        <w:rPr>
          <w:rFonts w:ascii="Calibri Light" w:eastAsia="Times New Roman" w:hAnsi="Calibri Light" w:cs="Calibri Light"/>
          <w:kern w:val="0"/>
          <w:sz w:val="24"/>
          <w:szCs w:val="24"/>
          <w:lang w:eastAsia="en-GB"/>
          <w14:ligatures w14:val="none"/>
        </w:rPr>
        <w:t xml:space="preserve">. </w:t>
      </w:r>
      <w:r w:rsidR="00172343" w:rsidRP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online</w:t>
      </w:r>
      <w:r w:rsidR="00172343" w:rsidRPr="00172343">
        <w:rPr>
          <w:rFonts w:ascii="Calibri Light" w:eastAsia="Times New Roman" w:hAnsi="Calibri Light" w:cs="Calibri Light"/>
          <w:kern w:val="0"/>
          <w:sz w:val="24"/>
          <w:szCs w:val="24"/>
          <w:lang w:eastAsia="en-GB"/>
          <w14:ligatures w14:val="none"/>
        </w:rPr>
        <w:t xml:space="preserve">) </w:t>
      </w:r>
      <w:hyperlink r:id="rId20" w:history="1">
        <w:r w:rsidR="00172343" w:rsidRPr="00172343">
          <w:rPr>
            <w:rStyle w:val="Hyperlink"/>
            <w:rFonts w:ascii="Calibri Light" w:eastAsia="Times New Roman" w:hAnsi="Calibri Light" w:cs="Calibri Light"/>
            <w:color w:val="auto"/>
            <w:kern w:val="0"/>
            <w:sz w:val="24"/>
            <w:szCs w:val="24"/>
            <w:u w:val="none"/>
            <w:lang w:eastAsia="en-GB"/>
            <w14:ligatures w14:val="none"/>
          </w:rPr>
          <w:t>www.gov.wales</w:t>
        </w:r>
      </w:hyperlink>
      <w:r w:rsidRPr="00172343">
        <w:rPr>
          <w:rFonts w:ascii="Calibri Light" w:eastAsia="Times New Roman" w:hAnsi="Calibri Light" w:cs="Calibri Light"/>
          <w:kern w:val="0"/>
          <w:sz w:val="24"/>
          <w:szCs w:val="24"/>
          <w:lang w:eastAsia="en-GB"/>
          <w14:ligatures w14:val="none"/>
        </w:rPr>
        <w:t xml:space="preserve">. Available at: </w:t>
      </w:r>
      <w:hyperlink r:id="rId21" w:tgtFrame="_blank" w:history="1">
        <w:r w:rsidRPr="00172343">
          <w:rPr>
            <w:rFonts w:ascii="Calibri Light" w:eastAsia="Times New Roman" w:hAnsi="Calibri Light" w:cs="Calibri Light"/>
            <w:kern w:val="0"/>
            <w:sz w:val="24"/>
            <w:szCs w:val="24"/>
            <w:lang w:eastAsia="en-GB"/>
            <w14:ligatures w14:val="none"/>
          </w:rPr>
          <w:t>https://www.gov.wales/wellbeing-wales-2023</w:t>
        </w:r>
      </w:hyperlink>
      <w:r w:rsidRPr="00172343">
        <w:rPr>
          <w:rFonts w:ascii="Calibri Light" w:eastAsia="Times New Roman" w:hAnsi="Calibri Light" w:cs="Calibri Light"/>
          <w:kern w:val="0"/>
          <w:sz w:val="24"/>
          <w:szCs w:val="24"/>
          <w:lang w:eastAsia="en-GB"/>
          <w14:ligatures w14:val="none"/>
        </w:rPr>
        <w:t xml:space="preserve"> </w:t>
      </w:r>
      <w:r w:rsidR="00172343" w:rsidRP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Accessed 27 Nov. 2023</w:t>
      </w:r>
      <w:r w:rsidR="00172343" w:rsidRPr="00172343">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w:t>
      </w:r>
    </w:p>
    <w:p w14:paraId="62744AE6" w14:textId="77777777" w:rsidR="00476554" w:rsidRPr="00172343" w:rsidRDefault="00476554"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4C99B636" w14:textId="71497C7E" w:rsidR="0016729D" w:rsidRDefault="0016729D" w:rsidP="0016729D">
      <w:pPr>
        <w:spacing w:after="0" w:line="240" w:lineRule="auto"/>
        <w:ind w:left="-30" w:right="-30"/>
        <w:textAlignment w:val="baseline"/>
        <w:rPr>
          <w:rFonts w:ascii="Calibri Light" w:eastAsia="Times New Roman" w:hAnsi="Calibri Light" w:cs="Calibri Light"/>
          <w:kern w:val="0"/>
          <w:sz w:val="24"/>
          <w:szCs w:val="24"/>
          <w:lang w:eastAsia="en-GB"/>
          <w14:ligatures w14:val="none"/>
        </w:rPr>
      </w:pPr>
      <w:r w:rsidRPr="00172343">
        <w:rPr>
          <w:rFonts w:ascii="Calibri Light" w:eastAsia="Times New Roman" w:hAnsi="Calibri Light" w:cs="Calibri Light"/>
          <w:kern w:val="0"/>
          <w:sz w:val="24"/>
          <w:szCs w:val="24"/>
          <w:lang w:eastAsia="en-GB"/>
          <w14:ligatures w14:val="none"/>
        </w:rPr>
        <w:t xml:space="preserve">Welsh Parliament (2014). </w:t>
      </w:r>
      <w:r w:rsidRPr="00172343">
        <w:rPr>
          <w:rFonts w:ascii="Calibri Light" w:eastAsia="Times New Roman" w:hAnsi="Calibri Light" w:cs="Calibri Light"/>
          <w:i/>
          <w:iCs/>
          <w:kern w:val="0"/>
          <w:sz w:val="24"/>
          <w:szCs w:val="24"/>
          <w:lang w:eastAsia="en-GB"/>
          <w14:ligatures w14:val="none"/>
        </w:rPr>
        <w:t>New healthy eating policy in schools thanks to Assembly back-bencher</w:t>
      </w:r>
      <w:r w:rsidRPr="00172343">
        <w:rPr>
          <w:rFonts w:ascii="Calibri Light" w:eastAsia="Times New Roman" w:hAnsi="Calibri Light" w:cs="Calibri Light"/>
          <w:kern w:val="0"/>
          <w:sz w:val="24"/>
          <w:szCs w:val="24"/>
          <w:lang w:eastAsia="en-GB"/>
          <w14:ligatures w14:val="none"/>
        </w:rPr>
        <w:t xml:space="preserve">. </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online</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xml:space="preserve"> senedd.wales. Available at: </w:t>
      </w:r>
      <w:hyperlink r:id="rId22" w:tgtFrame="_blank" w:history="1">
        <w:r w:rsidRPr="00172343">
          <w:rPr>
            <w:rFonts w:ascii="Calibri Light" w:eastAsia="Times New Roman" w:hAnsi="Calibri Light" w:cs="Calibri Light"/>
            <w:kern w:val="0"/>
            <w:sz w:val="24"/>
            <w:szCs w:val="24"/>
            <w:lang w:eastAsia="en-GB"/>
            <w14:ligatures w14:val="none"/>
          </w:rPr>
          <w:t>https://senedd.wales/senedd-now/news/new-healthy-eating-policy-in-schools-thanks-to-assembly-back-bencher/</w:t>
        </w:r>
      </w:hyperlink>
      <w:r w:rsidRPr="00172343">
        <w:rPr>
          <w:rFonts w:ascii="Calibri Light" w:eastAsia="Times New Roman" w:hAnsi="Calibri Light" w:cs="Calibri Light"/>
          <w:kern w:val="0"/>
          <w:sz w:val="24"/>
          <w:szCs w:val="24"/>
          <w:lang w:eastAsia="en-GB"/>
          <w14:ligatures w14:val="none"/>
        </w:rPr>
        <w:t xml:space="preserve"> </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Accessed 6 Dec. 2023</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w:t>
      </w:r>
    </w:p>
    <w:p w14:paraId="6EA8612E" w14:textId="77777777" w:rsidR="000B2EF9" w:rsidRPr="00172343" w:rsidRDefault="000B2EF9"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3FF02410" w14:textId="03143D79" w:rsidR="0016729D" w:rsidRPr="00172343" w:rsidRDefault="0016729D" w:rsidP="0016729D">
      <w:pPr>
        <w:spacing w:after="0" w:line="240" w:lineRule="auto"/>
        <w:ind w:left="-30" w:right="-30"/>
        <w:textAlignment w:val="baseline"/>
        <w:rPr>
          <w:rFonts w:ascii="Segoe UI" w:eastAsia="Times New Roman" w:hAnsi="Segoe UI" w:cs="Segoe UI"/>
          <w:kern w:val="0"/>
          <w:sz w:val="18"/>
          <w:szCs w:val="18"/>
          <w:lang w:eastAsia="en-GB"/>
          <w14:ligatures w14:val="none"/>
        </w:rPr>
      </w:pPr>
      <w:r w:rsidRPr="00172343">
        <w:rPr>
          <w:rFonts w:ascii="Calibri Light" w:eastAsia="Times New Roman" w:hAnsi="Calibri Light" w:cs="Calibri Light"/>
          <w:kern w:val="0"/>
          <w:sz w:val="24"/>
          <w:szCs w:val="24"/>
          <w:lang w:eastAsia="en-GB"/>
          <w14:ligatures w14:val="none"/>
        </w:rPr>
        <w:t xml:space="preserve">World Health Organization (2018). </w:t>
      </w:r>
      <w:r w:rsidRPr="00172343">
        <w:rPr>
          <w:rFonts w:ascii="Calibri Light" w:eastAsia="Times New Roman" w:hAnsi="Calibri Light" w:cs="Calibri Light"/>
          <w:i/>
          <w:iCs/>
          <w:kern w:val="0"/>
          <w:sz w:val="24"/>
          <w:szCs w:val="24"/>
          <w:lang w:eastAsia="en-GB"/>
          <w14:ligatures w14:val="none"/>
        </w:rPr>
        <w:t>Millennium Development Goals (MDGs)</w:t>
      </w:r>
      <w:r w:rsidRPr="00172343">
        <w:rPr>
          <w:rFonts w:ascii="Calibri Light" w:eastAsia="Times New Roman" w:hAnsi="Calibri Light" w:cs="Calibri Light"/>
          <w:kern w:val="0"/>
          <w:sz w:val="24"/>
          <w:szCs w:val="24"/>
          <w:lang w:eastAsia="en-GB"/>
          <w14:ligatures w14:val="none"/>
        </w:rPr>
        <w:t xml:space="preserve">. </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online</w:t>
      </w:r>
      <w:r w:rsidR="000B2EF9">
        <w:rPr>
          <w:rFonts w:ascii="Calibri Light" w:eastAsia="Times New Roman" w:hAnsi="Calibri Light" w:cs="Calibri Light"/>
          <w:kern w:val="0"/>
          <w:sz w:val="24"/>
          <w:szCs w:val="24"/>
          <w:lang w:eastAsia="en-GB"/>
          <w14:ligatures w14:val="none"/>
        </w:rPr>
        <w:t xml:space="preserve">) </w:t>
      </w:r>
      <w:r w:rsidRPr="00172343">
        <w:rPr>
          <w:rFonts w:ascii="Calibri Light" w:eastAsia="Times New Roman" w:hAnsi="Calibri Light" w:cs="Calibri Light"/>
          <w:kern w:val="0"/>
          <w:sz w:val="24"/>
          <w:szCs w:val="24"/>
          <w:lang w:eastAsia="en-GB"/>
          <w14:ligatures w14:val="none"/>
        </w:rPr>
        <w:t xml:space="preserve">World Health Organization. Available at: </w:t>
      </w:r>
      <w:hyperlink r:id="rId23" w:tgtFrame="_blank" w:history="1">
        <w:r w:rsidRPr="00172343">
          <w:rPr>
            <w:rFonts w:ascii="Calibri Light" w:eastAsia="Times New Roman" w:hAnsi="Calibri Light" w:cs="Calibri Light"/>
            <w:kern w:val="0"/>
            <w:sz w:val="24"/>
            <w:szCs w:val="24"/>
            <w:lang w:eastAsia="en-GB"/>
            <w14:ligatures w14:val="none"/>
          </w:rPr>
          <w:t>https://www.who.int/news-room/fact-sheets/detail/millennium-development-goals-(mdgs</w:t>
        </w:r>
      </w:hyperlink>
      <w:r w:rsidRPr="00172343">
        <w:rPr>
          <w:rFonts w:ascii="Calibri Light" w:eastAsia="Times New Roman" w:hAnsi="Calibri Light" w:cs="Calibri Light"/>
          <w:kern w:val="0"/>
          <w:sz w:val="24"/>
          <w:szCs w:val="24"/>
          <w:lang w:eastAsia="en-GB"/>
          <w14:ligatures w14:val="none"/>
        </w:rPr>
        <w:t xml:space="preserve">) </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Accessed 28 Nov. 2023</w:t>
      </w:r>
      <w:r w:rsidR="000B2EF9">
        <w:rPr>
          <w:rFonts w:ascii="Calibri Light" w:eastAsia="Times New Roman" w:hAnsi="Calibri Light" w:cs="Calibri Light"/>
          <w:kern w:val="0"/>
          <w:sz w:val="24"/>
          <w:szCs w:val="24"/>
          <w:lang w:eastAsia="en-GB"/>
          <w14:ligatures w14:val="none"/>
        </w:rPr>
        <w:t>)</w:t>
      </w:r>
      <w:r w:rsidRPr="00172343">
        <w:rPr>
          <w:rFonts w:ascii="Calibri Light" w:eastAsia="Times New Roman" w:hAnsi="Calibri Light" w:cs="Calibri Light"/>
          <w:kern w:val="0"/>
          <w:sz w:val="24"/>
          <w:szCs w:val="24"/>
          <w:lang w:eastAsia="en-GB"/>
          <w14:ligatures w14:val="none"/>
        </w:rPr>
        <w:t>. </w:t>
      </w:r>
    </w:p>
    <w:p w14:paraId="6C4406B2" w14:textId="77777777" w:rsidR="00B05944" w:rsidRDefault="00B05944"/>
    <w:sectPr w:rsidR="00B05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50A46"/>
    <w:multiLevelType w:val="multilevel"/>
    <w:tmpl w:val="7C32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942BC4"/>
    <w:multiLevelType w:val="multilevel"/>
    <w:tmpl w:val="8488C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CBA6CA7"/>
    <w:multiLevelType w:val="multilevel"/>
    <w:tmpl w:val="472CE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D86CE6"/>
    <w:multiLevelType w:val="multilevel"/>
    <w:tmpl w:val="EA1AA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2877131">
    <w:abstractNumId w:val="0"/>
  </w:num>
  <w:num w:numId="2" w16cid:durableId="1615862073">
    <w:abstractNumId w:val="1"/>
  </w:num>
  <w:num w:numId="3" w16cid:durableId="1307930542">
    <w:abstractNumId w:val="3"/>
  </w:num>
  <w:num w:numId="4" w16cid:durableId="1471706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25F"/>
    <w:rsid w:val="000010A4"/>
    <w:rsid w:val="0000601D"/>
    <w:rsid w:val="0001190A"/>
    <w:rsid w:val="000120CF"/>
    <w:rsid w:val="0001335F"/>
    <w:rsid w:val="00013A53"/>
    <w:rsid w:val="000144A7"/>
    <w:rsid w:val="000259E9"/>
    <w:rsid w:val="0002628D"/>
    <w:rsid w:val="00026781"/>
    <w:rsid w:val="00030767"/>
    <w:rsid w:val="00034612"/>
    <w:rsid w:val="000351CC"/>
    <w:rsid w:val="00035F69"/>
    <w:rsid w:val="00037158"/>
    <w:rsid w:val="00037220"/>
    <w:rsid w:val="0003C9E8"/>
    <w:rsid w:val="00040D9F"/>
    <w:rsid w:val="00041D57"/>
    <w:rsid w:val="0004224C"/>
    <w:rsid w:val="000427E4"/>
    <w:rsid w:val="0004724C"/>
    <w:rsid w:val="00050694"/>
    <w:rsid w:val="00050FAF"/>
    <w:rsid w:val="0005281D"/>
    <w:rsid w:val="000532DD"/>
    <w:rsid w:val="0005354C"/>
    <w:rsid w:val="000556ED"/>
    <w:rsid w:val="0006198B"/>
    <w:rsid w:val="00062718"/>
    <w:rsid w:val="00062AB2"/>
    <w:rsid w:val="000632F0"/>
    <w:rsid w:val="00066AD5"/>
    <w:rsid w:val="00070B95"/>
    <w:rsid w:val="00075BB2"/>
    <w:rsid w:val="00087453"/>
    <w:rsid w:val="00087664"/>
    <w:rsid w:val="000878B5"/>
    <w:rsid w:val="000909C0"/>
    <w:rsid w:val="0009238D"/>
    <w:rsid w:val="00093EB6"/>
    <w:rsid w:val="00097DB0"/>
    <w:rsid w:val="000A3190"/>
    <w:rsid w:val="000A382D"/>
    <w:rsid w:val="000B1F9C"/>
    <w:rsid w:val="000B2EF9"/>
    <w:rsid w:val="000B5695"/>
    <w:rsid w:val="000B58C2"/>
    <w:rsid w:val="000B719B"/>
    <w:rsid w:val="000B74C8"/>
    <w:rsid w:val="000C2CCA"/>
    <w:rsid w:val="000D1C1B"/>
    <w:rsid w:val="000E11C0"/>
    <w:rsid w:val="000E2FD1"/>
    <w:rsid w:val="000E3745"/>
    <w:rsid w:val="000E4467"/>
    <w:rsid w:val="000E5B41"/>
    <w:rsid w:val="000F06C6"/>
    <w:rsid w:val="000F6433"/>
    <w:rsid w:val="0010085A"/>
    <w:rsid w:val="001044B2"/>
    <w:rsid w:val="00106EE2"/>
    <w:rsid w:val="00112970"/>
    <w:rsid w:val="0011782C"/>
    <w:rsid w:val="00122E99"/>
    <w:rsid w:val="00123B0D"/>
    <w:rsid w:val="00126782"/>
    <w:rsid w:val="001316CB"/>
    <w:rsid w:val="00131912"/>
    <w:rsid w:val="00131C94"/>
    <w:rsid w:val="00132C32"/>
    <w:rsid w:val="00132FAA"/>
    <w:rsid w:val="00135102"/>
    <w:rsid w:val="00136105"/>
    <w:rsid w:val="00141D3B"/>
    <w:rsid w:val="00143340"/>
    <w:rsid w:val="0014361F"/>
    <w:rsid w:val="001565D9"/>
    <w:rsid w:val="00157B60"/>
    <w:rsid w:val="001632E4"/>
    <w:rsid w:val="00165B6A"/>
    <w:rsid w:val="0016729D"/>
    <w:rsid w:val="00172343"/>
    <w:rsid w:val="00174168"/>
    <w:rsid w:val="00176B9A"/>
    <w:rsid w:val="00195207"/>
    <w:rsid w:val="0019619C"/>
    <w:rsid w:val="001A6022"/>
    <w:rsid w:val="001B05AB"/>
    <w:rsid w:val="001B0785"/>
    <w:rsid w:val="001B2561"/>
    <w:rsid w:val="001B506A"/>
    <w:rsid w:val="001B580B"/>
    <w:rsid w:val="001B6979"/>
    <w:rsid w:val="001C2DC6"/>
    <w:rsid w:val="001C3730"/>
    <w:rsid w:val="001C5D69"/>
    <w:rsid w:val="001C7DD9"/>
    <w:rsid w:val="001D079B"/>
    <w:rsid w:val="001D221D"/>
    <w:rsid w:val="001D32E8"/>
    <w:rsid w:val="001E763B"/>
    <w:rsid w:val="002028F3"/>
    <w:rsid w:val="00203854"/>
    <w:rsid w:val="002053A8"/>
    <w:rsid w:val="002057C3"/>
    <w:rsid w:val="0020796F"/>
    <w:rsid w:val="00210B24"/>
    <w:rsid w:val="002130DA"/>
    <w:rsid w:val="00214C78"/>
    <w:rsid w:val="0021737C"/>
    <w:rsid w:val="00221A75"/>
    <w:rsid w:val="002223B0"/>
    <w:rsid w:val="00223752"/>
    <w:rsid w:val="002301EB"/>
    <w:rsid w:val="0023189A"/>
    <w:rsid w:val="00235334"/>
    <w:rsid w:val="002368C4"/>
    <w:rsid w:val="00236A13"/>
    <w:rsid w:val="002508F8"/>
    <w:rsid w:val="00250B44"/>
    <w:rsid w:val="002548C5"/>
    <w:rsid w:val="0026151D"/>
    <w:rsid w:val="0026501F"/>
    <w:rsid w:val="00267188"/>
    <w:rsid w:val="0027027B"/>
    <w:rsid w:val="00270533"/>
    <w:rsid w:val="00275F78"/>
    <w:rsid w:val="002856A9"/>
    <w:rsid w:val="002935D2"/>
    <w:rsid w:val="00294C98"/>
    <w:rsid w:val="0029E9C0"/>
    <w:rsid w:val="002A0DE8"/>
    <w:rsid w:val="002A24A9"/>
    <w:rsid w:val="002A3323"/>
    <w:rsid w:val="002A584F"/>
    <w:rsid w:val="002B0A62"/>
    <w:rsid w:val="002B354B"/>
    <w:rsid w:val="002B6948"/>
    <w:rsid w:val="002C096A"/>
    <w:rsid w:val="002C140A"/>
    <w:rsid w:val="002C1516"/>
    <w:rsid w:val="002C79AF"/>
    <w:rsid w:val="002D2192"/>
    <w:rsid w:val="002D354C"/>
    <w:rsid w:val="002D4B4F"/>
    <w:rsid w:val="002D5C60"/>
    <w:rsid w:val="002D72EF"/>
    <w:rsid w:val="002E2621"/>
    <w:rsid w:val="002E51E8"/>
    <w:rsid w:val="002E73F9"/>
    <w:rsid w:val="002F312C"/>
    <w:rsid w:val="002F35DC"/>
    <w:rsid w:val="002F3E89"/>
    <w:rsid w:val="002F4008"/>
    <w:rsid w:val="002F653A"/>
    <w:rsid w:val="002F7690"/>
    <w:rsid w:val="00302E59"/>
    <w:rsid w:val="00314BCC"/>
    <w:rsid w:val="00317A1B"/>
    <w:rsid w:val="003200B2"/>
    <w:rsid w:val="0032421A"/>
    <w:rsid w:val="003273DA"/>
    <w:rsid w:val="00331A54"/>
    <w:rsid w:val="003322CE"/>
    <w:rsid w:val="00333674"/>
    <w:rsid w:val="00337651"/>
    <w:rsid w:val="00337ED2"/>
    <w:rsid w:val="00344868"/>
    <w:rsid w:val="00347E37"/>
    <w:rsid w:val="003513D5"/>
    <w:rsid w:val="00352348"/>
    <w:rsid w:val="00356875"/>
    <w:rsid w:val="00356B5F"/>
    <w:rsid w:val="00357108"/>
    <w:rsid w:val="003626A1"/>
    <w:rsid w:val="00365464"/>
    <w:rsid w:val="00367392"/>
    <w:rsid w:val="00370A37"/>
    <w:rsid w:val="00371D50"/>
    <w:rsid w:val="00375277"/>
    <w:rsid w:val="00385015"/>
    <w:rsid w:val="003869C6"/>
    <w:rsid w:val="003876DF"/>
    <w:rsid w:val="003906F3"/>
    <w:rsid w:val="00393EA4"/>
    <w:rsid w:val="003943AA"/>
    <w:rsid w:val="00396044"/>
    <w:rsid w:val="003962C4"/>
    <w:rsid w:val="003A404B"/>
    <w:rsid w:val="003A53FC"/>
    <w:rsid w:val="003A700C"/>
    <w:rsid w:val="003A7703"/>
    <w:rsid w:val="003B1013"/>
    <w:rsid w:val="003B240F"/>
    <w:rsid w:val="003B3EA5"/>
    <w:rsid w:val="003B43E1"/>
    <w:rsid w:val="003B6C6E"/>
    <w:rsid w:val="003C08D3"/>
    <w:rsid w:val="003C1328"/>
    <w:rsid w:val="003C1B40"/>
    <w:rsid w:val="003C2A3E"/>
    <w:rsid w:val="003E1796"/>
    <w:rsid w:val="003E4AFC"/>
    <w:rsid w:val="003E5525"/>
    <w:rsid w:val="003F3B2A"/>
    <w:rsid w:val="003F6BFF"/>
    <w:rsid w:val="003F7D38"/>
    <w:rsid w:val="00400D68"/>
    <w:rsid w:val="0040131F"/>
    <w:rsid w:val="0040306C"/>
    <w:rsid w:val="00410699"/>
    <w:rsid w:val="00410CB9"/>
    <w:rsid w:val="00411B15"/>
    <w:rsid w:val="00417731"/>
    <w:rsid w:val="00422BA8"/>
    <w:rsid w:val="00422C7C"/>
    <w:rsid w:val="00423CB4"/>
    <w:rsid w:val="00426693"/>
    <w:rsid w:val="00426A6F"/>
    <w:rsid w:val="004316EA"/>
    <w:rsid w:val="0043702B"/>
    <w:rsid w:val="00440407"/>
    <w:rsid w:val="00440861"/>
    <w:rsid w:val="00440A86"/>
    <w:rsid w:val="004420BF"/>
    <w:rsid w:val="00443546"/>
    <w:rsid w:val="00452FC2"/>
    <w:rsid w:val="004533B7"/>
    <w:rsid w:val="004535BA"/>
    <w:rsid w:val="004547C4"/>
    <w:rsid w:val="0046455A"/>
    <w:rsid w:val="0046631B"/>
    <w:rsid w:val="00476371"/>
    <w:rsid w:val="00476554"/>
    <w:rsid w:val="00477D34"/>
    <w:rsid w:val="004801A5"/>
    <w:rsid w:val="0048265C"/>
    <w:rsid w:val="00482DCF"/>
    <w:rsid w:val="00490569"/>
    <w:rsid w:val="00492A9F"/>
    <w:rsid w:val="00495D28"/>
    <w:rsid w:val="004A032F"/>
    <w:rsid w:val="004A3130"/>
    <w:rsid w:val="004B4447"/>
    <w:rsid w:val="004B5151"/>
    <w:rsid w:val="004B615D"/>
    <w:rsid w:val="004C0155"/>
    <w:rsid w:val="004C0F80"/>
    <w:rsid w:val="004C1DF4"/>
    <w:rsid w:val="004C2912"/>
    <w:rsid w:val="004C6D19"/>
    <w:rsid w:val="004C79D6"/>
    <w:rsid w:val="004D15D9"/>
    <w:rsid w:val="004D1E37"/>
    <w:rsid w:val="004D63CA"/>
    <w:rsid w:val="004D780E"/>
    <w:rsid w:val="004E079F"/>
    <w:rsid w:val="004E0C72"/>
    <w:rsid w:val="004E151B"/>
    <w:rsid w:val="004E2B92"/>
    <w:rsid w:val="004E3775"/>
    <w:rsid w:val="004F19B5"/>
    <w:rsid w:val="004F1A96"/>
    <w:rsid w:val="004F2FEF"/>
    <w:rsid w:val="00500F57"/>
    <w:rsid w:val="00500F8C"/>
    <w:rsid w:val="00501D92"/>
    <w:rsid w:val="005034C0"/>
    <w:rsid w:val="00503BEA"/>
    <w:rsid w:val="00503DF8"/>
    <w:rsid w:val="0050445D"/>
    <w:rsid w:val="00505A11"/>
    <w:rsid w:val="00506EE7"/>
    <w:rsid w:val="00507F4B"/>
    <w:rsid w:val="005115E6"/>
    <w:rsid w:val="0051171C"/>
    <w:rsid w:val="00512771"/>
    <w:rsid w:val="0051491A"/>
    <w:rsid w:val="00515F84"/>
    <w:rsid w:val="00517558"/>
    <w:rsid w:val="0051780F"/>
    <w:rsid w:val="005216B9"/>
    <w:rsid w:val="005220FC"/>
    <w:rsid w:val="00525C93"/>
    <w:rsid w:val="00527E60"/>
    <w:rsid w:val="00531E00"/>
    <w:rsid w:val="00532063"/>
    <w:rsid w:val="0053259E"/>
    <w:rsid w:val="00532912"/>
    <w:rsid w:val="00537537"/>
    <w:rsid w:val="00540B83"/>
    <w:rsid w:val="005459F0"/>
    <w:rsid w:val="00551215"/>
    <w:rsid w:val="00555109"/>
    <w:rsid w:val="005600DD"/>
    <w:rsid w:val="00561134"/>
    <w:rsid w:val="00565E90"/>
    <w:rsid w:val="005732AF"/>
    <w:rsid w:val="00573D99"/>
    <w:rsid w:val="00574980"/>
    <w:rsid w:val="00575B75"/>
    <w:rsid w:val="0058028D"/>
    <w:rsid w:val="00581329"/>
    <w:rsid w:val="00581E47"/>
    <w:rsid w:val="00582D9F"/>
    <w:rsid w:val="00584263"/>
    <w:rsid w:val="0059171A"/>
    <w:rsid w:val="00591A74"/>
    <w:rsid w:val="0059503A"/>
    <w:rsid w:val="00596AB3"/>
    <w:rsid w:val="00596D85"/>
    <w:rsid w:val="005A247E"/>
    <w:rsid w:val="005A587B"/>
    <w:rsid w:val="005A5E76"/>
    <w:rsid w:val="005A6AE6"/>
    <w:rsid w:val="005C6EEE"/>
    <w:rsid w:val="005C7BCD"/>
    <w:rsid w:val="005D0743"/>
    <w:rsid w:val="005D7468"/>
    <w:rsid w:val="005E3E74"/>
    <w:rsid w:val="005E3ED1"/>
    <w:rsid w:val="005E4B9F"/>
    <w:rsid w:val="005E5731"/>
    <w:rsid w:val="005F5CEA"/>
    <w:rsid w:val="00600199"/>
    <w:rsid w:val="00602810"/>
    <w:rsid w:val="00604356"/>
    <w:rsid w:val="00605902"/>
    <w:rsid w:val="00605ED5"/>
    <w:rsid w:val="006073BE"/>
    <w:rsid w:val="00607F99"/>
    <w:rsid w:val="00611BB4"/>
    <w:rsid w:val="006156BA"/>
    <w:rsid w:val="00617735"/>
    <w:rsid w:val="00622532"/>
    <w:rsid w:val="00622B86"/>
    <w:rsid w:val="00624128"/>
    <w:rsid w:val="00627987"/>
    <w:rsid w:val="00633281"/>
    <w:rsid w:val="006370DF"/>
    <w:rsid w:val="00642344"/>
    <w:rsid w:val="00644012"/>
    <w:rsid w:val="00647501"/>
    <w:rsid w:val="0065226B"/>
    <w:rsid w:val="006545C2"/>
    <w:rsid w:val="006608A8"/>
    <w:rsid w:val="0066317E"/>
    <w:rsid w:val="00664A29"/>
    <w:rsid w:val="00667B51"/>
    <w:rsid w:val="00675891"/>
    <w:rsid w:val="00676F3B"/>
    <w:rsid w:val="006777A4"/>
    <w:rsid w:val="0068256E"/>
    <w:rsid w:val="00685C0C"/>
    <w:rsid w:val="00687F5F"/>
    <w:rsid w:val="006922CE"/>
    <w:rsid w:val="006950C7"/>
    <w:rsid w:val="006A0961"/>
    <w:rsid w:val="006A2EFB"/>
    <w:rsid w:val="006A32BB"/>
    <w:rsid w:val="006A606E"/>
    <w:rsid w:val="006B0850"/>
    <w:rsid w:val="006B4832"/>
    <w:rsid w:val="006B6448"/>
    <w:rsid w:val="006B6A3E"/>
    <w:rsid w:val="006B6F79"/>
    <w:rsid w:val="006C092B"/>
    <w:rsid w:val="006C1CAA"/>
    <w:rsid w:val="006C3D25"/>
    <w:rsid w:val="006C5899"/>
    <w:rsid w:val="006D1180"/>
    <w:rsid w:val="006D1BA0"/>
    <w:rsid w:val="006D3237"/>
    <w:rsid w:val="006D3D4E"/>
    <w:rsid w:val="006D5410"/>
    <w:rsid w:val="006D557C"/>
    <w:rsid w:val="006D7EAE"/>
    <w:rsid w:val="006F00E5"/>
    <w:rsid w:val="006F376B"/>
    <w:rsid w:val="006F5273"/>
    <w:rsid w:val="006F62B7"/>
    <w:rsid w:val="00700266"/>
    <w:rsid w:val="00700889"/>
    <w:rsid w:val="007036D1"/>
    <w:rsid w:val="007037E0"/>
    <w:rsid w:val="0070697C"/>
    <w:rsid w:val="007121DF"/>
    <w:rsid w:val="00712BB4"/>
    <w:rsid w:val="00716095"/>
    <w:rsid w:val="00721283"/>
    <w:rsid w:val="00722973"/>
    <w:rsid w:val="0072398C"/>
    <w:rsid w:val="00724FA7"/>
    <w:rsid w:val="00725C5E"/>
    <w:rsid w:val="00726191"/>
    <w:rsid w:val="00730533"/>
    <w:rsid w:val="00732413"/>
    <w:rsid w:val="00733B9D"/>
    <w:rsid w:val="00741920"/>
    <w:rsid w:val="007449B1"/>
    <w:rsid w:val="00744CE1"/>
    <w:rsid w:val="00745E00"/>
    <w:rsid w:val="00750287"/>
    <w:rsid w:val="00750FEE"/>
    <w:rsid w:val="00753113"/>
    <w:rsid w:val="0077636E"/>
    <w:rsid w:val="007772D2"/>
    <w:rsid w:val="007774ED"/>
    <w:rsid w:val="00777B81"/>
    <w:rsid w:val="007810CF"/>
    <w:rsid w:val="00781F7B"/>
    <w:rsid w:val="00783707"/>
    <w:rsid w:val="007878F2"/>
    <w:rsid w:val="00797371"/>
    <w:rsid w:val="007A1148"/>
    <w:rsid w:val="007A792C"/>
    <w:rsid w:val="007B02CA"/>
    <w:rsid w:val="007B19D2"/>
    <w:rsid w:val="007B2C44"/>
    <w:rsid w:val="007B3729"/>
    <w:rsid w:val="007B4E8B"/>
    <w:rsid w:val="007B5439"/>
    <w:rsid w:val="007C114A"/>
    <w:rsid w:val="007C3799"/>
    <w:rsid w:val="007C402E"/>
    <w:rsid w:val="007C4464"/>
    <w:rsid w:val="007C4E6D"/>
    <w:rsid w:val="007C63AA"/>
    <w:rsid w:val="007C689A"/>
    <w:rsid w:val="007C75D5"/>
    <w:rsid w:val="007D13FA"/>
    <w:rsid w:val="007D5CC8"/>
    <w:rsid w:val="007D6267"/>
    <w:rsid w:val="007D7640"/>
    <w:rsid w:val="007E1546"/>
    <w:rsid w:val="007E4C27"/>
    <w:rsid w:val="007E5B58"/>
    <w:rsid w:val="007F1BCA"/>
    <w:rsid w:val="007F226E"/>
    <w:rsid w:val="007F2375"/>
    <w:rsid w:val="007F2658"/>
    <w:rsid w:val="007F3444"/>
    <w:rsid w:val="007F3C98"/>
    <w:rsid w:val="007F595C"/>
    <w:rsid w:val="008013FF"/>
    <w:rsid w:val="00803623"/>
    <w:rsid w:val="00803A1F"/>
    <w:rsid w:val="00803C6D"/>
    <w:rsid w:val="008125F8"/>
    <w:rsid w:val="008126D7"/>
    <w:rsid w:val="008137BB"/>
    <w:rsid w:val="008156E0"/>
    <w:rsid w:val="00816AF6"/>
    <w:rsid w:val="008177A4"/>
    <w:rsid w:val="008177F4"/>
    <w:rsid w:val="00820555"/>
    <w:rsid w:val="00824E08"/>
    <w:rsid w:val="0082511C"/>
    <w:rsid w:val="00830E04"/>
    <w:rsid w:val="008312D9"/>
    <w:rsid w:val="008326DE"/>
    <w:rsid w:val="00835E88"/>
    <w:rsid w:val="00843F32"/>
    <w:rsid w:val="0085018B"/>
    <w:rsid w:val="008525AB"/>
    <w:rsid w:val="0086001F"/>
    <w:rsid w:val="00860438"/>
    <w:rsid w:val="008640FB"/>
    <w:rsid w:val="00864B81"/>
    <w:rsid w:val="00865BB0"/>
    <w:rsid w:val="00870AD7"/>
    <w:rsid w:val="00870B8F"/>
    <w:rsid w:val="00871B52"/>
    <w:rsid w:val="008721E2"/>
    <w:rsid w:val="0087260E"/>
    <w:rsid w:val="008762D4"/>
    <w:rsid w:val="0088525F"/>
    <w:rsid w:val="008877CB"/>
    <w:rsid w:val="008949EB"/>
    <w:rsid w:val="008A1023"/>
    <w:rsid w:val="008A3790"/>
    <w:rsid w:val="008A4AF9"/>
    <w:rsid w:val="008A558D"/>
    <w:rsid w:val="008A7F34"/>
    <w:rsid w:val="008B1105"/>
    <w:rsid w:val="008B1960"/>
    <w:rsid w:val="008B2729"/>
    <w:rsid w:val="008B383A"/>
    <w:rsid w:val="008B3F29"/>
    <w:rsid w:val="008B5B46"/>
    <w:rsid w:val="008C3FC3"/>
    <w:rsid w:val="008C4255"/>
    <w:rsid w:val="008C4802"/>
    <w:rsid w:val="008C6AD4"/>
    <w:rsid w:val="008D0C59"/>
    <w:rsid w:val="008D153B"/>
    <w:rsid w:val="008D54ED"/>
    <w:rsid w:val="008D5552"/>
    <w:rsid w:val="008D5D98"/>
    <w:rsid w:val="008D5E90"/>
    <w:rsid w:val="008D75C3"/>
    <w:rsid w:val="008E2890"/>
    <w:rsid w:val="008E5E76"/>
    <w:rsid w:val="008E70A1"/>
    <w:rsid w:val="008E7985"/>
    <w:rsid w:val="008F0667"/>
    <w:rsid w:val="008F2805"/>
    <w:rsid w:val="008F3351"/>
    <w:rsid w:val="008F50E8"/>
    <w:rsid w:val="008F5FF0"/>
    <w:rsid w:val="008F705A"/>
    <w:rsid w:val="008F78C7"/>
    <w:rsid w:val="008F7B7D"/>
    <w:rsid w:val="009024E8"/>
    <w:rsid w:val="009033BA"/>
    <w:rsid w:val="00903FB1"/>
    <w:rsid w:val="009042E7"/>
    <w:rsid w:val="00904B0B"/>
    <w:rsid w:val="009129AC"/>
    <w:rsid w:val="00912C36"/>
    <w:rsid w:val="00913CBB"/>
    <w:rsid w:val="00920ED0"/>
    <w:rsid w:val="00930826"/>
    <w:rsid w:val="00933E00"/>
    <w:rsid w:val="00942C13"/>
    <w:rsid w:val="009519AD"/>
    <w:rsid w:val="00961132"/>
    <w:rsid w:val="0096197A"/>
    <w:rsid w:val="00961C78"/>
    <w:rsid w:val="00963131"/>
    <w:rsid w:val="00970F8C"/>
    <w:rsid w:val="00971627"/>
    <w:rsid w:val="00973C17"/>
    <w:rsid w:val="0097575E"/>
    <w:rsid w:val="00976EB7"/>
    <w:rsid w:val="00987A0F"/>
    <w:rsid w:val="009928CF"/>
    <w:rsid w:val="009935D3"/>
    <w:rsid w:val="00994562"/>
    <w:rsid w:val="00997D73"/>
    <w:rsid w:val="009A005E"/>
    <w:rsid w:val="009A24A8"/>
    <w:rsid w:val="009A280F"/>
    <w:rsid w:val="009A2DB2"/>
    <w:rsid w:val="009A3384"/>
    <w:rsid w:val="009A4F53"/>
    <w:rsid w:val="009B173F"/>
    <w:rsid w:val="009B17F6"/>
    <w:rsid w:val="009B1CE5"/>
    <w:rsid w:val="009B1D06"/>
    <w:rsid w:val="009B3928"/>
    <w:rsid w:val="009B4AAA"/>
    <w:rsid w:val="009B7084"/>
    <w:rsid w:val="009B7E50"/>
    <w:rsid w:val="009C0190"/>
    <w:rsid w:val="009C1E07"/>
    <w:rsid w:val="009C606D"/>
    <w:rsid w:val="009C6555"/>
    <w:rsid w:val="009C6B5E"/>
    <w:rsid w:val="009C716F"/>
    <w:rsid w:val="009C7B30"/>
    <w:rsid w:val="009D1485"/>
    <w:rsid w:val="009D3D97"/>
    <w:rsid w:val="009D3EF3"/>
    <w:rsid w:val="009D40C8"/>
    <w:rsid w:val="009E04A8"/>
    <w:rsid w:val="009E157F"/>
    <w:rsid w:val="009E1E37"/>
    <w:rsid w:val="009E2E1B"/>
    <w:rsid w:val="009E341F"/>
    <w:rsid w:val="009E3745"/>
    <w:rsid w:val="009E60FB"/>
    <w:rsid w:val="009F2AB7"/>
    <w:rsid w:val="009F317C"/>
    <w:rsid w:val="009F3365"/>
    <w:rsid w:val="00A032D4"/>
    <w:rsid w:val="00A04E45"/>
    <w:rsid w:val="00A05F3A"/>
    <w:rsid w:val="00A067B0"/>
    <w:rsid w:val="00A11DCA"/>
    <w:rsid w:val="00A145E0"/>
    <w:rsid w:val="00A170C8"/>
    <w:rsid w:val="00A24578"/>
    <w:rsid w:val="00A33330"/>
    <w:rsid w:val="00A41D2B"/>
    <w:rsid w:val="00A420BD"/>
    <w:rsid w:val="00A4482F"/>
    <w:rsid w:val="00A513DE"/>
    <w:rsid w:val="00A51FBF"/>
    <w:rsid w:val="00A5240D"/>
    <w:rsid w:val="00A56E2F"/>
    <w:rsid w:val="00A60F8B"/>
    <w:rsid w:val="00A65A3A"/>
    <w:rsid w:val="00A67DE9"/>
    <w:rsid w:val="00A736E6"/>
    <w:rsid w:val="00A73DEA"/>
    <w:rsid w:val="00A74DDE"/>
    <w:rsid w:val="00A7639E"/>
    <w:rsid w:val="00A829EE"/>
    <w:rsid w:val="00A82BB7"/>
    <w:rsid w:val="00A848E8"/>
    <w:rsid w:val="00A84D5F"/>
    <w:rsid w:val="00A91F64"/>
    <w:rsid w:val="00A9588B"/>
    <w:rsid w:val="00A96317"/>
    <w:rsid w:val="00AA0970"/>
    <w:rsid w:val="00AA3200"/>
    <w:rsid w:val="00AA63C7"/>
    <w:rsid w:val="00AA6955"/>
    <w:rsid w:val="00AB07D8"/>
    <w:rsid w:val="00AB7277"/>
    <w:rsid w:val="00AC10F2"/>
    <w:rsid w:val="00AC5AE8"/>
    <w:rsid w:val="00AC7B85"/>
    <w:rsid w:val="00AD2268"/>
    <w:rsid w:val="00AE2453"/>
    <w:rsid w:val="00AE3207"/>
    <w:rsid w:val="00AEB832"/>
    <w:rsid w:val="00AF2DDC"/>
    <w:rsid w:val="00AF4E8C"/>
    <w:rsid w:val="00AF77E5"/>
    <w:rsid w:val="00AF7F03"/>
    <w:rsid w:val="00B00B19"/>
    <w:rsid w:val="00B00D8E"/>
    <w:rsid w:val="00B0381A"/>
    <w:rsid w:val="00B04EFD"/>
    <w:rsid w:val="00B05245"/>
    <w:rsid w:val="00B05529"/>
    <w:rsid w:val="00B05944"/>
    <w:rsid w:val="00B07C93"/>
    <w:rsid w:val="00B1090A"/>
    <w:rsid w:val="00B12B6D"/>
    <w:rsid w:val="00B14E9E"/>
    <w:rsid w:val="00B20637"/>
    <w:rsid w:val="00B32590"/>
    <w:rsid w:val="00B343B7"/>
    <w:rsid w:val="00B34715"/>
    <w:rsid w:val="00B36196"/>
    <w:rsid w:val="00B365C9"/>
    <w:rsid w:val="00B42117"/>
    <w:rsid w:val="00B4359A"/>
    <w:rsid w:val="00B52BB7"/>
    <w:rsid w:val="00B54FF5"/>
    <w:rsid w:val="00B6060C"/>
    <w:rsid w:val="00B61318"/>
    <w:rsid w:val="00B649A5"/>
    <w:rsid w:val="00B67C77"/>
    <w:rsid w:val="00B82DCE"/>
    <w:rsid w:val="00B84F82"/>
    <w:rsid w:val="00B850DC"/>
    <w:rsid w:val="00B87E00"/>
    <w:rsid w:val="00B91FDA"/>
    <w:rsid w:val="00B950BD"/>
    <w:rsid w:val="00B96901"/>
    <w:rsid w:val="00B96D3C"/>
    <w:rsid w:val="00BA3411"/>
    <w:rsid w:val="00BA62F7"/>
    <w:rsid w:val="00BB17DE"/>
    <w:rsid w:val="00BB508D"/>
    <w:rsid w:val="00BB6849"/>
    <w:rsid w:val="00BC0217"/>
    <w:rsid w:val="00BC2D51"/>
    <w:rsid w:val="00BC35E3"/>
    <w:rsid w:val="00BC4034"/>
    <w:rsid w:val="00BC727E"/>
    <w:rsid w:val="00BD10BD"/>
    <w:rsid w:val="00BD32B5"/>
    <w:rsid w:val="00BD5E19"/>
    <w:rsid w:val="00BD6A7D"/>
    <w:rsid w:val="00BE28C5"/>
    <w:rsid w:val="00BF149A"/>
    <w:rsid w:val="00BF49BF"/>
    <w:rsid w:val="00BF55B1"/>
    <w:rsid w:val="00BF7EA6"/>
    <w:rsid w:val="00BF7EE0"/>
    <w:rsid w:val="00C0114F"/>
    <w:rsid w:val="00C0406F"/>
    <w:rsid w:val="00C04C50"/>
    <w:rsid w:val="00C04D3C"/>
    <w:rsid w:val="00C04ECE"/>
    <w:rsid w:val="00C11724"/>
    <w:rsid w:val="00C159A5"/>
    <w:rsid w:val="00C160E7"/>
    <w:rsid w:val="00C16EB7"/>
    <w:rsid w:val="00C2142F"/>
    <w:rsid w:val="00C2295A"/>
    <w:rsid w:val="00C22B82"/>
    <w:rsid w:val="00C24085"/>
    <w:rsid w:val="00C25B08"/>
    <w:rsid w:val="00C3277D"/>
    <w:rsid w:val="00C34AD0"/>
    <w:rsid w:val="00C374ED"/>
    <w:rsid w:val="00C4030B"/>
    <w:rsid w:val="00C42DA6"/>
    <w:rsid w:val="00C445A9"/>
    <w:rsid w:val="00C46FE6"/>
    <w:rsid w:val="00C51C70"/>
    <w:rsid w:val="00C51D8B"/>
    <w:rsid w:val="00C55773"/>
    <w:rsid w:val="00C566F3"/>
    <w:rsid w:val="00C61992"/>
    <w:rsid w:val="00C61AEB"/>
    <w:rsid w:val="00C61C33"/>
    <w:rsid w:val="00C65835"/>
    <w:rsid w:val="00C66A49"/>
    <w:rsid w:val="00C66BDB"/>
    <w:rsid w:val="00C67F04"/>
    <w:rsid w:val="00C734C7"/>
    <w:rsid w:val="00C74916"/>
    <w:rsid w:val="00C7775A"/>
    <w:rsid w:val="00C8521F"/>
    <w:rsid w:val="00C852BA"/>
    <w:rsid w:val="00C86FF7"/>
    <w:rsid w:val="00C87534"/>
    <w:rsid w:val="00C93166"/>
    <w:rsid w:val="00C96366"/>
    <w:rsid w:val="00C97594"/>
    <w:rsid w:val="00C97D13"/>
    <w:rsid w:val="00CA1DFF"/>
    <w:rsid w:val="00CA7CC8"/>
    <w:rsid w:val="00CB582A"/>
    <w:rsid w:val="00CC09B6"/>
    <w:rsid w:val="00CC132C"/>
    <w:rsid w:val="00CC26DA"/>
    <w:rsid w:val="00CC603A"/>
    <w:rsid w:val="00CC70A9"/>
    <w:rsid w:val="00CC70D3"/>
    <w:rsid w:val="00CC7B85"/>
    <w:rsid w:val="00CD3FE0"/>
    <w:rsid w:val="00CD5EB7"/>
    <w:rsid w:val="00CD737F"/>
    <w:rsid w:val="00CD7AAB"/>
    <w:rsid w:val="00CE4FF8"/>
    <w:rsid w:val="00CE63AF"/>
    <w:rsid w:val="00CE7A01"/>
    <w:rsid w:val="00CF1000"/>
    <w:rsid w:val="00CF17CB"/>
    <w:rsid w:val="00CF324F"/>
    <w:rsid w:val="00CF474B"/>
    <w:rsid w:val="00CF7F41"/>
    <w:rsid w:val="00D02A0F"/>
    <w:rsid w:val="00D03BCF"/>
    <w:rsid w:val="00D05841"/>
    <w:rsid w:val="00D05AA4"/>
    <w:rsid w:val="00D05DBC"/>
    <w:rsid w:val="00D073B0"/>
    <w:rsid w:val="00D076B1"/>
    <w:rsid w:val="00D150DA"/>
    <w:rsid w:val="00D1569D"/>
    <w:rsid w:val="00D15919"/>
    <w:rsid w:val="00D17D1D"/>
    <w:rsid w:val="00D20237"/>
    <w:rsid w:val="00D213AB"/>
    <w:rsid w:val="00D218B5"/>
    <w:rsid w:val="00D22C73"/>
    <w:rsid w:val="00D26A25"/>
    <w:rsid w:val="00D30F07"/>
    <w:rsid w:val="00D318E5"/>
    <w:rsid w:val="00D32912"/>
    <w:rsid w:val="00D32A1B"/>
    <w:rsid w:val="00D36101"/>
    <w:rsid w:val="00D41671"/>
    <w:rsid w:val="00D41EF8"/>
    <w:rsid w:val="00D44474"/>
    <w:rsid w:val="00D52922"/>
    <w:rsid w:val="00D54330"/>
    <w:rsid w:val="00D54BE0"/>
    <w:rsid w:val="00D57CFD"/>
    <w:rsid w:val="00D64BEA"/>
    <w:rsid w:val="00D72634"/>
    <w:rsid w:val="00D73C17"/>
    <w:rsid w:val="00D763EB"/>
    <w:rsid w:val="00D77E99"/>
    <w:rsid w:val="00D805BF"/>
    <w:rsid w:val="00D81F53"/>
    <w:rsid w:val="00D825B3"/>
    <w:rsid w:val="00D82FCF"/>
    <w:rsid w:val="00D863D3"/>
    <w:rsid w:val="00D90577"/>
    <w:rsid w:val="00D91598"/>
    <w:rsid w:val="00D960FF"/>
    <w:rsid w:val="00DA0C30"/>
    <w:rsid w:val="00DA3052"/>
    <w:rsid w:val="00DA4421"/>
    <w:rsid w:val="00DB1A49"/>
    <w:rsid w:val="00DB2F1F"/>
    <w:rsid w:val="00DC1863"/>
    <w:rsid w:val="00DC1BF5"/>
    <w:rsid w:val="00DC214D"/>
    <w:rsid w:val="00DC249B"/>
    <w:rsid w:val="00DD149C"/>
    <w:rsid w:val="00DD7C2A"/>
    <w:rsid w:val="00DE0C0D"/>
    <w:rsid w:val="00DE3482"/>
    <w:rsid w:val="00DE3EC8"/>
    <w:rsid w:val="00DF0890"/>
    <w:rsid w:val="00DF1311"/>
    <w:rsid w:val="00DF3D13"/>
    <w:rsid w:val="00DF4F7E"/>
    <w:rsid w:val="00E00976"/>
    <w:rsid w:val="00E01D10"/>
    <w:rsid w:val="00E0295C"/>
    <w:rsid w:val="00E03CD4"/>
    <w:rsid w:val="00E04B9A"/>
    <w:rsid w:val="00E14EDA"/>
    <w:rsid w:val="00E15858"/>
    <w:rsid w:val="00E1644D"/>
    <w:rsid w:val="00E170EB"/>
    <w:rsid w:val="00E17325"/>
    <w:rsid w:val="00E25608"/>
    <w:rsid w:val="00E3118F"/>
    <w:rsid w:val="00E36011"/>
    <w:rsid w:val="00E426FE"/>
    <w:rsid w:val="00E45826"/>
    <w:rsid w:val="00E45F77"/>
    <w:rsid w:val="00E46139"/>
    <w:rsid w:val="00E53732"/>
    <w:rsid w:val="00E548F3"/>
    <w:rsid w:val="00E55A12"/>
    <w:rsid w:val="00E57C2B"/>
    <w:rsid w:val="00E62EC5"/>
    <w:rsid w:val="00E63096"/>
    <w:rsid w:val="00E638F8"/>
    <w:rsid w:val="00E671EB"/>
    <w:rsid w:val="00E73DF3"/>
    <w:rsid w:val="00E74743"/>
    <w:rsid w:val="00E758E6"/>
    <w:rsid w:val="00E75B68"/>
    <w:rsid w:val="00E76704"/>
    <w:rsid w:val="00E773C5"/>
    <w:rsid w:val="00E801BF"/>
    <w:rsid w:val="00E8020F"/>
    <w:rsid w:val="00E85D1A"/>
    <w:rsid w:val="00E9061D"/>
    <w:rsid w:val="00E90C1E"/>
    <w:rsid w:val="00E9534B"/>
    <w:rsid w:val="00EA1D00"/>
    <w:rsid w:val="00EA1F79"/>
    <w:rsid w:val="00EA3FDF"/>
    <w:rsid w:val="00EA5861"/>
    <w:rsid w:val="00EA5C48"/>
    <w:rsid w:val="00EB24B1"/>
    <w:rsid w:val="00EB3880"/>
    <w:rsid w:val="00EB5CF0"/>
    <w:rsid w:val="00EC0D49"/>
    <w:rsid w:val="00EC1785"/>
    <w:rsid w:val="00ED76EE"/>
    <w:rsid w:val="00EF0546"/>
    <w:rsid w:val="00EF36D6"/>
    <w:rsid w:val="00EF5047"/>
    <w:rsid w:val="00EF571D"/>
    <w:rsid w:val="00F05C33"/>
    <w:rsid w:val="00F05F2A"/>
    <w:rsid w:val="00F06821"/>
    <w:rsid w:val="00F10B33"/>
    <w:rsid w:val="00F1168C"/>
    <w:rsid w:val="00F12BF9"/>
    <w:rsid w:val="00F13651"/>
    <w:rsid w:val="00F1376A"/>
    <w:rsid w:val="00F15FCC"/>
    <w:rsid w:val="00F16BD7"/>
    <w:rsid w:val="00F23D8E"/>
    <w:rsid w:val="00F25FB2"/>
    <w:rsid w:val="00F26B3B"/>
    <w:rsid w:val="00F33964"/>
    <w:rsid w:val="00F36B1F"/>
    <w:rsid w:val="00F430B6"/>
    <w:rsid w:val="00F50F48"/>
    <w:rsid w:val="00F51A4E"/>
    <w:rsid w:val="00F60F8C"/>
    <w:rsid w:val="00F65DBB"/>
    <w:rsid w:val="00F66B0B"/>
    <w:rsid w:val="00F71FDA"/>
    <w:rsid w:val="00F72EEA"/>
    <w:rsid w:val="00F76F1C"/>
    <w:rsid w:val="00F830D8"/>
    <w:rsid w:val="00F85A86"/>
    <w:rsid w:val="00F90AD1"/>
    <w:rsid w:val="00F90E37"/>
    <w:rsid w:val="00F914E3"/>
    <w:rsid w:val="00F91731"/>
    <w:rsid w:val="00F925E1"/>
    <w:rsid w:val="00F96CBF"/>
    <w:rsid w:val="00F97858"/>
    <w:rsid w:val="00FA1E84"/>
    <w:rsid w:val="00FA277C"/>
    <w:rsid w:val="00FA4B16"/>
    <w:rsid w:val="00FA556D"/>
    <w:rsid w:val="00FA775C"/>
    <w:rsid w:val="00FB1600"/>
    <w:rsid w:val="00FB3C50"/>
    <w:rsid w:val="00FB6622"/>
    <w:rsid w:val="00FB6C48"/>
    <w:rsid w:val="00FB72A4"/>
    <w:rsid w:val="00FC39F6"/>
    <w:rsid w:val="00FC3BA8"/>
    <w:rsid w:val="00FC7127"/>
    <w:rsid w:val="00FD07B6"/>
    <w:rsid w:val="00FD56CC"/>
    <w:rsid w:val="00FD7331"/>
    <w:rsid w:val="00FD7FF2"/>
    <w:rsid w:val="00FE13AF"/>
    <w:rsid w:val="00FE242A"/>
    <w:rsid w:val="00FE2591"/>
    <w:rsid w:val="00FF054E"/>
    <w:rsid w:val="00FF1E04"/>
    <w:rsid w:val="00FF2D6D"/>
    <w:rsid w:val="00FF4557"/>
    <w:rsid w:val="00FF6D3B"/>
    <w:rsid w:val="0114C30E"/>
    <w:rsid w:val="0122A4E1"/>
    <w:rsid w:val="015340CA"/>
    <w:rsid w:val="019D1D55"/>
    <w:rsid w:val="01A69E57"/>
    <w:rsid w:val="0208215A"/>
    <w:rsid w:val="024590CC"/>
    <w:rsid w:val="02628105"/>
    <w:rsid w:val="027191C8"/>
    <w:rsid w:val="02823527"/>
    <w:rsid w:val="02E28A04"/>
    <w:rsid w:val="035E9625"/>
    <w:rsid w:val="03615891"/>
    <w:rsid w:val="04242CA6"/>
    <w:rsid w:val="0440AEE7"/>
    <w:rsid w:val="045C0C0B"/>
    <w:rsid w:val="0533B149"/>
    <w:rsid w:val="054C422E"/>
    <w:rsid w:val="0593315B"/>
    <w:rsid w:val="05BF658F"/>
    <w:rsid w:val="05D49C5F"/>
    <w:rsid w:val="05D565C3"/>
    <w:rsid w:val="0644CA7E"/>
    <w:rsid w:val="06B25481"/>
    <w:rsid w:val="06BFD0B2"/>
    <w:rsid w:val="06C6EDC5"/>
    <w:rsid w:val="06CA897C"/>
    <w:rsid w:val="06E6426F"/>
    <w:rsid w:val="070A0357"/>
    <w:rsid w:val="071DFCD1"/>
    <w:rsid w:val="076746A8"/>
    <w:rsid w:val="07FFACD6"/>
    <w:rsid w:val="08248AFC"/>
    <w:rsid w:val="08587905"/>
    <w:rsid w:val="08804C68"/>
    <w:rsid w:val="08B1AABB"/>
    <w:rsid w:val="08DFD72D"/>
    <w:rsid w:val="09031709"/>
    <w:rsid w:val="096EBC3E"/>
    <w:rsid w:val="09E1DF9F"/>
    <w:rsid w:val="09F1B9B0"/>
    <w:rsid w:val="0A60AE31"/>
    <w:rsid w:val="0A6FDFBA"/>
    <w:rsid w:val="0A91B989"/>
    <w:rsid w:val="0B45C603"/>
    <w:rsid w:val="0B8C2850"/>
    <w:rsid w:val="0BA08B35"/>
    <w:rsid w:val="0BA87161"/>
    <w:rsid w:val="0BB42E9F"/>
    <w:rsid w:val="0C3F4A72"/>
    <w:rsid w:val="0C427C38"/>
    <w:rsid w:val="0CADE4E4"/>
    <w:rsid w:val="0D03EC44"/>
    <w:rsid w:val="0D1A72C8"/>
    <w:rsid w:val="0D519475"/>
    <w:rsid w:val="0D581E5C"/>
    <w:rsid w:val="0D83ECEE"/>
    <w:rsid w:val="0E139C48"/>
    <w:rsid w:val="0E2C8936"/>
    <w:rsid w:val="0E70501B"/>
    <w:rsid w:val="0E7F04F4"/>
    <w:rsid w:val="0E871A98"/>
    <w:rsid w:val="0E9ABD07"/>
    <w:rsid w:val="0EF15E0C"/>
    <w:rsid w:val="0F381B63"/>
    <w:rsid w:val="0F6270A4"/>
    <w:rsid w:val="0FAAD922"/>
    <w:rsid w:val="0FD3A8BF"/>
    <w:rsid w:val="0FE1BC68"/>
    <w:rsid w:val="100F1F8C"/>
    <w:rsid w:val="1030A3B3"/>
    <w:rsid w:val="1092E631"/>
    <w:rsid w:val="10A3C714"/>
    <w:rsid w:val="10E09EA7"/>
    <w:rsid w:val="110ACF0A"/>
    <w:rsid w:val="1126552C"/>
    <w:rsid w:val="1136D06D"/>
    <w:rsid w:val="11BFC131"/>
    <w:rsid w:val="12A2167C"/>
    <w:rsid w:val="12DCEB1E"/>
    <w:rsid w:val="12FA417B"/>
    <w:rsid w:val="13777C76"/>
    <w:rsid w:val="139C8D52"/>
    <w:rsid w:val="1430CF53"/>
    <w:rsid w:val="14A08EFD"/>
    <w:rsid w:val="14CF5C9F"/>
    <w:rsid w:val="15D71CF0"/>
    <w:rsid w:val="173F3219"/>
    <w:rsid w:val="1761E450"/>
    <w:rsid w:val="178984FD"/>
    <w:rsid w:val="17BCF441"/>
    <w:rsid w:val="17C0FFBB"/>
    <w:rsid w:val="17F8CADA"/>
    <w:rsid w:val="187394FD"/>
    <w:rsid w:val="189F260F"/>
    <w:rsid w:val="1A32E2BE"/>
    <w:rsid w:val="1A9A8131"/>
    <w:rsid w:val="1AB03786"/>
    <w:rsid w:val="1AE92BF3"/>
    <w:rsid w:val="1B026491"/>
    <w:rsid w:val="1B2CC13C"/>
    <w:rsid w:val="1B79D787"/>
    <w:rsid w:val="1BA0AECB"/>
    <w:rsid w:val="1C08261B"/>
    <w:rsid w:val="1C0857F1"/>
    <w:rsid w:val="1C400565"/>
    <w:rsid w:val="1CABD3B3"/>
    <w:rsid w:val="1CC205D8"/>
    <w:rsid w:val="1D31CF3A"/>
    <w:rsid w:val="1D79F7EF"/>
    <w:rsid w:val="1DF3D9E6"/>
    <w:rsid w:val="1DF507DB"/>
    <w:rsid w:val="1E3FE95F"/>
    <w:rsid w:val="1E528FAF"/>
    <w:rsid w:val="1E607087"/>
    <w:rsid w:val="1EAFB1E1"/>
    <w:rsid w:val="1ED55A50"/>
    <w:rsid w:val="1F5953C6"/>
    <w:rsid w:val="1F82F764"/>
    <w:rsid w:val="1F8D7485"/>
    <w:rsid w:val="1FA89ED8"/>
    <w:rsid w:val="1FE2DCFD"/>
    <w:rsid w:val="1FF08B1F"/>
    <w:rsid w:val="2035B4C4"/>
    <w:rsid w:val="20F2C662"/>
    <w:rsid w:val="2131D39C"/>
    <w:rsid w:val="214C8E95"/>
    <w:rsid w:val="21691B89"/>
    <w:rsid w:val="21AE444E"/>
    <w:rsid w:val="220F8BA8"/>
    <w:rsid w:val="22591443"/>
    <w:rsid w:val="22AA596E"/>
    <w:rsid w:val="2309A6AF"/>
    <w:rsid w:val="2336AEC9"/>
    <w:rsid w:val="2372E44C"/>
    <w:rsid w:val="238751E4"/>
    <w:rsid w:val="23906D5F"/>
    <w:rsid w:val="23A309DC"/>
    <w:rsid w:val="23D86343"/>
    <w:rsid w:val="23DE1A27"/>
    <w:rsid w:val="2437B084"/>
    <w:rsid w:val="24403582"/>
    <w:rsid w:val="2495B644"/>
    <w:rsid w:val="253DAB4D"/>
    <w:rsid w:val="25B5EBC9"/>
    <w:rsid w:val="2621934F"/>
    <w:rsid w:val="26392815"/>
    <w:rsid w:val="263C59DB"/>
    <w:rsid w:val="26906092"/>
    <w:rsid w:val="2776057B"/>
    <w:rsid w:val="277642AD"/>
    <w:rsid w:val="278168F8"/>
    <w:rsid w:val="27BE60AF"/>
    <w:rsid w:val="27F2E630"/>
    <w:rsid w:val="28962F21"/>
    <w:rsid w:val="28EE6323"/>
    <w:rsid w:val="29349FD2"/>
    <w:rsid w:val="294D4C57"/>
    <w:rsid w:val="2963BBE5"/>
    <w:rsid w:val="2975298D"/>
    <w:rsid w:val="2984D0CD"/>
    <w:rsid w:val="2992E55B"/>
    <w:rsid w:val="2A28B136"/>
    <w:rsid w:val="2A5D688D"/>
    <w:rsid w:val="2BCA7F9C"/>
    <w:rsid w:val="2BDFA8D6"/>
    <w:rsid w:val="2C1D7F9C"/>
    <w:rsid w:val="2C47BA97"/>
    <w:rsid w:val="2C88C809"/>
    <w:rsid w:val="2CBADDF8"/>
    <w:rsid w:val="2CBBA841"/>
    <w:rsid w:val="2CCA8538"/>
    <w:rsid w:val="2CE4A9B4"/>
    <w:rsid w:val="2CE776D3"/>
    <w:rsid w:val="2CFBEB6A"/>
    <w:rsid w:val="2D11A736"/>
    <w:rsid w:val="2D41CCC6"/>
    <w:rsid w:val="2D8E8822"/>
    <w:rsid w:val="2DB2C438"/>
    <w:rsid w:val="2DC602E0"/>
    <w:rsid w:val="2E8893F7"/>
    <w:rsid w:val="2EDE3E57"/>
    <w:rsid w:val="2F44AED5"/>
    <w:rsid w:val="2F6F4F72"/>
    <w:rsid w:val="2F90645A"/>
    <w:rsid w:val="2FD6EEE0"/>
    <w:rsid w:val="308C46A9"/>
    <w:rsid w:val="30B381B4"/>
    <w:rsid w:val="30F8DD4A"/>
    <w:rsid w:val="31D11AFB"/>
    <w:rsid w:val="31DFBC64"/>
    <w:rsid w:val="321CA5A9"/>
    <w:rsid w:val="321F2D65"/>
    <w:rsid w:val="3231C9FD"/>
    <w:rsid w:val="3255DDDA"/>
    <w:rsid w:val="32AE08D9"/>
    <w:rsid w:val="32D2F197"/>
    <w:rsid w:val="32F00A70"/>
    <w:rsid w:val="33008691"/>
    <w:rsid w:val="336CEB5C"/>
    <w:rsid w:val="33C6127A"/>
    <w:rsid w:val="33C81550"/>
    <w:rsid w:val="33CDDE96"/>
    <w:rsid w:val="33FFF4B5"/>
    <w:rsid w:val="3405FC80"/>
    <w:rsid w:val="3438E2CB"/>
    <w:rsid w:val="343935C0"/>
    <w:rsid w:val="34AD8811"/>
    <w:rsid w:val="34F4E698"/>
    <w:rsid w:val="34F96F6C"/>
    <w:rsid w:val="350589F7"/>
    <w:rsid w:val="3515FB65"/>
    <w:rsid w:val="35C46C7A"/>
    <w:rsid w:val="35E4B814"/>
    <w:rsid w:val="361FF07D"/>
    <w:rsid w:val="3646F9B2"/>
    <w:rsid w:val="36B25E59"/>
    <w:rsid w:val="36C89643"/>
    <w:rsid w:val="36C9C533"/>
    <w:rsid w:val="3704A3A8"/>
    <w:rsid w:val="375D3DE6"/>
    <w:rsid w:val="3782E55A"/>
    <w:rsid w:val="37A92541"/>
    <w:rsid w:val="381FB438"/>
    <w:rsid w:val="382168EE"/>
    <w:rsid w:val="3854270C"/>
    <w:rsid w:val="38900280"/>
    <w:rsid w:val="38D5C3B8"/>
    <w:rsid w:val="38E76416"/>
    <w:rsid w:val="38F15392"/>
    <w:rsid w:val="394B8167"/>
    <w:rsid w:val="396E9925"/>
    <w:rsid w:val="39BAA8B9"/>
    <w:rsid w:val="3A7C4DC3"/>
    <w:rsid w:val="3AD80F2F"/>
    <w:rsid w:val="3AD9D597"/>
    <w:rsid w:val="3AEB68F4"/>
    <w:rsid w:val="3B574348"/>
    <w:rsid w:val="3BABE177"/>
    <w:rsid w:val="3BAFF1F8"/>
    <w:rsid w:val="3BD7A869"/>
    <w:rsid w:val="3C41E9E0"/>
    <w:rsid w:val="3C44842E"/>
    <w:rsid w:val="3C44AC67"/>
    <w:rsid w:val="3C87E786"/>
    <w:rsid w:val="3D180381"/>
    <w:rsid w:val="3D1F142C"/>
    <w:rsid w:val="3DE21AF7"/>
    <w:rsid w:val="3DF576A4"/>
    <w:rsid w:val="3E1C8A12"/>
    <w:rsid w:val="3E854824"/>
    <w:rsid w:val="3E9CC4FD"/>
    <w:rsid w:val="3EE22B2B"/>
    <w:rsid w:val="3FA135E7"/>
    <w:rsid w:val="40BA310F"/>
    <w:rsid w:val="40C37F5B"/>
    <w:rsid w:val="40FC00D0"/>
    <w:rsid w:val="412A91E9"/>
    <w:rsid w:val="4155645C"/>
    <w:rsid w:val="41F9A88C"/>
    <w:rsid w:val="42246655"/>
    <w:rsid w:val="42C06DFD"/>
    <w:rsid w:val="42E51952"/>
    <w:rsid w:val="432518F3"/>
    <w:rsid w:val="434B2529"/>
    <w:rsid w:val="4435CCA1"/>
    <w:rsid w:val="4442E42B"/>
    <w:rsid w:val="44454BA8"/>
    <w:rsid w:val="4449D497"/>
    <w:rsid w:val="44C5ADD1"/>
    <w:rsid w:val="44EF47B7"/>
    <w:rsid w:val="44F93813"/>
    <w:rsid w:val="45247727"/>
    <w:rsid w:val="4536D8F4"/>
    <w:rsid w:val="4543B3F5"/>
    <w:rsid w:val="45B55571"/>
    <w:rsid w:val="45C9AF7C"/>
    <w:rsid w:val="45F3B8A1"/>
    <w:rsid w:val="466938E7"/>
    <w:rsid w:val="467BE811"/>
    <w:rsid w:val="468CB647"/>
    <w:rsid w:val="46A2E94C"/>
    <w:rsid w:val="46C4FA53"/>
    <w:rsid w:val="46CE7B55"/>
    <w:rsid w:val="472F99B1"/>
    <w:rsid w:val="4736574C"/>
    <w:rsid w:val="47368A1D"/>
    <w:rsid w:val="47A4835F"/>
    <w:rsid w:val="47EB7C44"/>
    <w:rsid w:val="47FF278D"/>
    <w:rsid w:val="48108F6A"/>
    <w:rsid w:val="48B7C6C3"/>
    <w:rsid w:val="4997F0FF"/>
    <w:rsid w:val="49B34450"/>
    <w:rsid w:val="4A2AFA58"/>
    <w:rsid w:val="4A3AD44E"/>
    <w:rsid w:val="4AA27D74"/>
    <w:rsid w:val="4AE5AEF6"/>
    <w:rsid w:val="4B19605B"/>
    <w:rsid w:val="4B56D91E"/>
    <w:rsid w:val="4B6181D6"/>
    <w:rsid w:val="4BB92E49"/>
    <w:rsid w:val="4C4DF59B"/>
    <w:rsid w:val="4D07F185"/>
    <w:rsid w:val="4D29503C"/>
    <w:rsid w:val="4D3634F5"/>
    <w:rsid w:val="4D434B9F"/>
    <w:rsid w:val="4D889F49"/>
    <w:rsid w:val="4D958CE9"/>
    <w:rsid w:val="4DE62FE9"/>
    <w:rsid w:val="4DFEFD57"/>
    <w:rsid w:val="4E3A6971"/>
    <w:rsid w:val="4E5B5540"/>
    <w:rsid w:val="4EB7E0F5"/>
    <w:rsid w:val="4F32F0E1"/>
    <w:rsid w:val="4F4BB47C"/>
    <w:rsid w:val="4FB6F50A"/>
    <w:rsid w:val="5015DDA4"/>
    <w:rsid w:val="501A9949"/>
    <w:rsid w:val="502488C5"/>
    <w:rsid w:val="5063BD3D"/>
    <w:rsid w:val="5064EC2D"/>
    <w:rsid w:val="50FDB7E2"/>
    <w:rsid w:val="51EEEA3F"/>
    <w:rsid w:val="523521B5"/>
    <w:rsid w:val="526309BF"/>
    <w:rsid w:val="52745728"/>
    <w:rsid w:val="52CBAA3F"/>
    <w:rsid w:val="52D111DA"/>
    <w:rsid w:val="52DC8614"/>
    <w:rsid w:val="5351A293"/>
    <w:rsid w:val="53DE5CB0"/>
    <w:rsid w:val="53E480F1"/>
    <w:rsid w:val="54141106"/>
    <w:rsid w:val="5420C2EE"/>
    <w:rsid w:val="542B7D50"/>
    <w:rsid w:val="54410E88"/>
    <w:rsid w:val="544B2622"/>
    <w:rsid w:val="55226D84"/>
    <w:rsid w:val="555CB024"/>
    <w:rsid w:val="55A7F3E1"/>
    <w:rsid w:val="55E7C0B1"/>
    <w:rsid w:val="55FDCB98"/>
    <w:rsid w:val="562074FC"/>
    <w:rsid w:val="56264AAC"/>
    <w:rsid w:val="562BCD33"/>
    <w:rsid w:val="5637A436"/>
    <w:rsid w:val="56529C98"/>
    <w:rsid w:val="57405F40"/>
    <w:rsid w:val="57520ABC"/>
    <w:rsid w:val="579DC041"/>
    <w:rsid w:val="57BE0AE0"/>
    <w:rsid w:val="5868116C"/>
    <w:rsid w:val="5877B8C7"/>
    <w:rsid w:val="587D4772"/>
    <w:rsid w:val="589DC5C2"/>
    <w:rsid w:val="58A35488"/>
    <w:rsid w:val="58D13EE3"/>
    <w:rsid w:val="58D44E19"/>
    <w:rsid w:val="5997E1C4"/>
    <w:rsid w:val="59A55DF5"/>
    <w:rsid w:val="5C0C8653"/>
    <w:rsid w:val="5C2A3784"/>
    <w:rsid w:val="5C7E48EE"/>
    <w:rsid w:val="5C93D9C8"/>
    <w:rsid w:val="5D7EB331"/>
    <w:rsid w:val="5DB5965C"/>
    <w:rsid w:val="5DBC33D3"/>
    <w:rsid w:val="5DC2AD06"/>
    <w:rsid w:val="5E652BC9"/>
    <w:rsid w:val="5F7B3D2C"/>
    <w:rsid w:val="5F94FC06"/>
    <w:rsid w:val="609475A7"/>
    <w:rsid w:val="60F0362E"/>
    <w:rsid w:val="60F62A7B"/>
    <w:rsid w:val="6109F603"/>
    <w:rsid w:val="61873B96"/>
    <w:rsid w:val="61F0DE0A"/>
    <w:rsid w:val="61F20312"/>
    <w:rsid w:val="624AD5C3"/>
    <w:rsid w:val="62E0D78F"/>
    <w:rsid w:val="62F935A3"/>
    <w:rsid w:val="630C417A"/>
    <w:rsid w:val="630F0401"/>
    <w:rsid w:val="633E9139"/>
    <w:rsid w:val="63B1E750"/>
    <w:rsid w:val="63B2B357"/>
    <w:rsid w:val="6444275B"/>
    <w:rsid w:val="6460B274"/>
    <w:rsid w:val="647ED2FF"/>
    <w:rsid w:val="6520ED00"/>
    <w:rsid w:val="65467450"/>
    <w:rsid w:val="65B8EDA7"/>
    <w:rsid w:val="66372F59"/>
    <w:rsid w:val="66821A95"/>
    <w:rsid w:val="66BE5AB0"/>
    <w:rsid w:val="66D84C5B"/>
    <w:rsid w:val="66FD5D52"/>
    <w:rsid w:val="67C61B01"/>
    <w:rsid w:val="6805F189"/>
    <w:rsid w:val="680C18A7"/>
    <w:rsid w:val="68E05A49"/>
    <w:rsid w:val="68EF056A"/>
    <w:rsid w:val="69055FAD"/>
    <w:rsid w:val="695BCEDC"/>
    <w:rsid w:val="69C907CE"/>
    <w:rsid w:val="69E4311D"/>
    <w:rsid w:val="6AA7EEA4"/>
    <w:rsid w:val="6B10469E"/>
    <w:rsid w:val="6B23FB8F"/>
    <w:rsid w:val="6B25FE80"/>
    <w:rsid w:val="6B8B72DF"/>
    <w:rsid w:val="6C3D98C7"/>
    <w:rsid w:val="6C968076"/>
    <w:rsid w:val="6CBD0984"/>
    <w:rsid w:val="6CC09639"/>
    <w:rsid w:val="6D6FF8BA"/>
    <w:rsid w:val="6D80D99D"/>
    <w:rsid w:val="6D947DF7"/>
    <w:rsid w:val="6DB8B902"/>
    <w:rsid w:val="6DDBD0C0"/>
    <w:rsid w:val="6DE4BA65"/>
    <w:rsid w:val="6E05E334"/>
    <w:rsid w:val="6E2CB5D6"/>
    <w:rsid w:val="6E61C28F"/>
    <w:rsid w:val="6E7CC407"/>
    <w:rsid w:val="6F3459F1"/>
    <w:rsid w:val="6F6CE777"/>
    <w:rsid w:val="6F84169B"/>
    <w:rsid w:val="7015FB9C"/>
    <w:rsid w:val="7159C937"/>
    <w:rsid w:val="7170F956"/>
    <w:rsid w:val="7185E1CE"/>
    <w:rsid w:val="7268154D"/>
    <w:rsid w:val="726E6E41"/>
    <w:rsid w:val="7377FF92"/>
    <w:rsid w:val="73C7A673"/>
    <w:rsid w:val="73C8C9E7"/>
    <w:rsid w:val="73CB1736"/>
    <w:rsid w:val="7401ED70"/>
    <w:rsid w:val="7426014D"/>
    <w:rsid w:val="744E04A3"/>
    <w:rsid w:val="74AAF6FD"/>
    <w:rsid w:val="74C3F721"/>
    <w:rsid w:val="75217EF5"/>
    <w:rsid w:val="75927747"/>
    <w:rsid w:val="75A22A5D"/>
    <w:rsid w:val="75AFF5A7"/>
    <w:rsid w:val="75E60EA4"/>
    <w:rsid w:val="76077956"/>
    <w:rsid w:val="765368C3"/>
    <w:rsid w:val="7692AEB9"/>
    <w:rsid w:val="76A8E1BE"/>
    <w:rsid w:val="76CC5F1E"/>
    <w:rsid w:val="7739FD71"/>
    <w:rsid w:val="777BC29A"/>
    <w:rsid w:val="778B69DA"/>
    <w:rsid w:val="779D3C29"/>
    <w:rsid w:val="77F4353A"/>
    <w:rsid w:val="77F5D667"/>
    <w:rsid w:val="788C4441"/>
    <w:rsid w:val="78CFACBE"/>
    <w:rsid w:val="78FB0607"/>
    <w:rsid w:val="7989BA3D"/>
    <w:rsid w:val="79E2E140"/>
    <w:rsid w:val="7A0888CF"/>
    <w:rsid w:val="7A300143"/>
    <w:rsid w:val="7A8B217F"/>
    <w:rsid w:val="7AAAFF62"/>
    <w:rsid w:val="7AB4924C"/>
    <w:rsid w:val="7AC7619A"/>
    <w:rsid w:val="7B3BEF79"/>
    <w:rsid w:val="7B64279E"/>
    <w:rsid w:val="7BBA5964"/>
    <w:rsid w:val="7C073DBE"/>
    <w:rsid w:val="7C4DA026"/>
    <w:rsid w:val="7CBACF3A"/>
    <w:rsid w:val="7CD037F6"/>
    <w:rsid w:val="7D52EA1D"/>
    <w:rsid w:val="7D738A9F"/>
    <w:rsid w:val="7DBF6762"/>
    <w:rsid w:val="7DCD7B0B"/>
    <w:rsid w:val="7DFA46B7"/>
    <w:rsid w:val="7E170581"/>
    <w:rsid w:val="7E4EB15E"/>
    <w:rsid w:val="7E6E6637"/>
    <w:rsid w:val="7EACD146"/>
    <w:rsid w:val="7F007450"/>
    <w:rsid w:val="7F13B11E"/>
    <w:rsid w:val="7F44A017"/>
    <w:rsid w:val="7FA8F818"/>
    <w:rsid w:val="7FE49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685D4"/>
  <w15:chartTrackingRefBased/>
  <w15:docId w15:val="{F6A7E7FF-23F3-449C-BB0E-BB1461DF2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852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8852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88525F"/>
  </w:style>
  <w:style w:type="character" w:customStyle="1" w:styleId="normaltextrun">
    <w:name w:val="normaltextrun"/>
    <w:basedOn w:val="DefaultParagraphFont"/>
    <w:rsid w:val="0088525F"/>
  </w:style>
  <w:style w:type="character" w:customStyle="1" w:styleId="eop">
    <w:name w:val="eop"/>
    <w:basedOn w:val="DefaultParagraphFont"/>
    <w:rsid w:val="0088525F"/>
  </w:style>
  <w:style w:type="character" w:customStyle="1" w:styleId="linebreakblob">
    <w:name w:val="linebreakblob"/>
    <w:basedOn w:val="DefaultParagraphFont"/>
    <w:rsid w:val="0088525F"/>
  </w:style>
  <w:style w:type="character" w:customStyle="1" w:styleId="scxw54098514">
    <w:name w:val="scxw54098514"/>
    <w:basedOn w:val="DefaultParagraphFont"/>
    <w:rsid w:val="0088525F"/>
  </w:style>
  <w:style w:type="character" w:styleId="Hyperlink">
    <w:name w:val="Hyperlink"/>
    <w:basedOn w:val="DefaultParagraphFont"/>
    <w:uiPriority w:val="99"/>
    <w:unhideWhenUsed/>
    <w:rsid w:val="0088525F"/>
    <w:rPr>
      <w:color w:val="0000FF"/>
      <w:u w:val="single"/>
    </w:rPr>
  </w:style>
  <w:style w:type="character" w:styleId="FollowedHyperlink">
    <w:name w:val="FollowedHyperlink"/>
    <w:basedOn w:val="DefaultParagraphFont"/>
    <w:uiPriority w:val="99"/>
    <w:semiHidden/>
    <w:unhideWhenUsed/>
    <w:rsid w:val="0088525F"/>
    <w:rPr>
      <w:color w:val="800080"/>
      <w:u w:val="single"/>
    </w:rPr>
  </w:style>
  <w:style w:type="paragraph" w:customStyle="1" w:styleId="outlineelement">
    <w:name w:val="outlineelement"/>
    <w:basedOn w:val="Normal"/>
    <w:rsid w:val="008852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A7F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256881">
      <w:bodyDiv w:val="1"/>
      <w:marLeft w:val="0"/>
      <w:marRight w:val="0"/>
      <w:marTop w:val="0"/>
      <w:marBottom w:val="0"/>
      <w:divBdr>
        <w:top w:val="none" w:sz="0" w:space="0" w:color="auto"/>
        <w:left w:val="none" w:sz="0" w:space="0" w:color="auto"/>
        <w:bottom w:val="none" w:sz="0" w:space="0" w:color="auto"/>
        <w:right w:val="none" w:sz="0" w:space="0" w:color="auto"/>
      </w:divBdr>
      <w:divsChild>
        <w:div w:id="39939371">
          <w:marLeft w:val="0"/>
          <w:marRight w:val="0"/>
          <w:marTop w:val="0"/>
          <w:marBottom w:val="0"/>
          <w:divBdr>
            <w:top w:val="none" w:sz="0" w:space="0" w:color="auto"/>
            <w:left w:val="none" w:sz="0" w:space="0" w:color="auto"/>
            <w:bottom w:val="none" w:sz="0" w:space="0" w:color="auto"/>
            <w:right w:val="none" w:sz="0" w:space="0" w:color="auto"/>
          </w:divBdr>
        </w:div>
        <w:div w:id="49428975">
          <w:marLeft w:val="0"/>
          <w:marRight w:val="0"/>
          <w:marTop w:val="0"/>
          <w:marBottom w:val="0"/>
          <w:divBdr>
            <w:top w:val="none" w:sz="0" w:space="0" w:color="auto"/>
            <w:left w:val="none" w:sz="0" w:space="0" w:color="auto"/>
            <w:bottom w:val="none" w:sz="0" w:space="0" w:color="auto"/>
            <w:right w:val="none" w:sz="0" w:space="0" w:color="auto"/>
          </w:divBdr>
        </w:div>
        <w:div w:id="64767977">
          <w:marLeft w:val="0"/>
          <w:marRight w:val="0"/>
          <w:marTop w:val="0"/>
          <w:marBottom w:val="0"/>
          <w:divBdr>
            <w:top w:val="none" w:sz="0" w:space="0" w:color="auto"/>
            <w:left w:val="none" w:sz="0" w:space="0" w:color="auto"/>
            <w:bottom w:val="none" w:sz="0" w:space="0" w:color="auto"/>
            <w:right w:val="none" w:sz="0" w:space="0" w:color="auto"/>
          </w:divBdr>
        </w:div>
        <w:div w:id="70932107">
          <w:marLeft w:val="0"/>
          <w:marRight w:val="0"/>
          <w:marTop w:val="0"/>
          <w:marBottom w:val="0"/>
          <w:divBdr>
            <w:top w:val="none" w:sz="0" w:space="0" w:color="auto"/>
            <w:left w:val="none" w:sz="0" w:space="0" w:color="auto"/>
            <w:bottom w:val="none" w:sz="0" w:space="0" w:color="auto"/>
            <w:right w:val="none" w:sz="0" w:space="0" w:color="auto"/>
          </w:divBdr>
        </w:div>
        <w:div w:id="81412655">
          <w:marLeft w:val="0"/>
          <w:marRight w:val="0"/>
          <w:marTop w:val="0"/>
          <w:marBottom w:val="0"/>
          <w:divBdr>
            <w:top w:val="none" w:sz="0" w:space="0" w:color="auto"/>
            <w:left w:val="none" w:sz="0" w:space="0" w:color="auto"/>
            <w:bottom w:val="none" w:sz="0" w:space="0" w:color="auto"/>
            <w:right w:val="none" w:sz="0" w:space="0" w:color="auto"/>
          </w:divBdr>
        </w:div>
        <w:div w:id="87700640">
          <w:marLeft w:val="0"/>
          <w:marRight w:val="0"/>
          <w:marTop w:val="0"/>
          <w:marBottom w:val="0"/>
          <w:divBdr>
            <w:top w:val="none" w:sz="0" w:space="0" w:color="auto"/>
            <w:left w:val="none" w:sz="0" w:space="0" w:color="auto"/>
            <w:bottom w:val="none" w:sz="0" w:space="0" w:color="auto"/>
            <w:right w:val="none" w:sz="0" w:space="0" w:color="auto"/>
          </w:divBdr>
        </w:div>
        <w:div w:id="101461476">
          <w:marLeft w:val="0"/>
          <w:marRight w:val="0"/>
          <w:marTop w:val="0"/>
          <w:marBottom w:val="0"/>
          <w:divBdr>
            <w:top w:val="none" w:sz="0" w:space="0" w:color="auto"/>
            <w:left w:val="none" w:sz="0" w:space="0" w:color="auto"/>
            <w:bottom w:val="none" w:sz="0" w:space="0" w:color="auto"/>
            <w:right w:val="none" w:sz="0" w:space="0" w:color="auto"/>
          </w:divBdr>
        </w:div>
        <w:div w:id="125582758">
          <w:marLeft w:val="0"/>
          <w:marRight w:val="0"/>
          <w:marTop w:val="0"/>
          <w:marBottom w:val="0"/>
          <w:divBdr>
            <w:top w:val="none" w:sz="0" w:space="0" w:color="auto"/>
            <w:left w:val="none" w:sz="0" w:space="0" w:color="auto"/>
            <w:bottom w:val="none" w:sz="0" w:space="0" w:color="auto"/>
            <w:right w:val="none" w:sz="0" w:space="0" w:color="auto"/>
          </w:divBdr>
        </w:div>
        <w:div w:id="126899000">
          <w:marLeft w:val="0"/>
          <w:marRight w:val="0"/>
          <w:marTop w:val="0"/>
          <w:marBottom w:val="0"/>
          <w:divBdr>
            <w:top w:val="none" w:sz="0" w:space="0" w:color="auto"/>
            <w:left w:val="none" w:sz="0" w:space="0" w:color="auto"/>
            <w:bottom w:val="none" w:sz="0" w:space="0" w:color="auto"/>
            <w:right w:val="none" w:sz="0" w:space="0" w:color="auto"/>
          </w:divBdr>
        </w:div>
        <w:div w:id="136143592">
          <w:marLeft w:val="0"/>
          <w:marRight w:val="0"/>
          <w:marTop w:val="0"/>
          <w:marBottom w:val="0"/>
          <w:divBdr>
            <w:top w:val="none" w:sz="0" w:space="0" w:color="auto"/>
            <w:left w:val="none" w:sz="0" w:space="0" w:color="auto"/>
            <w:bottom w:val="none" w:sz="0" w:space="0" w:color="auto"/>
            <w:right w:val="none" w:sz="0" w:space="0" w:color="auto"/>
          </w:divBdr>
        </w:div>
        <w:div w:id="137697985">
          <w:marLeft w:val="0"/>
          <w:marRight w:val="0"/>
          <w:marTop w:val="0"/>
          <w:marBottom w:val="0"/>
          <w:divBdr>
            <w:top w:val="none" w:sz="0" w:space="0" w:color="auto"/>
            <w:left w:val="none" w:sz="0" w:space="0" w:color="auto"/>
            <w:bottom w:val="none" w:sz="0" w:space="0" w:color="auto"/>
            <w:right w:val="none" w:sz="0" w:space="0" w:color="auto"/>
          </w:divBdr>
        </w:div>
        <w:div w:id="142238025">
          <w:marLeft w:val="0"/>
          <w:marRight w:val="0"/>
          <w:marTop w:val="0"/>
          <w:marBottom w:val="0"/>
          <w:divBdr>
            <w:top w:val="none" w:sz="0" w:space="0" w:color="auto"/>
            <w:left w:val="none" w:sz="0" w:space="0" w:color="auto"/>
            <w:bottom w:val="none" w:sz="0" w:space="0" w:color="auto"/>
            <w:right w:val="none" w:sz="0" w:space="0" w:color="auto"/>
          </w:divBdr>
          <w:divsChild>
            <w:div w:id="29916787">
              <w:marLeft w:val="0"/>
              <w:marRight w:val="0"/>
              <w:marTop w:val="0"/>
              <w:marBottom w:val="0"/>
              <w:divBdr>
                <w:top w:val="none" w:sz="0" w:space="0" w:color="auto"/>
                <w:left w:val="none" w:sz="0" w:space="0" w:color="auto"/>
                <w:bottom w:val="none" w:sz="0" w:space="0" w:color="auto"/>
                <w:right w:val="none" w:sz="0" w:space="0" w:color="auto"/>
              </w:divBdr>
            </w:div>
            <w:div w:id="262423242">
              <w:marLeft w:val="0"/>
              <w:marRight w:val="0"/>
              <w:marTop w:val="0"/>
              <w:marBottom w:val="0"/>
              <w:divBdr>
                <w:top w:val="none" w:sz="0" w:space="0" w:color="auto"/>
                <w:left w:val="none" w:sz="0" w:space="0" w:color="auto"/>
                <w:bottom w:val="none" w:sz="0" w:space="0" w:color="auto"/>
                <w:right w:val="none" w:sz="0" w:space="0" w:color="auto"/>
              </w:divBdr>
            </w:div>
            <w:div w:id="628709496">
              <w:marLeft w:val="0"/>
              <w:marRight w:val="0"/>
              <w:marTop w:val="0"/>
              <w:marBottom w:val="0"/>
              <w:divBdr>
                <w:top w:val="none" w:sz="0" w:space="0" w:color="auto"/>
                <w:left w:val="none" w:sz="0" w:space="0" w:color="auto"/>
                <w:bottom w:val="none" w:sz="0" w:space="0" w:color="auto"/>
                <w:right w:val="none" w:sz="0" w:space="0" w:color="auto"/>
              </w:divBdr>
            </w:div>
            <w:div w:id="1074401497">
              <w:marLeft w:val="0"/>
              <w:marRight w:val="0"/>
              <w:marTop w:val="0"/>
              <w:marBottom w:val="0"/>
              <w:divBdr>
                <w:top w:val="none" w:sz="0" w:space="0" w:color="auto"/>
                <w:left w:val="none" w:sz="0" w:space="0" w:color="auto"/>
                <w:bottom w:val="none" w:sz="0" w:space="0" w:color="auto"/>
                <w:right w:val="none" w:sz="0" w:space="0" w:color="auto"/>
              </w:divBdr>
            </w:div>
            <w:div w:id="1256130692">
              <w:marLeft w:val="0"/>
              <w:marRight w:val="0"/>
              <w:marTop w:val="0"/>
              <w:marBottom w:val="0"/>
              <w:divBdr>
                <w:top w:val="none" w:sz="0" w:space="0" w:color="auto"/>
                <w:left w:val="none" w:sz="0" w:space="0" w:color="auto"/>
                <w:bottom w:val="none" w:sz="0" w:space="0" w:color="auto"/>
                <w:right w:val="none" w:sz="0" w:space="0" w:color="auto"/>
              </w:divBdr>
            </w:div>
            <w:div w:id="1324357654">
              <w:marLeft w:val="0"/>
              <w:marRight w:val="0"/>
              <w:marTop w:val="0"/>
              <w:marBottom w:val="0"/>
              <w:divBdr>
                <w:top w:val="none" w:sz="0" w:space="0" w:color="auto"/>
                <w:left w:val="none" w:sz="0" w:space="0" w:color="auto"/>
                <w:bottom w:val="none" w:sz="0" w:space="0" w:color="auto"/>
                <w:right w:val="none" w:sz="0" w:space="0" w:color="auto"/>
              </w:divBdr>
            </w:div>
            <w:div w:id="1357081514">
              <w:marLeft w:val="0"/>
              <w:marRight w:val="0"/>
              <w:marTop w:val="0"/>
              <w:marBottom w:val="0"/>
              <w:divBdr>
                <w:top w:val="none" w:sz="0" w:space="0" w:color="auto"/>
                <w:left w:val="none" w:sz="0" w:space="0" w:color="auto"/>
                <w:bottom w:val="none" w:sz="0" w:space="0" w:color="auto"/>
                <w:right w:val="none" w:sz="0" w:space="0" w:color="auto"/>
              </w:divBdr>
            </w:div>
            <w:div w:id="1658917608">
              <w:marLeft w:val="0"/>
              <w:marRight w:val="0"/>
              <w:marTop w:val="0"/>
              <w:marBottom w:val="0"/>
              <w:divBdr>
                <w:top w:val="none" w:sz="0" w:space="0" w:color="auto"/>
                <w:left w:val="none" w:sz="0" w:space="0" w:color="auto"/>
                <w:bottom w:val="none" w:sz="0" w:space="0" w:color="auto"/>
                <w:right w:val="none" w:sz="0" w:space="0" w:color="auto"/>
              </w:divBdr>
            </w:div>
            <w:div w:id="1905872778">
              <w:marLeft w:val="0"/>
              <w:marRight w:val="0"/>
              <w:marTop w:val="0"/>
              <w:marBottom w:val="0"/>
              <w:divBdr>
                <w:top w:val="none" w:sz="0" w:space="0" w:color="auto"/>
                <w:left w:val="none" w:sz="0" w:space="0" w:color="auto"/>
                <w:bottom w:val="none" w:sz="0" w:space="0" w:color="auto"/>
                <w:right w:val="none" w:sz="0" w:space="0" w:color="auto"/>
              </w:divBdr>
            </w:div>
            <w:div w:id="2112778705">
              <w:marLeft w:val="0"/>
              <w:marRight w:val="0"/>
              <w:marTop w:val="0"/>
              <w:marBottom w:val="0"/>
              <w:divBdr>
                <w:top w:val="none" w:sz="0" w:space="0" w:color="auto"/>
                <w:left w:val="none" w:sz="0" w:space="0" w:color="auto"/>
                <w:bottom w:val="none" w:sz="0" w:space="0" w:color="auto"/>
                <w:right w:val="none" w:sz="0" w:space="0" w:color="auto"/>
              </w:divBdr>
            </w:div>
          </w:divsChild>
        </w:div>
        <w:div w:id="167405056">
          <w:marLeft w:val="0"/>
          <w:marRight w:val="0"/>
          <w:marTop w:val="0"/>
          <w:marBottom w:val="0"/>
          <w:divBdr>
            <w:top w:val="none" w:sz="0" w:space="0" w:color="auto"/>
            <w:left w:val="none" w:sz="0" w:space="0" w:color="auto"/>
            <w:bottom w:val="none" w:sz="0" w:space="0" w:color="auto"/>
            <w:right w:val="none" w:sz="0" w:space="0" w:color="auto"/>
          </w:divBdr>
        </w:div>
        <w:div w:id="170340404">
          <w:marLeft w:val="0"/>
          <w:marRight w:val="0"/>
          <w:marTop w:val="0"/>
          <w:marBottom w:val="0"/>
          <w:divBdr>
            <w:top w:val="none" w:sz="0" w:space="0" w:color="auto"/>
            <w:left w:val="none" w:sz="0" w:space="0" w:color="auto"/>
            <w:bottom w:val="none" w:sz="0" w:space="0" w:color="auto"/>
            <w:right w:val="none" w:sz="0" w:space="0" w:color="auto"/>
          </w:divBdr>
        </w:div>
        <w:div w:id="170535495">
          <w:marLeft w:val="0"/>
          <w:marRight w:val="0"/>
          <w:marTop w:val="0"/>
          <w:marBottom w:val="0"/>
          <w:divBdr>
            <w:top w:val="none" w:sz="0" w:space="0" w:color="auto"/>
            <w:left w:val="none" w:sz="0" w:space="0" w:color="auto"/>
            <w:bottom w:val="none" w:sz="0" w:space="0" w:color="auto"/>
            <w:right w:val="none" w:sz="0" w:space="0" w:color="auto"/>
          </w:divBdr>
        </w:div>
        <w:div w:id="188490440">
          <w:marLeft w:val="0"/>
          <w:marRight w:val="0"/>
          <w:marTop w:val="0"/>
          <w:marBottom w:val="0"/>
          <w:divBdr>
            <w:top w:val="none" w:sz="0" w:space="0" w:color="auto"/>
            <w:left w:val="none" w:sz="0" w:space="0" w:color="auto"/>
            <w:bottom w:val="none" w:sz="0" w:space="0" w:color="auto"/>
            <w:right w:val="none" w:sz="0" w:space="0" w:color="auto"/>
          </w:divBdr>
          <w:divsChild>
            <w:div w:id="729881714">
              <w:marLeft w:val="0"/>
              <w:marRight w:val="0"/>
              <w:marTop w:val="0"/>
              <w:marBottom w:val="0"/>
              <w:divBdr>
                <w:top w:val="none" w:sz="0" w:space="0" w:color="auto"/>
                <w:left w:val="none" w:sz="0" w:space="0" w:color="auto"/>
                <w:bottom w:val="none" w:sz="0" w:space="0" w:color="auto"/>
                <w:right w:val="none" w:sz="0" w:space="0" w:color="auto"/>
              </w:divBdr>
            </w:div>
            <w:div w:id="766538481">
              <w:marLeft w:val="0"/>
              <w:marRight w:val="0"/>
              <w:marTop w:val="0"/>
              <w:marBottom w:val="0"/>
              <w:divBdr>
                <w:top w:val="none" w:sz="0" w:space="0" w:color="auto"/>
                <w:left w:val="none" w:sz="0" w:space="0" w:color="auto"/>
                <w:bottom w:val="none" w:sz="0" w:space="0" w:color="auto"/>
                <w:right w:val="none" w:sz="0" w:space="0" w:color="auto"/>
              </w:divBdr>
            </w:div>
            <w:div w:id="829177416">
              <w:marLeft w:val="0"/>
              <w:marRight w:val="0"/>
              <w:marTop w:val="0"/>
              <w:marBottom w:val="0"/>
              <w:divBdr>
                <w:top w:val="none" w:sz="0" w:space="0" w:color="auto"/>
                <w:left w:val="none" w:sz="0" w:space="0" w:color="auto"/>
                <w:bottom w:val="none" w:sz="0" w:space="0" w:color="auto"/>
                <w:right w:val="none" w:sz="0" w:space="0" w:color="auto"/>
              </w:divBdr>
            </w:div>
            <w:div w:id="843859545">
              <w:marLeft w:val="0"/>
              <w:marRight w:val="0"/>
              <w:marTop w:val="0"/>
              <w:marBottom w:val="0"/>
              <w:divBdr>
                <w:top w:val="none" w:sz="0" w:space="0" w:color="auto"/>
                <w:left w:val="none" w:sz="0" w:space="0" w:color="auto"/>
                <w:bottom w:val="none" w:sz="0" w:space="0" w:color="auto"/>
                <w:right w:val="none" w:sz="0" w:space="0" w:color="auto"/>
              </w:divBdr>
            </w:div>
            <w:div w:id="1047534723">
              <w:marLeft w:val="0"/>
              <w:marRight w:val="0"/>
              <w:marTop w:val="0"/>
              <w:marBottom w:val="0"/>
              <w:divBdr>
                <w:top w:val="none" w:sz="0" w:space="0" w:color="auto"/>
                <w:left w:val="none" w:sz="0" w:space="0" w:color="auto"/>
                <w:bottom w:val="none" w:sz="0" w:space="0" w:color="auto"/>
                <w:right w:val="none" w:sz="0" w:space="0" w:color="auto"/>
              </w:divBdr>
            </w:div>
            <w:div w:id="1056201283">
              <w:marLeft w:val="0"/>
              <w:marRight w:val="0"/>
              <w:marTop w:val="0"/>
              <w:marBottom w:val="0"/>
              <w:divBdr>
                <w:top w:val="none" w:sz="0" w:space="0" w:color="auto"/>
                <w:left w:val="none" w:sz="0" w:space="0" w:color="auto"/>
                <w:bottom w:val="none" w:sz="0" w:space="0" w:color="auto"/>
                <w:right w:val="none" w:sz="0" w:space="0" w:color="auto"/>
              </w:divBdr>
            </w:div>
            <w:div w:id="1279946881">
              <w:marLeft w:val="0"/>
              <w:marRight w:val="0"/>
              <w:marTop w:val="0"/>
              <w:marBottom w:val="0"/>
              <w:divBdr>
                <w:top w:val="none" w:sz="0" w:space="0" w:color="auto"/>
                <w:left w:val="none" w:sz="0" w:space="0" w:color="auto"/>
                <w:bottom w:val="none" w:sz="0" w:space="0" w:color="auto"/>
                <w:right w:val="none" w:sz="0" w:space="0" w:color="auto"/>
              </w:divBdr>
            </w:div>
            <w:div w:id="1589729172">
              <w:marLeft w:val="0"/>
              <w:marRight w:val="0"/>
              <w:marTop w:val="0"/>
              <w:marBottom w:val="0"/>
              <w:divBdr>
                <w:top w:val="none" w:sz="0" w:space="0" w:color="auto"/>
                <w:left w:val="none" w:sz="0" w:space="0" w:color="auto"/>
                <w:bottom w:val="none" w:sz="0" w:space="0" w:color="auto"/>
                <w:right w:val="none" w:sz="0" w:space="0" w:color="auto"/>
              </w:divBdr>
            </w:div>
            <w:div w:id="1663779531">
              <w:marLeft w:val="0"/>
              <w:marRight w:val="0"/>
              <w:marTop w:val="0"/>
              <w:marBottom w:val="0"/>
              <w:divBdr>
                <w:top w:val="none" w:sz="0" w:space="0" w:color="auto"/>
                <w:left w:val="none" w:sz="0" w:space="0" w:color="auto"/>
                <w:bottom w:val="none" w:sz="0" w:space="0" w:color="auto"/>
                <w:right w:val="none" w:sz="0" w:space="0" w:color="auto"/>
              </w:divBdr>
            </w:div>
            <w:div w:id="1679309577">
              <w:marLeft w:val="0"/>
              <w:marRight w:val="0"/>
              <w:marTop w:val="0"/>
              <w:marBottom w:val="0"/>
              <w:divBdr>
                <w:top w:val="none" w:sz="0" w:space="0" w:color="auto"/>
                <w:left w:val="none" w:sz="0" w:space="0" w:color="auto"/>
                <w:bottom w:val="none" w:sz="0" w:space="0" w:color="auto"/>
                <w:right w:val="none" w:sz="0" w:space="0" w:color="auto"/>
              </w:divBdr>
            </w:div>
            <w:div w:id="1684282768">
              <w:marLeft w:val="0"/>
              <w:marRight w:val="0"/>
              <w:marTop w:val="0"/>
              <w:marBottom w:val="0"/>
              <w:divBdr>
                <w:top w:val="none" w:sz="0" w:space="0" w:color="auto"/>
                <w:left w:val="none" w:sz="0" w:space="0" w:color="auto"/>
                <w:bottom w:val="none" w:sz="0" w:space="0" w:color="auto"/>
                <w:right w:val="none" w:sz="0" w:space="0" w:color="auto"/>
              </w:divBdr>
            </w:div>
            <w:div w:id="1847132605">
              <w:marLeft w:val="0"/>
              <w:marRight w:val="0"/>
              <w:marTop w:val="0"/>
              <w:marBottom w:val="0"/>
              <w:divBdr>
                <w:top w:val="none" w:sz="0" w:space="0" w:color="auto"/>
                <w:left w:val="none" w:sz="0" w:space="0" w:color="auto"/>
                <w:bottom w:val="none" w:sz="0" w:space="0" w:color="auto"/>
                <w:right w:val="none" w:sz="0" w:space="0" w:color="auto"/>
              </w:divBdr>
            </w:div>
          </w:divsChild>
        </w:div>
        <w:div w:id="198319551">
          <w:marLeft w:val="0"/>
          <w:marRight w:val="0"/>
          <w:marTop w:val="0"/>
          <w:marBottom w:val="0"/>
          <w:divBdr>
            <w:top w:val="none" w:sz="0" w:space="0" w:color="auto"/>
            <w:left w:val="none" w:sz="0" w:space="0" w:color="auto"/>
            <w:bottom w:val="none" w:sz="0" w:space="0" w:color="auto"/>
            <w:right w:val="none" w:sz="0" w:space="0" w:color="auto"/>
          </w:divBdr>
        </w:div>
        <w:div w:id="208762823">
          <w:marLeft w:val="0"/>
          <w:marRight w:val="0"/>
          <w:marTop w:val="0"/>
          <w:marBottom w:val="0"/>
          <w:divBdr>
            <w:top w:val="none" w:sz="0" w:space="0" w:color="auto"/>
            <w:left w:val="none" w:sz="0" w:space="0" w:color="auto"/>
            <w:bottom w:val="none" w:sz="0" w:space="0" w:color="auto"/>
            <w:right w:val="none" w:sz="0" w:space="0" w:color="auto"/>
          </w:divBdr>
        </w:div>
        <w:div w:id="211236191">
          <w:marLeft w:val="0"/>
          <w:marRight w:val="0"/>
          <w:marTop w:val="0"/>
          <w:marBottom w:val="0"/>
          <w:divBdr>
            <w:top w:val="none" w:sz="0" w:space="0" w:color="auto"/>
            <w:left w:val="none" w:sz="0" w:space="0" w:color="auto"/>
            <w:bottom w:val="none" w:sz="0" w:space="0" w:color="auto"/>
            <w:right w:val="none" w:sz="0" w:space="0" w:color="auto"/>
          </w:divBdr>
        </w:div>
        <w:div w:id="218053620">
          <w:marLeft w:val="0"/>
          <w:marRight w:val="0"/>
          <w:marTop w:val="0"/>
          <w:marBottom w:val="0"/>
          <w:divBdr>
            <w:top w:val="none" w:sz="0" w:space="0" w:color="auto"/>
            <w:left w:val="none" w:sz="0" w:space="0" w:color="auto"/>
            <w:bottom w:val="none" w:sz="0" w:space="0" w:color="auto"/>
            <w:right w:val="none" w:sz="0" w:space="0" w:color="auto"/>
          </w:divBdr>
        </w:div>
        <w:div w:id="218438674">
          <w:marLeft w:val="0"/>
          <w:marRight w:val="0"/>
          <w:marTop w:val="0"/>
          <w:marBottom w:val="0"/>
          <w:divBdr>
            <w:top w:val="none" w:sz="0" w:space="0" w:color="auto"/>
            <w:left w:val="none" w:sz="0" w:space="0" w:color="auto"/>
            <w:bottom w:val="none" w:sz="0" w:space="0" w:color="auto"/>
            <w:right w:val="none" w:sz="0" w:space="0" w:color="auto"/>
          </w:divBdr>
        </w:div>
        <w:div w:id="219947360">
          <w:marLeft w:val="0"/>
          <w:marRight w:val="0"/>
          <w:marTop w:val="0"/>
          <w:marBottom w:val="0"/>
          <w:divBdr>
            <w:top w:val="none" w:sz="0" w:space="0" w:color="auto"/>
            <w:left w:val="none" w:sz="0" w:space="0" w:color="auto"/>
            <w:bottom w:val="none" w:sz="0" w:space="0" w:color="auto"/>
            <w:right w:val="none" w:sz="0" w:space="0" w:color="auto"/>
          </w:divBdr>
        </w:div>
        <w:div w:id="263465173">
          <w:marLeft w:val="0"/>
          <w:marRight w:val="0"/>
          <w:marTop w:val="0"/>
          <w:marBottom w:val="0"/>
          <w:divBdr>
            <w:top w:val="none" w:sz="0" w:space="0" w:color="auto"/>
            <w:left w:val="none" w:sz="0" w:space="0" w:color="auto"/>
            <w:bottom w:val="none" w:sz="0" w:space="0" w:color="auto"/>
            <w:right w:val="none" w:sz="0" w:space="0" w:color="auto"/>
          </w:divBdr>
        </w:div>
        <w:div w:id="266350570">
          <w:marLeft w:val="0"/>
          <w:marRight w:val="0"/>
          <w:marTop w:val="0"/>
          <w:marBottom w:val="0"/>
          <w:divBdr>
            <w:top w:val="none" w:sz="0" w:space="0" w:color="auto"/>
            <w:left w:val="none" w:sz="0" w:space="0" w:color="auto"/>
            <w:bottom w:val="none" w:sz="0" w:space="0" w:color="auto"/>
            <w:right w:val="none" w:sz="0" w:space="0" w:color="auto"/>
          </w:divBdr>
        </w:div>
        <w:div w:id="286745856">
          <w:marLeft w:val="0"/>
          <w:marRight w:val="0"/>
          <w:marTop w:val="0"/>
          <w:marBottom w:val="0"/>
          <w:divBdr>
            <w:top w:val="none" w:sz="0" w:space="0" w:color="auto"/>
            <w:left w:val="none" w:sz="0" w:space="0" w:color="auto"/>
            <w:bottom w:val="none" w:sz="0" w:space="0" w:color="auto"/>
            <w:right w:val="none" w:sz="0" w:space="0" w:color="auto"/>
          </w:divBdr>
        </w:div>
        <w:div w:id="299964717">
          <w:marLeft w:val="0"/>
          <w:marRight w:val="0"/>
          <w:marTop w:val="0"/>
          <w:marBottom w:val="0"/>
          <w:divBdr>
            <w:top w:val="none" w:sz="0" w:space="0" w:color="auto"/>
            <w:left w:val="none" w:sz="0" w:space="0" w:color="auto"/>
            <w:bottom w:val="none" w:sz="0" w:space="0" w:color="auto"/>
            <w:right w:val="none" w:sz="0" w:space="0" w:color="auto"/>
          </w:divBdr>
        </w:div>
        <w:div w:id="315763310">
          <w:marLeft w:val="0"/>
          <w:marRight w:val="0"/>
          <w:marTop w:val="0"/>
          <w:marBottom w:val="0"/>
          <w:divBdr>
            <w:top w:val="none" w:sz="0" w:space="0" w:color="auto"/>
            <w:left w:val="none" w:sz="0" w:space="0" w:color="auto"/>
            <w:bottom w:val="none" w:sz="0" w:space="0" w:color="auto"/>
            <w:right w:val="none" w:sz="0" w:space="0" w:color="auto"/>
          </w:divBdr>
        </w:div>
        <w:div w:id="325715763">
          <w:marLeft w:val="0"/>
          <w:marRight w:val="0"/>
          <w:marTop w:val="0"/>
          <w:marBottom w:val="0"/>
          <w:divBdr>
            <w:top w:val="none" w:sz="0" w:space="0" w:color="auto"/>
            <w:left w:val="none" w:sz="0" w:space="0" w:color="auto"/>
            <w:bottom w:val="none" w:sz="0" w:space="0" w:color="auto"/>
            <w:right w:val="none" w:sz="0" w:space="0" w:color="auto"/>
          </w:divBdr>
        </w:div>
        <w:div w:id="345376262">
          <w:marLeft w:val="0"/>
          <w:marRight w:val="0"/>
          <w:marTop w:val="0"/>
          <w:marBottom w:val="0"/>
          <w:divBdr>
            <w:top w:val="none" w:sz="0" w:space="0" w:color="auto"/>
            <w:left w:val="none" w:sz="0" w:space="0" w:color="auto"/>
            <w:bottom w:val="none" w:sz="0" w:space="0" w:color="auto"/>
            <w:right w:val="none" w:sz="0" w:space="0" w:color="auto"/>
          </w:divBdr>
        </w:div>
        <w:div w:id="370572119">
          <w:marLeft w:val="0"/>
          <w:marRight w:val="0"/>
          <w:marTop w:val="0"/>
          <w:marBottom w:val="0"/>
          <w:divBdr>
            <w:top w:val="none" w:sz="0" w:space="0" w:color="auto"/>
            <w:left w:val="none" w:sz="0" w:space="0" w:color="auto"/>
            <w:bottom w:val="none" w:sz="0" w:space="0" w:color="auto"/>
            <w:right w:val="none" w:sz="0" w:space="0" w:color="auto"/>
          </w:divBdr>
        </w:div>
        <w:div w:id="389429560">
          <w:marLeft w:val="0"/>
          <w:marRight w:val="0"/>
          <w:marTop w:val="0"/>
          <w:marBottom w:val="0"/>
          <w:divBdr>
            <w:top w:val="none" w:sz="0" w:space="0" w:color="auto"/>
            <w:left w:val="none" w:sz="0" w:space="0" w:color="auto"/>
            <w:bottom w:val="none" w:sz="0" w:space="0" w:color="auto"/>
            <w:right w:val="none" w:sz="0" w:space="0" w:color="auto"/>
          </w:divBdr>
        </w:div>
        <w:div w:id="395671260">
          <w:marLeft w:val="0"/>
          <w:marRight w:val="0"/>
          <w:marTop w:val="0"/>
          <w:marBottom w:val="0"/>
          <w:divBdr>
            <w:top w:val="none" w:sz="0" w:space="0" w:color="auto"/>
            <w:left w:val="none" w:sz="0" w:space="0" w:color="auto"/>
            <w:bottom w:val="none" w:sz="0" w:space="0" w:color="auto"/>
            <w:right w:val="none" w:sz="0" w:space="0" w:color="auto"/>
          </w:divBdr>
        </w:div>
        <w:div w:id="434595595">
          <w:marLeft w:val="0"/>
          <w:marRight w:val="0"/>
          <w:marTop w:val="0"/>
          <w:marBottom w:val="0"/>
          <w:divBdr>
            <w:top w:val="none" w:sz="0" w:space="0" w:color="auto"/>
            <w:left w:val="none" w:sz="0" w:space="0" w:color="auto"/>
            <w:bottom w:val="none" w:sz="0" w:space="0" w:color="auto"/>
            <w:right w:val="none" w:sz="0" w:space="0" w:color="auto"/>
          </w:divBdr>
        </w:div>
        <w:div w:id="446000071">
          <w:marLeft w:val="0"/>
          <w:marRight w:val="0"/>
          <w:marTop w:val="0"/>
          <w:marBottom w:val="0"/>
          <w:divBdr>
            <w:top w:val="none" w:sz="0" w:space="0" w:color="auto"/>
            <w:left w:val="none" w:sz="0" w:space="0" w:color="auto"/>
            <w:bottom w:val="none" w:sz="0" w:space="0" w:color="auto"/>
            <w:right w:val="none" w:sz="0" w:space="0" w:color="auto"/>
          </w:divBdr>
        </w:div>
        <w:div w:id="453984532">
          <w:marLeft w:val="0"/>
          <w:marRight w:val="0"/>
          <w:marTop w:val="0"/>
          <w:marBottom w:val="0"/>
          <w:divBdr>
            <w:top w:val="none" w:sz="0" w:space="0" w:color="auto"/>
            <w:left w:val="none" w:sz="0" w:space="0" w:color="auto"/>
            <w:bottom w:val="none" w:sz="0" w:space="0" w:color="auto"/>
            <w:right w:val="none" w:sz="0" w:space="0" w:color="auto"/>
          </w:divBdr>
        </w:div>
        <w:div w:id="481196064">
          <w:marLeft w:val="0"/>
          <w:marRight w:val="0"/>
          <w:marTop w:val="0"/>
          <w:marBottom w:val="0"/>
          <w:divBdr>
            <w:top w:val="none" w:sz="0" w:space="0" w:color="auto"/>
            <w:left w:val="none" w:sz="0" w:space="0" w:color="auto"/>
            <w:bottom w:val="none" w:sz="0" w:space="0" w:color="auto"/>
            <w:right w:val="none" w:sz="0" w:space="0" w:color="auto"/>
          </w:divBdr>
        </w:div>
        <w:div w:id="487064792">
          <w:marLeft w:val="0"/>
          <w:marRight w:val="0"/>
          <w:marTop w:val="0"/>
          <w:marBottom w:val="0"/>
          <w:divBdr>
            <w:top w:val="none" w:sz="0" w:space="0" w:color="auto"/>
            <w:left w:val="none" w:sz="0" w:space="0" w:color="auto"/>
            <w:bottom w:val="none" w:sz="0" w:space="0" w:color="auto"/>
            <w:right w:val="none" w:sz="0" w:space="0" w:color="auto"/>
          </w:divBdr>
        </w:div>
        <w:div w:id="527643982">
          <w:marLeft w:val="0"/>
          <w:marRight w:val="0"/>
          <w:marTop w:val="0"/>
          <w:marBottom w:val="0"/>
          <w:divBdr>
            <w:top w:val="none" w:sz="0" w:space="0" w:color="auto"/>
            <w:left w:val="none" w:sz="0" w:space="0" w:color="auto"/>
            <w:bottom w:val="none" w:sz="0" w:space="0" w:color="auto"/>
            <w:right w:val="none" w:sz="0" w:space="0" w:color="auto"/>
          </w:divBdr>
        </w:div>
        <w:div w:id="577445933">
          <w:marLeft w:val="0"/>
          <w:marRight w:val="0"/>
          <w:marTop w:val="0"/>
          <w:marBottom w:val="0"/>
          <w:divBdr>
            <w:top w:val="none" w:sz="0" w:space="0" w:color="auto"/>
            <w:left w:val="none" w:sz="0" w:space="0" w:color="auto"/>
            <w:bottom w:val="none" w:sz="0" w:space="0" w:color="auto"/>
            <w:right w:val="none" w:sz="0" w:space="0" w:color="auto"/>
          </w:divBdr>
        </w:div>
        <w:div w:id="605620018">
          <w:marLeft w:val="0"/>
          <w:marRight w:val="0"/>
          <w:marTop w:val="0"/>
          <w:marBottom w:val="0"/>
          <w:divBdr>
            <w:top w:val="none" w:sz="0" w:space="0" w:color="auto"/>
            <w:left w:val="none" w:sz="0" w:space="0" w:color="auto"/>
            <w:bottom w:val="none" w:sz="0" w:space="0" w:color="auto"/>
            <w:right w:val="none" w:sz="0" w:space="0" w:color="auto"/>
          </w:divBdr>
        </w:div>
        <w:div w:id="606079762">
          <w:marLeft w:val="0"/>
          <w:marRight w:val="0"/>
          <w:marTop w:val="0"/>
          <w:marBottom w:val="0"/>
          <w:divBdr>
            <w:top w:val="none" w:sz="0" w:space="0" w:color="auto"/>
            <w:left w:val="none" w:sz="0" w:space="0" w:color="auto"/>
            <w:bottom w:val="none" w:sz="0" w:space="0" w:color="auto"/>
            <w:right w:val="none" w:sz="0" w:space="0" w:color="auto"/>
          </w:divBdr>
        </w:div>
        <w:div w:id="620111859">
          <w:marLeft w:val="0"/>
          <w:marRight w:val="0"/>
          <w:marTop w:val="0"/>
          <w:marBottom w:val="0"/>
          <w:divBdr>
            <w:top w:val="none" w:sz="0" w:space="0" w:color="auto"/>
            <w:left w:val="none" w:sz="0" w:space="0" w:color="auto"/>
            <w:bottom w:val="none" w:sz="0" w:space="0" w:color="auto"/>
            <w:right w:val="none" w:sz="0" w:space="0" w:color="auto"/>
          </w:divBdr>
        </w:div>
        <w:div w:id="636185256">
          <w:marLeft w:val="0"/>
          <w:marRight w:val="0"/>
          <w:marTop w:val="0"/>
          <w:marBottom w:val="0"/>
          <w:divBdr>
            <w:top w:val="none" w:sz="0" w:space="0" w:color="auto"/>
            <w:left w:val="none" w:sz="0" w:space="0" w:color="auto"/>
            <w:bottom w:val="none" w:sz="0" w:space="0" w:color="auto"/>
            <w:right w:val="none" w:sz="0" w:space="0" w:color="auto"/>
          </w:divBdr>
        </w:div>
        <w:div w:id="642318450">
          <w:marLeft w:val="0"/>
          <w:marRight w:val="0"/>
          <w:marTop w:val="0"/>
          <w:marBottom w:val="0"/>
          <w:divBdr>
            <w:top w:val="none" w:sz="0" w:space="0" w:color="auto"/>
            <w:left w:val="none" w:sz="0" w:space="0" w:color="auto"/>
            <w:bottom w:val="none" w:sz="0" w:space="0" w:color="auto"/>
            <w:right w:val="none" w:sz="0" w:space="0" w:color="auto"/>
          </w:divBdr>
        </w:div>
        <w:div w:id="642319314">
          <w:marLeft w:val="0"/>
          <w:marRight w:val="0"/>
          <w:marTop w:val="0"/>
          <w:marBottom w:val="0"/>
          <w:divBdr>
            <w:top w:val="none" w:sz="0" w:space="0" w:color="auto"/>
            <w:left w:val="none" w:sz="0" w:space="0" w:color="auto"/>
            <w:bottom w:val="none" w:sz="0" w:space="0" w:color="auto"/>
            <w:right w:val="none" w:sz="0" w:space="0" w:color="auto"/>
          </w:divBdr>
        </w:div>
        <w:div w:id="654990051">
          <w:marLeft w:val="0"/>
          <w:marRight w:val="0"/>
          <w:marTop w:val="0"/>
          <w:marBottom w:val="0"/>
          <w:divBdr>
            <w:top w:val="none" w:sz="0" w:space="0" w:color="auto"/>
            <w:left w:val="none" w:sz="0" w:space="0" w:color="auto"/>
            <w:bottom w:val="none" w:sz="0" w:space="0" w:color="auto"/>
            <w:right w:val="none" w:sz="0" w:space="0" w:color="auto"/>
          </w:divBdr>
        </w:div>
        <w:div w:id="665592026">
          <w:marLeft w:val="0"/>
          <w:marRight w:val="0"/>
          <w:marTop w:val="0"/>
          <w:marBottom w:val="0"/>
          <w:divBdr>
            <w:top w:val="none" w:sz="0" w:space="0" w:color="auto"/>
            <w:left w:val="none" w:sz="0" w:space="0" w:color="auto"/>
            <w:bottom w:val="none" w:sz="0" w:space="0" w:color="auto"/>
            <w:right w:val="none" w:sz="0" w:space="0" w:color="auto"/>
          </w:divBdr>
        </w:div>
        <w:div w:id="698094195">
          <w:marLeft w:val="0"/>
          <w:marRight w:val="0"/>
          <w:marTop w:val="0"/>
          <w:marBottom w:val="0"/>
          <w:divBdr>
            <w:top w:val="none" w:sz="0" w:space="0" w:color="auto"/>
            <w:left w:val="none" w:sz="0" w:space="0" w:color="auto"/>
            <w:bottom w:val="none" w:sz="0" w:space="0" w:color="auto"/>
            <w:right w:val="none" w:sz="0" w:space="0" w:color="auto"/>
          </w:divBdr>
        </w:div>
        <w:div w:id="699161555">
          <w:marLeft w:val="0"/>
          <w:marRight w:val="0"/>
          <w:marTop w:val="0"/>
          <w:marBottom w:val="0"/>
          <w:divBdr>
            <w:top w:val="none" w:sz="0" w:space="0" w:color="auto"/>
            <w:left w:val="none" w:sz="0" w:space="0" w:color="auto"/>
            <w:bottom w:val="none" w:sz="0" w:space="0" w:color="auto"/>
            <w:right w:val="none" w:sz="0" w:space="0" w:color="auto"/>
          </w:divBdr>
        </w:div>
        <w:div w:id="708409243">
          <w:marLeft w:val="0"/>
          <w:marRight w:val="0"/>
          <w:marTop w:val="0"/>
          <w:marBottom w:val="0"/>
          <w:divBdr>
            <w:top w:val="none" w:sz="0" w:space="0" w:color="auto"/>
            <w:left w:val="none" w:sz="0" w:space="0" w:color="auto"/>
            <w:bottom w:val="none" w:sz="0" w:space="0" w:color="auto"/>
            <w:right w:val="none" w:sz="0" w:space="0" w:color="auto"/>
          </w:divBdr>
        </w:div>
        <w:div w:id="733161533">
          <w:marLeft w:val="0"/>
          <w:marRight w:val="0"/>
          <w:marTop w:val="0"/>
          <w:marBottom w:val="0"/>
          <w:divBdr>
            <w:top w:val="none" w:sz="0" w:space="0" w:color="auto"/>
            <w:left w:val="none" w:sz="0" w:space="0" w:color="auto"/>
            <w:bottom w:val="none" w:sz="0" w:space="0" w:color="auto"/>
            <w:right w:val="none" w:sz="0" w:space="0" w:color="auto"/>
          </w:divBdr>
        </w:div>
        <w:div w:id="735786577">
          <w:marLeft w:val="0"/>
          <w:marRight w:val="0"/>
          <w:marTop w:val="0"/>
          <w:marBottom w:val="0"/>
          <w:divBdr>
            <w:top w:val="none" w:sz="0" w:space="0" w:color="auto"/>
            <w:left w:val="none" w:sz="0" w:space="0" w:color="auto"/>
            <w:bottom w:val="none" w:sz="0" w:space="0" w:color="auto"/>
            <w:right w:val="none" w:sz="0" w:space="0" w:color="auto"/>
          </w:divBdr>
        </w:div>
        <w:div w:id="740912251">
          <w:marLeft w:val="0"/>
          <w:marRight w:val="0"/>
          <w:marTop w:val="0"/>
          <w:marBottom w:val="0"/>
          <w:divBdr>
            <w:top w:val="none" w:sz="0" w:space="0" w:color="auto"/>
            <w:left w:val="none" w:sz="0" w:space="0" w:color="auto"/>
            <w:bottom w:val="none" w:sz="0" w:space="0" w:color="auto"/>
            <w:right w:val="none" w:sz="0" w:space="0" w:color="auto"/>
          </w:divBdr>
        </w:div>
        <w:div w:id="751588198">
          <w:marLeft w:val="0"/>
          <w:marRight w:val="0"/>
          <w:marTop w:val="0"/>
          <w:marBottom w:val="0"/>
          <w:divBdr>
            <w:top w:val="none" w:sz="0" w:space="0" w:color="auto"/>
            <w:left w:val="none" w:sz="0" w:space="0" w:color="auto"/>
            <w:bottom w:val="none" w:sz="0" w:space="0" w:color="auto"/>
            <w:right w:val="none" w:sz="0" w:space="0" w:color="auto"/>
          </w:divBdr>
        </w:div>
        <w:div w:id="759640619">
          <w:marLeft w:val="0"/>
          <w:marRight w:val="0"/>
          <w:marTop w:val="0"/>
          <w:marBottom w:val="0"/>
          <w:divBdr>
            <w:top w:val="none" w:sz="0" w:space="0" w:color="auto"/>
            <w:left w:val="none" w:sz="0" w:space="0" w:color="auto"/>
            <w:bottom w:val="none" w:sz="0" w:space="0" w:color="auto"/>
            <w:right w:val="none" w:sz="0" w:space="0" w:color="auto"/>
          </w:divBdr>
        </w:div>
        <w:div w:id="796602775">
          <w:marLeft w:val="0"/>
          <w:marRight w:val="0"/>
          <w:marTop w:val="0"/>
          <w:marBottom w:val="0"/>
          <w:divBdr>
            <w:top w:val="none" w:sz="0" w:space="0" w:color="auto"/>
            <w:left w:val="none" w:sz="0" w:space="0" w:color="auto"/>
            <w:bottom w:val="none" w:sz="0" w:space="0" w:color="auto"/>
            <w:right w:val="none" w:sz="0" w:space="0" w:color="auto"/>
          </w:divBdr>
        </w:div>
        <w:div w:id="796878730">
          <w:marLeft w:val="0"/>
          <w:marRight w:val="0"/>
          <w:marTop w:val="0"/>
          <w:marBottom w:val="0"/>
          <w:divBdr>
            <w:top w:val="none" w:sz="0" w:space="0" w:color="auto"/>
            <w:left w:val="none" w:sz="0" w:space="0" w:color="auto"/>
            <w:bottom w:val="none" w:sz="0" w:space="0" w:color="auto"/>
            <w:right w:val="none" w:sz="0" w:space="0" w:color="auto"/>
          </w:divBdr>
        </w:div>
        <w:div w:id="861625746">
          <w:marLeft w:val="0"/>
          <w:marRight w:val="0"/>
          <w:marTop w:val="0"/>
          <w:marBottom w:val="0"/>
          <w:divBdr>
            <w:top w:val="none" w:sz="0" w:space="0" w:color="auto"/>
            <w:left w:val="none" w:sz="0" w:space="0" w:color="auto"/>
            <w:bottom w:val="none" w:sz="0" w:space="0" w:color="auto"/>
            <w:right w:val="none" w:sz="0" w:space="0" w:color="auto"/>
          </w:divBdr>
        </w:div>
        <w:div w:id="866068687">
          <w:marLeft w:val="0"/>
          <w:marRight w:val="0"/>
          <w:marTop w:val="0"/>
          <w:marBottom w:val="0"/>
          <w:divBdr>
            <w:top w:val="none" w:sz="0" w:space="0" w:color="auto"/>
            <w:left w:val="none" w:sz="0" w:space="0" w:color="auto"/>
            <w:bottom w:val="none" w:sz="0" w:space="0" w:color="auto"/>
            <w:right w:val="none" w:sz="0" w:space="0" w:color="auto"/>
          </w:divBdr>
        </w:div>
        <w:div w:id="894704618">
          <w:marLeft w:val="0"/>
          <w:marRight w:val="0"/>
          <w:marTop w:val="0"/>
          <w:marBottom w:val="0"/>
          <w:divBdr>
            <w:top w:val="none" w:sz="0" w:space="0" w:color="auto"/>
            <w:left w:val="none" w:sz="0" w:space="0" w:color="auto"/>
            <w:bottom w:val="none" w:sz="0" w:space="0" w:color="auto"/>
            <w:right w:val="none" w:sz="0" w:space="0" w:color="auto"/>
          </w:divBdr>
        </w:div>
        <w:div w:id="898521400">
          <w:marLeft w:val="0"/>
          <w:marRight w:val="0"/>
          <w:marTop w:val="0"/>
          <w:marBottom w:val="0"/>
          <w:divBdr>
            <w:top w:val="none" w:sz="0" w:space="0" w:color="auto"/>
            <w:left w:val="none" w:sz="0" w:space="0" w:color="auto"/>
            <w:bottom w:val="none" w:sz="0" w:space="0" w:color="auto"/>
            <w:right w:val="none" w:sz="0" w:space="0" w:color="auto"/>
          </w:divBdr>
        </w:div>
        <w:div w:id="906766695">
          <w:marLeft w:val="0"/>
          <w:marRight w:val="0"/>
          <w:marTop w:val="0"/>
          <w:marBottom w:val="0"/>
          <w:divBdr>
            <w:top w:val="none" w:sz="0" w:space="0" w:color="auto"/>
            <w:left w:val="none" w:sz="0" w:space="0" w:color="auto"/>
            <w:bottom w:val="none" w:sz="0" w:space="0" w:color="auto"/>
            <w:right w:val="none" w:sz="0" w:space="0" w:color="auto"/>
          </w:divBdr>
        </w:div>
        <w:div w:id="914172037">
          <w:marLeft w:val="0"/>
          <w:marRight w:val="0"/>
          <w:marTop w:val="0"/>
          <w:marBottom w:val="0"/>
          <w:divBdr>
            <w:top w:val="none" w:sz="0" w:space="0" w:color="auto"/>
            <w:left w:val="none" w:sz="0" w:space="0" w:color="auto"/>
            <w:bottom w:val="none" w:sz="0" w:space="0" w:color="auto"/>
            <w:right w:val="none" w:sz="0" w:space="0" w:color="auto"/>
          </w:divBdr>
        </w:div>
        <w:div w:id="937953654">
          <w:marLeft w:val="0"/>
          <w:marRight w:val="0"/>
          <w:marTop w:val="0"/>
          <w:marBottom w:val="0"/>
          <w:divBdr>
            <w:top w:val="none" w:sz="0" w:space="0" w:color="auto"/>
            <w:left w:val="none" w:sz="0" w:space="0" w:color="auto"/>
            <w:bottom w:val="none" w:sz="0" w:space="0" w:color="auto"/>
            <w:right w:val="none" w:sz="0" w:space="0" w:color="auto"/>
          </w:divBdr>
        </w:div>
        <w:div w:id="1003892971">
          <w:marLeft w:val="0"/>
          <w:marRight w:val="0"/>
          <w:marTop w:val="0"/>
          <w:marBottom w:val="0"/>
          <w:divBdr>
            <w:top w:val="none" w:sz="0" w:space="0" w:color="auto"/>
            <w:left w:val="none" w:sz="0" w:space="0" w:color="auto"/>
            <w:bottom w:val="none" w:sz="0" w:space="0" w:color="auto"/>
            <w:right w:val="none" w:sz="0" w:space="0" w:color="auto"/>
          </w:divBdr>
        </w:div>
        <w:div w:id="1011177907">
          <w:marLeft w:val="0"/>
          <w:marRight w:val="0"/>
          <w:marTop w:val="0"/>
          <w:marBottom w:val="0"/>
          <w:divBdr>
            <w:top w:val="none" w:sz="0" w:space="0" w:color="auto"/>
            <w:left w:val="none" w:sz="0" w:space="0" w:color="auto"/>
            <w:bottom w:val="none" w:sz="0" w:space="0" w:color="auto"/>
            <w:right w:val="none" w:sz="0" w:space="0" w:color="auto"/>
          </w:divBdr>
        </w:div>
        <w:div w:id="1015108526">
          <w:marLeft w:val="0"/>
          <w:marRight w:val="0"/>
          <w:marTop w:val="0"/>
          <w:marBottom w:val="0"/>
          <w:divBdr>
            <w:top w:val="none" w:sz="0" w:space="0" w:color="auto"/>
            <w:left w:val="none" w:sz="0" w:space="0" w:color="auto"/>
            <w:bottom w:val="none" w:sz="0" w:space="0" w:color="auto"/>
            <w:right w:val="none" w:sz="0" w:space="0" w:color="auto"/>
          </w:divBdr>
        </w:div>
        <w:div w:id="1028407620">
          <w:marLeft w:val="0"/>
          <w:marRight w:val="0"/>
          <w:marTop w:val="0"/>
          <w:marBottom w:val="0"/>
          <w:divBdr>
            <w:top w:val="none" w:sz="0" w:space="0" w:color="auto"/>
            <w:left w:val="none" w:sz="0" w:space="0" w:color="auto"/>
            <w:bottom w:val="none" w:sz="0" w:space="0" w:color="auto"/>
            <w:right w:val="none" w:sz="0" w:space="0" w:color="auto"/>
          </w:divBdr>
        </w:div>
        <w:div w:id="1033382782">
          <w:marLeft w:val="0"/>
          <w:marRight w:val="0"/>
          <w:marTop w:val="0"/>
          <w:marBottom w:val="0"/>
          <w:divBdr>
            <w:top w:val="none" w:sz="0" w:space="0" w:color="auto"/>
            <w:left w:val="none" w:sz="0" w:space="0" w:color="auto"/>
            <w:bottom w:val="none" w:sz="0" w:space="0" w:color="auto"/>
            <w:right w:val="none" w:sz="0" w:space="0" w:color="auto"/>
          </w:divBdr>
        </w:div>
        <w:div w:id="1040714392">
          <w:marLeft w:val="0"/>
          <w:marRight w:val="0"/>
          <w:marTop w:val="0"/>
          <w:marBottom w:val="0"/>
          <w:divBdr>
            <w:top w:val="none" w:sz="0" w:space="0" w:color="auto"/>
            <w:left w:val="none" w:sz="0" w:space="0" w:color="auto"/>
            <w:bottom w:val="none" w:sz="0" w:space="0" w:color="auto"/>
            <w:right w:val="none" w:sz="0" w:space="0" w:color="auto"/>
          </w:divBdr>
        </w:div>
        <w:div w:id="1049182923">
          <w:marLeft w:val="0"/>
          <w:marRight w:val="0"/>
          <w:marTop w:val="0"/>
          <w:marBottom w:val="0"/>
          <w:divBdr>
            <w:top w:val="none" w:sz="0" w:space="0" w:color="auto"/>
            <w:left w:val="none" w:sz="0" w:space="0" w:color="auto"/>
            <w:bottom w:val="none" w:sz="0" w:space="0" w:color="auto"/>
            <w:right w:val="none" w:sz="0" w:space="0" w:color="auto"/>
          </w:divBdr>
        </w:div>
        <w:div w:id="1050573187">
          <w:marLeft w:val="0"/>
          <w:marRight w:val="0"/>
          <w:marTop w:val="0"/>
          <w:marBottom w:val="0"/>
          <w:divBdr>
            <w:top w:val="none" w:sz="0" w:space="0" w:color="auto"/>
            <w:left w:val="none" w:sz="0" w:space="0" w:color="auto"/>
            <w:bottom w:val="none" w:sz="0" w:space="0" w:color="auto"/>
            <w:right w:val="none" w:sz="0" w:space="0" w:color="auto"/>
          </w:divBdr>
        </w:div>
        <w:div w:id="1063598603">
          <w:marLeft w:val="0"/>
          <w:marRight w:val="0"/>
          <w:marTop w:val="0"/>
          <w:marBottom w:val="0"/>
          <w:divBdr>
            <w:top w:val="none" w:sz="0" w:space="0" w:color="auto"/>
            <w:left w:val="none" w:sz="0" w:space="0" w:color="auto"/>
            <w:bottom w:val="none" w:sz="0" w:space="0" w:color="auto"/>
            <w:right w:val="none" w:sz="0" w:space="0" w:color="auto"/>
          </w:divBdr>
        </w:div>
        <w:div w:id="1085689812">
          <w:marLeft w:val="0"/>
          <w:marRight w:val="0"/>
          <w:marTop w:val="0"/>
          <w:marBottom w:val="0"/>
          <w:divBdr>
            <w:top w:val="none" w:sz="0" w:space="0" w:color="auto"/>
            <w:left w:val="none" w:sz="0" w:space="0" w:color="auto"/>
            <w:bottom w:val="none" w:sz="0" w:space="0" w:color="auto"/>
            <w:right w:val="none" w:sz="0" w:space="0" w:color="auto"/>
          </w:divBdr>
        </w:div>
        <w:div w:id="1105810768">
          <w:marLeft w:val="0"/>
          <w:marRight w:val="0"/>
          <w:marTop w:val="0"/>
          <w:marBottom w:val="0"/>
          <w:divBdr>
            <w:top w:val="none" w:sz="0" w:space="0" w:color="auto"/>
            <w:left w:val="none" w:sz="0" w:space="0" w:color="auto"/>
            <w:bottom w:val="none" w:sz="0" w:space="0" w:color="auto"/>
            <w:right w:val="none" w:sz="0" w:space="0" w:color="auto"/>
          </w:divBdr>
        </w:div>
        <w:div w:id="1108235633">
          <w:marLeft w:val="0"/>
          <w:marRight w:val="0"/>
          <w:marTop w:val="0"/>
          <w:marBottom w:val="0"/>
          <w:divBdr>
            <w:top w:val="none" w:sz="0" w:space="0" w:color="auto"/>
            <w:left w:val="none" w:sz="0" w:space="0" w:color="auto"/>
            <w:bottom w:val="none" w:sz="0" w:space="0" w:color="auto"/>
            <w:right w:val="none" w:sz="0" w:space="0" w:color="auto"/>
          </w:divBdr>
        </w:div>
        <w:div w:id="1115441476">
          <w:marLeft w:val="0"/>
          <w:marRight w:val="0"/>
          <w:marTop w:val="0"/>
          <w:marBottom w:val="0"/>
          <w:divBdr>
            <w:top w:val="none" w:sz="0" w:space="0" w:color="auto"/>
            <w:left w:val="none" w:sz="0" w:space="0" w:color="auto"/>
            <w:bottom w:val="none" w:sz="0" w:space="0" w:color="auto"/>
            <w:right w:val="none" w:sz="0" w:space="0" w:color="auto"/>
          </w:divBdr>
        </w:div>
        <w:div w:id="1122335677">
          <w:marLeft w:val="0"/>
          <w:marRight w:val="0"/>
          <w:marTop w:val="0"/>
          <w:marBottom w:val="0"/>
          <w:divBdr>
            <w:top w:val="none" w:sz="0" w:space="0" w:color="auto"/>
            <w:left w:val="none" w:sz="0" w:space="0" w:color="auto"/>
            <w:bottom w:val="none" w:sz="0" w:space="0" w:color="auto"/>
            <w:right w:val="none" w:sz="0" w:space="0" w:color="auto"/>
          </w:divBdr>
        </w:div>
        <w:div w:id="1126464471">
          <w:marLeft w:val="0"/>
          <w:marRight w:val="0"/>
          <w:marTop w:val="0"/>
          <w:marBottom w:val="0"/>
          <w:divBdr>
            <w:top w:val="none" w:sz="0" w:space="0" w:color="auto"/>
            <w:left w:val="none" w:sz="0" w:space="0" w:color="auto"/>
            <w:bottom w:val="none" w:sz="0" w:space="0" w:color="auto"/>
            <w:right w:val="none" w:sz="0" w:space="0" w:color="auto"/>
          </w:divBdr>
        </w:div>
        <w:div w:id="1201631598">
          <w:marLeft w:val="0"/>
          <w:marRight w:val="0"/>
          <w:marTop w:val="0"/>
          <w:marBottom w:val="0"/>
          <w:divBdr>
            <w:top w:val="none" w:sz="0" w:space="0" w:color="auto"/>
            <w:left w:val="none" w:sz="0" w:space="0" w:color="auto"/>
            <w:bottom w:val="none" w:sz="0" w:space="0" w:color="auto"/>
            <w:right w:val="none" w:sz="0" w:space="0" w:color="auto"/>
          </w:divBdr>
        </w:div>
        <w:div w:id="1255242448">
          <w:marLeft w:val="0"/>
          <w:marRight w:val="0"/>
          <w:marTop w:val="0"/>
          <w:marBottom w:val="0"/>
          <w:divBdr>
            <w:top w:val="none" w:sz="0" w:space="0" w:color="auto"/>
            <w:left w:val="none" w:sz="0" w:space="0" w:color="auto"/>
            <w:bottom w:val="none" w:sz="0" w:space="0" w:color="auto"/>
            <w:right w:val="none" w:sz="0" w:space="0" w:color="auto"/>
          </w:divBdr>
        </w:div>
        <w:div w:id="1255627962">
          <w:marLeft w:val="0"/>
          <w:marRight w:val="0"/>
          <w:marTop w:val="0"/>
          <w:marBottom w:val="0"/>
          <w:divBdr>
            <w:top w:val="none" w:sz="0" w:space="0" w:color="auto"/>
            <w:left w:val="none" w:sz="0" w:space="0" w:color="auto"/>
            <w:bottom w:val="none" w:sz="0" w:space="0" w:color="auto"/>
            <w:right w:val="none" w:sz="0" w:space="0" w:color="auto"/>
          </w:divBdr>
        </w:div>
        <w:div w:id="1268851207">
          <w:marLeft w:val="0"/>
          <w:marRight w:val="0"/>
          <w:marTop w:val="0"/>
          <w:marBottom w:val="0"/>
          <w:divBdr>
            <w:top w:val="none" w:sz="0" w:space="0" w:color="auto"/>
            <w:left w:val="none" w:sz="0" w:space="0" w:color="auto"/>
            <w:bottom w:val="none" w:sz="0" w:space="0" w:color="auto"/>
            <w:right w:val="none" w:sz="0" w:space="0" w:color="auto"/>
          </w:divBdr>
        </w:div>
        <w:div w:id="1286044154">
          <w:marLeft w:val="0"/>
          <w:marRight w:val="0"/>
          <w:marTop w:val="0"/>
          <w:marBottom w:val="0"/>
          <w:divBdr>
            <w:top w:val="none" w:sz="0" w:space="0" w:color="auto"/>
            <w:left w:val="none" w:sz="0" w:space="0" w:color="auto"/>
            <w:bottom w:val="none" w:sz="0" w:space="0" w:color="auto"/>
            <w:right w:val="none" w:sz="0" w:space="0" w:color="auto"/>
          </w:divBdr>
        </w:div>
        <w:div w:id="1308389610">
          <w:marLeft w:val="0"/>
          <w:marRight w:val="0"/>
          <w:marTop w:val="0"/>
          <w:marBottom w:val="0"/>
          <w:divBdr>
            <w:top w:val="none" w:sz="0" w:space="0" w:color="auto"/>
            <w:left w:val="none" w:sz="0" w:space="0" w:color="auto"/>
            <w:bottom w:val="none" w:sz="0" w:space="0" w:color="auto"/>
            <w:right w:val="none" w:sz="0" w:space="0" w:color="auto"/>
          </w:divBdr>
        </w:div>
        <w:div w:id="1311518057">
          <w:marLeft w:val="0"/>
          <w:marRight w:val="0"/>
          <w:marTop w:val="0"/>
          <w:marBottom w:val="0"/>
          <w:divBdr>
            <w:top w:val="none" w:sz="0" w:space="0" w:color="auto"/>
            <w:left w:val="none" w:sz="0" w:space="0" w:color="auto"/>
            <w:bottom w:val="none" w:sz="0" w:space="0" w:color="auto"/>
            <w:right w:val="none" w:sz="0" w:space="0" w:color="auto"/>
          </w:divBdr>
        </w:div>
        <w:div w:id="1311519159">
          <w:marLeft w:val="0"/>
          <w:marRight w:val="0"/>
          <w:marTop w:val="0"/>
          <w:marBottom w:val="0"/>
          <w:divBdr>
            <w:top w:val="none" w:sz="0" w:space="0" w:color="auto"/>
            <w:left w:val="none" w:sz="0" w:space="0" w:color="auto"/>
            <w:bottom w:val="none" w:sz="0" w:space="0" w:color="auto"/>
            <w:right w:val="none" w:sz="0" w:space="0" w:color="auto"/>
          </w:divBdr>
        </w:div>
        <w:div w:id="1317883500">
          <w:marLeft w:val="0"/>
          <w:marRight w:val="0"/>
          <w:marTop w:val="0"/>
          <w:marBottom w:val="0"/>
          <w:divBdr>
            <w:top w:val="none" w:sz="0" w:space="0" w:color="auto"/>
            <w:left w:val="none" w:sz="0" w:space="0" w:color="auto"/>
            <w:bottom w:val="none" w:sz="0" w:space="0" w:color="auto"/>
            <w:right w:val="none" w:sz="0" w:space="0" w:color="auto"/>
          </w:divBdr>
        </w:div>
        <w:div w:id="1344476448">
          <w:marLeft w:val="0"/>
          <w:marRight w:val="0"/>
          <w:marTop w:val="0"/>
          <w:marBottom w:val="0"/>
          <w:divBdr>
            <w:top w:val="none" w:sz="0" w:space="0" w:color="auto"/>
            <w:left w:val="none" w:sz="0" w:space="0" w:color="auto"/>
            <w:bottom w:val="none" w:sz="0" w:space="0" w:color="auto"/>
            <w:right w:val="none" w:sz="0" w:space="0" w:color="auto"/>
          </w:divBdr>
        </w:div>
        <w:div w:id="1344547343">
          <w:marLeft w:val="0"/>
          <w:marRight w:val="0"/>
          <w:marTop w:val="0"/>
          <w:marBottom w:val="0"/>
          <w:divBdr>
            <w:top w:val="none" w:sz="0" w:space="0" w:color="auto"/>
            <w:left w:val="none" w:sz="0" w:space="0" w:color="auto"/>
            <w:bottom w:val="none" w:sz="0" w:space="0" w:color="auto"/>
            <w:right w:val="none" w:sz="0" w:space="0" w:color="auto"/>
          </w:divBdr>
        </w:div>
        <w:div w:id="1349133857">
          <w:marLeft w:val="0"/>
          <w:marRight w:val="0"/>
          <w:marTop w:val="0"/>
          <w:marBottom w:val="0"/>
          <w:divBdr>
            <w:top w:val="none" w:sz="0" w:space="0" w:color="auto"/>
            <w:left w:val="none" w:sz="0" w:space="0" w:color="auto"/>
            <w:bottom w:val="none" w:sz="0" w:space="0" w:color="auto"/>
            <w:right w:val="none" w:sz="0" w:space="0" w:color="auto"/>
          </w:divBdr>
        </w:div>
        <w:div w:id="1359548915">
          <w:marLeft w:val="0"/>
          <w:marRight w:val="0"/>
          <w:marTop w:val="0"/>
          <w:marBottom w:val="0"/>
          <w:divBdr>
            <w:top w:val="none" w:sz="0" w:space="0" w:color="auto"/>
            <w:left w:val="none" w:sz="0" w:space="0" w:color="auto"/>
            <w:bottom w:val="none" w:sz="0" w:space="0" w:color="auto"/>
            <w:right w:val="none" w:sz="0" w:space="0" w:color="auto"/>
          </w:divBdr>
        </w:div>
        <w:div w:id="1360660442">
          <w:marLeft w:val="0"/>
          <w:marRight w:val="0"/>
          <w:marTop w:val="0"/>
          <w:marBottom w:val="0"/>
          <w:divBdr>
            <w:top w:val="none" w:sz="0" w:space="0" w:color="auto"/>
            <w:left w:val="none" w:sz="0" w:space="0" w:color="auto"/>
            <w:bottom w:val="none" w:sz="0" w:space="0" w:color="auto"/>
            <w:right w:val="none" w:sz="0" w:space="0" w:color="auto"/>
          </w:divBdr>
        </w:div>
        <w:div w:id="1378159171">
          <w:marLeft w:val="0"/>
          <w:marRight w:val="0"/>
          <w:marTop w:val="0"/>
          <w:marBottom w:val="0"/>
          <w:divBdr>
            <w:top w:val="none" w:sz="0" w:space="0" w:color="auto"/>
            <w:left w:val="none" w:sz="0" w:space="0" w:color="auto"/>
            <w:bottom w:val="none" w:sz="0" w:space="0" w:color="auto"/>
            <w:right w:val="none" w:sz="0" w:space="0" w:color="auto"/>
          </w:divBdr>
        </w:div>
        <w:div w:id="1379358416">
          <w:marLeft w:val="0"/>
          <w:marRight w:val="0"/>
          <w:marTop w:val="0"/>
          <w:marBottom w:val="0"/>
          <w:divBdr>
            <w:top w:val="none" w:sz="0" w:space="0" w:color="auto"/>
            <w:left w:val="none" w:sz="0" w:space="0" w:color="auto"/>
            <w:bottom w:val="none" w:sz="0" w:space="0" w:color="auto"/>
            <w:right w:val="none" w:sz="0" w:space="0" w:color="auto"/>
          </w:divBdr>
        </w:div>
        <w:div w:id="1385836549">
          <w:marLeft w:val="0"/>
          <w:marRight w:val="0"/>
          <w:marTop w:val="0"/>
          <w:marBottom w:val="0"/>
          <w:divBdr>
            <w:top w:val="none" w:sz="0" w:space="0" w:color="auto"/>
            <w:left w:val="none" w:sz="0" w:space="0" w:color="auto"/>
            <w:bottom w:val="none" w:sz="0" w:space="0" w:color="auto"/>
            <w:right w:val="none" w:sz="0" w:space="0" w:color="auto"/>
          </w:divBdr>
        </w:div>
        <w:div w:id="1387876933">
          <w:marLeft w:val="0"/>
          <w:marRight w:val="0"/>
          <w:marTop w:val="0"/>
          <w:marBottom w:val="0"/>
          <w:divBdr>
            <w:top w:val="none" w:sz="0" w:space="0" w:color="auto"/>
            <w:left w:val="none" w:sz="0" w:space="0" w:color="auto"/>
            <w:bottom w:val="none" w:sz="0" w:space="0" w:color="auto"/>
            <w:right w:val="none" w:sz="0" w:space="0" w:color="auto"/>
          </w:divBdr>
        </w:div>
        <w:div w:id="1420633441">
          <w:marLeft w:val="0"/>
          <w:marRight w:val="0"/>
          <w:marTop w:val="0"/>
          <w:marBottom w:val="0"/>
          <w:divBdr>
            <w:top w:val="none" w:sz="0" w:space="0" w:color="auto"/>
            <w:left w:val="none" w:sz="0" w:space="0" w:color="auto"/>
            <w:bottom w:val="none" w:sz="0" w:space="0" w:color="auto"/>
            <w:right w:val="none" w:sz="0" w:space="0" w:color="auto"/>
          </w:divBdr>
        </w:div>
        <w:div w:id="1425343649">
          <w:marLeft w:val="0"/>
          <w:marRight w:val="0"/>
          <w:marTop w:val="0"/>
          <w:marBottom w:val="0"/>
          <w:divBdr>
            <w:top w:val="none" w:sz="0" w:space="0" w:color="auto"/>
            <w:left w:val="none" w:sz="0" w:space="0" w:color="auto"/>
            <w:bottom w:val="none" w:sz="0" w:space="0" w:color="auto"/>
            <w:right w:val="none" w:sz="0" w:space="0" w:color="auto"/>
          </w:divBdr>
        </w:div>
        <w:div w:id="1445728782">
          <w:marLeft w:val="0"/>
          <w:marRight w:val="0"/>
          <w:marTop w:val="0"/>
          <w:marBottom w:val="0"/>
          <w:divBdr>
            <w:top w:val="none" w:sz="0" w:space="0" w:color="auto"/>
            <w:left w:val="none" w:sz="0" w:space="0" w:color="auto"/>
            <w:bottom w:val="none" w:sz="0" w:space="0" w:color="auto"/>
            <w:right w:val="none" w:sz="0" w:space="0" w:color="auto"/>
          </w:divBdr>
        </w:div>
        <w:div w:id="1445997784">
          <w:marLeft w:val="0"/>
          <w:marRight w:val="0"/>
          <w:marTop w:val="0"/>
          <w:marBottom w:val="0"/>
          <w:divBdr>
            <w:top w:val="none" w:sz="0" w:space="0" w:color="auto"/>
            <w:left w:val="none" w:sz="0" w:space="0" w:color="auto"/>
            <w:bottom w:val="none" w:sz="0" w:space="0" w:color="auto"/>
            <w:right w:val="none" w:sz="0" w:space="0" w:color="auto"/>
          </w:divBdr>
        </w:div>
        <w:div w:id="1464232333">
          <w:marLeft w:val="0"/>
          <w:marRight w:val="0"/>
          <w:marTop w:val="0"/>
          <w:marBottom w:val="0"/>
          <w:divBdr>
            <w:top w:val="none" w:sz="0" w:space="0" w:color="auto"/>
            <w:left w:val="none" w:sz="0" w:space="0" w:color="auto"/>
            <w:bottom w:val="none" w:sz="0" w:space="0" w:color="auto"/>
            <w:right w:val="none" w:sz="0" w:space="0" w:color="auto"/>
          </w:divBdr>
        </w:div>
        <w:div w:id="1481846169">
          <w:marLeft w:val="0"/>
          <w:marRight w:val="0"/>
          <w:marTop w:val="0"/>
          <w:marBottom w:val="0"/>
          <w:divBdr>
            <w:top w:val="none" w:sz="0" w:space="0" w:color="auto"/>
            <w:left w:val="none" w:sz="0" w:space="0" w:color="auto"/>
            <w:bottom w:val="none" w:sz="0" w:space="0" w:color="auto"/>
            <w:right w:val="none" w:sz="0" w:space="0" w:color="auto"/>
          </w:divBdr>
        </w:div>
        <w:div w:id="1497188122">
          <w:marLeft w:val="0"/>
          <w:marRight w:val="0"/>
          <w:marTop w:val="0"/>
          <w:marBottom w:val="0"/>
          <w:divBdr>
            <w:top w:val="none" w:sz="0" w:space="0" w:color="auto"/>
            <w:left w:val="none" w:sz="0" w:space="0" w:color="auto"/>
            <w:bottom w:val="none" w:sz="0" w:space="0" w:color="auto"/>
            <w:right w:val="none" w:sz="0" w:space="0" w:color="auto"/>
          </w:divBdr>
        </w:div>
        <w:div w:id="1500730510">
          <w:marLeft w:val="0"/>
          <w:marRight w:val="0"/>
          <w:marTop w:val="0"/>
          <w:marBottom w:val="0"/>
          <w:divBdr>
            <w:top w:val="none" w:sz="0" w:space="0" w:color="auto"/>
            <w:left w:val="none" w:sz="0" w:space="0" w:color="auto"/>
            <w:bottom w:val="none" w:sz="0" w:space="0" w:color="auto"/>
            <w:right w:val="none" w:sz="0" w:space="0" w:color="auto"/>
          </w:divBdr>
        </w:div>
        <w:div w:id="1509712864">
          <w:marLeft w:val="0"/>
          <w:marRight w:val="0"/>
          <w:marTop w:val="0"/>
          <w:marBottom w:val="0"/>
          <w:divBdr>
            <w:top w:val="none" w:sz="0" w:space="0" w:color="auto"/>
            <w:left w:val="none" w:sz="0" w:space="0" w:color="auto"/>
            <w:bottom w:val="none" w:sz="0" w:space="0" w:color="auto"/>
            <w:right w:val="none" w:sz="0" w:space="0" w:color="auto"/>
          </w:divBdr>
        </w:div>
        <w:div w:id="1514759258">
          <w:marLeft w:val="0"/>
          <w:marRight w:val="0"/>
          <w:marTop w:val="0"/>
          <w:marBottom w:val="0"/>
          <w:divBdr>
            <w:top w:val="none" w:sz="0" w:space="0" w:color="auto"/>
            <w:left w:val="none" w:sz="0" w:space="0" w:color="auto"/>
            <w:bottom w:val="none" w:sz="0" w:space="0" w:color="auto"/>
            <w:right w:val="none" w:sz="0" w:space="0" w:color="auto"/>
          </w:divBdr>
        </w:div>
        <w:div w:id="1543784613">
          <w:marLeft w:val="0"/>
          <w:marRight w:val="0"/>
          <w:marTop w:val="0"/>
          <w:marBottom w:val="0"/>
          <w:divBdr>
            <w:top w:val="none" w:sz="0" w:space="0" w:color="auto"/>
            <w:left w:val="none" w:sz="0" w:space="0" w:color="auto"/>
            <w:bottom w:val="none" w:sz="0" w:space="0" w:color="auto"/>
            <w:right w:val="none" w:sz="0" w:space="0" w:color="auto"/>
          </w:divBdr>
        </w:div>
        <w:div w:id="1548369744">
          <w:marLeft w:val="0"/>
          <w:marRight w:val="0"/>
          <w:marTop w:val="0"/>
          <w:marBottom w:val="0"/>
          <w:divBdr>
            <w:top w:val="none" w:sz="0" w:space="0" w:color="auto"/>
            <w:left w:val="none" w:sz="0" w:space="0" w:color="auto"/>
            <w:bottom w:val="none" w:sz="0" w:space="0" w:color="auto"/>
            <w:right w:val="none" w:sz="0" w:space="0" w:color="auto"/>
          </w:divBdr>
        </w:div>
        <w:div w:id="1562406043">
          <w:marLeft w:val="0"/>
          <w:marRight w:val="0"/>
          <w:marTop w:val="0"/>
          <w:marBottom w:val="0"/>
          <w:divBdr>
            <w:top w:val="none" w:sz="0" w:space="0" w:color="auto"/>
            <w:left w:val="none" w:sz="0" w:space="0" w:color="auto"/>
            <w:bottom w:val="none" w:sz="0" w:space="0" w:color="auto"/>
            <w:right w:val="none" w:sz="0" w:space="0" w:color="auto"/>
          </w:divBdr>
        </w:div>
        <w:div w:id="1591695365">
          <w:marLeft w:val="0"/>
          <w:marRight w:val="0"/>
          <w:marTop w:val="0"/>
          <w:marBottom w:val="0"/>
          <w:divBdr>
            <w:top w:val="none" w:sz="0" w:space="0" w:color="auto"/>
            <w:left w:val="none" w:sz="0" w:space="0" w:color="auto"/>
            <w:bottom w:val="none" w:sz="0" w:space="0" w:color="auto"/>
            <w:right w:val="none" w:sz="0" w:space="0" w:color="auto"/>
          </w:divBdr>
          <w:divsChild>
            <w:div w:id="110438369">
              <w:marLeft w:val="0"/>
              <w:marRight w:val="0"/>
              <w:marTop w:val="0"/>
              <w:marBottom w:val="0"/>
              <w:divBdr>
                <w:top w:val="none" w:sz="0" w:space="0" w:color="auto"/>
                <w:left w:val="none" w:sz="0" w:space="0" w:color="auto"/>
                <w:bottom w:val="none" w:sz="0" w:space="0" w:color="auto"/>
                <w:right w:val="none" w:sz="0" w:space="0" w:color="auto"/>
              </w:divBdr>
            </w:div>
            <w:div w:id="504248250">
              <w:marLeft w:val="0"/>
              <w:marRight w:val="0"/>
              <w:marTop w:val="0"/>
              <w:marBottom w:val="0"/>
              <w:divBdr>
                <w:top w:val="none" w:sz="0" w:space="0" w:color="auto"/>
                <w:left w:val="none" w:sz="0" w:space="0" w:color="auto"/>
                <w:bottom w:val="none" w:sz="0" w:space="0" w:color="auto"/>
                <w:right w:val="none" w:sz="0" w:space="0" w:color="auto"/>
              </w:divBdr>
            </w:div>
            <w:div w:id="1120030578">
              <w:marLeft w:val="0"/>
              <w:marRight w:val="0"/>
              <w:marTop w:val="0"/>
              <w:marBottom w:val="0"/>
              <w:divBdr>
                <w:top w:val="none" w:sz="0" w:space="0" w:color="auto"/>
                <w:left w:val="none" w:sz="0" w:space="0" w:color="auto"/>
                <w:bottom w:val="none" w:sz="0" w:space="0" w:color="auto"/>
                <w:right w:val="none" w:sz="0" w:space="0" w:color="auto"/>
              </w:divBdr>
            </w:div>
            <w:div w:id="1308438841">
              <w:marLeft w:val="0"/>
              <w:marRight w:val="0"/>
              <w:marTop w:val="0"/>
              <w:marBottom w:val="0"/>
              <w:divBdr>
                <w:top w:val="none" w:sz="0" w:space="0" w:color="auto"/>
                <w:left w:val="none" w:sz="0" w:space="0" w:color="auto"/>
                <w:bottom w:val="none" w:sz="0" w:space="0" w:color="auto"/>
                <w:right w:val="none" w:sz="0" w:space="0" w:color="auto"/>
              </w:divBdr>
            </w:div>
            <w:div w:id="1490437919">
              <w:marLeft w:val="0"/>
              <w:marRight w:val="0"/>
              <w:marTop w:val="0"/>
              <w:marBottom w:val="0"/>
              <w:divBdr>
                <w:top w:val="none" w:sz="0" w:space="0" w:color="auto"/>
                <w:left w:val="none" w:sz="0" w:space="0" w:color="auto"/>
                <w:bottom w:val="none" w:sz="0" w:space="0" w:color="auto"/>
                <w:right w:val="none" w:sz="0" w:space="0" w:color="auto"/>
              </w:divBdr>
            </w:div>
            <w:div w:id="1747919177">
              <w:marLeft w:val="0"/>
              <w:marRight w:val="0"/>
              <w:marTop w:val="0"/>
              <w:marBottom w:val="0"/>
              <w:divBdr>
                <w:top w:val="none" w:sz="0" w:space="0" w:color="auto"/>
                <w:left w:val="none" w:sz="0" w:space="0" w:color="auto"/>
                <w:bottom w:val="none" w:sz="0" w:space="0" w:color="auto"/>
                <w:right w:val="none" w:sz="0" w:space="0" w:color="auto"/>
              </w:divBdr>
            </w:div>
            <w:div w:id="2076395783">
              <w:marLeft w:val="0"/>
              <w:marRight w:val="0"/>
              <w:marTop w:val="0"/>
              <w:marBottom w:val="0"/>
              <w:divBdr>
                <w:top w:val="none" w:sz="0" w:space="0" w:color="auto"/>
                <w:left w:val="none" w:sz="0" w:space="0" w:color="auto"/>
                <w:bottom w:val="none" w:sz="0" w:space="0" w:color="auto"/>
                <w:right w:val="none" w:sz="0" w:space="0" w:color="auto"/>
              </w:divBdr>
            </w:div>
          </w:divsChild>
        </w:div>
        <w:div w:id="1594898802">
          <w:marLeft w:val="0"/>
          <w:marRight w:val="0"/>
          <w:marTop w:val="0"/>
          <w:marBottom w:val="0"/>
          <w:divBdr>
            <w:top w:val="none" w:sz="0" w:space="0" w:color="auto"/>
            <w:left w:val="none" w:sz="0" w:space="0" w:color="auto"/>
            <w:bottom w:val="none" w:sz="0" w:space="0" w:color="auto"/>
            <w:right w:val="none" w:sz="0" w:space="0" w:color="auto"/>
          </w:divBdr>
        </w:div>
        <w:div w:id="1603761392">
          <w:marLeft w:val="0"/>
          <w:marRight w:val="0"/>
          <w:marTop w:val="0"/>
          <w:marBottom w:val="0"/>
          <w:divBdr>
            <w:top w:val="none" w:sz="0" w:space="0" w:color="auto"/>
            <w:left w:val="none" w:sz="0" w:space="0" w:color="auto"/>
            <w:bottom w:val="none" w:sz="0" w:space="0" w:color="auto"/>
            <w:right w:val="none" w:sz="0" w:space="0" w:color="auto"/>
          </w:divBdr>
        </w:div>
        <w:div w:id="1613707130">
          <w:marLeft w:val="0"/>
          <w:marRight w:val="0"/>
          <w:marTop w:val="0"/>
          <w:marBottom w:val="0"/>
          <w:divBdr>
            <w:top w:val="none" w:sz="0" w:space="0" w:color="auto"/>
            <w:left w:val="none" w:sz="0" w:space="0" w:color="auto"/>
            <w:bottom w:val="none" w:sz="0" w:space="0" w:color="auto"/>
            <w:right w:val="none" w:sz="0" w:space="0" w:color="auto"/>
          </w:divBdr>
        </w:div>
        <w:div w:id="1688289168">
          <w:marLeft w:val="0"/>
          <w:marRight w:val="0"/>
          <w:marTop w:val="0"/>
          <w:marBottom w:val="0"/>
          <w:divBdr>
            <w:top w:val="none" w:sz="0" w:space="0" w:color="auto"/>
            <w:left w:val="none" w:sz="0" w:space="0" w:color="auto"/>
            <w:bottom w:val="none" w:sz="0" w:space="0" w:color="auto"/>
            <w:right w:val="none" w:sz="0" w:space="0" w:color="auto"/>
          </w:divBdr>
        </w:div>
        <w:div w:id="1689870694">
          <w:marLeft w:val="0"/>
          <w:marRight w:val="0"/>
          <w:marTop w:val="0"/>
          <w:marBottom w:val="0"/>
          <w:divBdr>
            <w:top w:val="none" w:sz="0" w:space="0" w:color="auto"/>
            <w:left w:val="none" w:sz="0" w:space="0" w:color="auto"/>
            <w:bottom w:val="none" w:sz="0" w:space="0" w:color="auto"/>
            <w:right w:val="none" w:sz="0" w:space="0" w:color="auto"/>
          </w:divBdr>
        </w:div>
        <w:div w:id="1695840116">
          <w:marLeft w:val="0"/>
          <w:marRight w:val="0"/>
          <w:marTop w:val="0"/>
          <w:marBottom w:val="0"/>
          <w:divBdr>
            <w:top w:val="none" w:sz="0" w:space="0" w:color="auto"/>
            <w:left w:val="none" w:sz="0" w:space="0" w:color="auto"/>
            <w:bottom w:val="none" w:sz="0" w:space="0" w:color="auto"/>
            <w:right w:val="none" w:sz="0" w:space="0" w:color="auto"/>
          </w:divBdr>
        </w:div>
        <w:div w:id="1706979787">
          <w:marLeft w:val="0"/>
          <w:marRight w:val="0"/>
          <w:marTop w:val="0"/>
          <w:marBottom w:val="0"/>
          <w:divBdr>
            <w:top w:val="none" w:sz="0" w:space="0" w:color="auto"/>
            <w:left w:val="none" w:sz="0" w:space="0" w:color="auto"/>
            <w:bottom w:val="none" w:sz="0" w:space="0" w:color="auto"/>
            <w:right w:val="none" w:sz="0" w:space="0" w:color="auto"/>
          </w:divBdr>
        </w:div>
        <w:div w:id="1715614473">
          <w:marLeft w:val="0"/>
          <w:marRight w:val="0"/>
          <w:marTop w:val="0"/>
          <w:marBottom w:val="0"/>
          <w:divBdr>
            <w:top w:val="none" w:sz="0" w:space="0" w:color="auto"/>
            <w:left w:val="none" w:sz="0" w:space="0" w:color="auto"/>
            <w:bottom w:val="none" w:sz="0" w:space="0" w:color="auto"/>
            <w:right w:val="none" w:sz="0" w:space="0" w:color="auto"/>
          </w:divBdr>
        </w:div>
        <w:div w:id="1767921178">
          <w:marLeft w:val="0"/>
          <w:marRight w:val="0"/>
          <w:marTop w:val="0"/>
          <w:marBottom w:val="0"/>
          <w:divBdr>
            <w:top w:val="none" w:sz="0" w:space="0" w:color="auto"/>
            <w:left w:val="none" w:sz="0" w:space="0" w:color="auto"/>
            <w:bottom w:val="none" w:sz="0" w:space="0" w:color="auto"/>
            <w:right w:val="none" w:sz="0" w:space="0" w:color="auto"/>
          </w:divBdr>
        </w:div>
        <w:div w:id="1809787036">
          <w:marLeft w:val="0"/>
          <w:marRight w:val="0"/>
          <w:marTop w:val="0"/>
          <w:marBottom w:val="0"/>
          <w:divBdr>
            <w:top w:val="none" w:sz="0" w:space="0" w:color="auto"/>
            <w:left w:val="none" w:sz="0" w:space="0" w:color="auto"/>
            <w:bottom w:val="none" w:sz="0" w:space="0" w:color="auto"/>
            <w:right w:val="none" w:sz="0" w:space="0" w:color="auto"/>
          </w:divBdr>
        </w:div>
        <w:div w:id="1820075584">
          <w:marLeft w:val="0"/>
          <w:marRight w:val="0"/>
          <w:marTop w:val="0"/>
          <w:marBottom w:val="0"/>
          <w:divBdr>
            <w:top w:val="none" w:sz="0" w:space="0" w:color="auto"/>
            <w:left w:val="none" w:sz="0" w:space="0" w:color="auto"/>
            <w:bottom w:val="none" w:sz="0" w:space="0" w:color="auto"/>
            <w:right w:val="none" w:sz="0" w:space="0" w:color="auto"/>
          </w:divBdr>
        </w:div>
        <w:div w:id="1851917787">
          <w:marLeft w:val="0"/>
          <w:marRight w:val="0"/>
          <w:marTop w:val="0"/>
          <w:marBottom w:val="0"/>
          <w:divBdr>
            <w:top w:val="none" w:sz="0" w:space="0" w:color="auto"/>
            <w:left w:val="none" w:sz="0" w:space="0" w:color="auto"/>
            <w:bottom w:val="none" w:sz="0" w:space="0" w:color="auto"/>
            <w:right w:val="none" w:sz="0" w:space="0" w:color="auto"/>
          </w:divBdr>
        </w:div>
        <w:div w:id="1871643546">
          <w:marLeft w:val="0"/>
          <w:marRight w:val="0"/>
          <w:marTop w:val="0"/>
          <w:marBottom w:val="0"/>
          <w:divBdr>
            <w:top w:val="none" w:sz="0" w:space="0" w:color="auto"/>
            <w:left w:val="none" w:sz="0" w:space="0" w:color="auto"/>
            <w:bottom w:val="none" w:sz="0" w:space="0" w:color="auto"/>
            <w:right w:val="none" w:sz="0" w:space="0" w:color="auto"/>
          </w:divBdr>
        </w:div>
        <w:div w:id="1887712495">
          <w:marLeft w:val="0"/>
          <w:marRight w:val="0"/>
          <w:marTop w:val="0"/>
          <w:marBottom w:val="0"/>
          <w:divBdr>
            <w:top w:val="none" w:sz="0" w:space="0" w:color="auto"/>
            <w:left w:val="none" w:sz="0" w:space="0" w:color="auto"/>
            <w:bottom w:val="none" w:sz="0" w:space="0" w:color="auto"/>
            <w:right w:val="none" w:sz="0" w:space="0" w:color="auto"/>
          </w:divBdr>
        </w:div>
        <w:div w:id="1892376274">
          <w:marLeft w:val="0"/>
          <w:marRight w:val="0"/>
          <w:marTop w:val="0"/>
          <w:marBottom w:val="0"/>
          <w:divBdr>
            <w:top w:val="none" w:sz="0" w:space="0" w:color="auto"/>
            <w:left w:val="none" w:sz="0" w:space="0" w:color="auto"/>
            <w:bottom w:val="none" w:sz="0" w:space="0" w:color="auto"/>
            <w:right w:val="none" w:sz="0" w:space="0" w:color="auto"/>
          </w:divBdr>
        </w:div>
        <w:div w:id="1905480199">
          <w:marLeft w:val="0"/>
          <w:marRight w:val="0"/>
          <w:marTop w:val="0"/>
          <w:marBottom w:val="0"/>
          <w:divBdr>
            <w:top w:val="none" w:sz="0" w:space="0" w:color="auto"/>
            <w:left w:val="none" w:sz="0" w:space="0" w:color="auto"/>
            <w:bottom w:val="none" w:sz="0" w:space="0" w:color="auto"/>
            <w:right w:val="none" w:sz="0" w:space="0" w:color="auto"/>
          </w:divBdr>
        </w:div>
        <w:div w:id="1910070850">
          <w:marLeft w:val="0"/>
          <w:marRight w:val="0"/>
          <w:marTop w:val="0"/>
          <w:marBottom w:val="0"/>
          <w:divBdr>
            <w:top w:val="none" w:sz="0" w:space="0" w:color="auto"/>
            <w:left w:val="none" w:sz="0" w:space="0" w:color="auto"/>
            <w:bottom w:val="none" w:sz="0" w:space="0" w:color="auto"/>
            <w:right w:val="none" w:sz="0" w:space="0" w:color="auto"/>
          </w:divBdr>
        </w:div>
        <w:div w:id="1917127823">
          <w:marLeft w:val="0"/>
          <w:marRight w:val="0"/>
          <w:marTop w:val="0"/>
          <w:marBottom w:val="0"/>
          <w:divBdr>
            <w:top w:val="none" w:sz="0" w:space="0" w:color="auto"/>
            <w:left w:val="none" w:sz="0" w:space="0" w:color="auto"/>
            <w:bottom w:val="none" w:sz="0" w:space="0" w:color="auto"/>
            <w:right w:val="none" w:sz="0" w:space="0" w:color="auto"/>
          </w:divBdr>
        </w:div>
        <w:div w:id="1934825391">
          <w:marLeft w:val="0"/>
          <w:marRight w:val="0"/>
          <w:marTop w:val="0"/>
          <w:marBottom w:val="0"/>
          <w:divBdr>
            <w:top w:val="none" w:sz="0" w:space="0" w:color="auto"/>
            <w:left w:val="none" w:sz="0" w:space="0" w:color="auto"/>
            <w:bottom w:val="none" w:sz="0" w:space="0" w:color="auto"/>
            <w:right w:val="none" w:sz="0" w:space="0" w:color="auto"/>
          </w:divBdr>
        </w:div>
        <w:div w:id="1944338979">
          <w:marLeft w:val="0"/>
          <w:marRight w:val="0"/>
          <w:marTop w:val="0"/>
          <w:marBottom w:val="0"/>
          <w:divBdr>
            <w:top w:val="none" w:sz="0" w:space="0" w:color="auto"/>
            <w:left w:val="none" w:sz="0" w:space="0" w:color="auto"/>
            <w:bottom w:val="none" w:sz="0" w:space="0" w:color="auto"/>
            <w:right w:val="none" w:sz="0" w:space="0" w:color="auto"/>
          </w:divBdr>
        </w:div>
        <w:div w:id="1953701977">
          <w:marLeft w:val="0"/>
          <w:marRight w:val="0"/>
          <w:marTop w:val="0"/>
          <w:marBottom w:val="0"/>
          <w:divBdr>
            <w:top w:val="none" w:sz="0" w:space="0" w:color="auto"/>
            <w:left w:val="none" w:sz="0" w:space="0" w:color="auto"/>
            <w:bottom w:val="none" w:sz="0" w:space="0" w:color="auto"/>
            <w:right w:val="none" w:sz="0" w:space="0" w:color="auto"/>
          </w:divBdr>
        </w:div>
        <w:div w:id="1957444209">
          <w:marLeft w:val="0"/>
          <w:marRight w:val="0"/>
          <w:marTop w:val="0"/>
          <w:marBottom w:val="0"/>
          <w:divBdr>
            <w:top w:val="none" w:sz="0" w:space="0" w:color="auto"/>
            <w:left w:val="none" w:sz="0" w:space="0" w:color="auto"/>
            <w:bottom w:val="none" w:sz="0" w:space="0" w:color="auto"/>
            <w:right w:val="none" w:sz="0" w:space="0" w:color="auto"/>
          </w:divBdr>
        </w:div>
        <w:div w:id="1968047710">
          <w:marLeft w:val="0"/>
          <w:marRight w:val="0"/>
          <w:marTop w:val="0"/>
          <w:marBottom w:val="0"/>
          <w:divBdr>
            <w:top w:val="none" w:sz="0" w:space="0" w:color="auto"/>
            <w:left w:val="none" w:sz="0" w:space="0" w:color="auto"/>
            <w:bottom w:val="none" w:sz="0" w:space="0" w:color="auto"/>
            <w:right w:val="none" w:sz="0" w:space="0" w:color="auto"/>
          </w:divBdr>
        </w:div>
        <w:div w:id="1988781258">
          <w:marLeft w:val="0"/>
          <w:marRight w:val="0"/>
          <w:marTop w:val="0"/>
          <w:marBottom w:val="0"/>
          <w:divBdr>
            <w:top w:val="none" w:sz="0" w:space="0" w:color="auto"/>
            <w:left w:val="none" w:sz="0" w:space="0" w:color="auto"/>
            <w:bottom w:val="none" w:sz="0" w:space="0" w:color="auto"/>
            <w:right w:val="none" w:sz="0" w:space="0" w:color="auto"/>
          </w:divBdr>
        </w:div>
        <w:div w:id="2055307149">
          <w:marLeft w:val="0"/>
          <w:marRight w:val="0"/>
          <w:marTop w:val="0"/>
          <w:marBottom w:val="0"/>
          <w:divBdr>
            <w:top w:val="none" w:sz="0" w:space="0" w:color="auto"/>
            <w:left w:val="none" w:sz="0" w:space="0" w:color="auto"/>
            <w:bottom w:val="none" w:sz="0" w:space="0" w:color="auto"/>
            <w:right w:val="none" w:sz="0" w:space="0" w:color="auto"/>
          </w:divBdr>
        </w:div>
        <w:div w:id="2059694959">
          <w:marLeft w:val="0"/>
          <w:marRight w:val="0"/>
          <w:marTop w:val="0"/>
          <w:marBottom w:val="0"/>
          <w:divBdr>
            <w:top w:val="none" w:sz="0" w:space="0" w:color="auto"/>
            <w:left w:val="none" w:sz="0" w:space="0" w:color="auto"/>
            <w:bottom w:val="none" w:sz="0" w:space="0" w:color="auto"/>
            <w:right w:val="none" w:sz="0" w:space="0" w:color="auto"/>
          </w:divBdr>
        </w:div>
        <w:div w:id="2067751897">
          <w:marLeft w:val="0"/>
          <w:marRight w:val="0"/>
          <w:marTop w:val="0"/>
          <w:marBottom w:val="0"/>
          <w:divBdr>
            <w:top w:val="none" w:sz="0" w:space="0" w:color="auto"/>
            <w:left w:val="none" w:sz="0" w:space="0" w:color="auto"/>
            <w:bottom w:val="none" w:sz="0" w:space="0" w:color="auto"/>
            <w:right w:val="none" w:sz="0" w:space="0" w:color="auto"/>
          </w:divBdr>
          <w:divsChild>
            <w:div w:id="194656121">
              <w:marLeft w:val="0"/>
              <w:marRight w:val="0"/>
              <w:marTop w:val="0"/>
              <w:marBottom w:val="0"/>
              <w:divBdr>
                <w:top w:val="none" w:sz="0" w:space="0" w:color="auto"/>
                <w:left w:val="none" w:sz="0" w:space="0" w:color="auto"/>
                <w:bottom w:val="none" w:sz="0" w:space="0" w:color="auto"/>
                <w:right w:val="none" w:sz="0" w:space="0" w:color="auto"/>
              </w:divBdr>
            </w:div>
            <w:div w:id="246547365">
              <w:marLeft w:val="0"/>
              <w:marRight w:val="0"/>
              <w:marTop w:val="0"/>
              <w:marBottom w:val="0"/>
              <w:divBdr>
                <w:top w:val="none" w:sz="0" w:space="0" w:color="auto"/>
                <w:left w:val="none" w:sz="0" w:space="0" w:color="auto"/>
                <w:bottom w:val="none" w:sz="0" w:space="0" w:color="auto"/>
                <w:right w:val="none" w:sz="0" w:space="0" w:color="auto"/>
              </w:divBdr>
            </w:div>
            <w:div w:id="306201547">
              <w:marLeft w:val="0"/>
              <w:marRight w:val="0"/>
              <w:marTop w:val="0"/>
              <w:marBottom w:val="0"/>
              <w:divBdr>
                <w:top w:val="none" w:sz="0" w:space="0" w:color="auto"/>
                <w:left w:val="none" w:sz="0" w:space="0" w:color="auto"/>
                <w:bottom w:val="none" w:sz="0" w:space="0" w:color="auto"/>
                <w:right w:val="none" w:sz="0" w:space="0" w:color="auto"/>
              </w:divBdr>
            </w:div>
            <w:div w:id="515703107">
              <w:marLeft w:val="0"/>
              <w:marRight w:val="0"/>
              <w:marTop w:val="0"/>
              <w:marBottom w:val="0"/>
              <w:divBdr>
                <w:top w:val="none" w:sz="0" w:space="0" w:color="auto"/>
                <w:left w:val="none" w:sz="0" w:space="0" w:color="auto"/>
                <w:bottom w:val="none" w:sz="0" w:space="0" w:color="auto"/>
                <w:right w:val="none" w:sz="0" w:space="0" w:color="auto"/>
              </w:divBdr>
            </w:div>
            <w:div w:id="643893988">
              <w:marLeft w:val="0"/>
              <w:marRight w:val="0"/>
              <w:marTop w:val="0"/>
              <w:marBottom w:val="0"/>
              <w:divBdr>
                <w:top w:val="none" w:sz="0" w:space="0" w:color="auto"/>
                <w:left w:val="none" w:sz="0" w:space="0" w:color="auto"/>
                <w:bottom w:val="none" w:sz="0" w:space="0" w:color="auto"/>
                <w:right w:val="none" w:sz="0" w:space="0" w:color="auto"/>
              </w:divBdr>
            </w:div>
            <w:div w:id="775642254">
              <w:marLeft w:val="0"/>
              <w:marRight w:val="0"/>
              <w:marTop w:val="0"/>
              <w:marBottom w:val="0"/>
              <w:divBdr>
                <w:top w:val="none" w:sz="0" w:space="0" w:color="auto"/>
                <w:left w:val="none" w:sz="0" w:space="0" w:color="auto"/>
                <w:bottom w:val="none" w:sz="0" w:space="0" w:color="auto"/>
                <w:right w:val="none" w:sz="0" w:space="0" w:color="auto"/>
              </w:divBdr>
            </w:div>
            <w:div w:id="906766329">
              <w:marLeft w:val="0"/>
              <w:marRight w:val="0"/>
              <w:marTop w:val="0"/>
              <w:marBottom w:val="0"/>
              <w:divBdr>
                <w:top w:val="none" w:sz="0" w:space="0" w:color="auto"/>
                <w:left w:val="none" w:sz="0" w:space="0" w:color="auto"/>
                <w:bottom w:val="none" w:sz="0" w:space="0" w:color="auto"/>
                <w:right w:val="none" w:sz="0" w:space="0" w:color="auto"/>
              </w:divBdr>
            </w:div>
            <w:div w:id="1063483012">
              <w:marLeft w:val="0"/>
              <w:marRight w:val="0"/>
              <w:marTop w:val="0"/>
              <w:marBottom w:val="0"/>
              <w:divBdr>
                <w:top w:val="none" w:sz="0" w:space="0" w:color="auto"/>
                <w:left w:val="none" w:sz="0" w:space="0" w:color="auto"/>
                <w:bottom w:val="none" w:sz="0" w:space="0" w:color="auto"/>
                <w:right w:val="none" w:sz="0" w:space="0" w:color="auto"/>
              </w:divBdr>
            </w:div>
            <w:div w:id="1098908782">
              <w:marLeft w:val="0"/>
              <w:marRight w:val="0"/>
              <w:marTop w:val="0"/>
              <w:marBottom w:val="0"/>
              <w:divBdr>
                <w:top w:val="none" w:sz="0" w:space="0" w:color="auto"/>
                <w:left w:val="none" w:sz="0" w:space="0" w:color="auto"/>
                <w:bottom w:val="none" w:sz="0" w:space="0" w:color="auto"/>
                <w:right w:val="none" w:sz="0" w:space="0" w:color="auto"/>
              </w:divBdr>
            </w:div>
            <w:div w:id="1106929687">
              <w:marLeft w:val="0"/>
              <w:marRight w:val="0"/>
              <w:marTop w:val="0"/>
              <w:marBottom w:val="0"/>
              <w:divBdr>
                <w:top w:val="none" w:sz="0" w:space="0" w:color="auto"/>
                <w:left w:val="none" w:sz="0" w:space="0" w:color="auto"/>
                <w:bottom w:val="none" w:sz="0" w:space="0" w:color="auto"/>
                <w:right w:val="none" w:sz="0" w:space="0" w:color="auto"/>
              </w:divBdr>
            </w:div>
            <w:div w:id="1240141787">
              <w:marLeft w:val="0"/>
              <w:marRight w:val="0"/>
              <w:marTop w:val="0"/>
              <w:marBottom w:val="0"/>
              <w:divBdr>
                <w:top w:val="none" w:sz="0" w:space="0" w:color="auto"/>
                <w:left w:val="none" w:sz="0" w:space="0" w:color="auto"/>
                <w:bottom w:val="none" w:sz="0" w:space="0" w:color="auto"/>
                <w:right w:val="none" w:sz="0" w:space="0" w:color="auto"/>
              </w:divBdr>
            </w:div>
            <w:div w:id="1256742555">
              <w:marLeft w:val="0"/>
              <w:marRight w:val="0"/>
              <w:marTop w:val="0"/>
              <w:marBottom w:val="0"/>
              <w:divBdr>
                <w:top w:val="none" w:sz="0" w:space="0" w:color="auto"/>
                <w:left w:val="none" w:sz="0" w:space="0" w:color="auto"/>
                <w:bottom w:val="none" w:sz="0" w:space="0" w:color="auto"/>
                <w:right w:val="none" w:sz="0" w:space="0" w:color="auto"/>
              </w:divBdr>
            </w:div>
            <w:div w:id="1362783137">
              <w:marLeft w:val="0"/>
              <w:marRight w:val="0"/>
              <w:marTop w:val="0"/>
              <w:marBottom w:val="0"/>
              <w:divBdr>
                <w:top w:val="none" w:sz="0" w:space="0" w:color="auto"/>
                <w:left w:val="none" w:sz="0" w:space="0" w:color="auto"/>
                <w:bottom w:val="none" w:sz="0" w:space="0" w:color="auto"/>
                <w:right w:val="none" w:sz="0" w:space="0" w:color="auto"/>
              </w:divBdr>
            </w:div>
            <w:div w:id="1406563449">
              <w:marLeft w:val="0"/>
              <w:marRight w:val="0"/>
              <w:marTop w:val="0"/>
              <w:marBottom w:val="0"/>
              <w:divBdr>
                <w:top w:val="none" w:sz="0" w:space="0" w:color="auto"/>
                <w:left w:val="none" w:sz="0" w:space="0" w:color="auto"/>
                <w:bottom w:val="none" w:sz="0" w:space="0" w:color="auto"/>
                <w:right w:val="none" w:sz="0" w:space="0" w:color="auto"/>
              </w:divBdr>
            </w:div>
            <w:div w:id="1474056054">
              <w:marLeft w:val="0"/>
              <w:marRight w:val="0"/>
              <w:marTop w:val="0"/>
              <w:marBottom w:val="0"/>
              <w:divBdr>
                <w:top w:val="none" w:sz="0" w:space="0" w:color="auto"/>
                <w:left w:val="none" w:sz="0" w:space="0" w:color="auto"/>
                <w:bottom w:val="none" w:sz="0" w:space="0" w:color="auto"/>
                <w:right w:val="none" w:sz="0" w:space="0" w:color="auto"/>
              </w:divBdr>
            </w:div>
            <w:div w:id="1546868624">
              <w:marLeft w:val="0"/>
              <w:marRight w:val="0"/>
              <w:marTop w:val="0"/>
              <w:marBottom w:val="0"/>
              <w:divBdr>
                <w:top w:val="none" w:sz="0" w:space="0" w:color="auto"/>
                <w:left w:val="none" w:sz="0" w:space="0" w:color="auto"/>
                <w:bottom w:val="none" w:sz="0" w:space="0" w:color="auto"/>
                <w:right w:val="none" w:sz="0" w:space="0" w:color="auto"/>
              </w:divBdr>
            </w:div>
            <w:div w:id="1632399329">
              <w:marLeft w:val="0"/>
              <w:marRight w:val="0"/>
              <w:marTop w:val="0"/>
              <w:marBottom w:val="0"/>
              <w:divBdr>
                <w:top w:val="none" w:sz="0" w:space="0" w:color="auto"/>
                <w:left w:val="none" w:sz="0" w:space="0" w:color="auto"/>
                <w:bottom w:val="none" w:sz="0" w:space="0" w:color="auto"/>
                <w:right w:val="none" w:sz="0" w:space="0" w:color="auto"/>
              </w:divBdr>
            </w:div>
            <w:div w:id="1732848809">
              <w:marLeft w:val="0"/>
              <w:marRight w:val="0"/>
              <w:marTop w:val="0"/>
              <w:marBottom w:val="0"/>
              <w:divBdr>
                <w:top w:val="none" w:sz="0" w:space="0" w:color="auto"/>
                <w:left w:val="none" w:sz="0" w:space="0" w:color="auto"/>
                <w:bottom w:val="none" w:sz="0" w:space="0" w:color="auto"/>
                <w:right w:val="none" w:sz="0" w:space="0" w:color="auto"/>
              </w:divBdr>
            </w:div>
            <w:div w:id="1773551166">
              <w:marLeft w:val="0"/>
              <w:marRight w:val="0"/>
              <w:marTop w:val="0"/>
              <w:marBottom w:val="0"/>
              <w:divBdr>
                <w:top w:val="none" w:sz="0" w:space="0" w:color="auto"/>
                <w:left w:val="none" w:sz="0" w:space="0" w:color="auto"/>
                <w:bottom w:val="none" w:sz="0" w:space="0" w:color="auto"/>
                <w:right w:val="none" w:sz="0" w:space="0" w:color="auto"/>
              </w:divBdr>
            </w:div>
            <w:div w:id="1906336530">
              <w:marLeft w:val="0"/>
              <w:marRight w:val="0"/>
              <w:marTop w:val="0"/>
              <w:marBottom w:val="0"/>
              <w:divBdr>
                <w:top w:val="none" w:sz="0" w:space="0" w:color="auto"/>
                <w:left w:val="none" w:sz="0" w:space="0" w:color="auto"/>
                <w:bottom w:val="none" w:sz="0" w:space="0" w:color="auto"/>
                <w:right w:val="none" w:sz="0" w:space="0" w:color="auto"/>
              </w:divBdr>
            </w:div>
            <w:div w:id="1932272612">
              <w:marLeft w:val="0"/>
              <w:marRight w:val="0"/>
              <w:marTop w:val="0"/>
              <w:marBottom w:val="0"/>
              <w:divBdr>
                <w:top w:val="none" w:sz="0" w:space="0" w:color="auto"/>
                <w:left w:val="none" w:sz="0" w:space="0" w:color="auto"/>
                <w:bottom w:val="none" w:sz="0" w:space="0" w:color="auto"/>
                <w:right w:val="none" w:sz="0" w:space="0" w:color="auto"/>
              </w:divBdr>
            </w:div>
            <w:div w:id="1952929742">
              <w:marLeft w:val="0"/>
              <w:marRight w:val="0"/>
              <w:marTop w:val="0"/>
              <w:marBottom w:val="0"/>
              <w:divBdr>
                <w:top w:val="none" w:sz="0" w:space="0" w:color="auto"/>
                <w:left w:val="none" w:sz="0" w:space="0" w:color="auto"/>
                <w:bottom w:val="none" w:sz="0" w:space="0" w:color="auto"/>
                <w:right w:val="none" w:sz="0" w:space="0" w:color="auto"/>
              </w:divBdr>
            </w:div>
            <w:div w:id="1987736121">
              <w:marLeft w:val="0"/>
              <w:marRight w:val="0"/>
              <w:marTop w:val="0"/>
              <w:marBottom w:val="0"/>
              <w:divBdr>
                <w:top w:val="none" w:sz="0" w:space="0" w:color="auto"/>
                <w:left w:val="none" w:sz="0" w:space="0" w:color="auto"/>
                <w:bottom w:val="none" w:sz="0" w:space="0" w:color="auto"/>
                <w:right w:val="none" w:sz="0" w:space="0" w:color="auto"/>
              </w:divBdr>
            </w:div>
            <w:div w:id="2109302973">
              <w:marLeft w:val="0"/>
              <w:marRight w:val="0"/>
              <w:marTop w:val="0"/>
              <w:marBottom w:val="0"/>
              <w:divBdr>
                <w:top w:val="none" w:sz="0" w:space="0" w:color="auto"/>
                <w:left w:val="none" w:sz="0" w:space="0" w:color="auto"/>
                <w:bottom w:val="none" w:sz="0" w:space="0" w:color="auto"/>
                <w:right w:val="none" w:sz="0" w:space="0" w:color="auto"/>
              </w:divBdr>
            </w:div>
          </w:divsChild>
        </w:div>
        <w:div w:id="2074086941">
          <w:marLeft w:val="0"/>
          <w:marRight w:val="0"/>
          <w:marTop w:val="0"/>
          <w:marBottom w:val="0"/>
          <w:divBdr>
            <w:top w:val="none" w:sz="0" w:space="0" w:color="auto"/>
            <w:left w:val="none" w:sz="0" w:space="0" w:color="auto"/>
            <w:bottom w:val="none" w:sz="0" w:space="0" w:color="auto"/>
            <w:right w:val="none" w:sz="0" w:space="0" w:color="auto"/>
          </w:divBdr>
        </w:div>
        <w:div w:id="2080715005">
          <w:marLeft w:val="0"/>
          <w:marRight w:val="0"/>
          <w:marTop w:val="0"/>
          <w:marBottom w:val="0"/>
          <w:divBdr>
            <w:top w:val="none" w:sz="0" w:space="0" w:color="auto"/>
            <w:left w:val="none" w:sz="0" w:space="0" w:color="auto"/>
            <w:bottom w:val="none" w:sz="0" w:space="0" w:color="auto"/>
            <w:right w:val="none" w:sz="0" w:space="0" w:color="auto"/>
          </w:divBdr>
        </w:div>
        <w:div w:id="2085907844">
          <w:marLeft w:val="0"/>
          <w:marRight w:val="0"/>
          <w:marTop w:val="0"/>
          <w:marBottom w:val="0"/>
          <w:divBdr>
            <w:top w:val="none" w:sz="0" w:space="0" w:color="auto"/>
            <w:left w:val="none" w:sz="0" w:space="0" w:color="auto"/>
            <w:bottom w:val="none" w:sz="0" w:space="0" w:color="auto"/>
            <w:right w:val="none" w:sz="0" w:space="0" w:color="auto"/>
          </w:divBdr>
        </w:div>
        <w:div w:id="2124416034">
          <w:marLeft w:val="0"/>
          <w:marRight w:val="0"/>
          <w:marTop w:val="0"/>
          <w:marBottom w:val="0"/>
          <w:divBdr>
            <w:top w:val="none" w:sz="0" w:space="0" w:color="auto"/>
            <w:left w:val="none" w:sz="0" w:space="0" w:color="auto"/>
            <w:bottom w:val="none" w:sz="0" w:space="0" w:color="auto"/>
            <w:right w:val="none" w:sz="0" w:space="0" w:color="auto"/>
          </w:divBdr>
        </w:div>
      </w:divsChild>
    </w:div>
    <w:div w:id="2085761729">
      <w:bodyDiv w:val="1"/>
      <w:marLeft w:val="0"/>
      <w:marRight w:val="0"/>
      <w:marTop w:val="0"/>
      <w:marBottom w:val="0"/>
      <w:divBdr>
        <w:top w:val="none" w:sz="0" w:space="0" w:color="auto"/>
        <w:left w:val="none" w:sz="0" w:space="0" w:color="auto"/>
        <w:bottom w:val="none" w:sz="0" w:space="0" w:color="auto"/>
        <w:right w:val="none" w:sz="0" w:space="0" w:color="auto"/>
      </w:divBdr>
      <w:divsChild>
        <w:div w:id="5065087">
          <w:marLeft w:val="0"/>
          <w:marRight w:val="0"/>
          <w:marTop w:val="0"/>
          <w:marBottom w:val="0"/>
          <w:divBdr>
            <w:top w:val="none" w:sz="0" w:space="0" w:color="auto"/>
            <w:left w:val="none" w:sz="0" w:space="0" w:color="auto"/>
            <w:bottom w:val="none" w:sz="0" w:space="0" w:color="auto"/>
            <w:right w:val="none" w:sz="0" w:space="0" w:color="auto"/>
          </w:divBdr>
        </w:div>
        <w:div w:id="5252287">
          <w:marLeft w:val="0"/>
          <w:marRight w:val="0"/>
          <w:marTop w:val="0"/>
          <w:marBottom w:val="0"/>
          <w:divBdr>
            <w:top w:val="none" w:sz="0" w:space="0" w:color="auto"/>
            <w:left w:val="none" w:sz="0" w:space="0" w:color="auto"/>
            <w:bottom w:val="none" w:sz="0" w:space="0" w:color="auto"/>
            <w:right w:val="none" w:sz="0" w:space="0" w:color="auto"/>
          </w:divBdr>
        </w:div>
        <w:div w:id="16008989">
          <w:marLeft w:val="0"/>
          <w:marRight w:val="0"/>
          <w:marTop w:val="0"/>
          <w:marBottom w:val="0"/>
          <w:divBdr>
            <w:top w:val="none" w:sz="0" w:space="0" w:color="auto"/>
            <w:left w:val="none" w:sz="0" w:space="0" w:color="auto"/>
            <w:bottom w:val="none" w:sz="0" w:space="0" w:color="auto"/>
            <w:right w:val="none" w:sz="0" w:space="0" w:color="auto"/>
          </w:divBdr>
        </w:div>
        <w:div w:id="35205055">
          <w:marLeft w:val="0"/>
          <w:marRight w:val="0"/>
          <w:marTop w:val="0"/>
          <w:marBottom w:val="0"/>
          <w:divBdr>
            <w:top w:val="none" w:sz="0" w:space="0" w:color="auto"/>
            <w:left w:val="none" w:sz="0" w:space="0" w:color="auto"/>
            <w:bottom w:val="none" w:sz="0" w:space="0" w:color="auto"/>
            <w:right w:val="none" w:sz="0" w:space="0" w:color="auto"/>
          </w:divBdr>
        </w:div>
        <w:div w:id="41373484">
          <w:marLeft w:val="0"/>
          <w:marRight w:val="0"/>
          <w:marTop w:val="0"/>
          <w:marBottom w:val="0"/>
          <w:divBdr>
            <w:top w:val="none" w:sz="0" w:space="0" w:color="auto"/>
            <w:left w:val="none" w:sz="0" w:space="0" w:color="auto"/>
            <w:bottom w:val="none" w:sz="0" w:space="0" w:color="auto"/>
            <w:right w:val="none" w:sz="0" w:space="0" w:color="auto"/>
          </w:divBdr>
        </w:div>
        <w:div w:id="51664280">
          <w:marLeft w:val="0"/>
          <w:marRight w:val="0"/>
          <w:marTop w:val="0"/>
          <w:marBottom w:val="0"/>
          <w:divBdr>
            <w:top w:val="none" w:sz="0" w:space="0" w:color="auto"/>
            <w:left w:val="none" w:sz="0" w:space="0" w:color="auto"/>
            <w:bottom w:val="none" w:sz="0" w:space="0" w:color="auto"/>
            <w:right w:val="none" w:sz="0" w:space="0" w:color="auto"/>
          </w:divBdr>
        </w:div>
        <w:div w:id="80487544">
          <w:marLeft w:val="0"/>
          <w:marRight w:val="0"/>
          <w:marTop w:val="0"/>
          <w:marBottom w:val="0"/>
          <w:divBdr>
            <w:top w:val="none" w:sz="0" w:space="0" w:color="auto"/>
            <w:left w:val="none" w:sz="0" w:space="0" w:color="auto"/>
            <w:bottom w:val="none" w:sz="0" w:space="0" w:color="auto"/>
            <w:right w:val="none" w:sz="0" w:space="0" w:color="auto"/>
          </w:divBdr>
        </w:div>
        <w:div w:id="94599595">
          <w:marLeft w:val="0"/>
          <w:marRight w:val="0"/>
          <w:marTop w:val="0"/>
          <w:marBottom w:val="0"/>
          <w:divBdr>
            <w:top w:val="none" w:sz="0" w:space="0" w:color="auto"/>
            <w:left w:val="none" w:sz="0" w:space="0" w:color="auto"/>
            <w:bottom w:val="none" w:sz="0" w:space="0" w:color="auto"/>
            <w:right w:val="none" w:sz="0" w:space="0" w:color="auto"/>
          </w:divBdr>
        </w:div>
        <w:div w:id="109711946">
          <w:marLeft w:val="0"/>
          <w:marRight w:val="0"/>
          <w:marTop w:val="0"/>
          <w:marBottom w:val="0"/>
          <w:divBdr>
            <w:top w:val="none" w:sz="0" w:space="0" w:color="auto"/>
            <w:left w:val="none" w:sz="0" w:space="0" w:color="auto"/>
            <w:bottom w:val="none" w:sz="0" w:space="0" w:color="auto"/>
            <w:right w:val="none" w:sz="0" w:space="0" w:color="auto"/>
          </w:divBdr>
        </w:div>
        <w:div w:id="122042192">
          <w:marLeft w:val="0"/>
          <w:marRight w:val="0"/>
          <w:marTop w:val="0"/>
          <w:marBottom w:val="0"/>
          <w:divBdr>
            <w:top w:val="none" w:sz="0" w:space="0" w:color="auto"/>
            <w:left w:val="none" w:sz="0" w:space="0" w:color="auto"/>
            <w:bottom w:val="none" w:sz="0" w:space="0" w:color="auto"/>
            <w:right w:val="none" w:sz="0" w:space="0" w:color="auto"/>
          </w:divBdr>
        </w:div>
        <w:div w:id="135223752">
          <w:marLeft w:val="0"/>
          <w:marRight w:val="0"/>
          <w:marTop w:val="0"/>
          <w:marBottom w:val="0"/>
          <w:divBdr>
            <w:top w:val="none" w:sz="0" w:space="0" w:color="auto"/>
            <w:left w:val="none" w:sz="0" w:space="0" w:color="auto"/>
            <w:bottom w:val="none" w:sz="0" w:space="0" w:color="auto"/>
            <w:right w:val="none" w:sz="0" w:space="0" w:color="auto"/>
          </w:divBdr>
        </w:div>
        <w:div w:id="139420445">
          <w:marLeft w:val="0"/>
          <w:marRight w:val="0"/>
          <w:marTop w:val="0"/>
          <w:marBottom w:val="0"/>
          <w:divBdr>
            <w:top w:val="none" w:sz="0" w:space="0" w:color="auto"/>
            <w:left w:val="none" w:sz="0" w:space="0" w:color="auto"/>
            <w:bottom w:val="none" w:sz="0" w:space="0" w:color="auto"/>
            <w:right w:val="none" w:sz="0" w:space="0" w:color="auto"/>
          </w:divBdr>
        </w:div>
        <w:div w:id="144903615">
          <w:marLeft w:val="0"/>
          <w:marRight w:val="0"/>
          <w:marTop w:val="0"/>
          <w:marBottom w:val="0"/>
          <w:divBdr>
            <w:top w:val="none" w:sz="0" w:space="0" w:color="auto"/>
            <w:left w:val="none" w:sz="0" w:space="0" w:color="auto"/>
            <w:bottom w:val="none" w:sz="0" w:space="0" w:color="auto"/>
            <w:right w:val="none" w:sz="0" w:space="0" w:color="auto"/>
          </w:divBdr>
        </w:div>
        <w:div w:id="160892371">
          <w:marLeft w:val="0"/>
          <w:marRight w:val="0"/>
          <w:marTop w:val="0"/>
          <w:marBottom w:val="0"/>
          <w:divBdr>
            <w:top w:val="none" w:sz="0" w:space="0" w:color="auto"/>
            <w:left w:val="none" w:sz="0" w:space="0" w:color="auto"/>
            <w:bottom w:val="none" w:sz="0" w:space="0" w:color="auto"/>
            <w:right w:val="none" w:sz="0" w:space="0" w:color="auto"/>
          </w:divBdr>
        </w:div>
        <w:div w:id="171723346">
          <w:marLeft w:val="0"/>
          <w:marRight w:val="0"/>
          <w:marTop w:val="0"/>
          <w:marBottom w:val="0"/>
          <w:divBdr>
            <w:top w:val="none" w:sz="0" w:space="0" w:color="auto"/>
            <w:left w:val="none" w:sz="0" w:space="0" w:color="auto"/>
            <w:bottom w:val="none" w:sz="0" w:space="0" w:color="auto"/>
            <w:right w:val="none" w:sz="0" w:space="0" w:color="auto"/>
          </w:divBdr>
        </w:div>
        <w:div w:id="204410575">
          <w:marLeft w:val="0"/>
          <w:marRight w:val="0"/>
          <w:marTop w:val="0"/>
          <w:marBottom w:val="0"/>
          <w:divBdr>
            <w:top w:val="none" w:sz="0" w:space="0" w:color="auto"/>
            <w:left w:val="none" w:sz="0" w:space="0" w:color="auto"/>
            <w:bottom w:val="none" w:sz="0" w:space="0" w:color="auto"/>
            <w:right w:val="none" w:sz="0" w:space="0" w:color="auto"/>
          </w:divBdr>
        </w:div>
        <w:div w:id="214707381">
          <w:marLeft w:val="0"/>
          <w:marRight w:val="0"/>
          <w:marTop w:val="0"/>
          <w:marBottom w:val="0"/>
          <w:divBdr>
            <w:top w:val="none" w:sz="0" w:space="0" w:color="auto"/>
            <w:left w:val="none" w:sz="0" w:space="0" w:color="auto"/>
            <w:bottom w:val="none" w:sz="0" w:space="0" w:color="auto"/>
            <w:right w:val="none" w:sz="0" w:space="0" w:color="auto"/>
          </w:divBdr>
        </w:div>
        <w:div w:id="220680346">
          <w:marLeft w:val="0"/>
          <w:marRight w:val="0"/>
          <w:marTop w:val="0"/>
          <w:marBottom w:val="0"/>
          <w:divBdr>
            <w:top w:val="none" w:sz="0" w:space="0" w:color="auto"/>
            <w:left w:val="none" w:sz="0" w:space="0" w:color="auto"/>
            <w:bottom w:val="none" w:sz="0" w:space="0" w:color="auto"/>
            <w:right w:val="none" w:sz="0" w:space="0" w:color="auto"/>
          </w:divBdr>
        </w:div>
        <w:div w:id="251092557">
          <w:marLeft w:val="0"/>
          <w:marRight w:val="0"/>
          <w:marTop w:val="0"/>
          <w:marBottom w:val="0"/>
          <w:divBdr>
            <w:top w:val="none" w:sz="0" w:space="0" w:color="auto"/>
            <w:left w:val="none" w:sz="0" w:space="0" w:color="auto"/>
            <w:bottom w:val="none" w:sz="0" w:space="0" w:color="auto"/>
            <w:right w:val="none" w:sz="0" w:space="0" w:color="auto"/>
          </w:divBdr>
        </w:div>
        <w:div w:id="251820830">
          <w:marLeft w:val="0"/>
          <w:marRight w:val="0"/>
          <w:marTop w:val="0"/>
          <w:marBottom w:val="0"/>
          <w:divBdr>
            <w:top w:val="none" w:sz="0" w:space="0" w:color="auto"/>
            <w:left w:val="none" w:sz="0" w:space="0" w:color="auto"/>
            <w:bottom w:val="none" w:sz="0" w:space="0" w:color="auto"/>
            <w:right w:val="none" w:sz="0" w:space="0" w:color="auto"/>
          </w:divBdr>
        </w:div>
        <w:div w:id="259530656">
          <w:marLeft w:val="0"/>
          <w:marRight w:val="0"/>
          <w:marTop w:val="0"/>
          <w:marBottom w:val="0"/>
          <w:divBdr>
            <w:top w:val="none" w:sz="0" w:space="0" w:color="auto"/>
            <w:left w:val="none" w:sz="0" w:space="0" w:color="auto"/>
            <w:bottom w:val="none" w:sz="0" w:space="0" w:color="auto"/>
            <w:right w:val="none" w:sz="0" w:space="0" w:color="auto"/>
          </w:divBdr>
        </w:div>
        <w:div w:id="267811718">
          <w:marLeft w:val="0"/>
          <w:marRight w:val="0"/>
          <w:marTop w:val="0"/>
          <w:marBottom w:val="0"/>
          <w:divBdr>
            <w:top w:val="none" w:sz="0" w:space="0" w:color="auto"/>
            <w:left w:val="none" w:sz="0" w:space="0" w:color="auto"/>
            <w:bottom w:val="none" w:sz="0" w:space="0" w:color="auto"/>
            <w:right w:val="none" w:sz="0" w:space="0" w:color="auto"/>
          </w:divBdr>
        </w:div>
        <w:div w:id="282999318">
          <w:marLeft w:val="0"/>
          <w:marRight w:val="0"/>
          <w:marTop w:val="0"/>
          <w:marBottom w:val="0"/>
          <w:divBdr>
            <w:top w:val="none" w:sz="0" w:space="0" w:color="auto"/>
            <w:left w:val="none" w:sz="0" w:space="0" w:color="auto"/>
            <w:bottom w:val="none" w:sz="0" w:space="0" w:color="auto"/>
            <w:right w:val="none" w:sz="0" w:space="0" w:color="auto"/>
          </w:divBdr>
        </w:div>
        <w:div w:id="289016548">
          <w:marLeft w:val="0"/>
          <w:marRight w:val="0"/>
          <w:marTop w:val="0"/>
          <w:marBottom w:val="0"/>
          <w:divBdr>
            <w:top w:val="none" w:sz="0" w:space="0" w:color="auto"/>
            <w:left w:val="none" w:sz="0" w:space="0" w:color="auto"/>
            <w:bottom w:val="none" w:sz="0" w:space="0" w:color="auto"/>
            <w:right w:val="none" w:sz="0" w:space="0" w:color="auto"/>
          </w:divBdr>
        </w:div>
        <w:div w:id="320155342">
          <w:marLeft w:val="0"/>
          <w:marRight w:val="0"/>
          <w:marTop w:val="0"/>
          <w:marBottom w:val="0"/>
          <w:divBdr>
            <w:top w:val="none" w:sz="0" w:space="0" w:color="auto"/>
            <w:left w:val="none" w:sz="0" w:space="0" w:color="auto"/>
            <w:bottom w:val="none" w:sz="0" w:space="0" w:color="auto"/>
            <w:right w:val="none" w:sz="0" w:space="0" w:color="auto"/>
          </w:divBdr>
        </w:div>
        <w:div w:id="320352254">
          <w:marLeft w:val="0"/>
          <w:marRight w:val="0"/>
          <w:marTop w:val="0"/>
          <w:marBottom w:val="0"/>
          <w:divBdr>
            <w:top w:val="none" w:sz="0" w:space="0" w:color="auto"/>
            <w:left w:val="none" w:sz="0" w:space="0" w:color="auto"/>
            <w:bottom w:val="none" w:sz="0" w:space="0" w:color="auto"/>
            <w:right w:val="none" w:sz="0" w:space="0" w:color="auto"/>
          </w:divBdr>
        </w:div>
        <w:div w:id="356808357">
          <w:marLeft w:val="0"/>
          <w:marRight w:val="0"/>
          <w:marTop w:val="0"/>
          <w:marBottom w:val="0"/>
          <w:divBdr>
            <w:top w:val="none" w:sz="0" w:space="0" w:color="auto"/>
            <w:left w:val="none" w:sz="0" w:space="0" w:color="auto"/>
            <w:bottom w:val="none" w:sz="0" w:space="0" w:color="auto"/>
            <w:right w:val="none" w:sz="0" w:space="0" w:color="auto"/>
          </w:divBdr>
        </w:div>
        <w:div w:id="357201489">
          <w:marLeft w:val="0"/>
          <w:marRight w:val="0"/>
          <w:marTop w:val="0"/>
          <w:marBottom w:val="0"/>
          <w:divBdr>
            <w:top w:val="none" w:sz="0" w:space="0" w:color="auto"/>
            <w:left w:val="none" w:sz="0" w:space="0" w:color="auto"/>
            <w:bottom w:val="none" w:sz="0" w:space="0" w:color="auto"/>
            <w:right w:val="none" w:sz="0" w:space="0" w:color="auto"/>
          </w:divBdr>
        </w:div>
        <w:div w:id="371419618">
          <w:marLeft w:val="0"/>
          <w:marRight w:val="0"/>
          <w:marTop w:val="0"/>
          <w:marBottom w:val="0"/>
          <w:divBdr>
            <w:top w:val="none" w:sz="0" w:space="0" w:color="auto"/>
            <w:left w:val="none" w:sz="0" w:space="0" w:color="auto"/>
            <w:bottom w:val="none" w:sz="0" w:space="0" w:color="auto"/>
            <w:right w:val="none" w:sz="0" w:space="0" w:color="auto"/>
          </w:divBdr>
        </w:div>
        <w:div w:id="456947668">
          <w:marLeft w:val="0"/>
          <w:marRight w:val="0"/>
          <w:marTop w:val="0"/>
          <w:marBottom w:val="0"/>
          <w:divBdr>
            <w:top w:val="none" w:sz="0" w:space="0" w:color="auto"/>
            <w:left w:val="none" w:sz="0" w:space="0" w:color="auto"/>
            <w:bottom w:val="none" w:sz="0" w:space="0" w:color="auto"/>
            <w:right w:val="none" w:sz="0" w:space="0" w:color="auto"/>
          </w:divBdr>
        </w:div>
        <w:div w:id="474951503">
          <w:marLeft w:val="0"/>
          <w:marRight w:val="0"/>
          <w:marTop w:val="0"/>
          <w:marBottom w:val="0"/>
          <w:divBdr>
            <w:top w:val="none" w:sz="0" w:space="0" w:color="auto"/>
            <w:left w:val="none" w:sz="0" w:space="0" w:color="auto"/>
            <w:bottom w:val="none" w:sz="0" w:space="0" w:color="auto"/>
            <w:right w:val="none" w:sz="0" w:space="0" w:color="auto"/>
          </w:divBdr>
        </w:div>
        <w:div w:id="476144642">
          <w:marLeft w:val="0"/>
          <w:marRight w:val="0"/>
          <w:marTop w:val="0"/>
          <w:marBottom w:val="0"/>
          <w:divBdr>
            <w:top w:val="none" w:sz="0" w:space="0" w:color="auto"/>
            <w:left w:val="none" w:sz="0" w:space="0" w:color="auto"/>
            <w:bottom w:val="none" w:sz="0" w:space="0" w:color="auto"/>
            <w:right w:val="none" w:sz="0" w:space="0" w:color="auto"/>
          </w:divBdr>
        </w:div>
        <w:div w:id="482046035">
          <w:marLeft w:val="0"/>
          <w:marRight w:val="0"/>
          <w:marTop w:val="0"/>
          <w:marBottom w:val="0"/>
          <w:divBdr>
            <w:top w:val="none" w:sz="0" w:space="0" w:color="auto"/>
            <w:left w:val="none" w:sz="0" w:space="0" w:color="auto"/>
            <w:bottom w:val="none" w:sz="0" w:space="0" w:color="auto"/>
            <w:right w:val="none" w:sz="0" w:space="0" w:color="auto"/>
          </w:divBdr>
        </w:div>
        <w:div w:id="483544230">
          <w:marLeft w:val="0"/>
          <w:marRight w:val="0"/>
          <w:marTop w:val="0"/>
          <w:marBottom w:val="0"/>
          <w:divBdr>
            <w:top w:val="none" w:sz="0" w:space="0" w:color="auto"/>
            <w:left w:val="none" w:sz="0" w:space="0" w:color="auto"/>
            <w:bottom w:val="none" w:sz="0" w:space="0" w:color="auto"/>
            <w:right w:val="none" w:sz="0" w:space="0" w:color="auto"/>
          </w:divBdr>
        </w:div>
        <w:div w:id="488598583">
          <w:marLeft w:val="0"/>
          <w:marRight w:val="0"/>
          <w:marTop w:val="0"/>
          <w:marBottom w:val="0"/>
          <w:divBdr>
            <w:top w:val="none" w:sz="0" w:space="0" w:color="auto"/>
            <w:left w:val="none" w:sz="0" w:space="0" w:color="auto"/>
            <w:bottom w:val="none" w:sz="0" w:space="0" w:color="auto"/>
            <w:right w:val="none" w:sz="0" w:space="0" w:color="auto"/>
          </w:divBdr>
        </w:div>
        <w:div w:id="506482320">
          <w:marLeft w:val="0"/>
          <w:marRight w:val="0"/>
          <w:marTop w:val="0"/>
          <w:marBottom w:val="0"/>
          <w:divBdr>
            <w:top w:val="none" w:sz="0" w:space="0" w:color="auto"/>
            <w:left w:val="none" w:sz="0" w:space="0" w:color="auto"/>
            <w:bottom w:val="none" w:sz="0" w:space="0" w:color="auto"/>
            <w:right w:val="none" w:sz="0" w:space="0" w:color="auto"/>
          </w:divBdr>
        </w:div>
        <w:div w:id="511995647">
          <w:marLeft w:val="0"/>
          <w:marRight w:val="0"/>
          <w:marTop w:val="0"/>
          <w:marBottom w:val="0"/>
          <w:divBdr>
            <w:top w:val="none" w:sz="0" w:space="0" w:color="auto"/>
            <w:left w:val="none" w:sz="0" w:space="0" w:color="auto"/>
            <w:bottom w:val="none" w:sz="0" w:space="0" w:color="auto"/>
            <w:right w:val="none" w:sz="0" w:space="0" w:color="auto"/>
          </w:divBdr>
        </w:div>
        <w:div w:id="529533184">
          <w:marLeft w:val="0"/>
          <w:marRight w:val="0"/>
          <w:marTop w:val="0"/>
          <w:marBottom w:val="0"/>
          <w:divBdr>
            <w:top w:val="none" w:sz="0" w:space="0" w:color="auto"/>
            <w:left w:val="none" w:sz="0" w:space="0" w:color="auto"/>
            <w:bottom w:val="none" w:sz="0" w:space="0" w:color="auto"/>
            <w:right w:val="none" w:sz="0" w:space="0" w:color="auto"/>
          </w:divBdr>
        </w:div>
        <w:div w:id="546114371">
          <w:marLeft w:val="0"/>
          <w:marRight w:val="0"/>
          <w:marTop w:val="0"/>
          <w:marBottom w:val="0"/>
          <w:divBdr>
            <w:top w:val="none" w:sz="0" w:space="0" w:color="auto"/>
            <w:left w:val="none" w:sz="0" w:space="0" w:color="auto"/>
            <w:bottom w:val="none" w:sz="0" w:space="0" w:color="auto"/>
            <w:right w:val="none" w:sz="0" w:space="0" w:color="auto"/>
          </w:divBdr>
        </w:div>
        <w:div w:id="558135541">
          <w:marLeft w:val="0"/>
          <w:marRight w:val="0"/>
          <w:marTop w:val="0"/>
          <w:marBottom w:val="0"/>
          <w:divBdr>
            <w:top w:val="none" w:sz="0" w:space="0" w:color="auto"/>
            <w:left w:val="none" w:sz="0" w:space="0" w:color="auto"/>
            <w:bottom w:val="none" w:sz="0" w:space="0" w:color="auto"/>
            <w:right w:val="none" w:sz="0" w:space="0" w:color="auto"/>
          </w:divBdr>
        </w:div>
        <w:div w:id="567158268">
          <w:marLeft w:val="0"/>
          <w:marRight w:val="0"/>
          <w:marTop w:val="0"/>
          <w:marBottom w:val="0"/>
          <w:divBdr>
            <w:top w:val="none" w:sz="0" w:space="0" w:color="auto"/>
            <w:left w:val="none" w:sz="0" w:space="0" w:color="auto"/>
            <w:bottom w:val="none" w:sz="0" w:space="0" w:color="auto"/>
            <w:right w:val="none" w:sz="0" w:space="0" w:color="auto"/>
          </w:divBdr>
        </w:div>
        <w:div w:id="571888936">
          <w:marLeft w:val="0"/>
          <w:marRight w:val="0"/>
          <w:marTop w:val="0"/>
          <w:marBottom w:val="0"/>
          <w:divBdr>
            <w:top w:val="none" w:sz="0" w:space="0" w:color="auto"/>
            <w:left w:val="none" w:sz="0" w:space="0" w:color="auto"/>
            <w:bottom w:val="none" w:sz="0" w:space="0" w:color="auto"/>
            <w:right w:val="none" w:sz="0" w:space="0" w:color="auto"/>
          </w:divBdr>
        </w:div>
        <w:div w:id="572198906">
          <w:marLeft w:val="0"/>
          <w:marRight w:val="0"/>
          <w:marTop w:val="0"/>
          <w:marBottom w:val="0"/>
          <w:divBdr>
            <w:top w:val="none" w:sz="0" w:space="0" w:color="auto"/>
            <w:left w:val="none" w:sz="0" w:space="0" w:color="auto"/>
            <w:bottom w:val="none" w:sz="0" w:space="0" w:color="auto"/>
            <w:right w:val="none" w:sz="0" w:space="0" w:color="auto"/>
          </w:divBdr>
        </w:div>
        <w:div w:id="583301083">
          <w:marLeft w:val="0"/>
          <w:marRight w:val="0"/>
          <w:marTop w:val="0"/>
          <w:marBottom w:val="0"/>
          <w:divBdr>
            <w:top w:val="none" w:sz="0" w:space="0" w:color="auto"/>
            <w:left w:val="none" w:sz="0" w:space="0" w:color="auto"/>
            <w:bottom w:val="none" w:sz="0" w:space="0" w:color="auto"/>
            <w:right w:val="none" w:sz="0" w:space="0" w:color="auto"/>
          </w:divBdr>
        </w:div>
        <w:div w:id="587541171">
          <w:marLeft w:val="0"/>
          <w:marRight w:val="0"/>
          <w:marTop w:val="0"/>
          <w:marBottom w:val="0"/>
          <w:divBdr>
            <w:top w:val="none" w:sz="0" w:space="0" w:color="auto"/>
            <w:left w:val="none" w:sz="0" w:space="0" w:color="auto"/>
            <w:bottom w:val="none" w:sz="0" w:space="0" w:color="auto"/>
            <w:right w:val="none" w:sz="0" w:space="0" w:color="auto"/>
          </w:divBdr>
        </w:div>
        <w:div w:id="601570540">
          <w:marLeft w:val="0"/>
          <w:marRight w:val="0"/>
          <w:marTop w:val="0"/>
          <w:marBottom w:val="0"/>
          <w:divBdr>
            <w:top w:val="none" w:sz="0" w:space="0" w:color="auto"/>
            <w:left w:val="none" w:sz="0" w:space="0" w:color="auto"/>
            <w:bottom w:val="none" w:sz="0" w:space="0" w:color="auto"/>
            <w:right w:val="none" w:sz="0" w:space="0" w:color="auto"/>
          </w:divBdr>
        </w:div>
        <w:div w:id="622082982">
          <w:marLeft w:val="0"/>
          <w:marRight w:val="0"/>
          <w:marTop w:val="0"/>
          <w:marBottom w:val="0"/>
          <w:divBdr>
            <w:top w:val="none" w:sz="0" w:space="0" w:color="auto"/>
            <w:left w:val="none" w:sz="0" w:space="0" w:color="auto"/>
            <w:bottom w:val="none" w:sz="0" w:space="0" w:color="auto"/>
            <w:right w:val="none" w:sz="0" w:space="0" w:color="auto"/>
          </w:divBdr>
        </w:div>
        <w:div w:id="627122946">
          <w:marLeft w:val="0"/>
          <w:marRight w:val="0"/>
          <w:marTop w:val="0"/>
          <w:marBottom w:val="0"/>
          <w:divBdr>
            <w:top w:val="none" w:sz="0" w:space="0" w:color="auto"/>
            <w:left w:val="none" w:sz="0" w:space="0" w:color="auto"/>
            <w:bottom w:val="none" w:sz="0" w:space="0" w:color="auto"/>
            <w:right w:val="none" w:sz="0" w:space="0" w:color="auto"/>
          </w:divBdr>
        </w:div>
        <w:div w:id="630400171">
          <w:marLeft w:val="0"/>
          <w:marRight w:val="0"/>
          <w:marTop w:val="0"/>
          <w:marBottom w:val="0"/>
          <w:divBdr>
            <w:top w:val="none" w:sz="0" w:space="0" w:color="auto"/>
            <w:left w:val="none" w:sz="0" w:space="0" w:color="auto"/>
            <w:bottom w:val="none" w:sz="0" w:space="0" w:color="auto"/>
            <w:right w:val="none" w:sz="0" w:space="0" w:color="auto"/>
          </w:divBdr>
        </w:div>
        <w:div w:id="648367457">
          <w:marLeft w:val="0"/>
          <w:marRight w:val="0"/>
          <w:marTop w:val="0"/>
          <w:marBottom w:val="0"/>
          <w:divBdr>
            <w:top w:val="none" w:sz="0" w:space="0" w:color="auto"/>
            <w:left w:val="none" w:sz="0" w:space="0" w:color="auto"/>
            <w:bottom w:val="none" w:sz="0" w:space="0" w:color="auto"/>
            <w:right w:val="none" w:sz="0" w:space="0" w:color="auto"/>
          </w:divBdr>
        </w:div>
        <w:div w:id="649288754">
          <w:marLeft w:val="0"/>
          <w:marRight w:val="0"/>
          <w:marTop w:val="0"/>
          <w:marBottom w:val="0"/>
          <w:divBdr>
            <w:top w:val="none" w:sz="0" w:space="0" w:color="auto"/>
            <w:left w:val="none" w:sz="0" w:space="0" w:color="auto"/>
            <w:bottom w:val="none" w:sz="0" w:space="0" w:color="auto"/>
            <w:right w:val="none" w:sz="0" w:space="0" w:color="auto"/>
          </w:divBdr>
        </w:div>
        <w:div w:id="663438277">
          <w:marLeft w:val="0"/>
          <w:marRight w:val="0"/>
          <w:marTop w:val="0"/>
          <w:marBottom w:val="0"/>
          <w:divBdr>
            <w:top w:val="none" w:sz="0" w:space="0" w:color="auto"/>
            <w:left w:val="none" w:sz="0" w:space="0" w:color="auto"/>
            <w:bottom w:val="none" w:sz="0" w:space="0" w:color="auto"/>
            <w:right w:val="none" w:sz="0" w:space="0" w:color="auto"/>
          </w:divBdr>
        </w:div>
        <w:div w:id="668874576">
          <w:marLeft w:val="0"/>
          <w:marRight w:val="0"/>
          <w:marTop w:val="0"/>
          <w:marBottom w:val="0"/>
          <w:divBdr>
            <w:top w:val="none" w:sz="0" w:space="0" w:color="auto"/>
            <w:left w:val="none" w:sz="0" w:space="0" w:color="auto"/>
            <w:bottom w:val="none" w:sz="0" w:space="0" w:color="auto"/>
            <w:right w:val="none" w:sz="0" w:space="0" w:color="auto"/>
          </w:divBdr>
        </w:div>
        <w:div w:id="681005666">
          <w:marLeft w:val="0"/>
          <w:marRight w:val="0"/>
          <w:marTop w:val="0"/>
          <w:marBottom w:val="0"/>
          <w:divBdr>
            <w:top w:val="none" w:sz="0" w:space="0" w:color="auto"/>
            <w:left w:val="none" w:sz="0" w:space="0" w:color="auto"/>
            <w:bottom w:val="none" w:sz="0" w:space="0" w:color="auto"/>
            <w:right w:val="none" w:sz="0" w:space="0" w:color="auto"/>
          </w:divBdr>
        </w:div>
        <w:div w:id="687678690">
          <w:marLeft w:val="0"/>
          <w:marRight w:val="0"/>
          <w:marTop w:val="0"/>
          <w:marBottom w:val="0"/>
          <w:divBdr>
            <w:top w:val="none" w:sz="0" w:space="0" w:color="auto"/>
            <w:left w:val="none" w:sz="0" w:space="0" w:color="auto"/>
            <w:bottom w:val="none" w:sz="0" w:space="0" w:color="auto"/>
            <w:right w:val="none" w:sz="0" w:space="0" w:color="auto"/>
          </w:divBdr>
        </w:div>
        <w:div w:id="689843674">
          <w:marLeft w:val="0"/>
          <w:marRight w:val="0"/>
          <w:marTop w:val="0"/>
          <w:marBottom w:val="0"/>
          <w:divBdr>
            <w:top w:val="none" w:sz="0" w:space="0" w:color="auto"/>
            <w:left w:val="none" w:sz="0" w:space="0" w:color="auto"/>
            <w:bottom w:val="none" w:sz="0" w:space="0" w:color="auto"/>
            <w:right w:val="none" w:sz="0" w:space="0" w:color="auto"/>
          </w:divBdr>
        </w:div>
        <w:div w:id="715936494">
          <w:marLeft w:val="0"/>
          <w:marRight w:val="0"/>
          <w:marTop w:val="0"/>
          <w:marBottom w:val="0"/>
          <w:divBdr>
            <w:top w:val="none" w:sz="0" w:space="0" w:color="auto"/>
            <w:left w:val="none" w:sz="0" w:space="0" w:color="auto"/>
            <w:bottom w:val="none" w:sz="0" w:space="0" w:color="auto"/>
            <w:right w:val="none" w:sz="0" w:space="0" w:color="auto"/>
          </w:divBdr>
        </w:div>
        <w:div w:id="743800471">
          <w:marLeft w:val="0"/>
          <w:marRight w:val="0"/>
          <w:marTop w:val="0"/>
          <w:marBottom w:val="0"/>
          <w:divBdr>
            <w:top w:val="none" w:sz="0" w:space="0" w:color="auto"/>
            <w:left w:val="none" w:sz="0" w:space="0" w:color="auto"/>
            <w:bottom w:val="none" w:sz="0" w:space="0" w:color="auto"/>
            <w:right w:val="none" w:sz="0" w:space="0" w:color="auto"/>
          </w:divBdr>
        </w:div>
        <w:div w:id="759375061">
          <w:marLeft w:val="0"/>
          <w:marRight w:val="0"/>
          <w:marTop w:val="0"/>
          <w:marBottom w:val="0"/>
          <w:divBdr>
            <w:top w:val="none" w:sz="0" w:space="0" w:color="auto"/>
            <w:left w:val="none" w:sz="0" w:space="0" w:color="auto"/>
            <w:bottom w:val="none" w:sz="0" w:space="0" w:color="auto"/>
            <w:right w:val="none" w:sz="0" w:space="0" w:color="auto"/>
          </w:divBdr>
        </w:div>
        <w:div w:id="769663294">
          <w:marLeft w:val="0"/>
          <w:marRight w:val="0"/>
          <w:marTop w:val="0"/>
          <w:marBottom w:val="0"/>
          <w:divBdr>
            <w:top w:val="none" w:sz="0" w:space="0" w:color="auto"/>
            <w:left w:val="none" w:sz="0" w:space="0" w:color="auto"/>
            <w:bottom w:val="none" w:sz="0" w:space="0" w:color="auto"/>
            <w:right w:val="none" w:sz="0" w:space="0" w:color="auto"/>
          </w:divBdr>
        </w:div>
        <w:div w:id="809706501">
          <w:marLeft w:val="0"/>
          <w:marRight w:val="0"/>
          <w:marTop w:val="0"/>
          <w:marBottom w:val="0"/>
          <w:divBdr>
            <w:top w:val="none" w:sz="0" w:space="0" w:color="auto"/>
            <w:left w:val="none" w:sz="0" w:space="0" w:color="auto"/>
            <w:bottom w:val="none" w:sz="0" w:space="0" w:color="auto"/>
            <w:right w:val="none" w:sz="0" w:space="0" w:color="auto"/>
          </w:divBdr>
        </w:div>
        <w:div w:id="827864529">
          <w:marLeft w:val="0"/>
          <w:marRight w:val="0"/>
          <w:marTop w:val="0"/>
          <w:marBottom w:val="0"/>
          <w:divBdr>
            <w:top w:val="none" w:sz="0" w:space="0" w:color="auto"/>
            <w:left w:val="none" w:sz="0" w:space="0" w:color="auto"/>
            <w:bottom w:val="none" w:sz="0" w:space="0" w:color="auto"/>
            <w:right w:val="none" w:sz="0" w:space="0" w:color="auto"/>
          </w:divBdr>
        </w:div>
        <w:div w:id="838811304">
          <w:marLeft w:val="0"/>
          <w:marRight w:val="0"/>
          <w:marTop w:val="0"/>
          <w:marBottom w:val="0"/>
          <w:divBdr>
            <w:top w:val="none" w:sz="0" w:space="0" w:color="auto"/>
            <w:left w:val="none" w:sz="0" w:space="0" w:color="auto"/>
            <w:bottom w:val="none" w:sz="0" w:space="0" w:color="auto"/>
            <w:right w:val="none" w:sz="0" w:space="0" w:color="auto"/>
          </w:divBdr>
        </w:div>
        <w:div w:id="855272182">
          <w:marLeft w:val="0"/>
          <w:marRight w:val="0"/>
          <w:marTop w:val="0"/>
          <w:marBottom w:val="0"/>
          <w:divBdr>
            <w:top w:val="none" w:sz="0" w:space="0" w:color="auto"/>
            <w:left w:val="none" w:sz="0" w:space="0" w:color="auto"/>
            <w:bottom w:val="none" w:sz="0" w:space="0" w:color="auto"/>
            <w:right w:val="none" w:sz="0" w:space="0" w:color="auto"/>
          </w:divBdr>
        </w:div>
        <w:div w:id="867178803">
          <w:marLeft w:val="0"/>
          <w:marRight w:val="0"/>
          <w:marTop w:val="0"/>
          <w:marBottom w:val="0"/>
          <w:divBdr>
            <w:top w:val="none" w:sz="0" w:space="0" w:color="auto"/>
            <w:left w:val="none" w:sz="0" w:space="0" w:color="auto"/>
            <w:bottom w:val="none" w:sz="0" w:space="0" w:color="auto"/>
            <w:right w:val="none" w:sz="0" w:space="0" w:color="auto"/>
          </w:divBdr>
        </w:div>
        <w:div w:id="869992813">
          <w:marLeft w:val="0"/>
          <w:marRight w:val="0"/>
          <w:marTop w:val="0"/>
          <w:marBottom w:val="0"/>
          <w:divBdr>
            <w:top w:val="none" w:sz="0" w:space="0" w:color="auto"/>
            <w:left w:val="none" w:sz="0" w:space="0" w:color="auto"/>
            <w:bottom w:val="none" w:sz="0" w:space="0" w:color="auto"/>
            <w:right w:val="none" w:sz="0" w:space="0" w:color="auto"/>
          </w:divBdr>
        </w:div>
        <w:div w:id="876746086">
          <w:marLeft w:val="0"/>
          <w:marRight w:val="0"/>
          <w:marTop w:val="0"/>
          <w:marBottom w:val="0"/>
          <w:divBdr>
            <w:top w:val="none" w:sz="0" w:space="0" w:color="auto"/>
            <w:left w:val="none" w:sz="0" w:space="0" w:color="auto"/>
            <w:bottom w:val="none" w:sz="0" w:space="0" w:color="auto"/>
            <w:right w:val="none" w:sz="0" w:space="0" w:color="auto"/>
          </w:divBdr>
        </w:div>
        <w:div w:id="888996453">
          <w:marLeft w:val="0"/>
          <w:marRight w:val="0"/>
          <w:marTop w:val="0"/>
          <w:marBottom w:val="0"/>
          <w:divBdr>
            <w:top w:val="none" w:sz="0" w:space="0" w:color="auto"/>
            <w:left w:val="none" w:sz="0" w:space="0" w:color="auto"/>
            <w:bottom w:val="none" w:sz="0" w:space="0" w:color="auto"/>
            <w:right w:val="none" w:sz="0" w:space="0" w:color="auto"/>
          </w:divBdr>
        </w:div>
        <w:div w:id="889613544">
          <w:marLeft w:val="0"/>
          <w:marRight w:val="0"/>
          <w:marTop w:val="0"/>
          <w:marBottom w:val="0"/>
          <w:divBdr>
            <w:top w:val="none" w:sz="0" w:space="0" w:color="auto"/>
            <w:left w:val="none" w:sz="0" w:space="0" w:color="auto"/>
            <w:bottom w:val="none" w:sz="0" w:space="0" w:color="auto"/>
            <w:right w:val="none" w:sz="0" w:space="0" w:color="auto"/>
          </w:divBdr>
        </w:div>
        <w:div w:id="893541882">
          <w:marLeft w:val="0"/>
          <w:marRight w:val="0"/>
          <w:marTop w:val="0"/>
          <w:marBottom w:val="0"/>
          <w:divBdr>
            <w:top w:val="none" w:sz="0" w:space="0" w:color="auto"/>
            <w:left w:val="none" w:sz="0" w:space="0" w:color="auto"/>
            <w:bottom w:val="none" w:sz="0" w:space="0" w:color="auto"/>
            <w:right w:val="none" w:sz="0" w:space="0" w:color="auto"/>
          </w:divBdr>
        </w:div>
        <w:div w:id="921063075">
          <w:marLeft w:val="0"/>
          <w:marRight w:val="0"/>
          <w:marTop w:val="0"/>
          <w:marBottom w:val="0"/>
          <w:divBdr>
            <w:top w:val="none" w:sz="0" w:space="0" w:color="auto"/>
            <w:left w:val="none" w:sz="0" w:space="0" w:color="auto"/>
            <w:bottom w:val="none" w:sz="0" w:space="0" w:color="auto"/>
            <w:right w:val="none" w:sz="0" w:space="0" w:color="auto"/>
          </w:divBdr>
        </w:div>
        <w:div w:id="928318061">
          <w:marLeft w:val="0"/>
          <w:marRight w:val="0"/>
          <w:marTop w:val="0"/>
          <w:marBottom w:val="0"/>
          <w:divBdr>
            <w:top w:val="none" w:sz="0" w:space="0" w:color="auto"/>
            <w:left w:val="none" w:sz="0" w:space="0" w:color="auto"/>
            <w:bottom w:val="none" w:sz="0" w:space="0" w:color="auto"/>
            <w:right w:val="none" w:sz="0" w:space="0" w:color="auto"/>
          </w:divBdr>
        </w:div>
        <w:div w:id="937759542">
          <w:marLeft w:val="0"/>
          <w:marRight w:val="0"/>
          <w:marTop w:val="0"/>
          <w:marBottom w:val="0"/>
          <w:divBdr>
            <w:top w:val="none" w:sz="0" w:space="0" w:color="auto"/>
            <w:left w:val="none" w:sz="0" w:space="0" w:color="auto"/>
            <w:bottom w:val="none" w:sz="0" w:space="0" w:color="auto"/>
            <w:right w:val="none" w:sz="0" w:space="0" w:color="auto"/>
          </w:divBdr>
        </w:div>
        <w:div w:id="948047294">
          <w:marLeft w:val="0"/>
          <w:marRight w:val="0"/>
          <w:marTop w:val="0"/>
          <w:marBottom w:val="0"/>
          <w:divBdr>
            <w:top w:val="none" w:sz="0" w:space="0" w:color="auto"/>
            <w:left w:val="none" w:sz="0" w:space="0" w:color="auto"/>
            <w:bottom w:val="none" w:sz="0" w:space="0" w:color="auto"/>
            <w:right w:val="none" w:sz="0" w:space="0" w:color="auto"/>
          </w:divBdr>
        </w:div>
        <w:div w:id="952904863">
          <w:marLeft w:val="0"/>
          <w:marRight w:val="0"/>
          <w:marTop w:val="0"/>
          <w:marBottom w:val="0"/>
          <w:divBdr>
            <w:top w:val="none" w:sz="0" w:space="0" w:color="auto"/>
            <w:left w:val="none" w:sz="0" w:space="0" w:color="auto"/>
            <w:bottom w:val="none" w:sz="0" w:space="0" w:color="auto"/>
            <w:right w:val="none" w:sz="0" w:space="0" w:color="auto"/>
          </w:divBdr>
        </w:div>
        <w:div w:id="961226744">
          <w:marLeft w:val="0"/>
          <w:marRight w:val="0"/>
          <w:marTop w:val="0"/>
          <w:marBottom w:val="0"/>
          <w:divBdr>
            <w:top w:val="none" w:sz="0" w:space="0" w:color="auto"/>
            <w:left w:val="none" w:sz="0" w:space="0" w:color="auto"/>
            <w:bottom w:val="none" w:sz="0" w:space="0" w:color="auto"/>
            <w:right w:val="none" w:sz="0" w:space="0" w:color="auto"/>
          </w:divBdr>
        </w:div>
        <w:div w:id="985549907">
          <w:marLeft w:val="0"/>
          <w:marRight w:val="0"/>
          <w:marTop w:val="0"/>
          <w:marBottom w:val="0"/>
          <w:divBdr>
            <w:top w:val="none" w:sz="0" w:space="0" w:color="auto"/>
            <w:left w:val="none" w:sz="0" w:space="0" w:color="auto"/>
            <w:bottom w:val="none" w:sz="0" w:space="0" w:color="auto"/>
            <w:right w:val="none" w:sz="0" w:space="0" w:color="auto"/>
          </w:divBdr>
        </w:div>
        <w:div w:id="988629977">
          <w:marLeft w:val="0"/>
          <w:marRight w:val="0"/>
          <w:marTop w:val="0"/>
          <w:marBottom w:val="0"/>
          <w:divBdr>
            <w:top w:val="none" w:sz="0" w:space="0" w:color="auto"/>
            <w:left w:val="none" w:sz="0" w:space="0" w:color="auto"/>
            <w:bottom w:val="none" w:sz="0" w:space="0" w:color="auto"/>
            <w:right w:val="none" w:sz="0" w:space="0" w:color="auto"/>
          </w:divBdr>
        </w:div>
        <w:div w:id="1017929689">
          <w:marLeft w:val="0"/>
          <w:marRight w:val="0"/>
          <w:marTop w:val="0"/>
          <w:marBottom w:val="0"/>
          <w:divBdr>
            <w:top w:val="none" w:sz="0" w:space="0" w:color="auto"/>
            <w:left w:val="none" w:sz="0" w:space="0" w:color="auto"/>
            <w:bottom w:val="none" w:sz="0" w:space="0" w:color="auto"/>
            <w:right w:val="none" w:sz="0" w:space="0" w:color="auto"/>
          </w:divBdr>
        </w:div>
        <w:div w:id="1025714789">
          <w:marLeft w:val="0"/>
          <w:marRight w:val="0"/>
          <w:marTop w:val="0"/>
          <w:marBottom w:val="0"/>
          <w:divBdr>
            <w:top w:val="none" w:sz="0" w:space="0" w:color="auto"/>
            <w:left w:val="none" w:sz="0" w:space="0" w:color="auto"/>
            <w:bottom w:val="none" w:sz="0" w:space="0" w:color="auto"/>
            <w:right w:val="none" w:sz="0" w:space="0" w:color="auto"/>
          </w:divBdr>
        </w:div>
        <w:div w:id="1033459436">
          <w:marLeft w:val="0"/>
          <w:marRight w:val="0"/>
          <w:marTop w:val="0"/>
          <w:marBottom w:val="0"/>
          <w:divBdr>
            <w:top w:val="none" w:sz="0" w:space="0" w:color="auto"/>
            <w:left w:val="none" w:sz="0" w:space="0" w:color="auto"/>
            <w:bottom w:val="none" w:sz="0" w:space="0" w:color="auto"/>
            <w:right w:val="none" w:sz="0" w:space="0" w:color="auto"/>
          </w:divBdr>
        </w:div>
        <w:div w:id="1036582931">
          <w:marLeft w:val="0"/>
          <w:marRight w:val="0"/>
          <w:marTop w:val="0"/>
          <w:marBottom w:val="0"/>
          <w:divBdr>
            <w:top w:val="none" w:sz="0" w:space="0" w:color="auto"/>
            <w:left w:val="none" w:sz="0" w:space="0" w:color="auto"/>
            <w:bottom w:val="none" w:sz="0" w:space="0" w:color="auto"/>
            <w:right w:val="none" w:sz="0" w:space="0" w:color="auto"/>
          </w:divBdr>
        </w:div>
        <w:div w:id="1040936419">
          <w:marLeft w:val="0"/>
          <w:marRight w:val="0"/>
          <w:marTop w:val="0"/>
          <w:marBottom w:val="0"/>
          <w:divBdr>
            <w:top w:val="none" w:sz="0" w:space="0" w:color="auto"/>
            <w:left w:val="none" w:sz="0" w:space="0" w:color="auto"/>
            <w:bottom w:val="none" w:sz="0" w:space="0" w:color="auto"/>
            <w:right w:val="none" w:sz="0" w:space="0" w:color="auto"/>
          </w:divBdr>
        </w:div>
        <w:div w:id="1048408884">
          <w:marLeft w:val="0"/>
          <w:marRight w:val="0"/>
          <w:marTop w:val="0"/>
          <w:marBottom w:val="0"/>
          <w:divBdr>
            <w:top w:val="none" w:sz="0" w:space="0" w:color="auto"/>
            <w:left w:val="none" w:sz="0" w:space="0" w:color="auto"/>
            <w:bottom w:val="none" w:sz="0" w:space="0" w:color="auto"/>
            <w:right w:val="none" w:sz="0" w:space="0" w:color="auto"/>
          </w:divBdr>
        </w:div>
        <w:div w:id="1059016731">
          <w:marLeft w:val="0"/>
          <w:marRight w:val="0"/>
          <w:marTop w:val="0"/>
          <w:marBottom w:val="0"/>
          <w:divBdr>
            <w:top w:val="none" w:sz="0" w:space="0" w:color="auto"/>
            <w:left w:val="none" w:sz="0" w:space="0" w:color="auto"/>
            <w:bottom w:val="none" w:sz="0" w:space="0" w:color="auto"/>
            <w:right w:val="none" w:sz="0" w:space="0" w:color="auto"/>
          </w:divBdr>
        </w:div>
        <w:div w:id="1107848464">
          <w:marLeft w:val="0"/>
          <w:marRight w:val="0"/>
          <w:marTop w:val="0"/>
          <w:marBottom w:val="0"/>
          <w:divBdr>
            <w:top w:val="none" w:sz="0" w:space="0" w:color="auto"/>
            <w:left w:val="none" w:sz="0" w:space="0" w:color="auto"/>
            <w:bottom w:val="none" w:sz="0" w:space="0" w:color="auto"/>
            <w:right w:val="none" w:sz="0" w:space="0" w:color="auto"/>
          </w:divBdr>
        </w:div>
        <w:div w:id="1112283464">
          <w:marLeft w:val="0"/>
          <w:marRight w:val="0"/>
          <w:marTop w:val="0"/>
          <w:marBottom w:val="0"/>
          <w:divBdr>
            <w:top w:val="none" w:sz="0" w:space="0" w:color="auto"/>
            <w:left w:val="none" w:sz="0" w:space="0" w:color="auto"/>
            <w:bottom w:val="none" w:sz="0" w:space="0" w:color="auto"/>
            <w:right w:val="none" w:sz="0" w:space="0" w:color="auto"/>
          </w:divBdr>
        </w:div>
        <w:div w:id="1117021776">
          <w:marLeft w:val="0"/>
          <w:marRight w:val="0"/>
          <w:marTop w:val="0"/>
          <w:marBottom w:val="0"/>
          <w:divBdr>
            <w:top w:val="none" w:sz="0" w:space="0" w:color="auto"/>
            <w:left w:val="none" w:sz="0" w:space="0" w:color="auto"/>
            <w:bottom w:val="none" w:sz="0" w:space="0" w:color="auto"/>
            <w:right w:val="none" w:sz="0" w:space="0" w:color="auto"/>
          </w:divBdr>
        </w:div>
        <w:div w:id="1121612660">
          <w:marLeft w:val="0"/>
          <w:marRight w:val="0"/>
          <w:marTop w:val="0"/>
          <w:marBottom w:val="0"/>
          <w:divBdr>
            <w:top w:val="none" w:sz="0" w:space="0" w:color="auto"/>
            <w:left w:val="none" w:sz="0" w:space="0" w:color="auto"/>
            <w:bottom w:val="none" w:sz="0" w:space="0" w:color="auto"/>
            <w:right w:val="none" w:sz="0" w:space="0" w:color="auto"/>
          </w:divBdr>
        </w:div>
        <w:div w:id="1126048776">
          <w:marLeft w:val="0"/>
          <w:marRight w:val="0"/>
          <w:marTop w:val="0"/>
          <w:marBottom w:val="0"/>
          <w:divBdr>
            <w:top w:val="none" w:sz="0" w:space="0" w:color="auto"/>
            <w:left w:val="none" w:sz="0" w:space="0" w:color="auto"/>
            <w:bottom w:val="none" w:sz="0" w:space="0" w:color="auto"/>
            <w:right w:val="none" w:sz="0" w:space="0" w:color="auto"/>
          </w:divBdr>
        </w:div>
        <w:div w:id="1135609564">
          <w:marLeft w:val="0"/>
          <w:marRight w:val="0"/>
          <w:marTop w:val="0"/>
          <w:marBottom w:val="0"/>
          <w:divBdr>
            <w:top w:val="none" w:sz="0" w:space="0" w:color="auto"/>
            <w:left w:val="none" w:sz="0" w:space="0" w:color="auto"/>
            <w:bottom w:val="none" w:sz="0" w:space="0" w:color="auto"/>
            <w:right w:val="none" w:sz="0" w:space="0" w:color="auto"/>
          </w:divBdr>
        </w:div>
        <w:div w:id="1156922803">
          <w:marLeft w:val="0"/>
          <w:marRight w:val="0"/>
          <w:marTop w:val="0"/>
          <w:marBottom w:val="0"/>
          <w:divBdr>
            <w:top w:val="none" w:sz="0" w:space="0" w:color="auto"/>
            <w:left w:val="none" w:sz="0" w:space="0" w:color="auto"/>
            <w:bottom w:val="none" w:sz="0" w:space="0" w:color="auto"/>
            <w:right w:val="none" w:sz="0" w:space="0" w:color="auto"/>
          </w:divBdr>
        </w:div>
        <w:div w:id="1160384101">
          <w:marLeft w:val="0"/>
          <w:marRight w:val="0"/>
          <w:marTop w:val="0"/>
          <w:marBottom w:val="0"/>
          <w:divBdr>
            <w:top w:val="none" w:sz="0" w:space="0" w:color="auto"/>
            <w:left w:val="none" w:sz="0" w:space="0" w:color="auto"/>
            <w:bottom w:val="none" w:sz="0" w:space="0" w:color="auto"/>
            <w:right w:val="none" w:sz="0" w:space="0" w:color="auto"/>
          </w:divBdr>
        </w:div>
        <w:div w:id="1164707297">
          <w:marLeft w:val="0"/>
          <w:marRight w:val="0"/>
          <w:marTop w:val="0"/>
          <w:marBottom w:val="0"/>
          <w:divBdr>
            <w:top w:val="none" w:sz="0" w:space="0" w:color="auto"/>
            <w:left w:val="none" w:sz="0" w:space="0" w:color="auto"/>
            <w:bottom w:val="none" w:sz="0" w:space="0" w:color="auto"/>
            <w:right w:val="none" w:sz="0" w:space="0" w:color="auto"/>
          </w:divBdr>
        </w:div>
        <w:div w:id="1279753590">
          <w:marLeft w:val="0"/>
          <w:marRight w:val="0"/>
          <w:marTop w:val="0"/>
          <w:marBottom w:val="0"/>
          <w:divBdr>
            <w:top w:val="none" w:sz="0" w:space="0" w:color="auto"/>
            <w:left w:val="none" w:sz="0" w:space="0" w:color="auto"/>
            <w:bottom w:val="none" w:sz="0" w:space="0" w:color="auto"/>
            <w:right w:val="none" w:sz="0" w:space="0" w:color="auto"/>
          </w:divBdr>
        </w:div>
        <w:div w:id="1287466408">
          <w:marLeft w:val="0"/>
          <w:marRight w:val="0"/>
          <w:marTop w:val="0"/>
          <w:marBottom w:val="0"/>
          <w:divBdr>
            <w:top w:val="none" w:sz="0" w:space="0" w:color="auto"/>
            <w:left w:val="none" w:sz="0" w:space="0" w:color="auto"/>
            <w:bottom w:val="none" w:sz="0" w:space="0" w:color="auto"/>
            <w:right w:val="none" w:sz="0" w:space="0" w:color="auto"/>
          </w:divBdr>
        </w:div>
        <w:div w:id="1288731800">
          <w:marLeft w:val="0"/>
          <w:marRight w:val="0"/>
          <w:marTop w:val="0"/>
          <w:marBottom w:val="0"/>
          <w:divBdr>
            <w:top w:val="none" w:sz="0" w:space="0" w:color="auto"/>
            <w:left w:val="none" w:sz="0" w:space="0" w:color="auto"/>
            <w:bottom w:val="none" w:sz="0" w:space="0" w:color="auto"/>
            <w:right w:val="none" w:sz="0" w:space="0" w:color="auto"/>
          </w:divBdr>
        </w:div>
        <w:div w:id="1292057341">
          <w:marLeft w:val="0"/>
          <w:marRight w:val="0"/>
          <w:marTop w:val="0"/>
          <w:marBottom w:val="0"/>
          <w:divBdr>
            <w:top w:val="none" w:sz="0" w:space="0" w:color="auto"/>
            <w:left w:val="none" w:sz="0" w:space="0" w:color="auto"/>
            <w:bottom w:val="none" w:sz="0" w:space="0" w:color="auto"/>
            <w:right w:val="none" w:sz="0" w:space="0" w:color="auto"/>
          </w:divBdr>
        </w:div>
        <w:div w:id="1298293261">
          <w:marLeft w:val="0"/>
          <w:marRight w:val="0"/>
          <w:marTop w:val="0"/>
          <w:marBottom w:val="0"/>
          <w:divBdr>
            <w:top w:val="none" w:sz="0" w:space="0" w:color="auto"/>
            <w:left w:val="none" w:sz="0" w:space="0" w:color="auto"/>
            <w:bottom w:val="none" w:sz="0" w:space="0" w:color="auto"/>
            <w:right w:val="none" w:sz="0" w:space="0" w:color="auto"/>
          </w:divBdr>
        </w:div>
        <w:div w:id="1302465331">
          <w:marLeft w:val="0"/>
          <w:marRight w:val="0"/>
          <w:marTop w:val="0"/>
          <w:marBottom w:val="0"/>
          <w:divBdr>
            <w:top w:val="none" w:sz="0" w:space="0" w:color="auto"/>
            <w:left w:val="none" w:sz="0" w:space="0" w:color="auto"/>
            <w:bottom w:val="none" w:sz="0" w:space="0" w:color="auto"/>
            <w:right w:val="none" w:sz="0" w:space="0" w:color="auto"/>
          </w:divBdr>
        </w:div>
        <w:div w:id="1310866211">
          <w:marLeft w:val="0"/>
          <w:marRight w:val="0"/>
          <w:marTop w:val="0"/>
          <w:marBottom w:val="0"/>
          <w:divBdr>
            <w:top w:val="none" w:sz="0" w:space="0" w:color="auto"/>
            <w:left w:val="none" w:sz="0" w:space="0" w:color="auto"/>
            <w:bottom w:val="none" w:sz="0" w:space="0" w:color="auto"/>
            <w:right w:val="none" w:sz="0" w:space="0" w:color="auto"/>
          </w:divBdr>
        </w:div>
        <w:div w:id="1336153575">
          <w:marLeft w:val="0"/>
          <w:marRight w:val="0"/>
          <w:marTop w:val="0"/>
          <w:marBottom w:val="0"/>
          <w:divBdr>
            <w:top w:val="none" w:sz="0" w:space="0" w:color="auto"/>
            <w:left w:val="none" w:sz="0" w:space="0" w:color="auto"/>
            <w:bottom w:val="none" w:sz="0" w:space="0" w:color="auto"/>
            <w:right w:val="none" w:sz="0" w:space="0" w:color="auto"/>
          </w:divBdr>
        </w:div>
        <w:div w:id="1343623206">
          <w:marLeft w:val="0"/>
          <w:marRight w:val="0"/>
          <w:marTop w:val="0"/>
          <w:marBottom w:val="0"/>
          <w:divBdr>
            <w:top w:val="none" w:sz="0" w:space="0" w:color="auto"/>
            <w:left w:val="none" w:sz="0" w:space="0" w:color="auto"/>
            <w:bottom w:val="none" w:sz="0" w:space="0" w:color="auto"/>
            <w:right w:val="none" w:sz="0" w:space="0" w:color="auto"/>
          </w:divBdr>
        </w:div>
        <w:div w:id="1360475461">
          <w:marLeft w:val="0"/>
          <w:marRight w:val="0"/>
          <w:marTop w:val="0"/>
          <w:marBottom w:val="0"/>
          <w:divBdr>
            <w:top w:val="none" w:sz="0" w:space="0" w:color="auto"/>
            <w:left w:val="none" w:sz="0" w:space="0" w:color="auto"/>
            <w:bottom w:val="none" w:sz="0" w:space="0" w:color="auto"/>
            <w:right w:val="none" w:sz="0" w:space="0" w:color="auto"/>
          </w:divBdr>
        </w:div>
        <w:div w:id="1373725943">
          <w:marLeft w:val="0"/>
          <w:marRight w:val="0"/>
          <w:marTop w:val="0"/>
          <w:marBottom w:val="0"/>
          <w:divBdr>
            <w:top w:val="none" w:sz="0" w:space="0" w:color="auto"/>
            <w:left w:val="none" w:sz="0" w:space="0" w:color="auto"/>
            <w:bottom w:val="none" w:sz="0" w:space="0" w:color="auto"/>
            <w:right w:val="none" w:sz="0" w:space="0" w:color="auto"/>
          </w:divBdr>
        </w:div>
        <w:div w:id="1375498451">
          <w:marLeft w:val="0"/>
          <w:marRight w:val="0"/>
          <w:marTop w:val="0"/>
          <w:marBottom w:val="0"/>
          <w:divBdr>
            <w:top w:val="none" w:sz="0" w:space="0" w:color="auto"/>
            <w:left w:val="none" w:sz="0" w:space="0" w:color="auto"/>
            <w:bottom w:val="none" w:sz="0" w:space="0" w:color="auto"/>
            <w:right w:val="none" w:sz="0" w:space="0" w:color="auto"/>
          </w:divBdr>
        </w:div>
        <w:div w:id="1377702155">
          <w:marLeft w:val="0"/>
          <w:marRight w:val="0"/>
          <w:marTop w:val="0"/>
          <w:marBottom w:val="0"/>
          <w:divBdr>
            <w:top w:val="none" w:sz="0" w:space="0" w:color="auto"/>
            <w:left w:val="none" w:sz="0" w:space="0" w:color="auto"/>
            <w:bottom w:val="none" w:sz="0" w:space="0" w:color="auto"/>
            <w:right w:val="none" w:sz="0" w:space="0" w:color="auto"/>
          </w:divBdr>
        </w:div>
        <w:div w:id="1385447878">
          <w:marLeft w:val="0"/>
          <w:marRight w:val="0"/>
          <w:marTop w:val="0"/>
          <w:marBottom w:val="0"/>
          <w:divBdr>
            <w:top w:val="none" w:sz="0" w:space="0" w:color="auto"/>
            <w:left w:val="none" w:sz="0" w:space="0" w:color="auto"/>
            <w:bottom w:val="none" w:sz="0" w:space="0" w:color="auto"/>
            <w:right w:val="none" w:sz="0" w:space="0" w:color="auto"/>
          </w:divBdr>
        </w:div>
        <w:div w:id="1387528315">
          <w:marLeft w:val="0"/>
          <w:marRight w:val="0"/>
          <w:marTop w:val="0"/>
          <w:marBottom w:val="0"/>
          <w:divBdr>
            <w:top w:val="none" w:sz="0" w:space="0" w:color="auto"/>
            <w:left w:val="none" w:sz="0" w:space="0" w:color="auto"/>
            <w:bottom w:val="none" w:sz="0" w:space="0" w:color="auto"/>
            <w:right w:val="none" w:sz="0" w:space="0" w:color="auto"/>
          </w:divBdr>
        </w:div>
        <w:div w:id="1389305915">
          <w:marLeft w:val="0"/>
          <w:marRight w:val="0"/>
          <w:marTop w:val="0"/>
          <w:marBottom w:val="0"/>
          <w:divBdr>
            <w:top w:val="none" w:sz="0" w:space="0" w:color="auto"/>
            <w:left w:val="none" w:sz="0" w:space="0" w:color="auto"/>
            <w:bottom w:val="none" w:sz="0" w:space="0" w:color="auto"/>
            <w:right w:val="none" w:sz="0" w:space="0" w:color="auto"/>
          </w:divBdr>
        </w:div>
        <w:div w:id="1415401004">
          <w:marLeft w:val="0"/>
          <w:marRight w:val="0"/>
          <w:marTop w:val="0"/>
          <w:marBottom w:val="0"/>
          <w:divBdr>
            <w:top w:val="none" w:sz="0" w:space="0" w:color="auto"/>
            <w:left w:val="none" w:sz="0" w:space="0" w:color="auto"/>
            <w:bottom w:val="none" w:sz="0" w:space="0" w:color="auto"/>
            <w:right w:val="none" w:sz="0" w:space="0" w:color="auto"/>
          </w:divBdr>
        </w:div>
        <w:div w:id="1418751602">
          <w:marLeft w:val="0"/>
          <w:marRight w:val="0"/>
          <w:marTop w:val="0"/>
          <w:marBottom w:val="0"/>
          <w:divBdr>
            <w:top w:val="none" w:sz="0" w:space="0" w:color="auto"/>
            <w:left w:val="none" w:sz="0" w:space="0" w:color="auto"/>
            <w:bottom w:val="none" w:sz="0" w:space="0" w:color="auto"/>
            <w:right w:val="none" w:sz="0" w:space="0" w:color="auto"/>
          </w:divBdr>
        </w:div>
        <w:div w:id="1428118838">
          <w:marLeft w:val="0"/>
          <w:marRight w:val="0"/>
          <w:marTop w:val="0"/>
          <w:marBottom w:val="0"/>
          <w:divBdr>
            <w:top w:val="none" w:sz="0" w:space="0" w:color="auto"/>
            <w:left w:val="none" w:sz="0" w:space="0" w:color="auto"/>
            <w:bottom w:val="none" w:sz="0" w:space="0" w:color="auto"/>
            <w:right w:val="none" w:sz="0" w:space="0" w:color="auto"/>
          </w:divBdr>
        </w:div>
        <w:div w:id="1461655857">
          <w:marLeft w:val="0"/>
          <w:marRight w:val="0"/>
          <w:marTop w:val="0"/>
          <w:marBottom w:val="0"/>
          <w:divBdr>
            <w:top w:val="none" w:sz="0" w:space="0" w:color="auto"/>
            <w:left w:val="none" w:sz="0" w:space="0" w:color="auto"/>
            <w:bottom w:val="none" w:sz="0" w:space="0" w:color="auto"/>
            <w:right w:val="none" w:sz="0" w:space="0" w:color="auto"/>
          </w:divBdr>
        </w:div>
        <w:div w:id="1465461985">
          <w:marLeft w:val="0"/>
          <w:marRight w:val="0"/>
          <w:marTop w:val="0"/>
          <w:marBottom w:val="0"/>
          <w:divBdr>
            <w:top w:val="none" w:sz="0" w:space="0" w:color="auto"/>
            <w:left w:val="none" w:sz="0" w:space="0" w:color="auto"/>
            <w:bottom w:val="none" w:sz="0" w:space="0" w:color="auto"/>
            <w:right w:val="none" w:sz="0" w:space="0" w:color="auto"/>
          </w:divBdr>
        </w:div>
        <w:div w:id="1484662281">
          <w:marLeft w:val="0"/>
          <w:marRight w:val="0"/>
          <w:marTop w:val="0"/>
          <w:marBottom w:val="0"/>
          <w:divBdr>
            <w:top w:val="none" w:sz="0" w:space="0" w:color="auto"/>
            <w:left w:val="none" w:sz="0" w:space="0" w:color="auto"/>
            <w:bottom w:val="none" w:sz="0" w:space="0" w:color="auto"/>
            <w:right w:val="none" w:sz="0" w:space="0" w:color="auto"/>
          </w:divBdr>
        </w:div>
        <w:div w:id="1488129011">
          <w:marLeft w:val="0"/>
          <w:marRight w:val="0"/>
          <w:marTop w:val="0"/>
          <w:marBottom w:val="0"/>
          <w:divBdr>
            <w:top w:val="none" w:sz="0" w:space="0" w:color="auto"/>
            <w:left w:val="none" w:sz="0" w:space="0" w:color="auto"/>
            <w:bottom w:val="none" w:sz="0" w:space="0" w:color="auto"/>
            <w:right w:val="none" w:sz="0" w:space="0" w:color="auto"/>
          </w:divBdr>
        </w:div>
        <w:div w:id="1520271198">
          <w:marLeft w:val="0"/>
          <w:marRight w:val="0"/>
          <w:marTop w:val="0"/>
          <w:marBottom w:val="0"/>
          <w:divBdr>
            <w:top w:val="none" w:sz="0" w:space="0" w:color="auto"/>
            <w:left w:val="none" w:sz="0" w:space="0" w:color="auto"/>
            <w:bottom w:val="none" w:sz="0" w:space="0" w:color="auto"/>
            <w:right w:val="none" w:sz="0" w:space="0" w:color="auto"/>
          </w:divBdr>
        </w:div>
        <w:div w:id="1520583446">
          <w:marLeft w:val="0"/>
          <w:marRight w:val="0"/>
          <w:marTop w:val="0"/>
          <w:marBottom w:val="0"/>
          <w:divBdr>
            <w:top w:val="none" w:sz="0" w:space="0" w:color="auto"/>
            <w:left w:val="none" w:sz="0" w:space="0" w:color="auto"/>
            <w:bottom w:val="none" w:sz="0" w:space="0" w:color="auto"/>
            <w:right w:val="none" w:sz="0" w:space="0" w:color="auto"/>
          </w:divBdr>
        </w:div>
        <w:div w:id="1547328118">
          <w:marLeft w:val="0"/>
          <w:marRight w:val="0"/>
          <w:marTop w:val="0"/>
          <w:marBottom w:val="0"/>
          <w:divBdr>
            <w:top w:val="none" w:sz="0" w:space="0" w:color="auto"/>
            <w:left w:val="none" w:sz="0" w:space="0" w:color="auto"/>
            <w:bottom w:val="none" w:sz="0" w:space="0" w:color="auto"/>
            <w:right w:val="none" w:sz="0" w:space="0" w:color="auto"/>
          </w:divBdr>
        </w:div>
        <w:div w:id="1549029965">
          <w:marLeft w:val="0"/>
          <w:marRight w:val="0"/>
          <w:marTop w:val="0"/>
          <w:marBottom w:val="0"/>
          <w:divBdr>
            <w:top w:val="none" w:sz="0" w:space="0" w:color="auto"/>
            <w:left w:val="none" w:sz="0" w:space="0" w:color="auto"/>
            <w:bottom w:val="none" w:sz="0" w:space="0" w:color="auto"/>
            <w:right w:val="none" w:sz="0" w:space="0" w:color="auto"/>
          </w:divBdr>
        </w:div>
        <w:div w:id="1565137193">
          <w:marLeft w:val="0"/>
          <w:marRight w:val="0"/>
          <w:marTop w:val="0"/>
          <w:marBottom w:val="0"/>
          <w:divBdr>
            <w:top w:val="none" w:sz="0" w:space="0" w:color="auto"/>
            <w:left w:val="none" w:sz="0" w:space="0" w:color="auto"/>
            <w:bottom w:val="none" w:sz="0" w:space="0" w:color="auto"/>
            <w:right w:val="none" w:sz="0" w:space="0" w:color="auto"/>
          </w:divBdr>
        </w:div>
        <w:div w:id="1594437460">
          <w:marLeft w:val="0"/>
          <w:marRight w:val="0"/>
          <w:marTop w:val="0"/>
          <w:marBottom w:val="0"/>
          <w:divBdr>
            <w:top w:val="none" w:sz="0" w:space="0" w:color="auto"/>
            <w:left w:val="none" w:sz="0" w:space="0" w:color="auto"/>
            <w:bottom w:val="none" w:sz="0" w:space="0" w:color="auto"/>
            <w:right w:val="none" w:sz="0" w:space="0" w:color="auto"/>
          </w:divBdr>
        </w:div>
        <w:div w:id="1643315495">
          <w:marLeft w:val="0"/>
          <w:marRight w:val="0"/>
          <w:marTop w:val="0"/>
          <w:marBottom w:val="0"/>
          <w:divBdr>
            <w:top w:val="none" w:sz="0" w:space="0" w:color="auto"/>
            <w:left w:val="none" w:sz="0" w:space="0" w:color="auto"/>
            <w:bottom w:val="none" w:sz="0" w:space="0" w:color="auto"/>
            <w:right w:val="none" w:sz="0" w:space="0" w:color="auto"/>
          </w:divBdr>
        </w:div>
        <w:div w:id="1684550665">
          <w:marLeft w:val="0"/>
          <w:marRight w:val="0"/>
          <w:marTop w:val="0"/>
          <w:marBottom w:val="0"/>
          <w:divBdr>
            <w:top w:val="none" w:sz="0" w:space="0" w:color="auto"/>
            <w:left w:val="none" w:sz="0" w:space="0" w:color="auto"/>
            <w:bottom w:val="none" w:sz="0" w:space="0" w:color="auto"/>
            <w:right w:val="none" w:sz="0" w:space="0" w:color="auto"/>
          </w:divBdr>
        </w:div>
        <w:div w:id="1701398748">
          <w:marLeft w:val="0"/>
          <w:marRight w:val="0"/>
          <w:marTop w:val="0"/>
          <w:marBottom w:val="0"/>
          <w:divBdr>
            <w:top w:val="none" w:sz="0" w:space="0" w:color="auto"/>
            <w:left w:val="none" w:sz="0" w:space="0" w:color="auto"/>
            <w:bottom w:val="none" w:sz="0" w:space="0" w:color="auto"/>
            <w:right w:val="none" w:sz="0" w:space="0" w:color="auto"/>
          </w:divBdr>
        </w:div>
        <w:div w:id="1706129384">
          <w:marLeft w:val="0"/>
          <w:marRight w:val="0"/>
          <w:marTop w:val="0"/>
          <w:marBottom w:val="0"/>
          <w:divBdr>
            <w:top w:val="none" w:sz="0" w:space="0" w:color="auto"/>
            <w:left w:val="none" w:sz="0" w:space="0" w:color="auto"/>
            <w:bottom w:val="none" w:sz="0" w:space="0" w:color="auto"/>
            <w:right w:val="none" w:sz="0" w:space="0" w:color="auto"/>
          </w:divBdr>
        </w:div>
        <w:div w:id="1711030604">
          <w:marLeft w:val="0"/>
          <w:marRight w:val="0"/>
          <w:marTop w:val="0"/>
          <w:marBottom w:val="0"/>
          <w:divBdr>
            <w:top w:val="none" w:sz="0" w:space="0" w:color="auto"/>
            <w:left w:val="none" w:sz="0" w:space="0" w:color="auto"/>
            <w:bottom w:val="none" w:sz="0" w:space="0" w:color="auto"/>
            <w:right w:val="none" w:sz="0" w:space="0" w:color="auto"/>
          </w:divBdr>
        </w:div>
        <w:div w:id="1726295808">
          <w:marLeft w:val="0"/>
          <w:marRight w:val="0"/>
          <w:marTop w:val="0"/>
          <w:marBottom w:val="0"/>
          <w:divBdr>
            <w:top w:val="none" w:sz="0" w:space="0" w:color="auto"/>
            <w:left w:val="none" w:sz="0" w:space="0" w:color="auto"/>
            <w:bottom w:val="none" w:sz="0" w:space="0" w:color="auto"/>
            <w:right w:val="none" w:sz="0" w:space="0" w:color="auto"/>
          </w:divBdr>
        </w:div>
        <w:div w:id="1776560050">
          <w:marLeft w:val="0"/>
          <w:marRight w:val="0"/>
          <w:marTop w:val="0"/>
          <w:marBottom w:val="0"/>
          <w:divBdr>
            <w:top w:val="none" w:sz="0" w:space="0" w:color="auto"/>
            <w:left w:val="none" w:sz="0" w:space="0" w:color="auto"/>
            <w:bottom w:val="none" w:sz="0" w:space="0" w:color="auto"/>
            <w:right w:val="none" w:sz="0" w:space="0" w:color="auto"/>
          </w:divBdr>
        </w:div>
        <w:div w:id="1779183233">
          <w:marLeft w:val="0"/>
          <w:marRight w:val="0"/>
          <w:marTop w:val="0"/>
          <w:marBottom w:val="0"/>
          <w:divBdr>
            <w:top w:val="none" w:sz="0" w:space="0" w:color="auto"/>
            <w:left w:val="none" w:sz="0" w:space="0" w:color="auto"/>
            <w:bottom w:val="none" w:sz="0" w:space="0" w:color="auto"/>
            <w:right w:val="none" w:sz="0" w:space="0" w:color="auto"/>
          </w:divBdr>
        </w:div>
        <w:div w:id="1821385251">
          <w:marLeft w:val="0"/>
          <w:marRight w:val="0"/>
          <w:marTop w:val="0"/>
          <w:marBottom w:val="0"/>
          <w:divBdr>
            <w:top w:val="none" w:sz="0" w:space="0" w:color="auto"/>
            <w:left w:val="none" w:sz="0" w:space="0" w:color="auto"/>
            <w:bottom w:val="none" w:sz="0" w:space="0" w:color="auto"/>
            <w:right w:val="none" w:sz="0" w:space="0" w:color="auto"/>
          </w:divBdr>
        </w:div>
        <w:div w:id="1832671990">
          <w:marLeft w:val="0"/>
          <w:marRight w:val="0"/>
          <w:marTop w:val="0"/>
          <w:marBottom w:val="0"/>
          <w:divBdr>
            <w:top w:val="none" w:sz="0" w:space="0" w:color="auto"/>
            <w:left w:val="none" w:sz="0" w:space="0" w:color="auto"/>
            <w:bottom w:val="none" w:sz="0" w:space="0" w:color="auto"/>
            <w:right w:val="none" w:sz="0" w:space="0" w:color="auto"/>
          </w:divBdr>
        </w:div>
        <w:div w:id="1847091052">
          <w:marLeft w:val="0"/>
          <w:marRight w:val="0"/>
          <w:marTop w:val="0"/>
          <w:marBottom w:val="0"/>
          <w:divBdr>
            <w:top w:val="none" w:sz="0" w:space="0" w:color="auto"/>
            <w:left w:val="none" w:sz="0" w:space="0" w:color="auto"/>
            <w:bottom w:val="none" w:sz="0" w:space="0" w:color="auto"/>
            <w:right w:val="none" w:sz="0" w:space="0" w:color="auto"/>
          </w:divBdr>
        </w:div>
        <w:div w:id="1855340939">
          <w:marLeft w:val="0"/>
          <w:marRight w:val="0"/>
          <w:marTop w:val="0"/>
          <w:marBottom w:val="0"/>
          <w:divBdr>
            <w:top w:val="none" w:sz="0" w:space="0" w:color="auto"/>
            <w:left w:val="none" w:sz="0" w:space="0" w:color="auto"/>
            <w:bottom w:val="none" w:sz="0" w:space="0" w:color="auto"/>
            <w:right w:val="none" w:sz="0" w:space="0" w:color="auto"/>
          </w:divBdr>
        </w:div>
        <w:div w:id="1871650886">
          <w:marLeft w:val="0"/>
          <w:marRight w:val="0"/>
          <w:marTop w:val="0"/>
          <w:marBottom w:val="0"/>
          <w:divBdr>
            <w:top w:val="none" w:sz="0" w:space="0" w:color="auto"/>
            <w:left w:val="none" w:sz="0" w:space="0" w:color="auto"/>
            <w:bottom w:val="none" w:sz="0" w:space="0" w:color="auto"/>
            <w:right w:val="none" w:sz="0" w:space="0" w:color="auto"/>
          </w:divBdr>
        </w:div>
        <w:div w:id="1892498740">
          <w:marLeft w:val="0"/>
          <w:marRight w:val="0"/>
          <w:marTop w:val="0"/>
          <w:marBottom w:val="0"/>
          <w:divBdr>
            <w:top w:val="none" w:sz="0" w:space="0" w:color="auto"/>
            <w:left w:val="none" w:sz="0" w:space="0" w:color="auto"/>
            <w:bottom w:val="none" w:sz="0" w:space="0" w:color="auto"/>
            <w:right w:val="none" w:sz="0" w:space="0" w:color="auto"/>
          </w:divBdr>
        </w:div>
        <w:div w:id="1903908020">
          <w:marLeft w:val="0"/>
          <w:marRight w:val="0"/>
          <w:marTop w:val="0"/>
          <w:marBottom w:val="0"/>
          <w:divBdr>
            <w:top w:val="none" w:sz="0" w:space="0" w:color="auto"/>
            <w:left w:val="none" w:sz="0" w:space="0" w:color="auto"/>
            <w:bottom w:val="none" w:sz="0" w:space="0" w:color="auto"/>
            <w:right w:val="none" w:sz="0" w:space="0" w:color="auto"/>
          </w:divBdr>
        </w:div>
        <w:div w:id="1915124495">
          <w:marLeft w:val="0"/>
          <w:marRight w:val="0"/>
          <w:marTop w:val="0"/>
          <w:marBottom w:val="0"/>
          <w:divBdr>
            <w:top w:val="none" w:sz="0" w:space="0" w:color="auto"/>
            <w:left w:val="none" w:sz="0" w:space="0" w:color="auto"/>
            <w:bottom w:val="none" w:sz="0" w:space="0" w:color="auto"/>
            <w:right w:val="none" w:sz="0" w:space="0" w:color="auto"/>
          </w:divBdr>
        </w:div>
        <w:div w:id="1925140744">
          <w:marLeft w:val="0"/>
          <w:marRight w:val="0"/>
          <w:marTop w:val="0"/>
          <w:marBottom w:val="0"/>
          <w:divBdr>
            <w:top w:val="none" w:sz="0" w:space="0" w:color="auto"/>
            <w:left w:val="none" w:sz="0" w:space="0" w:color="auto"/>
            <w:bottom w:val="none" w:sz="0" w:space="0" w:color="auto"/>
            <w:right w:val="none" w:sz="0" w:space="0" w:color="auto"/>
          </w:divBdr>
        </w:div>
        <w:div w:id="1946616916">
          <w:marLeft w:val="0"/>
          <w:marRight w:val="0"/>
          <w:marTop w:val="0"/>
          <w:marBottom w:val="0"/>
          <w:divBdr>
            <w:top w:val="none" w:sz="0" w:space="0" w:color="auto"/>
            <w:left w:val="none" w:sz="0" w:space="0" w:color="auto"/>
            <w:bottom w:val="none" w:sz="0" w:space="0" w:color="auto"/>
            <w:right w:val="none" w:sz="0" w:space="0" w:color="auto"/>
          </w:divBdr>
        </w:div>
        <w:div w:id="1958292613">
          <w:marLeft w:val="0"/>
          <w:marRight w:val="0"/>
          <w:marTop w:val="0"/>
          <w:marBottom w:val="0"/>
          <w:divBdr>
            <w:top w:val="none" w:sz="0" w:space="0" w:color="auto"/>
            <w:left w:val="none" w:sz="0" w:space="0" w:color="auto"/>
            <w:bottom w:val="none" w:sz="0" w:space="0" w:color="auto"/>
            <w:right w:val="none" w:sz="0" w:space="0" w:color="auto"/>
          </w:divBdr>
        </w:div>
        <w:div w:id="1977488686">
          <w:marLeft w:val="0"/>
          <w:marRight w:val="0"/>
          <w:marTop w:val="0"/>
          <w:marBottom w:val="0"/>
          <w:divBdr>
            <w:top w:val="none" w:sz="0" w:space="0" w:color="auto"/>
            <w:left w:val="none" w:sz="0" w:space="0" w:color="auto"/>
            <w:bottom w:val="none" w:sz="0" w:space="0" w:color="auto"/>
            <w:right w:val="none" w:sz="0" w:space="0" w:color="auto"/>
          </w:divBdr>
        </w:div>
        <w:div w:id="2012950929">
          <w:marLeft w:val="0"/>
          <w:marRight w:val="0"/>
          <w:marTop w:val="0"/>
          <w:marBottom w:val="0"/>
          <w:divBdr>
            <w:top w:val="none" w:sz="0" w:space="0" w:color="auto"/>
            <w:left w:val="none" w:sz="0" w:space="0" w:color="auto"/>
            <w:bottom w:val="none" w:sz="0" w:space="0" w:color="auto"/>
            <w:right w:val="none" w:sz="0" w:space="0" w:color="auto"/>
          </w:divBdr>
        </w:div>
        <w:div w:id="2040931708">
          <w:marLeft w:val="0"/>
          <w:marRight w:val="0"/>
          <w:marTop w:val="0"/>
          <w:marBottom w:val="0"/>
          <w:divBdr>
            <w:top w:val="none" w:sz="0" w:space="0" w:color="auto"/>
            <w:left w:val="none" w:sz="0" w:space="0" w:color="auto"/>
            <w:bottom w:val="none" w:sz="0" w:space="0" w:color="auto"/>
            <w:right w:val="none" w:sz="0" w:space="0" w:color="auto"/>
          </w:divBdr>
        </w:div>
        <w:div w:id="2047750358">
          <w:marLeft w:val="0"/>
          <w:marRight w:val="0"/>
          <w:marTop w:val="0"/>
          <w:marBottom w:val="0"/>
          <w:divBdr>
            <w:top w:val="none" w:sz="0" w:space="0" w:color="auto"/>
            <w:left w:val="none" w:sz="0" w:space="0" w:color="auto"/>
            <w:bottom w:val="none" w:sz="0" w:space="0" w:color="auto"/>
            <w:right w:val="none" w:sz="0" w:space="0" w:color="auto"/>
          </w:divBdr>
        </w:div>
        <w:div w:id="2050494435">
          <w:marLeft w:val="0"/>
          <w:marRight w:val="0"/>
          <w:marTop w:val="0"/>
          <w:marBottom w:val="0"/>
          <w:divBdr>
            <w:top w:val="none" w:sz="0" w:space="0" w:color="auto"/>
            <w:left w:val="none" w:sz="0" w:space="0" w:color="auto"/>
            <w:bottom w:val="none" w:sz="0" w:space="0" w:color="auto"/>
            <w:right w:val="none" w:sz="0" w:space="0" w:color="auto"/>
          </w:divBdr>
        </w:div>
        <w:div w:id="2068607124">
          <w:marLeft w:val="0"/>
          <w:marRight w:val="0"/>
          <w:marTop w:val="0"/>
          <w:marBottom w:val="0"/>
          <w:divBdr>
            <w:top w:val="none" w:sz="0" w:space="0" w:color="auto"/>
            <w:left w:val="none" w:sz="0" w:space="0" w:color="auto"/>
            <w:bottom w:val="none" w:sz="0" w:space="0" w:color="auto"/>
            <w:right w:val="none" w:sz="0" w:space="0" w:color="auto"/>
          </w:divBdr>
        </w:div>
        <w:div w:id="2075467854">
          <w:marLeft w:val="0"/>
          <w:marRight w:val="0"/>
          <w:marTop w:val="0"/>
          <w:marBottom w:val="0"/>
          <w:divBdr>
            <w:top w:val="none" w:sz="0" w:space="0" w:color="auto"/>
            <w:left w:val="none" w:sz="0" w:space="0" w:color="auto"/>
            <w:bottom w:val="none" w:sz="0" w:space="0" w:color="auto"/>
            <w:right w:val="none" w:sz="0" w:space="0" w:color="auto"/>
          </w:divBdr>
        </w:div>
        <w:div w:id="2087264442">
          <w:marLeft w:val="0"/>
          <w:marRight w:val="0"/>
          <w:marTop w:val="0"/>
          <w:marBottom w:val="0"/>
          <w:divBdr>
            <w:top w:val="none" w:sz="0" w:space="0" w:color="auto"/>
            <w:left w:val="none" w:sz="0" w:space="0" w:color="auto"/>
            <w:bottom w:val="none" w:sz="0" w:space="0" w:color="auto"/>
            <w:right w:val="none" w:sz="0" w:space="0" w:color="auto"/>
          </w:divBdr>
        </w:div>
        <w:div w:id="2115127567">
          <w:marLeft w:val="0"/>
          <w:marRight w:val="0"/>
          <w:marTop w:val="0"/>
          <w:marBottom w:val="0"/>
          <w:divBdr>
            <w:top w:val="none" w:sz="0" w:space="0" w:color="auto"/>
            <w:left w:val="none" w:sz="0" w:space="0" w:color="auto"/>
            <w:bottom w:val="none" w:sz="0" w:space="0" w:color="auto"/>
            <w:right w:val="none" w:sz="0" w:space="0" w:color="auto"/>
          </w:divBdr>
        </w:div>
        <w:div w:id="213733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about-us/future-generations-act/" TargetMode="External"/><Relationship Id="rId13" Type="http://schemas.openxmlformats.org/officeDocument/2006/relationships/hyperlink" Target="http://www.health.org.uk" TargetMode="External"/><Relationship Id="rId18" Type="http://schemas.openxmlformats.org/officeDocument/2006/relationships/hyperlink" Target="https://phw.nhs.wales/services-and-teams/wales-national-exercise-referral-scheme/" TargetMode="External"/><Relationship Id="rId3" Type="http://schemas.openxmlformats.org/officeDocument/2006/relationships/customXml" Target="../customXml/item3.xml"/><Relationship Id="rId21" Type="http://schemas.openxmlformats.org/officeDocument/2006/relationships/hyperlink" Target="https://www.gov.wales/wellbeing-wales-2023" TargetMode="External"/><Relationship Id="rId7" Type="http://schemas.openxmlformats.org/officeDocument/2006/relationships/webSettings" Target="webSettings.xml"/><Relationship Id="rId12" Type="http://schemas.openxmlformats.org/officeDocument/2006/relationships/hyperlink" Target="https://www.futuregenerations.wales/work/public-service-boards/" TargetMode="External"/><Relationship Id="rId17" Type="http://schemas.openxmlformats.org/officeDocument/2006/relationships/hyperlink" Target="https://www.hindawi.com/journals/bn/2020/780785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naturalresources.wales/about-us/what-we-do/strategies-and-plans/the-well-being-of-future-generations/?lang=en" TargetMode="External"/><Relationship Id="rId20" Type="http://schemas.openxmlformats.org/officeDocument/2006/relationships/hyperlink" Target="http://www.gov.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ord-edit.officeapps.live.com/we/www.futuregenerations.wal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hapingwalesfuture.blog.gov.wales/2021/11/16/public-services-boards-workshop-future-trends-and-local-well-being-assessments/" TargetMode="External"/><Relationship Id="rId23" Type="http://schemas.openxmlformats.org/officeDocument/2006/relationships/hyperlink" Target="https://www.who.int/news-room/fact-sheets/detail/millennium-development-goals-(mdgs" TargetMode="External"/><Relationship Id="rId10" Type="http://schemas.openxmlformats.org/officeDocument/2006/relationships/hyperlink" Target="https://www.futuregenerations.wales/news/were-not-making-enough-progress-in-delivering-the-well-being-of-future-generations-act-as-there-is-a-mixed-picture-against-national-indicators-we-need-to-use-this-report-to-encoura/" TargetMode="External"/><Relationship Id="rId19" Type="http://schemas.openxmlformats.org/officeDocument/2006/relationships/hyperlink" Target="https://www.gov.wales/well-being-future-generations-national-indicators-2021-html" TargetMode="External"/><Relationship Id="rId4" Type="http://schemas.openxmlformats.org/officeDocument/2006/relationships/numbering" Target="numbering.xml"/><Relationship Id="rId9" Type="http://schemas.openxmlformats.org/officeDocument/2006/relationships/hyperlink" Target="https://word-edit.officeapps.live.com/we/www.futuregenerations.wales" TargetMode="External"/><Relationship Id="rId14" Type="http://schemas.openxmlformats.org/officeDocument/2006/relationships/hyperlink" Target="https://www.health.org.uk/blogs/public-opinion-on-the-determinants-of-and-responsibility-for-health" TargetMode="External"/><Relationship Id="rId22" Type="http://schemas.openxmlformats.org/officeDocument/2006/relationships/hyperlink" Target="https://senedd.wales/senedd-now/news/new-healthy-eating-policy-in-schools-thanks-to-assembly-back-benc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3" ma:contentTypeDescription="Create a new document." ma:contentTypeScope="" ma:versionID="bb7b1e736c07f055bc53312c821c8b9d">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0ec559c7ae16e6d765900e2ae509ab6"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5DAF66-CBF8-4681-8BC3-AFF48125C68E}">
  <ds:schemaRefs>
    <ds:schemaRef ds:uri="http://schemas.microsoft.com/sharepoint/v3/contenttype/forms"/>
  </ds:schemaRefs>
</ds:datastoreItem>
</file>

<file path=customXml/itemProps2.xml><?xml version="1.0" encoding="utf-8"?>
<ds:datastoreItem xmlns:ds="http://schemas.openxmlformats.org/officeDocument/2006/customXml" ds:itemID="{7A5EB75D-F50C-4336-9BAA-381953F62811}">
  <ds:schemaRefs>
    <ds:schemaRef ds:uri="http://schemas.microsoft.com/office/2006/metadata/properties"/>
    <ds:schemaRef ds:uri="http://schemas.microsoft.com/office/infopath/2007/PartnerControls"/>
    <ds:schemaRef ds:uri="0129b9fd-52ee-4735-801a-8d39556133ce"/>
  </ds:schemaRefs>
</ds:datastoreItem>
</file>

<file path=customXml/itemProps3.xml><?xml version="1.0" encoding="utf-8"?>
<ds:datastoreItem xmlns:ds="http://schemas.openxmlformats.org/officeDocument/2006/customXml" ds:itemID="{9D678EC9-4E1B-4390-A20F-F550324B6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5328</Words>
  <Characters>33590</Characters>
  <Application>Microsoft Office Word</Application>
  <DocSecurity>0</DocSecurity>
  <Lines>579</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38916</CharactersWithSpaces>
  <SharedDoc>false</SharedDoc>
  <HLinks>
    <vt:vector size="180" baseType="variant">
      <vt:variant>
        <vt:i4>7077946</vt:i4>
      </vt:variant>
      <vt:variant>
        <vt:i4>87</vt:i4>
      </vt:variant>
      <vt:variant>
        <vt:i4>0</vt:i4>
      </vt:variant>
      <vt:variant>
        <vt:i4>5</vt:i4>
      </vt:variant>
      <vt:variant>
        <vt:lpwstr>https://www.who.int/news-room/fact-sheets/detail/millennium-development-goals-(mdgs</vt:lpwstr>
      </vt:variant>
      <vt:variant>
        <vt:lpwstr/>
      </vt:variant>
      <vt:variant>
        <vt:i4>6750265</vt:i4>
      </vt:variant>
      <vt:variant>
        <vt:i4>84</vt:i4>
      </vt:variant>
      <vt:variant>
        <vt:i4>0</vt:i4>
      </vt:variant>
      <vt:variant>
        <vt:i4>5</vt:i4>
      </vt:variant>
      <vt:variant>
        <vt:lpwstr>https://senedd.wales/senedd-now/news/new-healthy-eating-policy-in-schools-thanks-to-assembly-back-bencher/</vt:lpwstr>
      </vt:variant>
      <vt:variant>
        <vt:lpwstr/>
      </vt:variant>
      <vt:variant>
        <vt:i4>2555942</vt:i4>
      </vt:variant>
      <vt:variant>
        <vt:i4>81</vt:i4>
      </vt:variant>
      <vt:variant>
        <vt:i4>0</vt:i4>
      </vt:variant>
      <vt:variant>
        <vt:i4>5</vt:i4>
      </vt:variant>
      <vt:variant>
        <vt:lpwstr>https://www.gov.wales/wellbeing-wales-2023</vt:lpwstr>
      </vt:variant>
      <vt:variant>
        <vt:lpwstr/>
      </vt:variant>
      <vt:variant>
        <vt:i4>3735659</vt:i4>
      </vt:variant>
      <vt:variant>
        <vt:i4>78</vt:i4>
      </vt:variant>
      <vt:variant>
        <vt:i4>0</vt:i4>
      </vt:variant>
      <vt:variant>
        <vt:i4>5</vt:i4>
      </vt:variant>
      <vt:variant>
        <vt:lpwstr>https://word-edit.officeapps.live.com/we/www.gov.wales</vt:lpwstr>
      </vt:variant>
      <vt:variant>
        <vt:lpwstr/>
      </vt:variant>
      <vt:variant>
        <vt:i4>1769549</vt:i4>
      </vt:variant>
      <vt:variant>
        <vt:i4>75</vt:i4>
      </vt:variant>
      <vt:variant>
        <vt:i4>0</vt:i4>
      </vt:variant>
      <vt:variant>
        <vt:i4>5</vt:i4>
      </vt:variant>
      <vt:variant>
        <vt:lpwstr>https://www.gov.wales/well-being-of-future-generations-wales</vt:lpwstr>
      </vt:variant>
      <vt:variant>
        <vt:lpwstr/>
      </vt:variant>
      <vt:variant>
        <vt:i4>4587542</vt:i4>
      </vt:variant>
      <vt:variant>
        <vt:i4>72</vt:i4>
      </vt:variant>
      <vt:variant>
        <vt:i4>0</vt:i4>
      </vt:variant>
      <vt:variant>
        <vt:i4>5</vt:i4>
      </vt:variant>
      <vt:variant>
        <vt:lpwstr>https://www.gov.wales/wellbeing-wales-national-indicators</vt:lpwstr>
      </vt:variant>
      <vt:variant>
        <vt:lpwstr/>
      </vt:variant>
      <vt:variant>
        <vt:i4>655429</vt:i4>
      </vt:variant>
      <vt:variant>
        <vt:i4>69</vt:i4>
      </vt:variant>
      <vt:variant>
        <vt:i4>0</vt:i4>
      </vt:variant>
      <vt:variant>
        <vt:i4>5</vt:i4>
      </vt:variant>
      <vt:variant>
        <vt:lpwstr>https://www.gov.wales/well-being-future-generations-national-indicators-2021-html</vt:lpwstr>
      </vt:variant>
      <vt:variant>
        <vt:lpwstr/>
      </vt:variant>
      <vt:variant>
        <vt:i4>3735659</vt:i4>
      </vt:variant>
      <vt:variant>
        <vt:i4>66</vt:i4>
      </vt:variant>
      <vt:variant>
        <vt:i4>0</vt:i4>
      </vt:variant>
      <vt:variant>
        <vt:i4>5</vt:i4>
      </vt:variant>
      <vt:variant>
        <vt:lpwstr>https://word-edit.officeapps.live.com/we/www.gov.wales</vt:lpwstr>
      </vt:variant>
      <vt:variant>
        <vt:lpwstr/>
      </vt:variant>
      <vt:variant>
        <vt:i4>7602297</vt:i4>
      </vt:variant>
      <vt:variant>
        <vt:i4>63</vt:i4>
      </vt:variant>
      <vt:variant>
        <vt:i4>0</vt:i4>
      </vt:variant>
      <vt:variant>
        <vt:i4>5</vt:i4>
      </vt:variant>
      <vt:variant>
        <vt:lpwstr>https://www.legislation.gov.uk/anaw/2015/2/contents/enacted</vt:lpwstr>
      </vt:variant>
      <vt:variant>
        <vt:lpwstr/>
      </vt:variant>
      <vt:variant>
        <vt:i4>7536748</vt:i4>
      </vt:variant>
      <vt:variant>
        <vt:i4>60</vt:i4>
      </vt:variant>
      <vt:variant>
        <vt:i4>0</vt:i4>
      </vt:variant>
      <vt:variant>
        <vt:i4>5</vt:i4>
      </vt:variant>
      <vt:variant>
        <vt:lpwstr>https://sustainabledevelopment.un.org/post2015</vt:lpwstr>
      </vt:variant>
      <vt:variant>
        <vt:lpwstr/>
      </vt:variant>
      <vt:variant>
        <vt:i4>2818099</vt:i4>
      </vt:variant>
      <vt:variant>
        <vt:i4>57</vt:i4>
      </vt:variant>
      <vt:variant>
        <vt:i4>0</vt:i4>
      </vt:variant>
      <vt:variant>
        <vt:i4>5</vt:i4>
      </vt:variant>
      <vt:variant>
        <vt:lpwstr>https://wcva.cymru/influencing/legislation/the-wellbeing-of-future-generations-act/</vt:lpwstr>
      </vt:variant>
      <vt:variant>
        <vt:lpwstr/>
      </vt:variant>
      <vt:variant>
        <vt:i4>1572933</vt:i4>
      </vt:variant>
      <vt:variant>
        <vt:i4>54</vt:i4>
      </vt:variant>
      <vt:variant>
        <vt:i4>0</vt:i4>
      </vt:variant>
      <vt:variant>
        <vt:i4>5</vt:i4>
      </vt:variant>
      <vt:variant>
        <vt:lpwstr>https://www.swansea.gov.uk/wellbeingfuturegenerations?lang=en</vt:lpwstr>
      </vt:variant>
      <vt:variant>
        <vt:lpwstr/>
      </vt:variant>
      <vt:variant>
        <vt:i4>4456448</vt:i4>
      </vt:variant>
      <vt:variant>
        <vt:i4>51</vt:i4>
      </vt:variant>
      <vt:variant>
        <vt:i4>0</vt:i4>
      </vt:variant>
      <vt:variant>
        <vt:i4>5</vt:i4>
      </vt:variant>
      <vt:variant>
        <vt:lpwstr>https://phw.nhs.wales/services-and-teams/wales-national-exercise-referral-scheme/</vt:lpwstr>
      </vt:variant>
      <vt:variant>
        <vt:lpwstr/>
      </vt:variant>
      <vt:variant>
        <vt:i4>3801150</vt:i4>
      </vt:variant>
      <vt:variant>
        <vt:i4>48</vt:i4>
      </vt:variant>
      <vt:variant>
        <vt:i4>0</vt:i4>
      </vt:variant>
      <vt:variant>
        <vt:i4>5</vt:i4>
      </vt:variant>
      <vt:variant>
        <vt:lpwstr>https://phw.nhs.wales/about-us/working-together-for-a-healthier-wales/</vt:lpwstr>
      </vt:variant>
      <vt:variant>
        <vt:lpwstr/>
      </vt:variant>
      <vt:variant>
        <vt:i4>1507337</vt:i4>
      </vt:variant>
      <vt:variant>
        <vt:i4>45</vt:i4>
      </vt:variant>
      <vt:variant>
        <vt:i4>0</vt:i4>
      </vt:variant>
      <vt:variant>
        <vt:i4>5</vt:i4>
      </vt:variant>
      <vt:variant>
        <vt:lpwstr>https://www.hindawi.com/journals/bn/2020/7807856/</vt:lpwstr>
      </vt:variant>
      <vt:variant>
        <vt:lpwstr/>
      </vt:variant>
      <vt:variant>
        <vt:i4>1900625</vt:i4>
      </vt:variant>
      <vt:variant>
        <vt:i4>42</vt:i4>
      </vt:variant>
      <vt:variant>
        <vt:i4>0</vt:i4>
      </vt:variant>
      <vt:variant>
        <vt:i4>5</vt:i4>
      </vt:variant>
      <vt:variant>
        <vt:lpwstr>https://naturalresources.wales/about-us/what-we-do/strategies-and-plans/the-well-being-of-future-generations/?lang=en</vt:lpwstr>
      </vt:variant>
      <vt:variant>
        <vt:lpwstr/>
      </vt:variant>
      <vt:variant>
        <vt:i4>4194375</vt:i4>
      </vt:variant>
      <vt:variant>
        <vt:i4>39</vt:i4>
      </vt:variant>
      <vt:variant>
        <vt:i4>0</vt:i4>
      </vt:variant>
      <vt:variant>
        <vt:i4>5</vt:i4>
      </vt:variant>
      <vt:variant>
        <vt:lpwstr>https://phw.nhs.wales/?gclid=EAIaIQobChMIks6z7JXlggMVN42DBx3PLAl9EAAYASAAEgJkl_D_BwE</vt:lpwstr>
      </vt:variant>
      <vt:variant>
        <vt:lpwstr/>
      </vt:variant>
      <vt:variant>
        <vt:i4>393293</vt:i4>
      </vt:variant>
      <vt:variant>
        <vt:i4>36</vt:i4>
      </vt:variant>
      <vt:variant>
        <vt:i4>0</vt:i4>
      </vt:variant>
      <vt:variant>
        <vt:i4>5</vt:i4>
      </vt:variant>
      <vt:variant>
        <vt:lpwstr>https://shapingwalesfuture.blog.gov.wales/2021/11/16/public-services-boards-workshop-future-trends-and-local-well-being-assessments/</vt:lpwstr>
      </vt:variant>
      <vt:variant>
        <vt:lpwstr/>
      </vt:variant>
      <vt:variant>
        <vt:i4>4980762</vt:i4>
      </vt:variant>
      <vt:variant>
        <vt:i4>33</vt:i4>
      </vt:variant>
      <vt:variant>
        <vt:i4>0</vt:i4>
      </vt:variant>
      <vt:variant>
        <vt:i4>5</vt:i4>
      </vt:variant>
      <vt:variant>
        <vt:lpwstr>https://www.ilo.org/global/topics/millennium-development-goals/lang--en/index.htm</vt:lpwstr>
      </vt:variant>
      <vt:variant>
        <vt:lpwstr/>
      </vt:variant>
      <vt:variant>
        <vt:i4>4063358</vt:i4>
      </vt:variant>
      <vt:variant>
        <vt:i4>30</vt:i4>
      </vt:variant>
      <vt:variant>
        <vt:i4>0</vt:i4>
      </vt:variant>
      <vt:variant>
        <vt:i4>5</vt:i4>
      </vt:variant>
      <vt:variant>
        <vt:lpwstr>https://www.health.org.uk/blogs/public-opinion-on-the-determinants-of-and-responsibility-for-health</vt:lpwstr>
      </vt:variant>
      <vt:variant>
        <vt:lpwstr/>
      </vt:variant>
      <vt:variant>
        <vt:i4>2359346</vt:i4>
      </vt:variant>
      <vt:variant>
        <vt:i4>27</vt:i4>
      </vt:variant>
      <vt:variant>
        <vt:i4>0</vt:i4>
      </vt:variant>
      <vt:variant>
        <vt:i4>5</vt:i4>
      </vt:variant>
      <vt:variant>
        <vt:lpwstr>https://word-edit.officeapps.live.com/we/www.health.org.uk</vt:lpwstr>
      </vt:variant>
      <vt:variant>
        <vt:lpwstr/>
      </vt:variant>
      <vt:variant>
        <vt:i4>3080289</vt:i4>
      </vt:variant>
      <vt:variant>
        <vt:i4>24</vt:i4>
      </vt:variant>
      <vt:variant>
        <vt:i4>0</vt:i4>
      </vt:variant>
      <vt:variant>
        <vt:i4>5</vt:i4>
      </vt:variant>
      <vt:variant>
        <vt:lpwstr>https://www.futuregenerations.wales/work/public-service-boards/</vt:lpwstr>
      </vt:variant>
      <vt:variant>
        <vt:lpwstr/>
      </vt:variant>
      <vt:variant>
        <vt:i4>5963783</vt:i4>
      </vt:variant>
      <vt:variant>
        <vt:i4>21</vt:i4>
      </vt:variant>
      <vt:variant>
        <vt:i4>0</vt:i4>
      </vt:variant>
      <vt:variant>
        <vt:i4>5</vt:i4>
      </vt:variant>
      <vt:variant>
        <vt:lpwstr>https://word-edit.officeapps.live.com/we/www.futuregenerations.wales</vt:lpwstr>
      </vt:variant>
      <vt:variant>
        <vt:lpwstr/>
      </vt:variant>
      <vt:variant>
        <vt:i4>7798903</vt:i4>
      </vt:variant>
      <vt:variant>
        <vt:i4>18</vt:i4>
      </vt:variant>
      <vt:variant>
        <vt:i4>0</vt:i4>
      </vt:variant>
      <vt:variant>
        <vt:i4>5</vt:i4>
      </vt:variant>
      <vt:variant>
        <vt:lpwstr>https://www.futuregenerations.wales/news/were-not-making-enough-progress-in-delivering-the-well-being-of-future-generations-act-as-there-is-a-mixed-picture-against-national-indicators-we-need-to-use-this-report-to-encoura/</vt:lpwstr>
      </vt:variant>
      <vt:variant>
        <vt:lpwstr/>
      </vt:variant>
      <vt:variant>
        <vt:i4>5963783</vt:i4>
      </vt:variant>
      <vt:variant>
        <vt:i4>15</vt:i4>
      </vt:variant>
      <vt:variant>
        <vt:i4>0</vt:i4>
      </vt:variant>
      <vt:variant>
        <vt:i4>5</vt:i4>
      </vt:variant>
      <vt:variant>
        <vt:lpwstr>https://word-edit.officeapps.live.com/we/www.futuregenerations.wales</vt:lpwstr>
      </vt:variant>
      <vt:variant>
        <vt:lpwstr/>
      </vt:variant>
      <vt:variant>
        <vt:i4>5046296</vt:i4>
      </vt:variant>
      <vt:variant>
        <vt:i4>12</vt:i4>
      </vt:variant>
      <vt:variant>
        <vt:i4>0</vt:i4>
      </vt:variant>
      <vt:variant>
        <vt:i4>5</vt:i4>
      </vt:variant>
      <vt:variant>
        <vt:lpwstr>https://www.futuregenerations.wales/about-us/future-generations-act/</vt:lpwstr>
      </vt:variant>
      <vt:variant>
        <vt:lpwstr/>
      </vt:variant>
      <vt:variant>
        <vt:i4>5963783</vt:i4>
      </vt:variant>
      <vt:variant>
        <vt:i4>9</vt:i4>
      </vt:variant>
      <vt:variant>
        <vt:i4>0</vt:i4>
      </vt:variant>
      <vt:variant>
        <vt:i4>5</vt:i4>
      </vt:variant>
      <vt:variant>
        <vt:lpwstr>https://word-edit.officeapps.live.com/we/www.futuregenerations.wales</vt:lpwstr>
      </vt:variant>
      <vt:variant>
        <vt:lpwstr/>
      </vt:variant>
      <vt:variant>
        <vt:i4>65605</vt:i4>
      </vt:variant>
      <vt:variant>
        <vt:i4>6</vt:i4>
      </vt:variant>
      <vt:variant>
        <vt:i4>0</vt:i4>
      </vt:variant>
      <vt:variant>
        <vt:i4>5</vt:i4>
      </vt:variant>
      <vt:variant>
        <vt:lpwstr>https://www.gov.uk/government/organisations/department-of-health-and-social-care</vt:lpwstr>
      </vt:variant>
      <vt:variant>
        <vt:lpwstr/>
      </vt:variant>
      <vt:variant>
        <vt:i4>5701636</vt:i4>
      </vt:variant>
      <vt:variant>
        <vt:i4>3</vt:i4>
      </vt:variant>
      <vt:variant>
        <vt:i4>0</vt:i4>
      </vt:variant>
      <vt:variant>
        <vt:i4>5</vt:i4>
      </vt:variant>
      <vt:variant>
        <vt:lpwstr>https://assets.publishing.service.gov.uk/media/5a7ba1d6ed915d4147621a24/Narrative__January_2014_.pdf</vt:lpwstr>
      </vt:variant>
      <vt:variant>
        <vt:lpwstr/>
      </vt:variant>
      <vt:variant>
        <vt:i4>524358</vt:i4>
      </vt:variant>
      <vt:variant>
        <vt:i4>0</vt:i4>
      </vt:variant>
      <vt:variant>
        <vt:i4>0</vt:i4>
      </vt:variant>
      <vt:variant>
        <vt:i4>5</vt:i4>
      </vt:variant>
      <vt:variant>
        <vt:lpwstr>https://word-edit.officeapps.live.com/we/www.ncbi.nlm.nih.gov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 (2105842)</dc:creator>
  <cp:keywords/>
  <dc:description/>
  <cp:lastModifiedBy>Chloe Rees (2105842)</cp:lastModifiedBy>
  <cp:revision>3</cp:revision>
  <dcterms:created xsi:type="dcterms:W3CDTF">2024-01-29T20:49:00Z</dcterms:created>
  <dcterms:modified xsi:type="dcterms:W3CDTF">2024-01-29T20:50:00Z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705bd8f6-2783-45ab-ae30-aea0e145bf96</vt:lpwstr>
  </property>
  <property fmtid="{D5CDD505-2E9C-101B-9397-08002B2CF9AE}" pid="3" name="ContentTypeId">
    <vt:lpwstr>0x010100B834F8B426A30F4D89225E7C19967DB8</vt:lpwstr>
  </property>
</Properties>
</file>