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0C50" w:rsidRDefault="00886F20" w:rsidP="00DA2D78">
      <w:pPr>
        <w:jc w:val="center"/>
        <w:rPr>
          <w:b/>
        </w:rPr>
      </w:pPr>
      <w:r w:rsidRPr="00704E21">
        <w:rPr>
          <w:b/>
        </w:rPr>
        <w:t xml:space="preserve">Feasibility Plan </w:t>
      </w:r>
      <w:r w:rsidR="00704E21" w:rsidRPr="00704E21">
        <w:rPr>
          <w:b/>
        </w:rPr>
        <w:t>for an International Meeting</w:t>
      </w:r>
    </w:p>
    <w:p w:rsidR="003D2CFC" w:rsidRDefault="003D2CFC" w:rsidP="00DA2D78">
      <w:pPr>
        <w:jc w:val="center"/>
        <w:rPr>
          <w:b/>
        </w:rPr>
      </w:pPr>
      <w:r w:rsidRPr="003D2CFC">
        <w:rPr>
          <w:b/>
        </w:rPr>
        <w:t>Future of Dining Symposium</w:t>
      </w:r>
    </w:p>
    <w:p w:rsidR="003D2CFC" w:rsidRDefault="003D2CFC" w:rsidP="00704E21">
      <w:pPr>
        <w:jc w:val="center"/>
        <w:rPr>
          <w:b/>
        </w:rPr>
      </w:pPr>
    </w:p>
    <w:p w:rsidR="003D2CFC" w:rsidRDefault="003D2CFC" w:rsidP="00704E21">
      <w:pPr>
        <w:jc w:val="center"/>
      </w:pPr>
      <w:r>
        <w:t>Event Theme: Technology and Innovation within the Hospitality Sector</w:t>
      </w:r>
    </w:p>
    <w:p w:rsidR="00016B9C" w:rsidRDefault="00016B9C" w:rsidP="00704E21">
      <w:pPr>
        <w:jc w:val="center"/>
      </w:pPr>
    </w:p>
    <w:p w:rsidR="00016B9C" w:rsidRDefault="00016B9C" w:rsidP="00704E21">
      <w:pPr>
        <w:jc w:val="center"/>
      </w:pPr>
    </w:p>
    <w:p w:rsidR="00016B9C" w:rsidRDefault="00016B9C" w:rsidP="00704E21">
      <w:pPr>
        <w:jc w:val="center"/>
      </w:pPr>
      <w:r>
        <w:t>Student Name:</w:t>
      </w:r>
      <w:r w:rsidR="00F56A1E">
        <w:t xml:space="preserve"> Simina Maria Suciu</w:t>
      </w:r>
    </w:p>
    <w:p w:rsidR="00016B9C" w:rsidRDefault="00016B9C" w:rsidP="00704E21">
      <w:pPr>
        <w:jc w:val="center"/>
        <w:rPr>
          <w:b/>
        </w:rPr>
      </w:pPr>
      <w:r>
        <w:t>Student ID:</w:t>
      </w:r>
      <w:r w:rsidR="00F56A1E">
        <w:t xml:space="preserve"> 2131600</w:t>
      </w:r>
    </w:p>
    <w:p w:rsidR="003D2CFC" w:rsidRDefault="00A40C50" w:rsidP="00A40C50">
      <w:pPr>
        <w:spacing w:after="160" w:line="259" w:lineRule="auto"/>
        <w:jc w:val="center"/>
        <w:rPr>
          <w:b/>
        </w:rPr>
      </w:pPr>
      <w:r>
        <w:rPr>
          <w:noProof/>
          <w:lang w:val="en-US"/>
        </w:rPr>
        <w:drawing>
          <wp:inline distT="0" distB="0" distL="0" distR="0">
            <wp:extent cx="5943600" cy="339026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390265"/>
                    </a:xfrm>
                    <a:prstGeom prst="rect">
                      <a:avLst/>
                    </a:prstGeom>
                  </pic:spPr>
                </pic:pic>
              </a:graphicData>
            </a:graphic>
          </wp:inline>
        </w:drawing>
      </w:r>
      <w:r w:rsidR="003D2CFC">
        <w:rPr>
          <w:b/>
        </w:rPr>
        <w:br w:type="page"/>
      </w:r>
    </w:p>
    <w:p w:rsidR="00704E21" w:rsidRDefault="00A515F2" w:rsidP="00A515F2">
      <w:pPr>
        <w:pStyle w:val="Heading1"/>
      </w:pPr>
      <w:r>
        <w:lastRenderedPageBreak/>
        <w:t>Introduction</w:t>
      </w:r>
    </w:p>
    <w:p w:rsidR="00A515F2" w:rsidRDefault="0096278D" w:rsidP="00A515F2">
      <w:pPr>
        <w:rPr>
          <w:lang w:val="en-US"/>
        </w:rPr>
      </w:pPr>
      <w:r w:rsidRPr="0096278D">
        <w:t>The "Future of Dining Symposium" is a MICE industry event</w:t>
      </w:r>
      <w:r>
        <w:t xml:space="preserve"> to be</w:t>
      </w:r>
      <w:r w:rsidRPr="0096278D">
        <w:t xml:space="preserve"> hosted at the Freemasons Hall in London.</w:t>
      </w:r>
      <w:r w:rsidR="004D4CE6" w:rsidRPr="00DD284D">
        <w:rPr>
          <w:szCs w:val="24"/>
          <w:lang w:val="en-US"/>
        </w:rPr>
        <w:t>Freemasons Hall in London was chosen for its prestige, central locat</w:t>
      </w:r>
      <w:r w:rsidR="004D4CE6">
        <w:rPr>
          <w:szCs w:val="24"/>
          <w:lang w:val="en-US"/>
        </w:rPr>
        <w:t>ion, and flexible event spaces which makes</w:t>
      </w:r>
      <w:r w:rsidR="004D4CE6" w:rsidRPr="00DD284D">
        <w:rPr>
          <w:szCs w:val="24"/>
          <w:lang w:val="en-US"/>
        </w:rPr>
        <w:t xml:space="preserve"> it ideal for this conference. </w:t>
      </w:r>
      <w:r w:rsidR="008773CB">
        <w:rPr>
          <w:szCs w:val="24"/>
          <w:lang w:val="en-US"/>
        </w:rPr>
        <w:t>Then, t</w:t>
      </w:r>
      <w:r w:rsidR="004D4CE6">
        <w:rPr>
          <w:szCs w:val="24"/>
          <w:lang w:val="en-US"/>
        </w:rPr>
        <w:t xml:space="preserve">he event will be held on 25 June, 2024. </w:t>
      </w:r>
      <w:r w:rsidR="008773CB">
        <w:rPr>
          <w:szCs w:val="24"/>
          <w:lang w:val="en-US"/>
        </w:rPr>
        <w:t xml:space="preserve">Also, </w:t>
      </w:r>
      <w:r w:rsidR="008773CB">
        <w:rPr>
          <w:lang w:val="en-US"/>
        </w:rPr>
        <w:t>t</w:t>
      </w:r>
      <w:r w:rsidR="00071ED3">
        <w:rPr>
          <w:lang w:val="en-US"/>
        </w:rPr>
        <w:t xml:space="preserve">he </w:t>
      </w:r>
      <w:r w:rsidR="00A515F2" w:rsidRPr="00A515F2">
        <w:rPr>
          <w:lang w:val="en-US"/>
        </w:rPr>
        <w:t xml:space="preserve">Future of Dining Symposium explores how technology is changing dining experiences. </w:t>
      </w:r>
      <w:r w:rsidR="008773CB">
        <w:rPr>
          <w:lang w:val="en-US"/>
        </w:rPr>
        <w:t>Also, t</w:t>
      </w:r>
      <w:r w:rsidR="00A515F2" w:rsidRPr="00A515F2">
        <w:rPr>
          <w:lang w:val="en-US"/>
        </w:rPr>
        <w:t>he eating industry is ripe for upheaval and reinvention in a digital age where technology touches every area of our lives</w:t>
      </w:r>
      <w:r w:rsidR="00071ED3">
        <w:t>(Pardede et al., 2022)</w:t>
      </w:r>
      <w:r w:rsidR="00A515F2" w:rsidRPr="00A515F2">
        <w:rPr>
          <w:lang w:val="en-US"/>
        </w:rPr>
        <w:t xml:space="preserve">. </w:t>
      </w:r>
      <w:r w:rsidR="008773CB">
        <w:rPr>
          <w:lang w:val="en-US"/>
        </w:rPr>
        <w:t>Thus, t</w:t>
      </w:r>
      <w:r w:rsidR="00A515F2" w:rsidRPr="00A515F2">
        <w:rPr>
          <w:lang w:val="en-US"/>
        </w:rPr>
        <w:t>his symposium is a melting pot where ideas, technologies, and culinary creativity in</w:t>
      </w:r>
      <w:r w:rsidR="00A515F2">
        <w:rPr>
          <w:lang w:val="en-US"/>
        </w:rPr>
        <w:t xml:space="preserve">fluence the future of dining. </w:t>
      </w:r>
      <w:r w:rsidR="00A515F2" w:rsidRPr="00A515F2">
        <w:rPr>
          <w:lang w:val="en-US"/>
        </w:rPr>
        <w:t>Technology's impact on dining is the symposium's central theme. Technology has changed how we connect with food places, from interactive and personalised digital menu platforms to contactless ordering systems that prioritise ease and safety. The symposium also explores kitchen automation, where robotics and AI-powered solutions improve operations, resource use</w:t>
      </w:r>
      <w:r w:rsidR="00A515F2">
        <w:rPr>
          <w:lang w:val="en-US"/>
        </w:rPr>
        <w:t>, and culinary craftsmanship</w:t>
      </w:r>
      <w:r w:rsidR="00071ED3">
        <w:t>(Bladen et al., 2019)</w:t>
      </w:r>
      <w:r w:rsidR="00A515F2">
        <w:rPr>
          <w:lang w:val="en-US"/>
        </w:rPr>
        <w:t>.</w:t>
      </w:r>
      <w:r w:rsidR="00A515F2" w:rsidRPr="00A515F2">
        <w:rPr>
          <w:lang w:val="en-US"/>
        </w:rPr>
        <w:t>The symposium also acknowledges how food delivery services using cutting-edge logistics and delivery algorithms have transformed gastronomic accessibility and convenience. These technologies push the dining sector to new heights of accessibility, effici</w:t>
      </w:r>
      <w:r w:rsidR="00A515F2">
        <w:rPr>
          <w:lang w:val="en-US"/>
        </w:rPr>
        <w:t xml:space="preserve">ency, and customer happiness. </w:t>
      </w:r>
      <w:r w:rsidR="00A515F2" w:rsidRPr="00A515F2">
        <w:rPr>
          <w:lang w:val="en-US"/>
        </w:rPr>
        <w:t>The symposium is a hub of exploration and discovery where industry leaders, innovators, and culinary dreamers shape the future of dining</w:t>
      </w:r>
      <w:r w:rsidR="00071ED3">
        <w:t>(Arvanitis and Estevez, 2018)</w:t>
      </w:r>
      <w:r w:rsidR="00A515F2" w:rsidRPr="00A515F2">
        <w:rPr>
          <w:lang w:val="en-US"/>
        </w:rPr>
        <w:t xml:space="preserve">. Participants </w:t>
      </w:r>
      <w:r w:rsidR="00747F26">
        <w:rPr>
          <w:lang w:val="en-US"/>
        </w:rPr>
        <w:t xml:space="preserve">will </w:t>
      </w:r>
      <w:r w:rsidR="00A515F2" w:rsidRPr="00A515F2">
        <w:rPr>
          <w:lang w:val="en-US"/>
        </w:rPr>
        <w:t>learn about how technology can change gastronomic experiences through expert talks, interactive workshops, and tantalising tastes of tech-infused cuisine. As customer expectations change along with technology, the symposium guides the industry towards a future where innovation knows no bounds and every meal is a tribute to technology's boundless potential</w:t>
      </w:r>
      <w:r w:rsidR="002D12B8">
        <w:t>(Jones and Butler, 2022)</w:t>
      </w:r>
      <w:r w:rsidR="00A515F2" w:rsidRPr="00A515F2">
        <w:rPr>
          <w:lang w:val="en-US"/>
        </w:rPr>
        <w:t xml:space="preserve">. </w:t>
      </w:r>
    </w:p>
    <w:p w:rsidR="00A40C50" w:rsidRDefault="00A40C50" w:rsidP="00A515F2"/>
    <w:p w:rsidR="00FC6C8D" w:rsidRPr="00071ED3" w:rsidRDefault="00FC6C8D" w:rsidP="00A515F2">
      <w:r>
        <w:rPr>
          <w:noProof/>
          <w:lang w:val="en-US"/>
        </w:rPr>
        <w:lastRenderedPageBreak/>
        <w:drawing>
          <wp:inline distT="0" distB="0" distL="0" distR="0">
            <wp:extent cx="5943600" cy="341058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410585"/>
                    </a:xfrm>
                    <a:prstGeom prst="rect">
                      <a:avLst/>
                    </a:prstGeom>
                  </pic:spPr>
                </pic:pic>
              </a:graphicData>
            </a:graphic>
          </wp:inline>
        </w:drawing>
      </w:r>
    </w:p>
    <w:p w:rsidR="00B807D6" w:rsidRDefault="00B807D6" w:rsidP="00B807D6">
      <w:pPr>
        <w:pStyle w:val="Heading1"/>
        <w:rPr>
          <w:lang w:val="en-US"/>
        </w:rPr>
      </w:pPr>
      <w:r w:rsidRPr="00B807D6">
        <w:rPr>
          <w:lang w:val="en-US"/>
        </w:rPr>
        <w:t>Market Factors</w:t>
      </w:r>
    </w:p>
    <w:p w:rsidR="00403F4A" w:rsidRPr="002D12B8" w:rsidRDefault="00B807D6" w:rsidP="00B807D6">
      <w:r w:rsidRPr="00B807D6">
        <w:rPr>
          <w:b/>
          <w:lang w:val="en-US"/>
        </w:rPr>
        <w:t xml:space="preserve">Target Market: </w:t>
      </w:r>
      <w:r w:rsidR="00403F4A" w:rsidRPr="00574626">
        <w:rPr>
          <w:szCs w:val="24"/>
          <w:lang w:val="en-US"/>
        </w:rPr>
        <w:t>A broad group of hospitality and technology executives and enthusiasts are interested in the merging of these two businesses at the "Future of Dining Symposium". Restaurant owners, managers, and executives seeking innovation are the main guests</w:t>
      </w:r>
      <w:r w:rsidR="002D12B8">
        <w:t>(Wynn et al., 2023)</w:t>
      </w:r>
      <w:r w:rsidR="00403F4A" w:rsidRPr="00574626">
        <w:rPr>
          <w:szCs w:val="24"/>
          <w:lang w:val="en-US"/>
        </w:rPr>
        <w:t>. These people are keen to learn how technology may improve operations, customer experiences, and business success. Chefs and culinary experts are also interested in how technology could change food preparation, presentation, and delivery. Besides industry insiders, the symposium attracts technology providers and innovators specialising in hotel solutions</w:t>
      </w:r>
      <w:r w:rsidR="002D12B8">
        <w:t>(Ahmed, 2022)</w:t>
      </w:r>
      <w:r w:rsidR="00403F4A" w:rsidRPr="00574626">
        <w:rPr>
          <w:szCs w:val="24"/>
          <w:lang w:val="en-US"/>
        </w:rPr>
        <w:t>. This covers startups delivering digital menu platforms, contactless ordering, kitchen automation, and food delivery advances. These exhibitors use the event to promote their latest products and network with restaurant owners and decision-makers. Food aficionados and trend-conscious customers interested in food and technology attend the event</w:t>
      </w:r>
      <w:r w:rsidR="002D12B8">
        <w:t>(Tum and Norton, 2021)</w:t>
      </w:r>
      <w:r w:rsidR="00403F4A" w:rsidRPr="00574626">
        <w:rPr>
          <w:szCs w:val="24"/>
          <w:lang w:val="en-US"/>
        </w:rPr>
        <w:t xml:space="preserve">. These people want distinctive dining experiences, creative cuisine, and dining trend knowledge. Investors in the growing food tech sector may also attend to find prospective firms and investments. </w:t>
      </w:r>
    </w:p>
    <w:p w:rsidR="00A40C50" w:rsidRPr="00FC6C8D" w:rsidRDefault="00B807D6" w:rsidP="00403F4A">
      <w:pPr>
        <w:rPr>
          <w:lang w:val="en-US"/>
        </w:rPr>
      </w:pPr>
      <w:r w:rsidRPr="00B807D6">
        <w:rPr>
          <w:b/>
          <w:lang w:val="en-US"/>
        </w:rPr>
        <w:lastRenderedPageBreak/>
        <w:t xml:space="preserve">Demand: </w:t>
      </w:r>
      <w:r w:rsidR="00403F4A" w:rsidRPr="00574626">
        <w:rPr>
          <w:lang w:val="en-US"/>
        </w:rPr>
        <w:t>A combination of hospitality business changes and consumer preferences drive the "Future of Dining Symposium" demand. Industry professionals are interested in using technology to improve eating experiences as society becomes more dependent on it for ease and efficiency</w:t>
      </w:r>
      <w:r w:rsidR="002D12B8">
        <w:t>(Fleisher and Bensoussan, 2019)</w:t>
      </w:r>
      <w:r w:rsidR="00403F4A" w:rsidRPr="00574626">
        <w:rPr>
          <w:lang w:val="en-US"/>
        </w:rPr>
        <w:t>. Restaurant owners and managers know that internet ordering, contactless payment, and kitchen automation capabilities provide them a competitive edge. The conference provides these professionals with relevant insights into new trends, best practices, and case studies of restaurant technology integration. Diners now want immersive, engaging eating experiences that go beyond the standard. This desire is met by the symposium's engaging workshops, tech-infused cuisine, and hands-on technology experiences</w:t>
      </w:r>
      <w:r w:rsidR="00071ED3">
        <w:t>(Bladen et al., 2019)</w:t>
      </w:r>
      <w:r w:rsidR="00403F4A" w:rsidRPr="00574626">
        <w:rPr>
          <w:lang w:val="en-US"/>
        </w:rPr>
        <w:t xml:space="preserve">. Foodies, techies, and trend-conscious people attend the event for new eating experiences and food industry knowledge. The symposium also allows technology providers and innovators to display their latest innovations and form relationships with industry stakeholders. The event draws exhibitors eager to meet restaurant owners, chefs, and investors trying to remain ahead in a fast-changing industry. </w:t>
      </w:r>
    </w:p>
    <w:p w:rsidR="00FC6C8D" w:rsidRPr="00071ED3" w:rsidRDefault="00FC6C8D" w:rsidP="00403F4A">
      <w:r>
        <w:rPr>
          <w:noProof/>
          <w:lang w:val="en-US"/>
        </w:rPr>
        <w:drawing>
          <wp:inline distT="0" distB="0" distL="0" distR="0">
            <wp:extent cx="5943600" cy="333184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31845"/>
                    </a:xfrm>
                    <a:prstGeom prst="rect">
                      <a:avLst/>
                    </a:prstGeom>
                  </pic:spPr>
                </pic:pic>
              </a:graphicData>
            </a:graphic>
          </wp:inline>
        </w:drawing>
      </w:r>
    </w:p>
    <w:p w:rsidR="00403F4A" w:rsidRPr="00071ED3" w:rsidRDefault="00B807D6" w:rsidP="00B807D6">
      <w:r w:rsidRPr="00B807D6">
        <w:rPr>
          <w:b/>
          <w:lang w:val="en-US"/>
        </w:rPr>
        <w:t>Supply:</w:t>
      </w:r>
      <w:r w:rsidR="008773CB">
        <w:rPr>
          <w:lang w:val="en-US"/>
        </w:rPr>
        <w:t xml:space="preserve">Here, </w:t>
      </w:r>
      <w:r w:rsidR="008773CB">
        <w:rPr>
          <w:szCs w:val="24"/>
          <w:lang w:val="en-US"/>
        </w:rPr>
        <w:t>t</w:t>
      </w:r>
      <w:r w:rsidR="00403F4A" w:rsidRPr="00574626">
        <w:rPr>
          <w:szCs w:val="24"/>
          <w:lang w:val="en-US"/>
        </w:rPr>
        <w:t>he "Future of Dining Symposium" supply includes several things that make it a top hospitality and technology event.</w:t>
      </w:r>
      <w:r w:rsidR="008773CB">
        <w:rPr>
          <w:szCs w:val="24"/>
          <w:lang w:val="en-US"/>
        </w:rPr>
        <w:t xml:space="preserve"> Also, the event's setting that Freemasons Hall in London</w:t>
      </w:r>
      <w:r w:rsidR="00403F4A" w:rsidRPr="00574626">
        <w:rPr>
          <w:szCs w:val="24"/>
          <w:lang w:val="en-US"/>
        </w:rPr>
        <w:t xml:space="preserve"> shows its dedication to providing a prestigious and welcoming space for learning, networking</w:t>
      </w:r>
      <w:r w:rsidR="008773CB">
        <w:rPr>
          <w:szCs w:val="24"/>
          <w:lang w:val="en-US"/>
        </w:rPr>
        <w:t xml:space="preserve"> </w:t>
      </w:r>
      <w:r w:rsidR="008773CB">
        <w:rPr>
          <w:szCs w:val="24"/>
          <w:lang w:val="en-US"/>
        </w:rPr>
        <w:lastRenderedPageBreak/>
        <w:t>and discover where t</w:t>
      </w:r>
      <w:r w:rsidR="00403F4A" w:rsidRPr="00574626">
        <w:rPr>
          <w:szCs w:val="24"/>
          <w:lang w:val="en-US"/>
        </w:rPr>
        <w:t>he hall's central location, historic atmosphere, and flexible event areas make it perfect for a symposium of this kind.</w:t>
      </w:r>
      <w:r w:rsidR="008773CB">
        <w:rPr>
          <w:szCs w:val="24"/>
          <w:lang w:val="en-US"/>
        </w:rPr>
        <w:t xml:space="preserve"> Also</w:t>
      </w:r>
      <w:r w:rsidR="00403F4A" w:rsidRPr="00574626">
        <w:rPr>
          <w:szCs w:val="24"/>
          <w:lang w:val="en-US"/>
        </w:rPr>
        <w:t>, the symposium needs meticulous planning and coordination for logistics and resources</w:t>
      </w:r>
      <w:r w:rsidR="008773CB" w:rsidRPr="00574626">
        <w:rPr>
          <w:szCs w:val="24"/>
          <w:lang w:val="en-US"/>
        </w:rPr>
        <w:t>to run efficiently</w:t>
      </w:r>
      <w:r w:rsidR="00071ED3">
        <w:t>(O'Toole, 2020)</w:t>
      </w:r>
      <w:r w:rsidR="008773CB">
        <w:rPr>
          <w:szCs w:val="24"/>
          <w:lang w:val="en-US"/>
        </w:rPr>
        <w:t>. Thus, t</w:t>
      </w:r>
      <w:r w:rsidR="00403F4A" w:rsidRPr="00574626">
        <w:rPr>
          <w:szCs w:val="24"/>
          <w:lang w:val="en-US"/>
        </w:rPr>
        <w:t xml:space="preserve">his entails obtaining permits and licences, arranging audiovisual equipment and technical support, </w:t>
      </w:r>
      <w:r w:rsidR="008773CB">
        <w:rPr>
          <w:szCs w:val="24"/>
          <w:lang w:val="en-US"/>
        </w:rPr>
        <w:t>scheduling tech-infused cuisine</w:t>
      </w:r>
      <w:r w:rsidR="00403F4A" w:rsidRPr="00574626">
        <w:rPr>
          <w:szCs w:val="24"/>
          <w:lang w:val="en-US"/>
        </w:rPr>
        <w:t xml:space="preserve"> and providing suitable seats for participants. </w:t>
      </w:r>
      <w:r w:rsidR="008773CB">
        <w:rPr>
          <w:szCs w:val="24"/>
          <w:lang w:val="en-US"/>
        </w:rPr>
        <w:t>Then, t</w:t>
      </w:r>
      <w:r w:rsidR="00403F4A" w:rsidRPr="00574626">
        <w:rPr>
          <w:szCs w:val="24"/>
          <w:lang w:val="en-US"/>
        </w:rPr>
        <w:t>he symposium also relies on a talented and devoted team of event professionals and volunteers to conduct registration, attendee assistance, speaker coordination,</w:t>
      </w:r>
      <w:r w:rsidR="008773CB">
        <w:rPr>
          <w:szCs w:val="24"/>
          <w:lang w:val="en-US"/>
        </w:rPr>
        <w:t>\</w:t>
      </w:r>
      <w:r w:rsidR="00403F4A" w:rsidRPr="00574626">
        <w:rPr>
          <w:szCs w:val="24"/>
          <w:lang w:val="en-US"/>
        </w:rPr>
        <w:t xml:space="preserve"> and exhibitor support</w:t>
      </w:r>
      <w:r w:rsidR="00F070A7">
        <w:t>(Shone and Parry, 2019)</w:t>
      </w:r>
      <w:r w:rsidR="00403F4A" w:rsidRPr="00574626">
        <w:rPr>
          <w:szCs w:val="24"/>
          <w:lang w:val="en-US"/>
        </w:rPr>
        <w:t xml:space="preserve">. </w:t>
      </w:r>
      <w:r w:rsidR="008773CB">
        <w:rPr>
          <w:szCs w:val="24"/>
          <w:lang w:val="en-US"/>
        </w:rPr>
        <w:t>Also, t</w:t>
      </w:r>
      <w:r w:rsidR="00403F4A" w:rsidRPr="00574626">
        <w:rPr>
          <w:szCs w:val="24"/>
          <w:lang w:val="en-US"/>
        </w:rPr>
        <w:t xml:space="preserve">he symposium also partners with technology companies, culinary </w:t>
      </w:r>
      <w:r w:rsidR="008773CB">
        <w:rPr>
          <w:szCs w:val="24"/>
          <w:lang w:val="en-US"/>
        </w:rPr>
        <w:t>experts, industry organisations</w:t>
      </w:r>
      <w:r w:rsidR="00403F4A" w:rsidRPr="00574626">
        <w:rPr>
          <w:szCs w:val="24"/>
          <w:lang w:val="en-US"/>
        </w:rPr>
        <w:t xml:space="preserve"> and sponsors to expand its products and reach</w:t>
      </w:r>
      <w:r w:rsidR="002D12B8">
        <w:t>(Shone and Parry, 2019)</w:t>
      </w:r>
      <w:r w:rsidR="00403F4A" w:rsidRPr="00574626">
        <w:rPr>
          <w:szCs w:val="24"/>
          <w:lang w:val="en-US"/>
        </w:rPr>
        <w:t xml:space="preserve">. </w:t>
      </w:r>
      <w:r w:rsidR="008773CB">
        <w:rPr>
          <w:szCs w:val="24"/>
          <w:lang w:val="en-US"/>
        </w:rPr>
        <w:t>Thus, s</w:t>
      </w:r>
      <w:r w:rsidR="00403F4A" w:rsidRPr="00574626">
        <w:rPr>
          <w:szCs w:val="24"/>
          <w:lang w:val="en-US"/>
        </w:rPr>
        <w:t>peakers and presenters, int</w:t>
      </w:r>
      <w:r w:rsidR="008773CB">
        <w:rPr>
          <w:szCs w:val="24"/>
          <w:lang w:val="en-US"/>
        </w:rPr>
        <w:t>eractive workshops and tastings</w:t>
      </w:r>
      <w:r w:rsidR="00403F4A" w:rsidRPr="00574626">
        <w:rPr>
          <w:szCs w:val="24"/>
          <w:lang w:val="en-US"/>
        </w:rPr>
        <w:t xml:space="preserve"> and financial support to cover expenses and improve guest experience may be part of these agreements.</w:t>
      </w:r>
    </w:p>
    <w:p w:rsidR="00403F4A" w:rsidRDefault="00B807D6" w:rsidP="00B807D6">
      <w:pPr>
        <w:rPr>
          <w:szCs w:val="24"/>
          <w:lang w:val="en-US"/>
        </w:rPr>
      </w:pPr>
      <w:r w:rsidRPr="00B807D6">
        <w:rPr>
          <w:b/>
          <w:lang w:val="en-US"/>
        </w:rPr>
        <w:t>Competition:</w:t>
      </w:r>
      <w:r w:rsidR="008773CB">
        <w:rPr>
          <w:szCs w:val="24"/>
          <w:lang w:val="en-US"/>
        </w:rPr>
        <w:t>Here, i</w:t>
      </w:r>
      <w:r w:rsidR="00403F4A" w:rsidRPr="00574626">
        <w:rPr>
          <w:szCs w:val="24"/>
          <w:lang w:val="en-US"/>
        </w:rPr>
        <w:t>ndustry events and conferences with similar audiences</w:t>
      </w:r>
      <w:r w:rsidR="008773CB">
        <w:rPr>
          <w:szCs w:val="24"/>
          <w:lang w:val="en-US"/>
        </w:rPr>
        <w:t xml:space="preserve"> and subjects compete with the Future of Dining Symposium. Also, s</w:t>
      </w:r>
      <w:r w:rsidR="00403F4A" w:rsidRPr="00574626">
        <w:rPr>
          <w:szCs w:val="24"/>
          <w:lang w:val="en-US"/>
        </w:rPr>
        <w:t>ome conferences c</w:t>
      </w:r>
      <w:r w:rsidR="008773CB">
        <w:rPr>
          <w:szCs w:val="24"/>
          <w:lang w:val="en-US"/>
        </w:rPr>
        <w:t xml:space="preserve">over hospitality and technology </w:t>
      </w:r>
      <w:r w:rsidR="00403F4A" w:rsidRPr="00574626">
        <w:rPr>
          <w:szCs w:val="24"/>
          <w:lang w:val="en-US"/>
        </w:rPr>
        <w:t>while others cover culinary innovation or food business trends</w:t>
      </w:r>
      <w:r w:rsidR="002D12B8">
        <w:t>(Aghdaie and Alimardani, 2019)</w:t>
      </w:r>
      <w:r w:rsidR="00403F4A" w:rsidRPr="00574626">
        <w:rPr>
          <w:szCs w:val="24"/>
          <w:lang w:val="en-US"/>
        </w:rPr>
        <w:t xml:space="preserve">. </w:t>
      </w:r>
      <w:r w:rsidR="008773CB">
        <w:rPr>
          <w:szCs w:val="24"/>
          <w:lang w:val="en-US"/>
        </w:rPr>
        <w:t>Then, r</w:t>
      </w:r>
      <w:r w:rsidR="00403F4A" w:rsidRPr="00574626">
        <w:rPr>
          <w:szCs w:val="24"/>
          <w:lang w:val="en-US"/>
        </w:rPr>
        <w:t>estaurant management con</w:t>
      </w:r>
      <w:r w:rsidR="008773CB">
        <w:rPr>
          <w:szCs w:val="24"/>
          <w:lang w:val="en-US"/>
        </w:rPr>
        <w:t>ferences, food technology fairs</w:t>
      </w:r>
      <w:r w:rsidR="00403F4A" w:rsidRPr="00574626">
        <w:rPr>
          <w:szCs w:val="24"/>
          <w:lang w:val="en-US"/>
        </w:rPr>
        <w:t xml:space="preserve"> and culinary showcases attract dining technology enthusiasts. </w:t>
      </w:r>
      <w:r w:rsidR="008773CB">
        <w:rPr>
          <w:szCs w:val="24"/>
          <w:lang w:val="en-US"/>
        </w:rPr>
        <w:t>Then, t</w:t>
      </w:r>
      <w:r w:rsidR="00403F4A" w:rsidRPr="00574626">
        <w:rPr>
          <w:szCs w:val="24"/>
          <w:lang w:val="en-US"/>
        </w:rPr>
        <w:t>echnology conferences sometimes feature h</w:t>
      </w:r>
      <w:r w:rsidR="008773CB">
        <w:rPr>
          <w:szCs w:val="24"/>
          <w:lang w:val="en-US"/>
        </w:rPr>
        <w:t>ospitality workshops and panels which gives</w:t>
      </w:r>
      <w:r w:rsidR="00403F4A" w:rsidRPr="00574626">
        <w:rPr>
          <w:szCs w:val="24"/>
          <w:lang w:val="en-US"/>
        </w:rPr>
        <w:t xml:space="preserve"> professionals another choice for learning about technology and dining</w:t>
      </w:r>
      <w:r w:rsidR="00F070A7">
        <w:t>(Van der Wagen, 2020)</w:t>
      </w:r>
      <w:r w:rsidR="00403F4A" w:rsidRPr="00574626">
        <w:rPr>
          <w:szCs w:val="24"/>
          <w:lang w:val="en-US"/>
        </w:rPr>
        <w:t xml:space="preserve">. </w:t>
      </w:r>
      <w:r w:rsidR="008773CB">
        <w:rPr>
          <w:szCs w:val="24"/>
          <w:lang w:val="en-US"/>
        </w:rPr>
        <w:t>Also, the Future of Dining Symposium</w:t>
      </w:r>
      <w:r w:rsidR="00403F4A" w:rsidRPr="00574626">
        <w:rPr>
          <w:szCs w:val="24"/>
          <w:lang w:val="en-US"/>
        </w:rPr>
        <w:t xml:space="preserve"> is unique in its focus on the practical applications and implications of de</w:t>
      </w:r>
      <w:r w:rsidR="008773CB">
        <w:rPr>
          <w:szCs w:val="24"/>
          <w:lang w:val="en-US"/>
        </w:rPr>
        <w:t>veloping technology in dining where t</w:t>
      </w:r>
      <w:r w:rsidR="00403F4A" w:rsidRPr="00574626">
        <w:rPr>
          <w:szCs w:val="24"/>
          <w:lang w:val="en-US"/>
        </w:rPr>
        <w:t>he symposium offers professional presentations,</w:t>
      </w:r>
      <w:r w:rsidR="008773CB">
        <w:rPr>
          <w:szCs w:val="24"/>
          <w:lang w:val="en-US"/>
        </w:rPr>
        <w:t xml:space="preserve"> interactive workshops</w:t>
      </w:r>
      <w:r w:rsidR="00403F4A" w:rsidRPr="00574626">
        <w:rPr>
          <w:szCs w:val="24"/>
          <w:lang w:val="en-US"/>
        </w:rPr>
        <w:t xml:space="preserve"> and t</w:t>
      </w:r>
      <w:r w:rsidR="008773CB">
        <w:rPr>
          <w:szCs w:val="24"/>
          <w:lang w:val="en-US"/>
        </w:rPr>
        <w:t>astings of tech-infused cuisine and thus, gives</w:t>
      </w:r>
      <w:r w:rsidR="00403F4A" w:rsidRPr="00574626">
        <w:rPr>
          <w:szCs w:val="24"/>
          <w:lang w:val="en-US"/>
        </w:rPr>
        <w:t xml:space="preserve"> attendees a unique opportunity to explore this specialty</w:t>
      </w:r>
      <w:r w:rsidR="002D12B8">
        <w:t>(Van der Wagen, 2020)</w:t>
      </w:r>
      <w:r w:rsidR="00403F4A" w:rsidRPr="00574626">
        <w:rPr>
          <w:szCs w:val="24"/>
          <w:lang w:val="en-US"/>
        </w:rPr>
        <w:t xml:space="preserve">. </w:t>
      </w:r>
      <w:r w:rsidR="008773CB">
        <w:rPr>
          <w:szCs w:val="24"/>
          <w:lang w:val="en-US"/>
        </w:rPr>
        <w:t>Also, i</w:t>
      </w:r>
      <w:r w:rsidR="00403F4A" w:rsidRPr="00574626">
        <w:rPr>
          <w:szCs w:val="24"/>
          <w:lang w:val="en-US"/>
        </w:rPr>
        <w:t xml:space="preserve">ts focus on networking and collaboration between technology </w:t>
      </w:r>
      <w:r w:rsidR="008773CB">
        <w:rPr>
          <w:szCs w:val="24"/>
          <w:lang w:val="en-US"/>
        </w:rPr>
        <w:t xml:space="preserve">companies, hospitality experts </w:t>
      </w:r>
      <w:r w:rsidR="00403F4A" w:rsidRPr="00574626">
        <w:rPr>
          <w:szCs w:val="24"/>
          <w:lang w:val="en-US"/>
        </w:rPr>
        <w:t xml:space="preserve">and cuisine enthusiasts sets it apart from its competitors. </w:t>
      </w:r>
    </w:p>
    <w:p w:rsidR="00A40C50" w:rsidRDefault="00A40C50" w:rsidP="00B807D6"/>
    <w:p w:rsidR="00FC6C8D" w:rsidRPr="002D12B8" w:rsidRDefault="00FC6C8D" w:rsidP="00B807D6">
      <w:r>
        <w:rPr>
          <w:noProof/>
          <w:lang w:val="en-US"/>
        </w:rPr>
        <w:lastRenderedPageBreak/>
        <w:drawing>
          <wp:inline distT="0" distB="0" distL="0" distR="0">
            <wp:extent cx="5943600" cy="335724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57245"/>
                    </a:xfrm>
                    <a:prstGeom prst="rect">
                      <a:avLst/>
                    </a:prstGeom>
                  </pic:spPr>
                </pic:pic>
              </a:graphicData>
            </a:graphic>
          </wp:inline>
        </w:drawing>
      </w:r>
    </w:p>
    <w:p w:rsidR="00DD284D" w:rsidRDefault="00DD284D" w:rsidP="00DD284D">
      <w:pPr>
        <w:pStyle w:val="Heading1"/>
        <w:rPr>
          <w:lang w:val="en-US"/>
        </w:rPr>
      </w:pPr>
      <w:r>
        <w:rPr>
          <w:lang w:val="en-US"/>
        </w:rPr>
        <w:t>Operational Factors</w:t>
      </w:r>
    </w:p>
    <w:p w:rsidR="00D91ED1" w:rsidRPr="002D12B8" w:rsidRDefault="00DD284D" w:rsidP="00D91ED1">
      <w:r w:rsidRPr="00D91ED1">
        <w:rPr>
          <w:b/>
          <w:szCs w:val="24"/>
          <w:lang w:val="en-US"/>
        </w:rPr>
        <w:t>Venue:</w:t>
      </w:r>
      <w:r w:rsidR="008D1FAE">
        <w:rPr>
          <w:szCs w:val="24"/>
          <w:lang w:val="en-US"/>
        </w:rPr>
        <w:t xml:space="preserve"> Venue selection is key to the Future of Dining Symposium and thus, </w:t>
      </w:r>
      <w:r w:rsidR="008D1FAE" w:rsidRPr="00DD284D">
        <w:rPr>
          <w:szCs w:val="24"/>
          <w:lang w:val="en-US"/>
        </w:rPr>
        <w:t>Freemasons</w:t>
      </w:r>
      <w:r w:rsidRPr="00DD284D">
        <w:rPr>
          <w:szCs w:val="24"/>
          <w:lang w:val="en-US"/>
        </w:rPr>
        <w:t xml:space="preserve"> Hall in London was chosen for its prestige, central locat</w:t>
      </w:r>
      <w:r w:rsidR="008D1FAE">
        <w:rPr>
          <w:szCs w:val="24"/>
          <w:lang w:val="en-US"/>
        </w:rPr>
        <w:t>ion</w:t>
      </w:r>
      <w:r w:rsidR="001253A3">
        <w:rPr>
          <w:szCs w:val="24"/>
          <w:lang w:val="en-US"/>
        </w:rPr>
        <w:t xml:space="preserve"> and flexible event spaces which makes</w:t>
      </w:r>
      <w:r w:rsidRPr="00DD284D">
        <w:rPr>
          <w:szCs w:val="24"/>
          <w:lang w:val="en-US"/>
        </w:rPr>
        <w:t xml:space="preserve"> it ideal for this conference. </w:t>
      </w:r>
      <w:r w:rsidR="001253A3">
        <w:rPr>
          <w:szCs w:val="24"/>
          <w:lang w:val="en-US"/>
        </w:rPr>
        <w:t xml:space="preserve">The event will be held on 25 June, 2024. On this date, the venue is available. </w:t>
      </w:r>
      <w:r w:rsidRPr="00DD284D">
        <w:rPr>
          <w:szCs w:val="24"/>
          <w:lang w:val="en-US"/>
        </w:rPr>
        <w:t>Historic significance gives the event a grandiose feel, while closeness to transport hubs makes it accessible. The hall's flexible event rooms accommodate the symposium's wide programme with capacity for lectures, workshops, and tastings</w:t>
      </w:r>
      <w:r w:rsidR="002D12B8">
        <w:t>(Shone and Parry, 2019)</w:t>
      </w:r>
      <w:r w:rsidRPr="00DD284D">
        <w:rPr>
          <w:szCs w:val="24"/>
          <w:lang w:val="en-US"/>
        </w:rPr>
        <w:t xml:space="preserve">. The venue's choice fosters learning, networking, and dining technology exploration. </w:t>
      </w:r>
    </w:p>
    <w:p w:rsidR="00360457" w:rsidRPr="00071ED3" w:rsidRDefault="00D91ED1" w:rsidP="00DD284D">
      <w:r w:rsidRPr="00D91ED1">
        <w:rPr>
          <w:b/>
          <w:szCs w:val="24"/>
          <w:lang w:val="en-US"/>
        </w:rPr>
        <w:t>Skills Required:</w:t>
      </w:r>
      <w:r w:rsidR="00DD284D" w:rsidRPr="00DD284D">
        <w:rPr>
          <w:szCs w:val="24"/>
          <w:lang w:val="en-US"/>
        </w:rPr>
        <w:t>The operational aspect requires a wide range of talents to execute the "Future of Dining Symposium." Event workers must know event planning, logistics, audiovisual setup, catering, and attendee interaction</w:t>
      </w:r>
      <w:r w:rsidR="002D12B8">
        <w:t>(Yuniati, 2022)</w:t>
      </w:r>
      <w:r w:rsidR="00DD284D" w:rsidRPr="00DD284D">
        <w:rPr>
          <w:szCs w:val="24"/>
          <w:lang w:val="en-US"/>
        </w:rPr>
        <w:t>. These talents streamline symposium registration, speaker administration, technological assistance, and participant interaction. Effective communication and problem-solving abilities are also needed to handle event surprises</w:t>
      </w:r>
      <w:r w:rsidR="00071ED3">
        <w:t>(Laamanen, 2019)</w:t>
      </w:r>
      <w:r w:rsidR="00DD284D" w:rsidRPr="00DD284D">
        <w:rPr>
          <w:szCs w:val="24"/>
          <w:lang w:val="en-US"/>
        </w:rPr>
        <w:t xml:space="preserve">. The symposia </w:t>
      </w:r>
      <w:r w:rsidR="00F070A7">
        <w:rPr>
          <w:szCs w:val="24"/>
          <w:lang w:val="en-US"/>
        </w:rPr>
        <w:t>will</w:t>
      </w:r>
      <w:r w:rsidR="00DD284D" w:rsidRPr="00DD284D">
        <w:rPr>
          <w:szCs w:val="24"/>
          <w:lang w:val="en-US"/>
        </w:rPr>
        <w:t xml:space="preserve"> provide a well-coordinated and interesting experience for all attendees by using a varied crew. </w:t>
      </w:r>
      <w:r w:rsidR="00DD284D">
        <w:t xml:space="preserve">Event staff will need skills in event </w:t>
      </w:r>
      <w:r w:rsidR="00DD284D">
        <w:lastRenderedPageBreak/>
        <w:t>management, technology setup, catering coordination and attendee engagement where recruiting a competent team with relevant expertise is crucial for the smooth execution of the symposium.</w:t>
      </w:r>
    </w:p>
    <w:p w:rsidR="00A40C50" w:rsidRDefault="00D91ED1" w:rsidP="00DD284D">
      <w:r w:rsidRPr="00D91ED1">
        <w:rPr>
          <w:b/>
          <w:szCs w:val="24"/>
          <w:lang w:val="en-US"/>
        </w:rPr>
        <w:t xml:space="preserve">Resources: </w:t>
      </w:r>
      <w:r w:rsidR="00DD284D" w:rsidRPr="00DD284D">
        <w:rPr>
          <w:szCs w:val="24"/>
          <w:lang w:val="en-US"/>
        </w:rPr>
        <w:t>The operational resource factor includes the tangible assets and provisions needed to implement t</w:t>
      </w:r>
      <w:r w:rsidR="00DD284D">
        <w:rPr>
          <w:szCs w:val="24"/>
          <w:lang w:val="en-US"/>
        </w:rPr>
        <w:t>he Future of Dining Symposium.</w:t>
      </w:r>
      <w:r w:rsidR="00DD284D" w:rsidRPr="00DD284D">
        <w:rPr>
          <w:szCs w:val="24"/>
          <w:lang w:val="en-US"/>
        </w:rPr>
        <w:t xml:space="preserve"> These include audiovisual equipment for presentations, workshops, and demonstrations, comfortable seating, tech-infused catering, marketing materials to promote the event, and event signage for easy navigation. To guarantee seamless operations, speakers and participants may need transportation and lodging</w:t>
      </w:r>
      <w:r w:rsidR="00071ED3">
        <w:t>(Arvanitis and Estevez, 2018)</w:t>
      </w:r>
      <w:r w:rsidR="00DD284D" w:rsidRPr="00DD284D">
        <w:rPr>
          <w:szCs w:val="24"/>
          <w:lang w:val="en-US"/>
        </w:rPr>
        <w:t xml:space="preserve">. These resources can be deliberately allocated and managed to give symposium attendees an immersive and memorable experience while showcasing novel eating technology. </w:t>
      </w:r>
      <w:r w:rsidR="00DD284D">
        <w:t>Resources like catering services, lighting equipment, parking facilities, seating arrangements and technological infrastructure (e.g., Wi-Fi, projectors) will be required to create a conducive environment for the event</w:t>
      </w:r>
      <w:r w:rsidR="002D12B8">
        <w:t xml:space="preserve"> (Thakur, 2022)</w:t>
      </w:r>
      <w:r w:rsidR="00DD284D">
        <w:t>.</w:t>
      </w:r>
    </w:p>
    <w:p w:rsidR="00FC6C8D" w:rsidRPr="00071ED3" w:rsidRDefault="00FC6C8D" w:rsidP="00DD284D">
      <w:r>
        <w:rPr>
          <w:noProof/>
          <w:lang w:val="en-US"/>
        </w:rPr>
        <w:drawing>
          <wp:inline distT="0" distB="0" distL="0" distR="0">
            <wp:extent cx="5943600" cy="352869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528695"/>
                    </a:xfrm>
                    <a:prstGeom prst="rect">
                      <a:avLst/>
                    </a:prstGeom>
                  </pic:spPr>
                </pic:pic>
              </a:graphicData>
            </a:graphic>
          </wp:inline>
        </w:drawing>
      </w:r>
    </w:p>
    <w:p w:rsidR="00083C7E" w:rsidRDefault="00CC285D" w:rsidP="00083C7E">
      <w:pPr>
        <w:pStyle w:val="Heading1"/>
        <w:rPr>
          <w:lang w:val="en-US"/>
        </w:rPr>
      </w:pPr>
      <w:r w:rsidRPr="00CC285D">
        <w:rPr>
          <w:lang w:val="en-US"/>
        </w:rPr>
        <w:lastRenderedPageBreak/>
        <w:t>Financial Factors</w:t>
      </w:r>
    </w:p>
    <w:p w:rsidR="00083C7E" w:rsidRDefault="00083C7E" w:rsidP="00083C7E">
      <w:pPr>
        <w:pStyle w:val="Heading2"/>
        <w:rPr>
          <w:lang w:val="en-US"/>
        </w:rPr>
      </w:pPr>
      <w:r>
        <w:rPr>
          <w:lang w:val="en-US"/>
        </w:rPr>
        <w:t>Costs</w:t>
      </w:r>
    </w:p>
    <w:tbl>
      <w:tblPr>
        <w:tblW w:w="6210" w:type="dxa"/>
        <w:jc w:val="center"/>
        <w:tblLayout w:type="fixed"/>
        <w:tblLook w:val="04A0"/>
      </w:tblPr>
      <w:tblGrid>
        <w:gridCol w:w="3690"/>
        <w:gridCol w:w="2520"/>
      </w:tblGrid>
      <w:tr w:rsidR="00083C7E" w:rsidRPr="00083C7E" w:rsidTr="00EF20CA">
        <w:trPr>
          <w:trHeight w:val="550"/>
          <w:jc w:val="center"/>
        </w:trPr>
        <w:tc>
          <w:tcPr>
            <w:tcW w:w="3690" w:type="dxa"/>
            <w:tcBorders>
              <w:top w:val="single" w:sz="8" w:space="0" w:color="000000"/>
              <w:left w:val="single" w:sz="8" w:space="0" w:color="000000"/>
              <w:bottom w:val="single" w:sz="8" w:space="0" w:color="000000"/>
              <w:right w:val="nil"/>
            </w:tcBorders>
            <w:shd w:val="clear" w:color="000000" w:fill="FFFFFF"/>
            <w:hideMark/>
          </w:tcPr>
          <w:p w:rsidR="00083C7E" w:rsidRPr="00083C7E" w:rsidRDefault="00083C7E" w:rsidP="00083C7E">
            <w:pPr>
              <w:spacing w:after="0" w:line="240" w:lineRule="auto"/>
              <w:jc w:val="center"/>
              <w:rPr>
                <w:b/>
                <w:bCs/>
                <w:color w:val="0D0D0D"/>
                <w:szCs w:val="24"/>
                <w:lang w:val="en-US"/>
              </w:rPr>
            </w:pPr>
            <w:r w:rsidRPr="00083C7E">
              <w:rPr>
                <w:b/>
                <w:bCs/>
                <w:color w:val="0D0D0D"/>
                <w:szCs w:val="24"/>
                <w:lang w:val="en-US"/>
              </w:rPr>
              <w:t>Expense Category</w:t>
            </w:r>
          </w:p>
        </w:tc>
        <w:tc>
          <w:tcPr>
            <w:tcW w:w="2520" w:type="dxa"/>
            <w:tcBorders>
              <w:top w:val="single" w:sz="8" w:space="0" w:color="000000"/>
              <w:left w:val="single" w:sz="8" w:space="0" w:color="000000"/>
              <w:bottom w:val="single" w:sz="8" w:space="0" w:color="000000"/>
              <w:right w:val="single" w:sz="8" w:space="0" w:color="000000"/>
            </w:tcBorders>
            <w:shd w:val="clear" w:color="000000" w:fill="FFFFFF"/>
            <w:hideMark/>
          </w:tcPr>
          <w:p w:rsidR="00083C7E" w:rsidRPr="00083C7E" w:rsidRDefault="00083C7E" w:rsidP="00083C7E">
            <w:pPr>
              <w:spacing w:after="0" w:line="240" w:lineRule="auto"/>
              <w:jc w:val="center"/>
              <w:rPr>
                <w:b/>
                <w:bCs/>
                <w:color w:val="0D0D0D"/>
                <w:szCs w:val="24"/>
                <w:lang w:val="en-US"/>
              </w:rPr>
            </w:pPr>
            <w:r w:rsidRPr="00083C7E">
              <w:rPr>
                <w:b/>
                <w:bCs/>
                <w:color w:val="0D0D0D"/>
                <w:szCs w:val="24"/>
                <w:lang w:val="en-US"/>
              </w:rPr>
              <w:t>Estimated Cost</w:t>
            </w:r>
          </w:p>
        </w:tc>
      </w:tr>
      <w:tr w:rsidR="00083C7E" w:rsidRPr="00083C7E" w:rsidTr="00EF20CA">
        <w:trPr>
          <w:trHeight w:val="300"/>
          <w:jc w:val="center"/>
        </w:trPr>
        <w:tc>
          <w:tcPr>
            <w:tcW w:w="3690" w:type="dxa"/>
            <w:tcBorders>
              <w:top w:val="nil"/>
              <w:left w:val="single" w:sz="8" w:space="0" w:color="000000"/>
              <w:bottom w:val="single" w:sz="8" w:space="0" w:color="000000"/>
              <w:right w:val="nil"/>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Venue Rental</w:t>
            </w:r>
          </w:p>
        </w:tc>
        <w:tc>
          <w:tcPr>
            <w:tcW w:w="2520" w:type="dxa"/>
            <w:tcBorders>
              <w:top w:val="nil"/>
              <w:left w:val="single" w:sz="8" w:space="0" w:color="000000"/>
              <w:bottom w:val="single" w:sz="8" w:space="0" w:color="000000"/>
              <w:right w:val="single" w:sz="8" w:space="0" w:color="000000"/>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£10,000</w:t>
            </w:r>
          </w:p>
        </w:tc>
      </w:tr>
      <w:tr w:rsidR="00083C7E" w:rsidRPr="00083C7E" w:rsidTr="00EF20CA">
        <w:trPr>
          <w:trHeight w:val="550"/>
          <w:jc w:val="center"/>
        </w:trPr>
        <w:tc>
          <w:tcPr>
            <w:tcW w:w="3690" w:type="dxa"/>
            <w:tcBorders>
              <w:top w:val="nil"/>
              <w:left w:val="single" w:sz="8" w:space="0" w:color="000000"/>
              <w:bottom w:val="single" w:sz="8" w:space="0" w:color="000000"/>
              <w:right w:val="nil"/>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Audiovisual Equipment</w:t>
            </w:r>
          </w:p>
        </w:tc>
        <w:tc>
          <w:tcPr>
            <w:tcW w:w="2520" w:type="dxa"/>
            <w:tcBorders>
              <w:top w:val="nil"/>
              <w:left w:val="single" w:sz="8" w:space="0" w:color="000000"/>
              <w:bottom w:val="single" w:sz="8" w:space="0" w:color="000000"/>
              <w:right w:val="single" w:sz="8" w:space="0" w:color="000000"/>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£5,000</w:t>
            </w:r>
          </w:p>
        </w:tc>
      </w:tr>
      <w:tr w:rsidR="00083C7E" w:rsidRPr="00083C7E" w:rsidTr="00EF20CA">
        <w:trPr>
          <w:trHeight w:val="300"/>
          <w:jc w:val="center"/>
        </w:trPr>
        <w:tc>
          <w:tcPr>
            <w:tcW w:w="3690" w:type="dxa"/>
            <w:tcBorders>
              <w:top w:val="nil"/>
              <w:left w:val="single" w:sz="8" w:space="0" w:color="000000"/>
              <w:bottom w:val="single" w:sz="8" w:space="0" w:color="000000"/>
              <w:right w:val="nil"/>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Catering Services</w:t>
            </w:r>
          </w:p>
        </w:tc>
        <w:tc>
          <w:tcPr>
            <w:tcW w:w="2520" w:type="dxa"/>
            <w:tcBorders>
              <w:top w:val="nil"/>
              <w:left w:val="single" w:sz="8" w:space="0" w:color="000000"/>
              <w:bottom w:val="single" w:sz="8" w:space="0" w:color="000000"/>
              <w:right w:val="single" w:sz="8" w:space="0" w:color="000000"/>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£15,000</w:t>
            </w:r>
          </w:p>
        </w:tc>
      </w:tr>
      <w:tr w:rsidR="00083C7E" w:rsidRPr="00083C7E" w:rsidTr="00EF20CA">
        <w:trPr>
          <w:trHeight w:val="550"/>
          <w:jc w:val="center"/>
        </w:trPr>
        <w:tc>
          <w:tcPr>
            <w:tcW w:w="3690" w:type="dxa"/>
            <w:tcBorders>
              <w:top w:val="nil"/>
              <w:left w:val="single" w:sz="8" w:space="0" w:color="000000"/>
              <w:bottom w:val="single" w:sz="8" w:space="0" w:color="000000"/>
              <w:right w:val="nil"/>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Marketing Materials</w:t>
            </w:r>
          </w:p>
        </w:tc>
        <w:tc>
          <w:tcPr>
            <w:tcW w:w="2520" w:type="dxa"/>
            <w:tcBorders>
              <w:top w:val="nil"/>
              <w:left w:val="single" w:sz="8" w:space="0" w:color="000000"/>
              <w:bottom w:val="single" w:sz="8" w:space="0" w:color="000000"/>
              <w:right w:val="single" w:sz="8" w:space="0" w:color="000000"/>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£3,000</w:t>
            </w:r>
          </w:p>
        </w:tc>
      </w:tr>
      <w:tr w:rsidR="00083C7E" w:rsidRPr="00083C7E" w:rsidTr="00EF20CA">
        <w:trPr>
          <w:trHeight w:val="300"/>
          <w:jc w:val="center"/>
        </w:trPr>
        <w:tc>
          <w:tcPr>
            <w:tcW w:w="3690" w:type="dxa"/>
            <w:tcBorders>
              <w:top w:val="nil"/>
              <w:left w:val="single" w:sz="8" w:space="0" w:color="000000"/>
              <w:bottom w:val="single" w:sz="8" w:space="0" w:color="000000"/>
              <w:right w:val="nil"/>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Speaker Fees</w:t>
            </w:r>
          </w:p>
        </w:tc>
        <w:tc>
          <w:tcPr>
            <w:tcW w:w="2520" w:type="dxa"/>
            <w:tcBorders>
              <w:top w:val="nil"/>
              <w:left w:val="single" w:sz="8" w:space="0" w:color="000000"/>
              <w:bottom w:val="single" w:sz="8" w:space="0" w:color="000000"/>
              <w:right w:val="single" w:sz="8" w:space="0" w:color="000000"/>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£8,000</w:t>
            </w:r>
          </w:p>
        </w:tc>
      </w:tr>
      <w:tr w:rsidR="00083C7E" w:rsidRPr="00083C7E" w:rsidTr="00EF20CA">
        <w:trPr>
          <w:trHeight w:val="300"/>
          <w:jc w:val="center"/>
        </w:trPr>
        <w:tc>
          <w:tcPr>
            <w:tcW w:w="3690" w:type="dxa"/>
            <w:tcBorders>
              <w:top w:val="nil"/>
              <w:left w:val="single" w:sz="8" w:space="0" w:color="000000"/>
              <w:bottom w:val="single" w:sz="8" w:space="0" w:color="000000"/>
              <w:right w:val="nil"/>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Staff Salaries</w:t>
            </w:r>
          </w:p>
        </w:tc>
        <w:tc>
          <w:tcPr>
            <w:tcW w:w="2520" w:type="dxa"/>
            <w:tcBorders>
              <w:top w:val="nil"/>
              <w:left w:val="single" w:sz="8" w:space="0" w:color="000000"/>
              <w:bottom w:val="single" w:sz="8" w:space="0" w:color="000000"/>
              <w:right w:val="single" w:sz="8" w:space="0" w:color="000000"/>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£12,000</w:t>
            </w:r>
          </w:p>
        </w:tc>
      </w:tr>
      <w:tr w:rsidR="00083C7E" w:rsidRPr="00083C7E" w:rsidTr="00EF20CA">
        <w:trPr>
          <w:trHeight w:val="550"/>
          <w:jc w:val="center"/>
        </w:trPr>
        <w:tc>
          <w:tcPr>
            <w:tcW w:w="3690" w:type="dxa"/>
            <w:tcBorders>
              <w:top w:val="nil"/>
              <w:left w:val="single" w:sz="8" w:space="0" w:color="000000"/>
              <w:bottom w:val="single" w:sz="8" w:space="0" w:color="000000"/>
              <w:right w:val="nil"/>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Miscellaneous Expenses</w:t>
            </w:r>
          </w:p>
        </w:tc>
        <w:tc>
          <w:tcPr>
            <w:tcW w:w="2520" w:type="dxa"/>
            <w:tcBorders>
              <w:top w:val="nil"/>
              <w:left w:val="single" w:sz="8" w:space="0" w:color="000000"/>
              <w:bottom w:val="single" w:sz="8" w:space="0" w:color="000000"/>
              <w:right w:val="single" w:sz="8" w:space="0" w:color="000000"/>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£2,000</w:t>
            </w:r>
          </w:p>
        </w:tc>
      </w:tr>
      <w:tr w:rsidR="00083C7E" w:rsidRPr="00083C7E" w:rsidTr="00EF20CA">
        <w:trPr>
          <w:trHeight w:val="550"/>
          <w:jc w:val="center"/>
        </w:trPr>
        <w:tc>
          <w:tcPr>
            <w:tcW w:w="3690" w:type="dxa"/>
            <w:tcBorders>
              <w:top w:val="nil"/>
              <w:left w:val="single" w:sz="8" w:space="0" w:color="000000"/>
              <w:bottom w:val="single" w:sz="8" w:space="0" w:color="000000"/>
              <w:right w:val="nil"/>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Total Estimated Costs</w:t>
            </w:r>
          </w:p>
        </w:tc>
        <w:tc>
          <w:tcPr>
            <w:tcW w:w="2520" w:type="dxa"/>
            <w:tcBorders>
              <w:top w:val="nil"/>
              <w:left w:val="single" w:sz="8" w:space="0" w:color="000000"/>
              <w:bottom w:val="single" w:sz="8" w:space="0" w:color="000000"/>
              <w:right w:val="single" w:sz="8" w:space="0" w:color="000000"/>
            </w:tcBorders>
            <w:shd w:val="clear" w:color="000000" w:fill="FFFFFF"/>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£55,000</w:t>
            </w:r>
          </w:p>
        </w:tc>
      </w:tr>
    </w:tbl>
    <w:p w:rsidR="00083C7E" w:rsidRDefault="00441356" w:rsidP="00083C7E">
      <w:pPr>
        <w:rPr>
          <w:szCs w:val="24"/>
          <w:lang w:val="en-US"/>
        </w:rPr>
      </w:pPr>
      <w:r w:rsidRPr="00AC4568">
        <w:rPr>
          <w:szCs w:val="24"/>
          <w:lang w:val="en-US"/>
        </w:rPr>
        <w:t>The "Future of Dining Symposium" financial elements include a detailed breakdown of expected event expenditures. Freemasons Hall in London, the symposium's famous and central venue, cost £10,000 to hire. Audiences can completely connect with event content using £5,000 audiovisual equipment for smooth presentations and demonstrations</w:t>
      </w:r>
      <w:r w:rsidR="00071ED3">
        <w:t>(Molina-Castillo et al., 2023)</w:t>
      </w:r>
      <w:r w:rsidRPr="00AC4568">
        <w:rPr>
          <w:szCs w:val="24"/>
          <w:lang w:val="en-US"/>
        </w:rPr>
        <w:t>. Catering, costing £15,000, is essential for offering tech-infused food and drinks throughout the conference. Marketing materials costing £3,000 help promote the event and draw a wide audience of industry experts and amateurs. We value competent and entertaining presenters to share dining technology insights, thus speaker fees are £8,000. The experienced team that coordinates event preparation, management, and execution needs £12,000 in salary. To guarantee a successful symposium, £2,000 in miscellaneous expenses covers unforeseen costs and incidentals. The anticipated £55,000 budget supports the event's goals and provides an immersive and impactful experience for all participants</w:t>
      </w:r>
      <w:r w:rsidR="002D12B8">
        <w:t>(Thakur, 2022)</w:t>
      </w:r>
      <w:r>
        <w:rPr>
          <w:szCs w:val="24"/>
          <w:lang w:val="en-US"/>
        </w:rPr>
        <w:t xml:space="preserve">. </w:t>
      </w:r>
    </w:p>
    <w:p w:rsidR="00A40C50" w:rsidRPr="00071ED3" w:rsidRDefault="00FC6C8D" w:rsidP="00083C7E">
      <w:r>
        <w:rPr>
          <w:noProof/>
          <w:lang w:val="en-US"/>
        </w:rPr>
        <w:lastRenderedPageBreak/>
        <w:drawing>
          <wp:inline distT="0" distB="0" distL="0" distR="0">
            <wp:extent cx="5943600" cy="338772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87725"/>
                    </a:xfrm>
                    <a:prstGeom prst="rect">
                      <a:avLst/>
                    </a:prstGeom>
                  </pic:spPr>
                </pic:pic>
              </a:graphicData>
            </a:graphic>
          </wp:inline>
        </w:drawing>
      </w:r>
    </w:p>
    <w:p w:rsidR="00083C7E" w:rsidRDefault="00083C7E" w:rsidP="00083C7E">
      <w:pPr>
        <w:pStyle w:val="Heading2"/>
        <w:rPr>
          <w:lang w:val="en-US"/>
        </w:rPr>
      </w:pPr>
      <w:r>
        <w:rPr>
          <w:lang w:val="en-US"/>
        </w:rPr>
        <w:t>Predicted Revenues</w:t>
      </w:r>
    </w:p>
    <w:tbl>
      <w:tblPr>
        <w:tblW w:w="6300" w:type="dxa"/>
        <w:jc w:val="center"/>
        <w:tblLayout w:type="fixed"/>
        <w:tblLook w:val="04A0"/>
      </w:tblPr>
      <w:tblGrid>
        <w:gridCol w:w="3870"/>
        <w:gridCol w:w="2430"/>
      </w:tblGrid>
      <w:tr w:rsidR="00083C7E" w:rsidRPr="00083C7E" w:rsidTr="00EF20CA">
        <w:trPr>
          <w:trHeight w:val="1090"/>
          <w:jc w:val="center"/>
        </w:trPr>
        <w:tc>
          <w:tcPr>
            <w:tcW w:w="3870" w:type="dxa"/>
            <w:tcBorders>
              <w:top w:val="single" w:sz="8" w:space="0" w:color="000000"/>
              <w:left w:val="single" w:sz="8" w:space="0" w:color="000000"/>
              <w:bottom w:val="single" w:sz="8" w:space="0" w:color="000000"/>
              <w:right w:val="nil"/>
            </w:tcBorders>
            <w:shd w:val="clear" w:color="000000" w:fill="FFFFFF"/>
            <w:vAlign w:val="bottom"/>
            <w:hideMark/>
          </w:tcPr>
          <w:p w:rsidR="00083C7E" w:rsidRPr="00083C7E" w:rsidRDefault="00083C7E" w:rsidP="00083C7E">
            <w:pPr>
              <w:spacing w:after="0" w:line="240" w:lineRule="auto"/>
              <w:jc w:val="center"/>
              <w:rPr>
                <w:b/>
                <w:bCs/>
                <w:color w:val="0D0D0D"/>
                <w:szCs w:val="24"/>
                <w:lang w:val="en-US"/>
              </w:rPr>
            </w:pPr>
            <w:r w:rsidRPr="00083C7E">
              <w:rPr>
                <w:b/>
                <w:bCs/>
                <w:color w:val="0D0D0D"/>
                <w:szCs w:val="24"/>
                <w:lang w:val="en-US"/>
              </w:rPr>
              <w:t>Revenue Source</w:t>
            </w:r>
          </w:p>
        </w:tc>
        <w:tc>
          <w:tcPr>
            <w:tcW w:w="2430" w:type="dxa"/>
            <w:tcBorders>
              <w:top w:val="single" w:sz="8" w:space="0" w:color="000000"/>
              <w:left w:val="single" w:sz="8" w:space="0" w:color="000000"/>
              <w:bottom w:val="single" w:sz="8" w:space="0" w:color="000000"/>
              <w:right w:val="single" w:sz="8" w:space="0" w:color="000000"/>
            </w:tcBorders>
            <w:shd w:val="clear" w:color="000000" w:fill="FFFFFF"/>
            <w:vAlign w:val="bottom"/>
            <w:hideMark/>
          </w:tcPr>
          <w:p w:rsidR="00083C7E" w:rsidRPr="00083C7E" w:rsidRDefault="00083C7E" w:rsidP="00083C7E">
            <w:pPr>
              <w:spacing w:after="0" w:line="240" w:lineRule="auto"/>
              <w:jc w:val="center"/>
              <w:rPr>
                <w:b/>
                <w:bCs/>
                <w:color w:val="0D0D0D"/>
                <w:szCs w:val="24"/>
                <w:lang w:val="en-US"/>
              </w:rPr>
            </w:pPr>
            <w:r w:rsidRPr="00083C7E">
              <w:rPr>
                <w:b/>
                <w:bCs/>
                <w:color w:val="0D0D0D"/>
                <w:szCs w:val="24"/>
                <w:lang w:val="en-US"/>
              </w:rPr>
              <w:t>Estimated Amount (£)</w:t>
            </w:r>
          </w:p>
        </w:tc>
      </w:tr>
      <w:tr w:rsidR="00083C7E" w:rsidRPr="00083C7E" w:rsidTr="00EF20CA">
        <w:trPr>
          <w:trHeight w:val="550"/>
          <w:jc w:val="center"/>
        </w:trPr>
        <w:tc>
          <w:tcPr>
            <w:tcW w:w="3870" w:type="dxa"/>
            <w:tcBorders>
              <w:top w:val="nil"/>
              <w:left w:val="single" w:sz="8" w:space="0" w:color="000000"/>
              <w:bottom w:val="single" w:sz="8" w:space="0" w:color="000000"/>
              <w:right w:val="nil"/>
            </w:tcBorders>
            <w:shd w:val="clear" w:color="000000" w:fill="FFFFFF"/>
            <w:vAlign w:val="center"/>
            <w:hideMark/>
          </w:tcPr>
          <w:p w:rsidR="00083C7E" w:rsidRPr="00083C7E" w:rsidRDefault="00083C7E" w:rsidP="00DC340A">
            <w:pPr>
              <w:spacing w:after="0" w:line="240" w:lineRule="auto"/>
              <w:jc w:val="left"/>
              <w:rPr>
                <w:color w:val="0D0D0D"/>
                <w:szCs w:val="24"/>
                <w:lang w:val="en-US"/>
              </w:rPr>
            </w:pPr>
            <w:r w:rsidRPr="00083C7E">
              <w:rPr>
                <w:color w:val="0D0D0D"/>
                <w:szCs w:val="24"/>
                <w:lang w:val="en-US"/>
              </w:rPr>
              <w:t>Ticket Sales</w:t>
            </w:r>
            <w:r w:rsidRPr="00D32B78">
              <w:rPr>
                <w:color w:val="0D0D0D"/>
                <w:szCs w:val="24"/>
                <w:lang w:val="en-US"/>
              </w:rPr>
              <w:t xml:space="preserve"> (</w:t>
            </w:r>
            <w:r w:rsidR="00DC340A" w:rsidRPr="00D32B78">
              <w:rPr>
                <w:color w:val="0D0D0D"/>
                <w:szCs w:val="24"/>
                <w:lang w:val="en-US"/>
              </w:rPr>
              <w:t xml:space="preserve"> 1000 tickets@ </w:t>
            </w:r>
            <w:r w:rsidR="00DC340A" w:rsidRPr="00083C7E">
              <w:rPr>
                <w:bCs/>
                <w:color w:val="0D0D0D"/>
                <w:szCs w:val="24"/>
                <w:lang w:val="en-US"/>
              </w:rPr>
              <w:t>£</w:t>
            </w:r>
            <w:r w:rsidR="00AE33CE">
              <w:rPr>
                <w:color w:val="0D0D0D"/>
                <w:szCs w:val="24"/>
                <w:lang w:val="en-US"/>
              </w:rPr>
              <w:t>50</w:t>
            </w:r>
            <w:r w:rsidR="00DC340A" w:rsidRPr="00D32B78">
              <w:rPr>
                <w:color w:val="0D0D0D"/>
                <w:szCs w:val="24"/>
                <w:lang w:val="en-US"/>
              </w:rPr>
              <w:t>)</w:t>
            </w:r>
          </w:p>
        </w:tc>
        <w:tc>
          <w:tcPr>
            <w:tcW w:w="2430" w:type="dxa"/>
            <w:tcBorders>
              <w:top w:val="nil"/>
              <w:left w:val="single" w:sz="8" w:space="0" w:color="000000"/>
              <w:bottom w:val="single" w:sz="8" w:space="0" w:color="000000"/>
              <w:right w:val="single" w:sz="8" w:space="0" w:color="000000"/>
            </w:tcBorders>
            <w:shd w:val="clear" w:color="000000" w:fill="FFFFFF"/>
            <w:vAlign w:val="center"/>
            <w:hideMark/>
          </w:tcPr>
          <w:p w:rsidR="00083C7E" w:rsidRPr="00083C7E" w:rsidRDefault="00083C7E" w:rsidP="00083C7E">
            <w:pPr>
              <w:spacing w:after="0" w:line="240" w:lineRule="auto"/>
              <w:jc w:val="right"/>
              <w:rPr>
                <w:color w:val="0D0D0D"/>
                <w:szCs w:val="24"/>
                <w:lang w:val="en-US"/>
              </w:rPr>
            </w:pPr>
            <w:r w:rsidRPr="00083C7E">
              <w:rPr>
                <w:color w:val="0D0D0D"/>
                <w:szCs w:val="24"/>
                <w:lang w:val="en-US"/>
              </w:rPr>
              <w:t>50,000</w:t>
            </w:r>
          </w:p>
        </w:tc>
      </w:tr>
      <w:tr w:rsidR="00083C7E" w:rsidRPr="00083C7E" w:rsidTr="00EF20CA">
        <w:trPr>
          <w:trHeight w:val="1090"/>
          <w:jc w:val="center"/>
        </w:trPr>
        <w:tc>
          <w:tcPr>
            <w:tcW w:w="3870" w:type="dxa"/>
            <w:tcBorders>
              <w:top w:val="nil"/>
              <w:left w:val="single" w:sz="8" w:space="0" w:color="000000"/>
              <w:bottom w:val="single" w:sz="8" w:space="0" w:color="000000"/>
              <w:right w:val="nil"/>
            </w:tcBorders>
            <w:shd w:val="clear" w:color="000000" w:fill="FFFFFF"/>
            <w:vAlign w:val="center"/>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Sponsorship Opportunities</w:t>
            </w:r>
          </w:p>
        </w:tc>
        <w:tc>
          <w:tcPr>
            <w:tcW w:w="2430" w:type="dxa"/>
            <w:tcBorders>
              <w:top w:val="nil"/>
              <w:left w:val="single" w:sz="8" w:space="0" w:color="000000"/>
              <w:bottom w:val="single" w:sz="8" w:space="0" w:color="000000"/>
              <w:right w:val="single" w:sz="8" w:space="0" w:color="000000"/>
            </w:tcBorders>
            <w:shd w:val="clear" w:color="000000" w:fill="FFFFFF"/>
            <w:vAlign w:val="center"/>
            <w:hideMark/>
          </w:tcPr>
          <w:p w:rsidR="00083C7E" w:rsidRPr="00083C7E" w:rsidRDefault="00083C7E" w:rsidP="00083C7E">
            <w:pPr>
              <w:spacing w:after="0" w:line="240" w:lineRule="auto"/>
              <w:jc w:val="right"/>
              <w:rPr>
                <w:color w:val="0D0D0D"/>
                <w:szCs w:val="24"/>
                <w:lang w:val="en-US"/>
              </w:rPr>
            </w:pPr>
            <w:r w:rsidRPr="00083C7E">
              <w:rPr>
                <w:color w:val="0D0D0D"/>
                <w:szCs w:val="24"/>
                <w:lang w:val="en-US"/>
              </w:rPr>
              <w:t>15,000</w:t>
            </w:r>
          </w:p>
        </w:tc>
      </w:tr>
      <w:tr w:rsidR="00083C7E" w:rsidRPr="00083C7E" w:rsidTr="00EF20CA">
        <w:trPr>
          <w:trHeight w:val="550"/>
          <w:jc w:val="center"/>
        </w:trPr>
        <w:tc>
          <w:tcPr>
            <w:tcW w:w="3870" w:type="dxa"/>
            <w:tcBorders>
              <w:top w:val="nil"/>
              <w:left w:val="single" w:sz="8" w:space="0" w:color="000000"/>
              <w:bottom w:val="single" w:sz="8" w:space="0" w:color="000000"/>
              <w:right w:val="nil"/>
            </w:tcBorders>
            <w:shd w:val="clear" w:color="000000" w:fill="FFFFFF"/>
            <w:vAlign w:val="center"/>
            <w:hideMark/>
          </w:tcPr>
          <w:p w:rsidR="00083C7E" w:rsidRPr="00083C7E" w:rsidRDefault="00083C7E" w:rsidP="00083C7E">
            <w:pPr>
              <w:spacing w:after="0" w:line="240" w:lineRule="auto"/>
              <w:jc w:val="left"/>
              <w:rPr>
                <w:color w:val="0D0D0D"/>
                <w:szCs w:val="24"/>
                <w:lang w:val="en-US"/>
              </w:rPr>
            </w:pPr>
            <w:r w:rsidRPr="00083C7E">
              <w:rPr>
                <w:color w:val="0D0D0D"/>
                <w:szCs w:val="24"/>
                <w:lang w:val="en-US"/>
              </w:rPr>
              <w:t>Exhibitor Fees</w:t>
            </w:r>
          </w:p>
        </w:tc>
        <w:tc>
          <w:tcPr>
            <w:tcW w:w="2430" w:type="dxa"/>
            <w:tcBorders>
              <w:top w:val="nil"/>
              <w:left w:val="single" w:sz="8" w:space="0" w:color="000000"/>
              <w:bottom w:val="single" w:sz="8" w:space="0" w:color="000000"/>
              <w:right w:val="single" w:sz="8" w:space="0" w:color="000000"/>
            </w:tcBorders>
            <w:shd w:val="clear" w:color="000000" w:fill="FFFFFF"/>
            <w:vAlign w:val="center"/>
            <w:hideMark/>
          </w:tcPr>
          <w:p w:rsidR="00083C7E" w:rsidRPr="00083C7E" w:rsidRDefault="00083C7E" w:rsidP="00083C7E">
            <w:pPr>
              <w:spacing w:after="0" w:line="240" w:lineRule="auto"/>
              <w:jc w:val="right"/>
              <w:rPr>
                <w:color w:val="0D0D0D"/>
                <w:szCs w:val="24"/>
                <w:lang w:val="en-US"/>
              </w:rPr>
            </w:pPr>
            <w:r w:rsidRPr="00083C7E">
              <w:rPr>
                <w:color w:val="0D0D0D"/>
                <w:szCs w:val="24"/>
                <w:lang w:val="en-US"/>
              </w:rPr>
              <w:t>5,000</w:t>
            </w:r>
          </w:p>
        </w:tc>
      </w:tr>
      <w:tr w:rsidR="00083C7E" w:rsidRPr="00083C7E" w:rsidTr="00EF20CA">
        <w:trPr>
          <w:trHeight w:val="820"/>
          <w:jc w:val="center"/>
        </w:trPr>
        <w:tc>
          <w:tcPr>
            <w:tcW w:w="3870" w:type="dxa"/>
            <w:tcBorders>
              <w:top w:val="nil"/>
              <w:left w:val="single" w:sz="8" w:space="0" w:color="000000"/>
              <w:bottom w:val="single" w:sz="8" w:space="0" w:color="000000"/>
              <w:right w:val="nil"/>
            </w:tcBorders>
            <w:shd w:val="clear" w:color="000000" w:fill="FFFFFF"/>
            <w:vAlign w:val="center"/>
            <w:hideMark/>
          </w:tcPr>
          <w:p w:rsidR="00083C7E" w:rsidRPr="00083C7E" w:rsidRDefault="00083C7E" w:rsidP="00083C7E">
            <w:pPr>
              <w:spacing w:after="0" w:line="240" w:lineRule="auto"/>
              <w:jc w:val="left"/>
              <w:rPr>
                <w:b/>
                <w:color w:val="0D0D0D"/>
                <w:szCs w:val="24"/>
                <w:lang w:val="en-US"/>
              </w:rPr>
            </w:pPr>
            <w:r w:rsidRPr="00083C7E">
              <w:rPr>
                <w:b/>
                <w:color w:val="0D0D0D"/>
                <w:szCs w:val="24"/>
                <w:lang w:val="en-US"/>
              </w:rPr>
              <w:t>Total Predicted Revenues</w:t>
            </w:r>
          </w:p>
        </w:tc>
        <w:tc>
          <w:tcPr>
            <w:tcW w:w="2430" w:type="dxa"/>
            <w:tcBorders>
              <w:top w:val="nil"/>
              <w:left w:val="single" w:sz="8" w:space="0" w:color="000000"/>
              <w:bottom w:val="single" w:sz="8" w:space="0" w:color="000000"/>
              <w:right w:val="single" w:sz="8" w:space="0" w:color="000000"/>
            </w:tcBorders>
            <w:shd w:val="clear" w:color="000000" w:fill="FFFFFF"/>
            <w:vAlign w:val="center"/>
            <w:hideMark/>
          </w:tcPr>
          <w:p w:rsidR="00083C7E" w:rsidRPr="00083C7E" w:rsidRDefault="00083C7E" w:rsidP="00083C7E">
            <w:pPr>
              <w:spacing w:after="0" w:line="240" w:lineRule="auto"/>
              <w:jc w:val="right"/>
              <w:rPr>
                <w:b/>
                <w:color w:val="0D0D0D"/>
                <w:szCs w:val="24"/>
                <w:u w:val="double"/>
                <w:lang w:val="en-US"/>
              </w:rPr>
            </w:pPr>
            <w:r w:rsidRPr="00083C7E">
              <w:rPr>
                <w:b/>
                <w:color w:val="0D0D0D"/>
                <w:szCs w:val="24"/>
                <w:u w:val="double"/>
                <w:lang w:val="en-US"/>
              </w:rPr>
              <w:t>70,000</w:t>
            </w:r>
          </w:p>
        </w:tc>
      </w:tr>
    </w:tbl>
    <w:p w:rsidR="00D32B78" w:rsidRPr="002D12B8" w:rsidRDefault="00441356" w:rsidP="00D32B78">
      <w:r w:rsidRPr="00AC4568">
        <w:rPr>
          <w:szCs w:val="24"/>
          <w:lang w:val="en-US"/>
        </w:rPr>
        <w:t>Financial elements of forecasted earnings for the "Future of Dining Symposium" reveal expected money from s</w:t>
      </w:r>
      <w:r w:rsidR="00AE33CE">
        <w:rPr>
          <w:szCs w:val="24"/>
          <w:lang w:val="en-US"/>
        </w:rPr>
        <w:t xml:space="preserve">everal sources. Based on 1,000 </w:t>
      </w:r>
      <w:r w:rsidRPr="00AC4568">
        <w:rPr>
          <w:szCs w:val="24"/>
          <w:lang w:val="en-US"/>
        </w:rPr>
        <w:t>tickets sold</w:t>
      </w:r>
      <w:r w:rsidR="00AE33CE">
        <w:rPr>
          <w:szCs w:val="24"/>
          <w:lang w:val="en-US"/>
        </w:rPr>
        <w:t xml:space="preserve"> at </w:t>
      </w:r>
      <w:r w:rsidR="00AE33CE" w:rsidRPr="00083C7E">
        <w:rPr>
          <w:bCs/>
          <w:color w:val="0D0D0D"/>
          <w:szCs w:val="24"/>
          <w:lang w:val="en-US"/>
        </w:rPr>
        <w:t>£</w:t>
      </w:r>
      <w:r w:rsidR="00AE33CE">
        <w:rPr>
          <w:szCs w:val="24"/>
          <w:lang w:val="en-US"/>
        </w:rPr>
        <w:t>50</w:t>
      </w:r>
      <w:r w:rsidRPr="00AC4568">
        <w:rPr>
          <w:szCs w:val="24"/>
          <w:lang w:val="en-US"/>
        </w:rPr>
        <w:t>, ticket sales are expected to generate £50,000. This shows the symposium's popularity among industry experts and enthusiasts interested in technology and gastronomy</w:t>
      </w:r>
      <w:r w:rsidR="002D12B8">
        <w:t>(D’Souza and D’Souza, 2023)</w:t>
      </w:r>
      <w:r w:rsidRPr="00AC4568">
        <w:rPr>
          <w:szCs w:val="24"/>
          <w:lang w:val="en-US"/>
        </w:rPr>
        <w:t xml:space="preserve">. </w:t>
      </w:r>
      <w:r w:rsidR="00341724">
        <w:rPr>
          <w:szCs w:val="24"/>
          <w:lang w:val="en-US"/>
        </w:rPr>
        <w:t>Here, s</w:t>
      </w:r>
      <w:r w:rsidRPr="00AC4568">
        <w:rPr>
          <w:szCs w:val="24"/>
          <w:lang w:val="en-US"/>
        </w:rPr>
        <w:t xml:space="preserve">ponsorships </w:t>
      </w:r>
      <w:r w:rsidR="00341724">
        <w:rPr>
          <w:szCs w:val="24"/>
          <w:lang w:val="en-US"/>
        </w:rPr>
        <w:t>are projected to raise £15,000 which demonstrates</w:t>
      </w:r>
      <w:r w:rsidRPr="00AC4568">
        <w:rPr>
          <w:szCs w:val="24"/>
          <w:lang w:val="en-US"/>
        </w:rPr>
        <w:t xml:space="preserve"> the interest from corporations and organisations looking to support hospitality innovation. </w:t>
      </w:r>
      <w:r w:rsidR="00341724">
        <w:rPr>
          <w:szCs w:val="24"/>
          <w:lang w:val="en-US"/>
        </w:rPr>
        <w:t>Then, e</w:t>
      </w:r>
      <w:r w:rsidRPr="00AC4568">
        <w:rPr>
          <w:szCs w:val="24"/>
          <w:lang w:val="en-US"/>
        </w:rPr>
        <w:t xml:space="preserve">xhibitor fees add £5,000 to </w:t>
      </w:r>
      <w:r w:rsidRPr="00AC4568">
        <w:rPr>
          <w:szCs w:val="24"/>
          <w:lang w:val="en-US"/>
        </w:rPr>
        <w:lastRenderedPageBreak/>
        <w:t xml:space="preserve">the projected profits from companies and vendors </w:t>
      </w:r>
      <w:r w:rsidR="00341724">
        <w:rPr>
          <w:szCs w:val="24"/>
          <w:lang w:val="en-US"/>
        </w:rPr>
        <w:t>which showcase</w:t>
      </w:r>
      <w:r w:rsidRPr="00AC4568">
        <w:rPr>
          <w:szCs w:val="24"/>
          <w:lang w:val="en-US"/>
        </w:rPr>
        <w:t xml:space="preserve"> their products and services to symposium attendees. </w:t>
      </w:r>
      <w:r w:rsidR="00341724">
        <w:rPr>
          <w:szCs w:val="24"/>
          <w:lang w:val="en-US"/>
        </w:rPr>
        <w:t>Also, t</w:t>
      </w:r>
      <w:r w:rsidRPr="00AC4568">
        <w:rPr>
          <w:szCs w:val="24"/>
          <w:lang w:val="en-US"/>
        </w:rPr>
        <w:t>he event's £70,000 revenue prediction shows that it can pay its costs and make money to put in future projects or improve the attendance experience</w:t>
      </w:r>
      <w:r w:rsidR="002D12B8">
        <w:t>(Rompf et al., 2019)</w:t>
      </w:r>
      <w:r w:rsidRPr="00AC4568">
        <w:rPr>
          <w:szCs w:val="24"/>
          <w:lang w:val="en-US"/>
        </w:rPr>
        <w:t>.</w:t>
      </w:r>
      <w:r w:rsidRPr="00AC4568">
        <w:rPr>
          <w:szCs w:val="24"/>
          <w:lang w:val="en-US"/>
        </w:rPr>
        <w:br/>
      </w:r>
      <w:r w:rsidR="00FC6C8D">
        <w:rPr>
          <w:noProof/>
          <w:lang w:val="en-US"/>
        </w:rPr>
        <w:drawing>
          <wp:inline distT="0" distB="0" distL="0" distR="0">
            <wp:extent cx="5943600" cy="3371215"/>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71215"/>
                    </a:xfrm>
                    <a:prstGeom prst="rect">
                      <a:avLst/>
                    </a:prstGeom>
                  </pic:spPr>
                </pic:pic>
              </a:graphicData>
            </a:graphic>
          </wp:inline>
        </w:drawing>
      </w:r>
    </w:p>
    <w:p w:rsidR="00D32B78" w:rsidRPr="00DD284D" w:rsidRDefault="00DC340A" w:rsidP="00D32B78">
      <w:pPr>
        <w:pStyle w:val="Heading1"/>
        <w:rPr>
          <w:lang w:val="en-US"/>
        </w:rPr>
      </w:pPr>
      <w:r>
        <w:rPr>
          <w:lang w:val="en-US"/>
        </w:rPr>
        <w:t xml:space="preserve">Profit </w:t>
      </w:r>
    </w:p>
    <w:tbl>
      <w:tblPr>
        <w:tblStyle w:val="TableGrid"/>
        <w:tblW w:w="0" w:type="auto"/>
        <w:jc w:val="center"/>
        <w:tblLook w:val="04A0"/>
      </w:tblPr>
      <w:tblGrid>
        <w:gridCol w:w="4010"/>
        <w:gridCol w:w="4010"/>
      </w:tblGrid>
      <w:tr w:rsidR="00D32B78" w:rsidTr="00EF20CA">
        <w:trPr>
          <w:trHeight w:val="513"/>
          <w:jc w:val="center"/>
        </w:trPr>
        <w:tc>
          <w:tcPr>
            <w:tcW w:w="4010" w:type="dxa"/>
          </w:tcPr>
          <w:p w:rsidR="00D32B78" w:rsidRPr="00D32B78" w:rsidRDefault="00D32B78" w:rsidP="00D32B78">
            <w:pPr>
              <w:rPr>
                <w:b/>
                <w:lang w:val="en-US"/>
              </w:rPr>
            </w:pPr>
            <w:r w:rsidRPr="00D32B78">
              <w:rPr>
                <w:b/>
                <w:lang w:val="en-US"/>
              </w:rPr>
              <w:t>Particular</w:t>
            </w:r>
          </w:p>
        </w:tc>
        <w:tc>
          <w:tcPr>
            <w:tcW w:w="4010" w:type="dxa"/>
          </w:tcPr>
          <w:p w:rsidR="00D32B78" w:rsidRDefault="00D32B78" w:rsidP="00D32B78">
            <w:pPr>
              <w:rPr>
                <w:lang w:val="en-US"/>
              </w:rPr>
            </w:pPr>
            <w:r w:rsidRPr="00083C7E">
              <w:rPr>
                <w:rFonts w:ascii="Segoe UI" w:hAnsi="Segoe UI" w:cs="Segoe UI"/>
                <w:b/>
                <w:bCs/>
                <w:color w:val="0D0D0D"/>
                <w:sz w:val="19"/>
                <w:szCs w:val="19"/>
                <w:lang w:val="en-US"/>
              </w:rPr>
              <w:t>Amount (£)</w:t>
            </w:r>
          </w:p>
        </w:tc>
      </w:tr>
      <w:tr w:rsidR="00D32B78" w:rsidTr="00EF20CA">
        <w:trPr>
          <w:trHeight w:val="518"/>
          <w:jc w:val="center"/>
        </w:trPr>
        <w:tc>
          <w:tcPr>
            <w:tcW w:w="4010" w:type="dxa"/>
          </w:tcPr>
          <w:p w:rsidR="00D32B78" w:rsidRPr="00D32B78" w:rsidRDefault="00D32B78" w:rsidP="00D32B78">
            <w:pPr>
              <w:pStyle w:val="Heading2"/>
              <w:outlineLvl w:val="1"/>
              <w:rPr>
                <w:rFonts w:cs="Times New Roman"/>
                <w:b w:val="0"/>
                <w:sz w:val="24"/>
                <w:szCs w:val="24"/>
                <w:lang w:val="en-US"/>
              </w:rPr>
            </w:pPr>
            <w:r w:rsidRPr="00D32B78">
              <w:rPr>
                <w:rFonts w:cs="Times New Roman"/>
                <w:b w:val="0"/>
                <w:sz w:val="24"/>
                <w:szCs w:val="24"/>
                <w:lang w:val="en-US"/>
              </w:rPr>
              <w:t>Predicted Revenue</w:t>
            </w:r>
          </w:p>
        </w:tc>
        <w:tc>
          <w:tcPr>
            <w:tcW w:w="4010" w:type="dxa"/>
          </w:tcPr>
          <w:p w:rsidR="00D32B78" w:rsidRPr="00D32B78" w:rsidRDefault="00D32B78" w:rsidP="00D32B78">
            <w:pPr>
              <w:rPr>
                <w:szCs w:val="24"/>
                <w:lang w:val="en-US"/>
              </w:rPr>
            </w:pPr>
            <w:r w:rsidRPr="00083C7E">
              <w:rPr>
                <w:color w:val="0D0D0D"/>
                <w:szCs w:val="24"/>
                <w:lang w:val="en-US"/>
              </w:rPr>
              <w:t>£70,000</w:t>
            </w:r>
          </w:p>
        </w:tc>
      </w:tr>
      <w:tr w:rsidR="00D32B78" w:rsidTr="00EF20CA">
        <w:trPr>
          <w:trHeight w:val="513"/>
          <w:jc w:val="center"/>
        </w:trPr>
        <w:tc>
          <w:tcPr>
            <w:tcW w:w="4010" w:type="dxa"/>
          </w:tcPr>
          <w:p w:rsidR="00D32B78" w:rsidRPr="00083C7E" w:rsidRDefault="00D32B78" w:rsidP="00D32B78">
            <w:pPr>
              <w:spacing w:after="0" w:line="240" w:lineRule="auto"/>
              <w:jc w:val="left"/>
              <w:rPr>
                <w:color w:val="0D0D0D"/>
                <w:szCs w:val="24"/>
                <w:lang w:val="en-US"/>
              </w:rPr>
            </w:pPr>
            <w:r w:rsidRPr="00083C7E">
              <w:rPr>
                <w:color w:val="0D0D0D"/>
                <w:szCs w:val="24"/>
                <w:lang w:val="en-US"/>
              </w:rPr>
              <w:t>Total Estimated Costs</w:t>
            </w:r>
          </w:p>
        </w:tc>
        <w:tc>
          <w:tcPr>
            <w:tcW w:w="4010" w:type="dxa"/>
          </w:tcPr>
          <w:p w:rsidR="00D32B78" w:rsidRPr="00083C7E" w:rsidRDefault="00D32B78" w:rsidP="00D32B78">
            <w:pPr>
              <w:spacing w:after="0" w:line="240" w:lineRule="auto"/>
              <w:jc w:val="left"/>
              <w:rPr>
                <w:color w:val="0D0D0D"/>
                <w:szCs w:val="24"/>
                <w:lang w:val="en-US"/>
              </w:rPr>
            </w:pPr>
            <w:r w:rsidRPr="00083C7E">
              <w:rPr>
                <w:color w:val="0D0D0D"/>
                <w:szCs w:val="24"/>
                <w:lang w:val="en-US"/>
              </w:rPr>
              <w:t>£55,000</w:t>
            </w:r>
          </w:p>
        </w:tc>
      </w:tr>
      <w:tr w:rsidR="00D32B78" w:rsidTr="00EF20CA">
        <w:trPr>
          <w:trHeight w:val="513"/>
          <w:jc w:val="center"/>
        </w:trPr>
        <w:tc>
          <w:tcPr>
            <w:tcW w:w="4010" w:type="dxa"/>
          </w:tcPr>
          <w:p w:rsidR="00D32B78" w:rsidRPr="00D32B78" w:rsidRDefault="00D32B78" w:rsidP="00F220D1">
            <w:pPr>
              <w:tabs>
                <w:tab w:val="center" w:pos="1897"/>
              </w:tabs>
              <w:rPr>
                <w:b/>
                <w:szCs w:val="24"/>
                <w:lang w:val="en-US"/>
              </w:rPr>
            </w:pPr>
            <w:r w:rsidRPr="00D32B78">
              <w:rPr>
                <w:b/>
                <w:szCs w:val="24"/>
                <w:lang w:val="en-US"/>
              </w:rPr>
              <w:t xml:space="preserve">Net Profit </w:t>
            </w:r>
            <w:r w:rsidR="00F220D1">
              <w:rPr>
                <w:b/>
                <w:szCs w:val="24"/>
                <w:lang w:val="en-US"/>
              </w:rPr>
              <w:tab/>
            </w:r>
          </w:p>
        </w:tc>
        <w:tc>
          <w:tcPr>
            <w:tcW w:w="4010" w:type="dxa"/>
          </w:tcPr>
          <w:p w:rsidR="00D32B78" w:rsidRPr="00D32B78" w:rsidRDefault="00D32B78" w:rsidP="00D32B78">
            <w:pPr>
              <w:rPr>
                <w:b/>
                <w:szCs w:val="24"/>
                <w:u w:val="double"/>
                <w:lang w:val="en-US"/>
              </w:rPr>
            </w:pPr>
            <w:r w:rsidRPr="00083C7E">
              <w:rPr>
                <w:b/>
                <w:color w:val="0D0D0D"/>
                <w:szCs w:val="24"/>
                <w:u w:val="double"/>
                <w:lang w:val="en-US"/>
              </w:rPr>
              <w:t>£</w:t>
            </w:r>
            <w:r w:rsidRPr="00D32B78">
              <w:rPr>
                <w:b/>
                <w:color w:val="0D0D0D"/>
                <w:szCs w:val="24"/>
                <w:u w:val="double"/>
                <w:lang w:val="en-US"/>
              </w:rPr>
              <w:t>15000</w:t>
            </w:r>
          </w:p>
        </w:tc>
      </w:tr>
    </w:tbl>
    <w:p w:rsidR="00441356" w:rsidRDefault="00DD284D" w:rsidP="00D32B78">
      <w:pPr>
        <w:rPr>
          <w:szCs w:val="24"/>
          <w:lang w:val="en-US"/>
        </w:rPr>
      </w:pPr>
      <w:r w:rsidRPr="00DD284D">
        <w:rPr>
          <w:lang w:val="en-US"/>
        </w:rPr>
        <w:br/>
      </w:r>
      <w:r w:rsidR="00341724">
        <w:rPr>
          <w:szCs w:val="24"/>
          <w:lang w:val="en-US"/>
        </w:rPr>
        <w:t>Here, n</w:t>
      </w:r>
      <w:r w:rsidR="00441356" w:rsidRPr="00AC4568">
        <w:rPr>
          <w:szCs w:val="24"/>
          <w:lang w:val="en-US"/>
        </w:rPr>
        <w:t>et profit is t</w:t>
      </w:r>
      <w:r w:rsidR="00043D52">
        <w:rPr>
          <w:szCs w:val="24"/>
          <w:lang w:val="en-US"/>
        </w:rPr>
        <w:t>he Future of Dining Symposium’</w:t>
      </w:r>
      <w:r w:rsidR="00441356" w:rsidRPr="00AC4568">
        <w:rPr>
          <w:szCs w:val="24"/>
          <w:lang w:val="en-US"/>
        </w:rPr>
        <w:t>s surplus income after deducting expenses from projected revenues.</w:t>
      </w:r>
      <w:r w:rsidR="00341724">
        <w:rPr>
          <w:szCs w:val="24"/>
          <w:lang w:val="en-US"/>
        </w:rPr>
        <w:t xml:space="preserve"> Then, t</w:t>
      </w:r>
      <w:r w:rsidR="00441356" w:rsidRPr="00AC4568">
        <w:rPr>
          <w:szCs w:val="24"/>
          <w:lang w:val="en-US"/>
        </w:rPr>
        <w:t>he symposium's expected net profit of £15,000 shows its financial viability and success in accomplishing its goals.</w:t>
      </w:r>
      <w:r w:rsidR="00341724">
        <w:rPr>
          <w:szCs w:val="24"/>
          <w:lang w:val="en-US"/>
        </w:rPr>
        <w:t xml:space="preserve"> Also</w:t>
      </w:r>
      <w:r w:rsidR="00441356" w:rsidRPr="00AC4568">
        <w:rPr>
          <w:szCs w:val="24"/>
          <w:lang w:val="en-US"/>
        </w:rPr>
        <w:t xml:space="preserve">, the symposium </w:t>
      </w:r>
      <w:r w:rsidR="00341724">
        <w:rPr>
          <w:szCs w:val="24"/>
          <w:lang w:val="en-US"/>
        </w:rPr>
        <w:t xml:space="preserve">will be </w:t>
      </w:r>
      <w:r w:rsidR="00441356" w:rsidRPr="00AC4568">
        <w:rPr>
          <w:szCs w:val="24"/>
          <w:lang w:val="en-US"/>
        </w:rPr>
        <w:t>able to meet its expenses and create additional cash</w:t>
      </w:r>
      <w:r w:rsidR="00341724">
        <w:rPr>
          <w:szCs w:val="24"/>
          <w:lang w:val="en-US"/>
        </w:rPr>
        <w:t xml:space="preserve"> d</w:t>
      </w:r>
      <w:r w:rsidR="00341724" w:rsidRPr="00AC4568">
        <w:rPr>
          <w:szCs w:val="24"/>
          <w:lang w:val="en-US"/>
        </w:rPr>
        <w:t>ue to meticulous preparation</w:t>
      </w:r>
      <w:r w:rsidR="00341724">
        <w:rPr>
          <w:szCs w:val="24"/>
          <w:lang w:val="en-US"/>
        </w:rPr>
        <w:t>,</w:t>
      </w:r>
      <w:r w:rsidR="00341724" w:rsidRPr="00AC4568">
        <w:rPr>
          <w:szCs w:val="24"/>
          <w:lang w:val="en-US"/>
        </w:rPr>
        <w:t xml:space="preserve"> strategic decision-m</w:t>
      </w:r>
      <w:r w:rsidR="00341724">
        <w:rPr>
          <w:szCs w:val="24"/>
          <w:lang w:val="en-US"/>
        </w:rPr>
        <w:t>aking and successful execution</w:t>
      </w:r>
      <w:r w:rsidR="00441356" w:rsidRPr="00AC4568">
        <w:rPr>
          <w:szCs w:val="24"/>
          <w:lang w:val="en-US"/>
        </w:rPr>
        <w:t>.</w:t>
      </w:r>
      <w:r w:rsidR="00341724">
        <w:rPr>
          <w:szCs w:val="24"/>
          <w:lang w:val="en-US"/>
        </w:rPr>
        <w:t xml:space="preserve"> Also, t</w:t>
      </w:r>
      <w:r w:rsidR="00441356" w:rsidRPr="00AC4568">
        <w:rPr>
          <w:szCs w:val="24"/>
          <w:lang w:val="en-US"/>
        </w:rPr>
        <w:t xml:space="preserve">he event's net profit indicates its success and provides </w:t>
      </w:r>
      <w:r w:rsidR="00441356" w:rsidRPr="00AC4568">
        <w:rPr>
          <w:szCs w:val="24"/>
          <w:lang w:val="en-US"/>
        </w:rPr>
        <w:lastRenderedPageBreak/>
        <w:t>resources for future projects, investments, and upgrades</w:t>
      </w:r>
      <w:r w:rsidR="00071ED3">
        <w:t>(Artal-Tur, 2019)</w:t>
      </w:r>
      <w:r w:rsidR="00341724">
        <w:rPr>
          <w:szCs w:val="24"/>
          <w:lang w:val="en-US"/>
        </w:rPr>
        <w:t>. Thus, i</w:t>
      </w:r>
      <w:r w:rsidR="00441356" w:rsidRPr="00AC4568">
        <w:rPr>
          <w:szCs w:val="24"/>
          <w:lang w:val="en-US"/>
        </w:rPr>
        <w:t>t shows the event's capacity to provide par</w:t>
      </w:r>
      <w:r w:rsidR="00341724">
        <w:rPr>
          <w:szCs w:val="24"/>
          <w:lang w:val="en-US"/>
        </w:rPr>
        <w:t>ticipants, sponsors, exhibitors</w:t>
      </w:r>
      <w:r w:rsidR="00441356" w:rsidRPr="00AC4568">
        <w:rPr>
          <w:szCs w:val="24"/>
          <w:lang w:val="en-US"/>
        </w:rPr>
        <w:t xml:space="preserve"> and organisers with valuable ins</w:t>
      </w:r>
      <w:r w:rsidR="00341724">
        <w:rPr>
          <w:szCs w:val="24"/>
          <w:lang w:val="en-US"/>
        </w:rPr>
        <w:t>ights, networking opportunities</w:t>
      </w:r>
      <w:r w:rsidR="00441356" w:rsidRPr="00AC4568">
        <w:rPr>
          <w:szCs w:val="24"/>
          <w:lang w:val="en-US"/>
        </w:rPr>
        <w:t xml:space="preserve"> and dining technology future experiences. </w:t>
      </w:r>
      <w:r w:rsidR="00341724">
        <w:rPr>
          <w:szCs w:val="24"/>
          <w:lang w:val="en-US"/>
        </w:rPr>
        <w:t>Also, t</w:t>
      </w:r>
      <w:r w:rsidR="00441356" w:rsidRPr="00AC4568">
        <w:rPr>
          <w:szCs w:val="24"/>
          <w:lang w:val="en-US"/>
        </w:rPr>
        <w:t>he symposium's net profit strengthens its position as a sustainable and meaningful ho</w:t>
      </w:r>
      <w:r w:rsidR="00341724">
        <w:rPr>
          <w:szCs w:val="24"/>
          <w:lang w:val="en-US"/>
        </w:rPr>
        <w:t>spitality and technology event which enables</w:t>
      </w:r>
      <w:r w:rsidR="00441356" w:rsidRPr="00AC4568">
        <w:rPr>
          <w:szCs w:val="24"/>
          <w:lang w:val="en-US"/>
        </w:rPr>
        <w:t xml:space="preserve"> continued expansion and innovation</w:t>
      </w:r>
      <w:r w:rsidR="00071ED3">
        <w:t>(Dzhandzhugazova et al., 2020)</w:t>
      </w:r>
      <w:r w:rsidR="00441356" w:rsidRPr="00AC4568">
        <w:rPr>
          <w:szCs w:val="24"/>
          <w:lang w:val="en-US"/>
        </w:rPr>
        <w:t>.</w:t>
      </w:r>
    </w:p>
    <w:p w:rsidR="00A40C50" w:rsidRPr="00071ED3" w:rsidRDefault="00FC6C8D" w:rsidP="00D32B78">
      <w:r>
        <w:rPr>
          <w:noProof/>
          <w:lang w:val="en-US"/>
        </w:rPr>
        <w:drawing>
          <wp:inline distT="0" distB="0" distL="0" distR="0">
            <wp:extent cx="5943600" cy="33623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62325"/>
                    </a:xfrm>
                    <a:prstGeom prst="rect">
                      <a:avLst/>
                    </a:prstGeom>
                  </pic:spPr>
                </pic:pic>
              </a:graphicData>
            </a:graphic>
          </wp:inline>
        </w:drawing>
      </w:r>
    </w:p>
    <w:p w:rsidR="00043D52" w:rsidRDefault="00043D52" w:rsidP="00043D52">
      <w:pPr>
        <w:pStyle w:val="Heading1"/>
        <w:rPr>
          <w:lang w:val="en-US"/>
        </w:rPr>
      </w:pPr>
      <w:r>
        <w:rPr>
          <w:lang w:val="en-US"/>
        </w:rPr>
        <w:t>Feasibility Justification</w:t>
      </w:r>
    </w:p>
    <w:p w:rsidR="00A40C50" w:rsidRDefault="00341724" w:rsidP="006A061C">
      <w:pPr>
        <w:rPr>
          <w:lang w:val="en-US"/>
        </w:rPr>
      </w:pPr>
      <w:r>
        <w:rPr>
          <w:lang w:val="en-US"/>
        </w:rPr>
        <w:t>Here, the Future of Dining Symposium</w:t>
      </w:r>
      <w:r w:rsidR="006A061C" w:rsidRPr="006A061C">
        <w:rPr>
          <w:lang w:val="en-US"/>
        </w:rPr>
        <w:t xml:space="preserve"> feasibility is based on market</w:t>
      </w:r>
      <w:r>
        <w:rPr>
          <w:lang w:val="en-US"/>
        </w:rPr>
        <w:t xml:space="preserve"> demand, operational capability</w:t>
      </w:r>
      <w:r w:rsidR="006A061C" w:rsidRPr="006A061C">
        <w:rPr>
          <w:lang w:val="en-US"/>
        </w:rPr>
        <w:t xml:space="preserve"> and financial viability.</w:t>
      </w:r>
      <w:r>
        <w:rPr>
          <w:lang w:val="en-US"/>
        </w:rPr>
        <w:t xml:space="preserve"> Also</w:t>
      </w:r>
      <w:r w:rsidR="006A061C" w:rsidRPr="006A061C">
        <w:rPr>
          <w:lang w:val="en-US"/>
        </w:rPr>
        <w:t xml:space="preserve">, the event fulfils a hospitality industry demand for insights into how technology is changing dining. </w:t>
      </w:r>
      <w:r>
        <w:rPr>
          <w:lang w:val="en-US"/>
        </w:rPr>
        <w:t>Then, i</w:t>
      </w:r>
      <w:r w:rsidR="006A061C" w:rsidRPr="006A061C">
        <w:rPr>
          <w:lang w:val="en-US"/>
        </w:rPr>
        <w:t xml:space="preserve">ndustry experts must keep up with new trends and technologies as consumer tastes shift </w:t>
      </w:r>
      <w:r>
        <w:rPr>
          <w:lang w:val="en-US"/>
        </w:rPr>
        <w:t>towards convenience, efficiency</w:t>
      </w:r>
      <w:r w:rsidR="006A061C" w:rsidRPr="006A061C">
        <w:rPr>
          <w:lang w:val="en-US"/>
        </w:rPr>
        <w:t xml:space="preserve"> and innovation</w:t>
      </w:r>
      <w:r w:rsidR="00071ED3">
        <w:t>(D’Souza and D’Souza, 2023)</w:t>
      </w:r>
      <w:r w:rsidR="006A061C" w:rsidRPr="006A061C">
        <w:rPr>
          <w:lang w:val="en-US"/>
        </w:rPr>
        <w:t xml:space="preserve">. </w:t>
      </w:r>
      <w:r>
        <w:rPr>
          <w:lang w:val="en-US"/>
        </w:rPr>
        <w:t>Also, t</w:t>
      </w:r>
      <w:r w:rsidR="006A061C" w:rsidRPr="006A061C">
        <w:rPr>
          <w:lang w:val="en-US"/>
        </w:rPr>
        <w:t>he symposium's focus on digital menu platforms, contactless order</w:t>
      </w:r>
      <w:r>
        <w:rPr>
          <w:lang w:val="en-US"/>
        </w:rPr>
        <w:t>ing systems, kitchen automation</w:t>
      </w:r>
      <w:r w:rsidR="006A061C" w:rsidRPr="006A061C">
        <w:rPr>
          <w:lang w:val="en-US"/>
        </w:rPr>
        <w:t xml:space="preserve"> and food delivery innovations meets this demand</w:t>
      </w:r>
      <w:r>
        <w:rPr>
          <w:lang w:val="en-US"/>
        </w:rPr>
        <w:t xml:space="preserve"> and thus, provides</w:t>
      </w:r>
      <w:r w:rsidR="006A061C" w:rsidRPr="006A061C">
        <w:rPr>
          <w:lang w:val="en-US"/>
        </w:rPr>
        <w:t xml:space="preserve"> guests</w:t>
      </w:r>
      <w:r>
        <w:rPr>
          <w:lang w:val="en-US"/>
        </w:rPr>
        <w:t xml:space="preserve"> with insights, best practices </w:t>
      </w:r>
      <w:r w:rsidR="00A40C50">
        <w:rPr>
          <w:lang w:val="en-US"/>
        </w:rPr>
        <w:t xml:space="preserve">and networking opportunities. </w:t>
      </w:r>
    </w:p>
    <w:p w:rsidR="00A40C50" w:rsidRDefault="00A15A99" w:rsidP="006A061C">
      <w:pPr>
        <w:rPr>
          <w:lang w:val="en-US"/>
        </w:rPr>
      </w:pPr>
      <w:r>
        <w:rPr>
          <w:lang w:val="en-US"/>
        </w:rPr>
        <w:t>Also, s</w:t>
      </w:r>
      <w:r w:rsidR="006A061C" w:rsidRPr="006A061C">
        <w:rPr>
          <w:lang w:val="en-US"/>
        </w:rPr>
        <w:t xml:space="preserve">trategic planning and careful execution </w:t>
      </w:r>
      <w:r>
        <w:rPr>
          <w:lang w:val="en-US"/>
        </w:rPr>
        <w:t xml:space="preserve">help the symposia run smoothly where </w:t>
      </w:r>
      <w:r w:rsidR="006A061C" w:rsidRPr="006A061C">
        <w:rPr>
          <w:lang w:val="en-US"/>
        </w:rPr>
        <w:t xml:space="preserve">Freemasons Hall in London is a prominent and strategically placed site for such a high-profile </w:t>
      </w:r>
      <w:r w:rsidR="006A061C" w:rsidRPr="006A061C">
        <w:rPr>
          <w:lang w:val="en-US"/>
        </w:rPr>
        <w:lastRenderedPageBreak/>
        <w:t>event</w:t>
      </w:r>
      <w:r w:rsidR="002D12B8">
        <w:t>(Rompf et al., 2019)</w:t>
      </w:r>
      <w:r w:rsidR="006A061C" w:rsidRPr="006A061C">
        <w:rPr>
          <w:lang w:val="en-US"/>
        </w:rPr>
        <w:t xml:space="preserve">. </w:t>
      </w:r>
      <w:r>
        <w:rPr>
          <w:lang w:val="en-US"/>
        </w:rPr>
        <w:t>Then, f</w:t>
      </w:r>
      <w:r w:rsidR="006A061C" w:rsidRPr="006A061C">
        <w:rPr>
          <w:lang w:val="en-US"/>
        </w:rPr>
        <w:t>rom logistics and technical assistance to participant involvement and satisfaction, professional event staff in event management, technol</w:t>
      </w:r>
      <w:r>
        <w:rPr>
          <w:lang w:val="en-US"/>
        </w:rPr>
        <w:t>ogy setup, catering arrangement</w:t>
      </w:r>
      <w:r w:rsidR="006A061C" w:rsidRPr="006A061C">
        <w:rPr>
          <w:lang w:val="en-US"/>
        </w:rPr>
        <w:t xml:space="preserve"> and attendee engagement assure the symposium's success. </w:t>
      </w:r>
    </w:p>
    <w:p w:rsidR="00A40C50" w:rsidRDefault="006A061C" w:rsidP="006A061C">
      <w:pPr>
        <w:rPr>
          <w:lang w:val="en-US"/>
        </w:rPr>
      </w:pPr>
      <w:r w:rsidRPr="006A061C">
        <w:rPr>
          <w:lang w:val="en-US"/>
        </w:rPr>
        <w:t>The symposium has high revenue and</w:t>
      </w:r>
      <w:r w:rsidR="00A15A99">
        <w:rPr>
          <w:lang w:val="en-US"/>
        </w:rPr>
        <w:t xml:space="preserve"> cost-effectiveness potential where t</w:t>
      </w:r>
      <w:r w:rsidRPr="006A061C">
        <w:rPr>
          <w:lang w:val="en-US"/>
        </w:rPr>
        <w:t>icket sales, sponsorships, and exhibitor fees surpass expected costs, resulting in a £15,000 net profit. This financial feasibility ensures the event's longe</w:t>
      </w:r>
      <w:r w:rsidR="00A15A99">
        <w:rPr>
          <w:lang w:val="en-US"/>
        </w:rPr>
        <w:t>vity and funds future upgrades which boost</w:t>
      </w:r>
      <w:r w:rsidRPr="006A061C">
        <w:rPr>
          <w:lang w:val="en-US"/>
        </w:rPr>
        <w:t xml:space="preserve"> its long-term success</w:t>
      </w:r>
      <w:r w:rsidR="00071ED3">
        <w:t>(Dzhandzhugazova et al., 2020)</w:t>
      </w:r>
      <w:r w:rsidR="00A40C50">
        <w:rPr>
          <w:lang w:val="en-US"/>
        </w:rPr>
        <w:t xml:space="preserve">. </w:t>
      </w:r>
    </w:p>
    <w:p w:rsidR="006A061C" w:rsidRDefault="00A15A99" w:rsidP="006A061C">
      <w:pPr>
        <w:rPr>
          <w:lang w:val="en-US"/>
        </w:rPr>
      </w:pPr>
      <w:r>
        <w:rPr>
          <w:lang w:val="en-US"/>
        </w:rPr>
        <w:t>Also, t</w:t>
      </w:r>
      <w:r w:rsidR="006A061C" w:rsidRPr="006A061C">
        <w:rPr>
          <w:lang w:val="en-US"/>
        </w:rPr>
        <w:t>he symposium's unique value pr</w:t>
      </w:r>
      <w:r>
        <w:rPr>
          <w:lang w:val="en-US"/>
        </w:rPr>
        <w:t>oposition, immersive experience</w:t>
      </w:r>
      <w:r w:rsidR="006A061C" w:rsidRPr="006A061C">
        <w:rPr>
          <w:lang w:val="en-US"/>
        </w:rPr>
        <w:t xml:space="preserve"> and strategic positioning</w:t>
      </w:r>
      <w:r>
        <w:rPr>
          <w:lang w:val="en-US"/>
        </w:rPr>
        <w:t xml:space="preserve"> set it apart from competitors which make</w:t>
      </w:r>
      <w:r w:rsidR="006A061C" w:rsidRPr="006A061C">
        <w:rPr>
          <w:lang w:val="en-US"/>
        </w:rPr>
        <w:t xml:space="preserve"> it relevant and appealing to industry experts, </w:t>
      </w:r>
      <w:r>
        <w:rPr>
          <w:lang w:val="en-US"/>
        </w:rPr>
        <w:t>technology providers, food fans</w:t>
      </w:r>
      <w:r w:rsidR="006A061C" w:rsidRPr="006A061C">
        <w:rPr>
          <w:lang w:val="en-US"/>
        </w:rPr>
        <w:t xml:space="preserve"> and investors</w:t>
      </w:r>
      <w:r w:rsidR="00071ED3">
        <w:t>(Kazandzhieva et al., 2019)</w:t>
      </w:r>
      <w:r w:rsidR="006A061C" w:rsidRPr="006A061C">
        <w:rPr>
          <w:lang w:val="en-US"/>
        </w:rPr>
        <w:t xml:space="preserve">. </w:t>
      </w:r>
      <w:r>
        <w:rPr>
          <w:lang w:val="en-US"/>
        </w:rPr>
        <w:t xml:space="preserve">Then, the </w:t>
      </w:r>
      <w:r w:rsidR="006A061C" w:rsidRPr="006A061C">
        <w:rPr>
          <w:lang w:val="en-US"/>
        </w:rPr>
        <w:t>Future of Dining Symp</w:t>
      </w:r>
      <w:r>
        <w:rPr>
          <w:lang w:val="en-US"/>
        </w:rPr>
        <w:t>osium</w:t>
      </w:r>
      <w:r w:rsidR="006A061C" w:rsidRPr="006A061C">
        <w:rPr>
          <w:lang w:val="en-US"/>
        </w:rPr>
        <w:t xml:space="preserve"> will create value and encourage hospitality innovation </w:t>
      </w:r>
      <w:r>
        <w:rPr>
          <w:lang w:val="en-US"/>
        </w:rPr>
        <w:t>and thus, addresses</w:t>
      </w:r>
      <w:r w:rsidR="006A061C" w:rsidRPr="006A061C">
        <w:rPr>
          <w:lang w:val="en-US"/>
        </w:rPr>
        <w:t xml:space="preserve"> a timely and relevant issue,</w:t>
      </w:r>
      <w:r>
        <w:rPr>
          <w:lang w:val="en-US"/>
        </w:rPr>
        <w:t xml:space="preserve"> as it uses</w:t>
      </w:r>
      <w:r w:rsidR="006A061C" w:rsidRPr="006A061C">
        <w:rPr>
          <w:lang w:val="en-US"/>
        </w:rPr>
        <w:t xml:space="preserve"> operational</w:t>
      </w:r>
      <w:r>
        <w:rPr>
          <w:lang w:val="en-US"/>
        </w:rPr>
        <w:t xml:space="preserve"> capabilities, and demonstrates</w:t>
      </w:r>
      <w:r w:rsidR="006A061C" w:rsidRPr="006A061C">
        <w:rPr>
          <w:lang w:val="en-US"/>
        </w:rPr>
        <w:t xml:space="preserve"> financial sustainability. </w:t>
      </w:r>
    </w:p>
    <w:p w:rsidR="002D12B8" w:rsidRPr="00071ED3" w:rsidRDefault="00FC6C8D" w:rsidP="006A061C">
      <w:r>
        <w:rPr>
          <w:noProof/>
          <w:lang w:val="en-US"/>
        </w:rPr>
        <w:drawing>
          <wp:inline distT="0" distB="0" distL="0" distR="0">
            <wp:extent cx="5943600" cy="3348990"/>
            <wp:effectExtent l="0" t="0" r="0" b="381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8990"/>
                    </a:xfrm>
                    <a:prstGeom prst="rect">
                      <a:avLst/>
                    </a:prstGeom>
                  </pic:spPr>
                </pic:pic>
              </a:graphicData>
            </a:graphic>
          </wp:inline>
        </w:drawing>
      </w:r>
    </w:p>
    <w:p w:rsidR="004D4CE6" w:rsidRDefault="004D4CE6" w:rsidP="002D12B8">
      <w:pPr>
        <w:pStyle w:val="Heading1"/>
        <w:rPr>
          <w:lang w:val="en-US"/>
        </w:rPr>
      </w:pPr>
      <w:r>
        <w:rPr>
          <w:lang w:val="en-US"/>
        </w:rPr>
        <w:lastRenderedPageBreak/>
        <w:t>Conclusion</w:t>
      </w:r>
    </w:p>
    <w:p w:rsidR="004D4CE6" w:rsidRPr="004D4CE6" w:rsidRDefault="00AE33CE" w:rsidP="004D4CE6">
      <w:pPr>
        <w:rPr>
          <w:lang w:val="en-US"/>
        </w:rPr>
      </w:pPr>
      <w:r>
        <w:rPr>
          <w:lang w:val="en-US"/>
        </w:rPr>
        <w:t xml:space="preserve">So, the event on </w:t>
      </w:r>
      <w:r w:rsidRPr="004D4CE6">
        <w:rPr>
          <w:lang w:val="en-US"/>
        </w:rPr>
        <w:t xml:space="preserve">Future of Dining Symposium </w:t>
      </w:r>
      <w:r>
        <w:rPr>
          <w:lang w:val="en-US"/>
        </w:rPr>
        <w:t xml:space="preserve">is feasible which is supported by the financial analysis. Also, </w:t>
      </w:r>
      <w:r w:rsidRPr="006A061C">
        <w:rPr>
          <w:lang w:val="en-US"/>
        </w:rPr>
        <w:t>£15,000 net profit</w:t>
      </w:r>
      <w:r>
        <w:rPr>
          <w:lang w:val="en-US"/>
        </w:rPr>
        <w:t xml:space="preserve">can </w:t>
      </w:r>
      <w:r w:rsidR="00123DA7">
        <w:rPr>
          <w:lang w:val="en-US"/>
        </w:rPr>
        <w:t>be earned if this event is held wherethe feasibility study of the Future of Dining Symposium</w:t>
      </w:r>
      <w:r w:rsidR="004D4CE6" w:rsidRPr="004D4CE6">
        <w:rPr>
          <w:lang w:val="en-US"/>
        </w:rPr>
        <w:t xml:space="preserve"> suggests it could revolutionise hospitality and technology. </w:t>
      </w:r>
      <w:r w:rsidR="00123DA7">
        <w:rPr>
          <w:lang w:val="en-US"/>
        </w:rPr>
        <w:t>Then, t</w:t>
      </w:r>
      <w:r w:rsidR="004D4CE6" w:rsidRPr="004D4CE6">
        <w:rPr>
          <w:lang w:val="en-US"/>
        </w:rPr>
        <w:t xml:space="preserve">he symposium meets a fundamental demand for insights into how technology is changing the eating experience </w:t>
      </w:r>
      <w:r w:rsidR="00123DA7">
        <w:rPr>
          <w:lang w:val="en-US"/>
        </w:rPr>
        <w:t>as it thoroughly analyses</w:t>
      </w:r>
      <w:r w:rsidR="004D4CE6" w:rsidRPr="004D4CE6">
        <w:rPr>
          <w:lang w:val="en-US"/>
        </w:rPr>
        <w:t xml:space="preserve"> mar</w:t>
      </w:r>
      <w:r w:rsidR="00123DA7">
        <w:rPr>
          <w:lang w:val="en-US"/>
        </w:rPr>
        <w:t>ket aspects, operational issues</w:t>
      </w:r>
      <w:r w:rsidR="004D4CE6" w:rsidRPr="004D4CE6">
        <w:rPr>
          <w:lang w:val="en-US"/>
        </w:rPr>
        <w:t xml:space="preserve"> and financial projections. </w:t>
      </w:r>
      <w:r w:rsidR="00123DA7">
        <w:rPr>
          <w:lang w:val="en-US"/>
        </w:rPr>
        <w:t>Here, t</w:t>
      </w:r>
      <w:r w:rsidR="004D4CE6" w:rsidRPr="004D4CE6">
        <w:rPr>
          <w:lang w:val="en-US"/>
        </w:rPr>
        <w:t>he symposium will draw industry leaders</w:t>
      </w:r>
      <w:r w:rsidR="00123DA7">
        <w:rPr>
          <w:lang w:val="en-US"/>
        </w:rPr>
        <w:t>, technology providers, foodies</w:t>
      </w:r>
      <w:r w:rsidR="004D4CE6" w:rsidRPr="004D4CE6">
        <w:rPr>
          <w:lang w:val="en-US"/>
        </w:rPr>
        <w:t xml:space="preserve"> and investors with its focus on digital i</w:t>
      </w:r>
      <w:r w:rsidR="00123DA7">
        <w:rPr>
          <w:lang w:val="en-US"/>
        </w:rPr>
        <w:t>nnovation, interactive seminars</w:t>
      </w:r>
      <w:r w:rsidR="004D4CE6" w:rsidRPr="004D4CE6">
        <w:rPr>
          <w:lang w:val="en-US"/>
        </w:rPr>
        <w:t xml:space="preserve"> and tech-infused cuisine. </w:t>
      </w:r>
      <w:r w:rsidR="00123DA7">
        <w:rPr>
          <w:lang w:val="en-US"/>
        </w:rPr>
        <w:t xml:space="preserve">Also, </w:t>
      </w:r>
      <w:r w:rsidR="004D4CE6" w:rsidRPr="004D4CE6">
        <w:rPr>
          <w:lang w:val="en-US"/>
        </w:rPr>
        <w:t>Freemasons Hall in London was strategically chosen to boost the even</w:t>
      </w:r>
      <w:r w:rsidR="00A40C50">
        <w:rPr>
          <w:lang w:val="en-US"/>
        </w:rPr>
        <w:t xml:space="preserve">t's status and accessibility. </w:t>
      </w:r>
      <w:r w:rsidR="00123DA7">
        <w:rPr>
          <w:lang w:val="en-US"/>
        </w:rPr>
        <w:t>Then, a</w:t>
      </w:r>
      <w:r w:rsidR="004D4CE6" w:rsidRPr="004D4CE6">
        <w:rPr>
          <w:lang w:val="en-US"/>
        </w:rPr>
        <w:t xml:space="preserve"> trained team of event specialists and volunteers ensures symposium success and guest satisfaction. </w:t>
      </w:r>
      <w:r w:rsidR="00123DA7">
        <w:rPr>
          <w:lang w:val="en-US"/>
        </w:rPr>
        <w:t>Thus, t</w:t>
      </w:r>
      <w:r w:rsidR="004D4CE6" w:rsidRPr="004D4CE6">
        <w:rPr>
          <w:lang w:val="en-US"/>
        </w:rPr>
        <w:t>he symposium has strong revenue-generating potential, with expected revenues exceeding estimated costs and a large net profit. This financial viability sustains the event and funds future upgrades.</w:t>
      </w:r>
    </w:p>
    <w:p w:rsidR="00361C43" w:rsidRDefault="00FC6C8D" w:rsidP="006A061C">
      <w:pPr>
        <w:rPr>
          <w:lang w:val="en-US"/>
        </w:rPr>
      </w:pPr>
      <w:r>
        <w:rPr>
          <w:noProof/>
          <w:lang w:val="en-US"/>
        </w:rPr>
        <w:drawing>
          <wp:inline distT="0" distB="0" distL="0" distR="0">
            <wp:extent cx="5943600" cy="3345815"/>
            <wp:effectExtent l="0" t="0" r="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5815"/>
                    </a:xfrm>
                    <a:prstGeom prst="rect">
                      <a:avLst/>
                    </a:prstGeom>
                  </pic:spPr>
                </pic:pic>
              </a:graphicData>
            </a:graphic>
          </wp:inline>
        </w:drawing>
      </w:r>
      <w:bookmarkStart w:id="0" w:name="_GoBack"/>
      <w:bookmarkEnd w:id="0"/>
    </w:p>
    <w:p w:rsidR="00361C43" w:rsidRDefault="00361C43" w:rsidP="00361C43">
      <w:pPr>
        <w:pStyle w:val="Heading1"/>
        <w:rPr>
          <w:lang w:val="en-US"/>
        </w:rPr>
      </w:pPr>
      <w:r>
        <w:rPr>
          <w:lang w:val="en-US"/>
        </w:rPr>
        <w:lastRenderedPageBreak/>
        <w:t>References</w:t>
      </w:r>
    </w:p>
    <w:p w:rsidR="00361C43" w:rsidRDefault="00361C43" w:rsidP="00361C43">
      <w:pPr>
        <w:rPr>
          <w:shd w:val="clear" w:color="auto" w:fill="FFFFFF"/>
        </w:rPr>
      </w:pPr>
      <w:r>
        <w:rPr>
          <w:shd w:val="clear" w:color="auto" w:fill="FFFFFF"/>
        </w:rPr>
        <w:t>Aghdaie, M.H. and Alimardani, M., (2019). Target market selection based on market segment evaluation: a multiple attribute decision making approach. </w:t>
      </w:r>
      <w:r>
        <w:rPr>
          <w:i/>
          <w:iCs/>
          <w:shd w:val="clear" w:color="auto" w:fill="FFFFFF"/>
        </w:rPr>
        <w:t>International Journal of Operational Research</w:t>
      </w:r>
      <w:r>
        <w:rPr>
          <w:shd w:val="clear" w:color="auto" w:fill="FFFFFF"/>
        </w:rPr>
        <w:t>, </w:t>
      </w:r>
      <w:r>
        <w:rPr>
          <w:i/>
          <w:iCs/>
          <w:shd w:val="clear" w:color="auto" w:fill="FFFFFF"/>
        </w:rPr>
        <w:t>24</w:t>
      </w:r>
      <w:r>
        <w:rPr>
          <w:shd w:val="clear" w:color="auto" w:fill="FFFFFF"/>
        </w:rPr>
        <w:t>(3), pp.262-278.</w:t>
      </w:r>
    </w:p>
    <w:p w:rsidR="00361C43" w:rsidRDefault="00361C43" w:rsidP="00361C43">
      <w:pPr>
        <w:rPr>
          <w:shd w:val="clear" w:color="auto" w:fill="FFFFFF"/>
        </w:rPr>
      </w:pPr>
      <w:r>
        <w:rPr>
          <w:shd w:val="clear" w:color="auto" w:fill="FFFFFF"/>
        </w:rPr>
        <w:t>Ahmed, A., (2022). Planning an International Business Event: Company X.</w:t>
      </w:r>
    </w:p>
    <w:p w:rsidR="00361C43" w:rsidRDefault="00361C43" w:rsidP="00361C43">
      <w:pPr>
        <w:rPr>
          <w:shd w:val="clear" w:color="auto" w:fill="FFFFFF"/>
        </w:rPr>
      </w:pPr>
      <w:r>
        <w:rPr>
          <w:shd w:val="clear" w:color="auto" w:fill="FFFFFF"/>
        </w:rPr>
        <w:t>Artal-Tur, A., (2019). Introduction: New Technologies and Innovation In the Tourism and Hospitality Sectors. </w:t>
      </w:r>
      <w:r>
        <w:rPr>
          <w:i/>
          <w:iCs/>
          <w:shd w:val="clear" w:color="auto" w:fill="FFFFFF"/>
        </w:rPr>
        <w:t>Tourism Analysis</w:t>
      </w:r>
      <w:r>
        <w:rPr>
          <w:shd w:val="clear" w:color="auto" w:fill="FFFFFF"/>
        </w:rPr>
        <w:t>, </w:t>
      </w:r>
      <w:r>
        <w:rPr>
          <w:i/>
          <w:iCs/>
          <w:shd w:val="clear" w:color="auto" w:fill="FFFFFF"/>
        </w:rPr>
        <w:t>24</w:t>
      </w:r>
      <w:r>
        <w:rPr>
          <w:shd w:val="clear" w:color="auto" w:fill="FFFFFF"/>
        </w:rPr>
        <w:t>(1), p.1.</w:t>
      </w:r>
    </w:p>
    <w:p w:rsidR="00361C43" w:rsidRDefault="00361C43" w:rsidP="00361C43">
      <w:pPr>
        <w:rPr>
          <w:shd w:val="clear" w:color="auto" w:fill="FFFFFF"/>
        </w:rPr>
      </w:pPr>
      <w:r>
        <w:rPr>
          <w:shd w:val="clear" w:color="auto" w:fill="FFFFFF"/>
        </w:rPr>
        <w:t>Arvanitis, S. and Estevez, L., (2018). Feasibility analysis and study. In </w:t>
      </w:r>
      <w:r>
        <w:rPr>
          <w:i/>
          <w:iCs/>
          <w:shd w:val="clear" w:color="auto" w:fill="FFFFFF"/>
        </w:rPr>
        <w:t>The Emerald Handbook of Entrepreneurship in Tourism, Travel and Hospitality</w:t>
      </w:r>
      <w:r>
        <w:rPr>
          <w:shd w:val="clear" w:color="auto" w:fill="FFFFFF"/>
        </w:rPr>
        <w:t> (pp. 109-129). Emerald Publishing Limited.</w:t>
      </w:r>
    </w:p>
    <w:p w:rsidR="00361C43" w:rsidRDefault="00361C43" w:rsidP="00361C43">
      <w:pPr>
        <w:rPr>
          <w:shd w:val="clear" w:color="auto" w:fill="FFFFFF"/>
        </w:rPr>
      </w:pPr>
      <w:r>
        <w:rPr>
          <w:shd w:val="clear" w:color="auto" w:fill="FFFFFF"/>
        </w:rPr>
        <w:t>Bladen, C., Kennell, J., Abson, E. and Wilde, N., (2019). Event project management: feasibility, planning, delivery and evaluation. In </w:t>
      </w:r>
      <w:r>
        <w:rPr>
          <w:i/>
          <w:iCs/>
          <w:shd w:val="clear" w:color="auto" w:fill="FFFFFF"/>
        </w:rPr>
        <w:t>Events Management</w:t>
      </w:r>
      <w:r>
        <w:rPr>
          <w:shd w:val="clear" w:color="auto" w:fill="FFFFFF"/>
        </w:rPr>
        <w:t> (pp. 20-49). Routledge.</w:t>
      </w:r>
    </w:p>
    <w:p w:rsidR="00361C43" w:rsidRDefault="00361C43" w:rsidP="00361C43">
      <w:pPr>
        <w:rPr>
          <w:shd w:val="clear" w:color="auto" w:fill="FFFFFF"/>
        </w:rPr>
      </w:pPr>
      <w:r>
        <w:rPr>
          <w:shd w:val="clear" w:color="auto" w:fill="FFFFFF"/>
        </w:rPr>
        <w:t>D’Souza, E. and D’Souza, K., (2023). A study on the impact of innovative technologies in the hospitality industry. </w:t>
      </w:r>
      <w:r>
        <w:rPr>
          <w:i/>
          <w:iCs/>
          <w:shd w:val="clear" w:color="auto" w:fill="FFFFFF"/>
        </w:rPr>
        <w:t>Journal of Tourism, Hospitality and Culinary Arts</w:t>
      </w:r>
      <w:r>
        <w:rPr>
          <w:shd w:val="clear" w:color="auto" w:fill="FFFFFF"/>
        </w:rPr>
        <w:t>, </w:t>
      </w:r>
      <w:r>
        <w:rPr>
          <w:i/>
          <w:iCs/>
          <w:shd w:val="clear" w:color="auto" w:fill="FFFFFF"/>
        </w:rPr>
        <w:t>15</w:t>
      </w:r>
      <w:r>
        <w:rPr>
          <w:shd w:val="clear" w:color="auto" w:fill="FFFFFF"/>
        </w:rPr>
        <w:t>(1), pp.1-23.</w:t>
      </w:r>
    </w:p>
    <w:p w:rsidR="00361C43" w:rsidRDefault="00361C43" w:rsidP="00361C43">
      <w:pPr>
        <w:rPr>
          <w:shd w:val="clear" w:color="auto" w:fill="FFFFFF"/>
        </w:rPr>
      </w:pPr>
      <w:r>
        <w:rPr>
          <w:shd w:val="clear" w:color="auto" w:fill="FFFFFF"/>
        </w:rPr>
        <w:t>Dzhandzhugazova, E.A., Blinova, E.A., Orlova, L.N. and Romanova, M.M., (2020). Innovations in hospitality industry. </w:t>
      </w:r>
      <w:r>
        <w:rPr>
          <w:i/>
          <w:iCs/>
          <w:shd w:val="clear" w:color="auto" w:fill="FFFFFF"/>
        </w:rPr>
        <w:t>International Journal of Environmental and Science Education</w:t>
      </w:r>
      <w:r>
        <w:rPr>
          <w:shd w:val="clear" w:color="auto" w:fill="FFFFFF"/>
        </w:rPr>
        <w:t>, </w:t>
      </w:r>
      <w:r>
        <w:rPr>
          <w:i/>
          <w:iCs/>
          <w:shd w:val="clear" w:color="auto" w:fill="FFFFFF"/>
        </w:rPr>
        <w:t>11</w:t>
      </w:r>
      <w:r>
        <w:rPr>
          <w:shd w:val="clear" w:color="auto" w:fill="FFFFFF"/>
        </w:rPr>
        <w:t>(17), pp.10387-10400.</w:t>
      </w:r>
    </w:p>
    <w:p w:rsidR="00361C43" w:rsidRDefault="00361C43" w:rsidP="00361C43">
      <w:pPr>
        <w:rPr>
          <w:shd w:val="clear" w:color="auto" w:fill="FFFFFF"/>
        </w:rPr>
      </w:pPr>
      <w:r>
        <w:rPr>
          <w:shd w:val="clear" w:color="auto" w:fill="FFFFFF"/>
        </w:rPr>
        <w:t>Fleisher, C.S. and Bensoussan, B.E., (2019). </w:t>
      </w:r>
      <w:r>
        <w:rPr>
          <w:i/>
          <w:iCs/>
          <w:shd w:val="clear" w:color="auto" w:fill="FFFFFF"/>
        </w:rPr>
        <w:t>Business and competitive analysis: effective application of new and classic methods</w:t>
      </w:r>
      <w:r>
        <w:rPr>
          <w:shd w:val="clear" w:color="auto" w:fill="FFFFFF"/>
        </w:rPr>
        <w:t>. FT press.</w:t>
      </w:r>
    </w:p>
    <w:p w:rsidR="00361C43" w:rsidRDefault="00361C43" w:rsidP="00361C43">
      <w:pPr>
        <w:rPr>
          <w:shd w:val="clear" w:color="auto" w:fill="FFFFFF"/>
        </w:rPr>
      </w:pPr>
      <w:r>
        <w:rPr>
          <w:shd w:val="clear" w:color="auto" w:fill="FFFFFF"/>
        </w:rPr>
        <w:t>Jones, G.R. and Butler, J.E., (2022). Costs, revenue, and business-level strategy. </w:t>
      </w:r>
      <w:r>
        <w:rPr>
          <w:i/>
          <w:iCs/>
          <w:shd w:val="clear" w:color="auto" w:fill="FFFFFF"/>
        </w:rPr>
        <w:t>Academy of Management Review</w:t>
      </w:r>
      <w:r>
        <w:rPr>
          <w:shd w:val="clear" w:color="auto" w:fill="FFFFFF"/>
        </w:rPr>
        <w:t>, </w:t>
      </w:r>
      <w:r>
        <w:rPr>
          <w:i/>
          <w:iCs/>
          <w:shd w:val="clear" w:color="auto" w:fill="FFFFFF"/>
        </w:rPr>
        <w:t>13</w:t>
      </w:r>
      <w:r>
        <w:rPr>
          <w:shd w:val="clear" w:color="auto" w:fill="FFFFFF"/>
        </w:rPr>
        <w:t>(2), pp.202-213.</w:t>
      </w:r>
    </w:p>
    <w:p w:rsidR="00361C43" w:rsidRDefault="00361C43" w:rsidP="00361C43">
      <w:pPr>
        <w:rPr>
          <w:shd w:val="clear" w:color="auto" w:fill="FFFFFF"/>
        </w:rPr>
      </w:pPr>
      <w:r>
        <w:rPr>
          <w:shd w:val="clear" w:color="auto" w:fill="FFFFFF"/>
        </w:rPr>
        <w:t>Kazandzhieva, V., Ilieva, G. and Filipova, H., (2019). The impact of technological innovations on hospitality service. </w:t>
      </w:r>
      <w:r>
        <w:rPr>
          <w:i/>
          <w:iCs/>
          <w:shd w:val="clear" w:color="auto" w:fill="FFFFFF"/>
        </w:rPr>
        <w:t>Contemporary Tourism-Traditions and Innovations, Sofia University</w:t>
      </w:r>
      <w:r>
        <w:rPr>
          <w:shd w:val="clear" w:color="auto" w:fill="FFFFFF"/>
        </w:rPr>
        <w:t>.</w:t>
      </w:r>
    </w:p>
    <w:p w:rsidR="00361C43" w:rsidRDefault="00361C43" w:rsidP="00361C43">
      <w:pPr>
        <w:rPr>
          <w:shd w:val="clear" w:color="auto" w:fill="FFFFFF"/>
        </w:rPr>
      </w:pPr>
      <w:r>
        <w:rPr>
          <w:shd w:val="clear" w:color="auto" w:fill="FFFFFF"/>
        </w:rPr>
        <w:t>Laamanen, P., (2019). Feasibility analysis of a new business idea: case: Bookertainment.</w:t>
      </w:r>
    </w:p>
    <w:p w:rsidR="00361C43" w:rsidRDefault="00361C43" w:rsidP="00361C43">
      <w:pPr>
        <w:rPr>
          <w:shd w:val="clear" w:color="auto" w:fill="FFFFFF"/>
        </w:rPr>
      </w:pPr>
      <w:r>
        <w:rPr>
          <w:shd w:val="clear" w:color="auto" w:fill="FFFFFF"/>
        </w:rPr>
        <w:lastRenderedPageBreak/>
        <w:t>Molina-Castillo, F.J., Meroño-Cerdán, A.L., Lopez-Nicolas, C. and Fernandez-Espinar, L., (2023). Innovation and technology in hospitality sector: outcome and performance. </w:t>
      </w:r>
      <w:r>
        <w:rPr>
          <w:i/>
          <w:iCs/>
          <w:shd w:val="clear" w:color="auto" w:fill="FFFFFF"/>
        </w:rPr>
        <w:t>Businesses</w:t>
      </w:r>
      <w:r>
        <w:rPr>
          <w:shd w:val="clear" w:color="auto" w:fill="FFFFFF"/>
        </w:rPr>
        <w:t>, </w:t>
      </w:r>
      <w:r>
        <w:rPr>
          <w:i/>
          <w:iCs/>
          <w:shd w:val="clear" w:color="auto" w:fill="FFFFFF"/>
        </w:rPr>
        <w:t>3</w:t>
      </w:r>
      <w:r>
        <w:rPr>
          <w:shd w:val="clear" w:color="auto" w:fill="FFFFFF"/>
        </w:rPr>
        <w:t>(1), pp.198-219.</w:t>
      </w:r>
    </w:p>
    <w:p w:rsidR="00361C43" w:rsidRDefault="00361C43" w:rsidP="00361C43">
      <w:pPr>
        <w:rPr>
          <w:shd w:val="clear" w:color="auto" w:fill="FFFFFF"/>
        </w:rPr>
      </w:pPr>
      <w:r>
        <w:rPr>
          <w:shd w:val="clear" w:color="auto" w:fill="FFFFFF"/>
        </w:rPr>
        <w:t>O'Toole, W., (2020). </w:t>
      </w:r>
      <w:r>
        <w:rPr>
          <w:i/>
          <w:iCs/>
          <w:shd w:val="clear" w:color="auto" w:fill="FFFFFF"/>
        </w:rPr>
        <w:t>Events feasibility and development</w:t>
      </w:r>
      <w:r>
        <w:rPr>
          <w:shd w:val="clear" w:color="auto" w:fill="FFFFFF"/>
        </w:rPr>
        <w:t>. Routledge.</w:t>
      </w:r>
    </w:p>
    <w:p w:rsidR="00361C43" w:rsidRDefault="00361C43" w:rsidP="00361C43">
      <w:pPr>
        <w:rPr>
          <w:shd w:val="clear" w:color="auto" w:fill="FFFFFF"/>
        </w:rPr>
      </w:pPr>
      <w:r>
        <w:rPr>
          <w:shd w:val="clear" w:color="auto" w:fill="FFFFFF"/>
        </w:rPr>
        <w:t>Pardede, D.H., Tanjung, S.R., Goli, I. and Suhairi, S., (2022). Business Plan Analysis of the Business Feasibility Case Study. </w:t>
      </w:r>
      <w:r>
        <w:rPr>
          <w:i/>
          <w:iCs/>
          <w:shd w:val="clear" w:color="auto" w:fill="FFFFFF"/>
        </w:rPr>
        <w:t>JurnalEkonomi, Manajemen, AkuntansidanKeuangan</w:t>
      </w:r>
      <w:r>
        <w:rPr>
          <w:shd w:val="clear" w:color="auto" w:fill="FFFFFF"/>
        </w:rPr>
        <w:t>, </w:t>
      </w:r>
      <w:r>
        <w:rPr>
          <w:i/>
          <w:iCs/>
          <w:shd w:val="clear" w:color="auto" w:fill="FFFFFF"/>
        </w:rPr>
        <w:t>3</w:t>
      </w:r>
      <w:r>
        <w:rPr>
          <w:shd w:val="clear" w:color="auto" w:fill="FFFFFF"/>
        </w:rPr>
        <w:t>(1), pp.207-213.</w:t>
      </w:r>
    </w:p>
    <w:p w:rsidR="00361C43" w:rsidRDefault="00361C43" w:rsidP="00361C43">
      <w:pPr>
        <w:rPr>
          <w:shd w:val="clear" w:color="auto" w:fill="FFFFFF"/>
        </w:rPr>
      </w:pPr>
      <w:r>
        <w:rPr>
          <w:shd w:val="clear" w:color="auto" w:fill="FFFFFF"/>
        </w:rPr>
        <w:t>Rompf, P.D., Breiter, D. and Severt, K., (2019). Destination selection criteria: Key success factors evolve and dominate. </w:t>
      </w:r>
      <w:r>
        <w:rPr>
          <w:i/>
          <w:iCs/>
          <w:shd w:val="clear" w:color="auto" w:fill="FFFFFF"/>
        </w:rPr>
        <w:t>Event Management</w:t>
      </w:r>
      <w:r>
        <w:rPr>
          <w:shd w:val="clear" w:color="auto" w:fill="FFFFFF"/>
        </w:rPr>
        <w:t>, </w:t>
      </w:r>
      <w:r>
        <w:rPr>
          <w:i/>
          <w:iCs/>
          <w:shd w:val="clear" w:color="auto" w:fill="FFFFFF"/>
        </w:rPr>
        <w:t>12</w:t>
      </w:r>
      <w:r>
        <w:rPr>
          <w:shd w:val="clear" w:color="auto" w:fill="FFFFFF"/>
        </w:rPr>
        <w:t>(1), pp.27-38.</w:t>
      </w:r>
    </w:p>
    <w:p w:rsidR="00361C43" w:rsidRDefault="00361C43" w:rsidP="00361C43">
      <w:pPr>
        <w:rPr>
          <w:shd w:val="clear" w:color="auto" w:fill="FFFFFF"/>
        </w:rPr>
      </w:pPr>
      <w:r>
        <w:rPr>
          <w:shd w:val="clear" w:color="auto" w:fill="FFFFFF"/>
        </w:rPr>
        <w:t>Shone, A. and Parry, B., (2019). </w:t>
      </w:r>
      <w:r>
        <w:rPr>
          <w:i/>
          <w:iCs/>
          <w:shd w:val="clear" w:color="auto" w:fill="FFFFFF"/>
        </w:rPr>
        <w:t>Successful event management: a practical handbook</w:t>
      </w:r>
      <w:r>
        <w:rPr>
          <w:shd w:val="clear" w:color="auto" w:fill="FFFFFF"/>
        </w:rPr>
        <w:t>. Cengage learning.</w:t>
      </w:r>
    </w:p>
    <w:p w:rsidR="00361C43" w:rsidRDefault="00361C43" w:rsidP="00361C43">
      <w:pPr>
        <w:rPr>
          <w:shd w:val="clear" w:color="auto" w:fill="FFFFFF"/>
        </w:rPr>
      </w:pPr>
      <w:r>
        <w:rPr>
          <w:shd w:val="clear" w:color="auto" w:fill="FFFFFF"/>
        </w:rPr>
        <w:t>Thakur, A., (2022). Technological innovations in the hospitality and tourism industry. In </w:t>
      </w:r>
      <w:r>
        <w:rPr>
          <w:i/>
          <w:iCs/>
          <w:shd w:val="clear" w:color="auto" w:fill="FFFFFF"/>
        </w:rPr>
        <w:t>Mobile computing and technology applications in tourism and hospitality</w:t>
      </w:r>
      <w:r>
        <w:rPr>
          <w:shd w:val="clear" w:color="auto" w:fill="FFFFFF"/>
        </w:rPr>
        <w:t> (pp. 72-97). IGI Global.</w:t>
      </w:r>
    </w:p>
    <w:p w:rsidR="00361C43" w:rsidRDefault="00361C43" w:rsidP="00361C43">
      <w:pPr>
        <w:rPr>
          <w:shd w:val="clear" w:color="auto" w:fill="FFFFFF"/>
        </w:rPr>
      </w:pPr>
      <w:r>
        <w:rPr>
          <w:shd w:val="clear" w:color="auto" w:fill="FFFFFF"/>
        </w:rPr>
        <w:t>Tum, J. and Norton, P., (2021). </w:t>
      </w:r>
      <w:r>
        <w:rPr>
          <w:i/>
          <w:iCs/>
          <w:shd w:val="clear" w:color="auto" w:fill="FFFFFF"/>
        </w:rPr>
        <w:t>Management of event operations</w:t>
      </w:r>
      <w:r>
        <w:rPr>
          <w:shd w:val="clear" w:color="auto" w:fill="FFFFFF"/>
        </w:rPr>
        <w:t>. Routledge.</w:t>
      </w:r>
    </w:p>
    <w:p w:rsidR="00361C43" w:rsidRDefault="00361C43" w:rsidP="00361C43">
      <w:pPr>
        <w:rPr>
          <w:shd w:val="clear" w:color="auto" w:fill="FFFFFF"/>
        </w:rPr>
      </w:pPr>
      <w:r>
        <w:rPr>
          <w:shd w:val="clear" w:color="auto" w:fill="FFFFFF"/>
        </w:rPr>
        <w:t>Van der Wagen, L., (2020). </w:t>
      </w:r>
      <w:r>
        <w:rPr>
          <w:i/>
          <w:iCs/>
          <w:shd w:val="clear" w:color="auto" w:fill="FFFFFF"/>
        </w:rPr>
        <w:t>Event management</w:t>
      </w:r>
      <w:r>
        <w:rPr>
          <w:shd w:val="clear" w:color="auto" w:fill="FFFFFF"/>
        </w:rPr>
        <w:t>. Pearson Higher Education AU.</w:t>
      </w:r>
    </w:p>
    <w:p w:rsidR="00361C43" w:rsidRDefault="00361C43" w:rsidP="00361C43">
      <w:pPr>
        <w:rPr>
          <w:shd w:val="clear" w:color="auto" w:fill="FFFFFF"/>
        </w:rPr>
      </w:pPr>
      <w:r>
        <w:rPr>
          <w:shd w:val="clear" w:color="auto" w:fill="FFFFFF"/>
        </w:rPr>
        <w:t>Wynn, M.T., Low, W.Z., terHofstede, A.H. and Nauta, W.E., (2023). A framework for cost-aware process management: cost reporting and cost prediction. </w:t>
      </w:r>
      <w:r>
        <w:rPr>
          <w:i/>
          <w:iCs/>
          <w:shd w:val="clear" w:color="auto" w:fill="FFFFFF"/>
        </w:rPr>
        <w:t>Journal of Universal Computer Science</w:t>
      </w:r>
      <w:r>
        <w:rPr>
          <w:shd w:val="clear" w:color="auto" w:fill="FFFFFF"/>
        </w:rPr>
        <w:t>, </w:t>
      </w:r>
      <w:r>
        <w:rPr>
          <w:i/>
          <w:iCs/>
          <w:shd w:val="clear" w:color="auto" w:fill="FFFFFF"/>
        </w:rPr>
        <w:t>20</w:t>
      </w:r>
      <w:r>
        <w:rPr>
          <w:shd w:val="clear" w:color="auto" w:fill="FFFFFF"/>
        </w:rPr>
        <w:t>(3), pp.406-430.</w:t>
      </w:r>
    </w:p>
    <w:p w:rsidR="00361C43" w:rsidRDefault="00361C43" w:rsidP="00361C43">
      <w:pPr>
        <w:rPr>
          <w:shd w:val="clear" w:color="auto" w:fill="FFFFFF"/>
        </w:rPr>
      </w:pPr>
      <w:r>
        <w:rPr>
          <w:shd w:val="clear" w:color="auto" w:fill="FFFFFF"/>
        </w:rPr>
        <w:t>Yuniati, N., (2022). Factors Affecting Buyer Decision on Tourism Business Event.</w:t>
      </w:r>
    </w:p>
    <w:p w:rsidR="006A061C" w:rsidRPr="006A061C" w:rsidRDefault="00A40C50" w:rsidP="006A061C">
      <w:pPr>
        <w:rPr>
          <w:lang w:val="en-US"/>
        </w:rPr>
      </w:pPr>
      <w:r>
        <w:rPr>
          <w:noProof/>
          <w:lang w:val="en-US"/>
        </w:rPr>
        <w:lastRenderedPageBreak/>
        <w:drawing>
          <wp:inline distT="0" distB="0" distL="0" distR="0">
            <wp:extent cx="5943600" cy="33934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93440"/>
                    </a:xfrm>
                    <a:prstGeom prst="rect">
                      <a:avLst/>
                    </a:prstGeom>
                  </pic:spPr>
                </pic:pic>
              </a:graphicData>
            </a:graphic>
          </wp:inline>
        </w:drawing>
      </w:r>
      <w:r w:rsidR="006A061C" w:rsidRPr="006A061C">
        <w:rPr>
          <w:lang w:val="en-US"/>
        </w:rPr>
        <w:br/>
      </w:r>
    </w:p>
    <w:p w:rsidR="00704E21" w:rsidRPr="00704E21" w:rsidRDefault="00704E21" w:rsidP="00590569">
      <w:pPr>
        <w:rPr>
          <w:b/>
        </w:rPr>
      </w:pPr>
    </w:p>
    <w:sectPr w:rsidR="00704E21" w:rsidRPr="00704E21" w:rsidSect="007C6B6A">
      <w:footerReference w:type="default" r:id="rId1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7345F3" w:rsidRDefault="007345F3" w:rsidP="00590569">
      <w:pPr>
        <w:spacing w:after="0" w:line="240" w:lineRule="auto"/>
      </w:pPr>
      <w:r>
        <w:separator/>
      </w:r>
    </w:p>
  </w:endnote>
  <w:endnote w:type="continuationSeparator" w:id="1">
    <w:p w:rsidR="007345F3" w:rsidRDefault="007345F3" w:rsidP="0059056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5359097"/>
      <w:docPartObj>
        <w:docPartGallery w:val="Page Numbers (Bottom of Page)"/>
        <w:docPartUnique/>
      </w:docPartObj>
    </w:sdtPr>
    <w:sdtEndPr>
      <w:rPr>
        <w:noProof/>
      </w:rPr>
    </w:sdtEndPr>
    <w:sdtContent>
      <w:p w:rsidR="00590569" w:rsidRDefault="007C6B6A">
        <w:pPr>
          <w:pStyle w:val="Footer"/>
          <w:jc w:val="center"/>
        </w:pPr>
        <w:r>
          <w:fldChar w:fldCharType="begin"/>
        </w:r>
        <w:r w:rsidR="00590569">
          <w:instrText xml:space="preserve"> PAGE   \* MERGEFORMAT </w:instrText>
        </w:r>
        <w:r>
          <w:fldChar w:fldCharType="separate"/>
        </w:r>
        <w:r w:rsidR="00F56A1E">
          <w:rPr>
            <w:noProof/>
          </w:rPr>
          <w:t>1</w:t>
        </w:r>
        <w:r>
          <w:rPr>
            <w:noProof/>
          </w:rPr>
          <w:fldChar w:fldCharType="end"/>
        </w:r>
      </w:p>
    </w:sdtContent>
  </w:sdt>
  <w:p w:rsidR="00590569" w:rsidRDefault="0059056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7345F3" w:rsidRDefault="007345F3" w:rsidP="00590569">
      <w:pPr>
        <w:spacing w:after="0" w:line="240" w:lineRule="auto"/>
      </w:pPr>
      <w:r>
        <w:separator/>
      </w:r>
    </w:p>
  </w:footnote>
  <w:footnote w:type="continuationSeparator" w:id="1">
    <w:p w:rsidR="007345F3" w:rsidRDefault="007345F3" w:rsidP="0059056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886F20"/>
    <w:rsid w:val="00016B9C"/>
    <w:rsid w:val="00042E54"/>
    <w:rsid w:val="00043D52"/>
    <w:rsid w:val="00071ED3"/>
    <w:rsid w:val="00083C7E"/>
    <w:rsid w:val="00123DA7"/>
    <w:rsid w:val="001253A3"/>
    <w:rsid w:val="00195033"/>
    <w:rsid w:val="001F44BE"/>
    <w:rsid w:val="002D12B8"/>
    <w:rsid w:val="00341724"/>
    <w:rsid w:val="00360457"/>
    <w:rsid w:val="00361C43"/>
    <w:rsid w:val="00392C45"/>
    <w:rsid w:val="003D2CFC"/>
    <w:rsid w:val="00403F4A"/>
    <w:rsid w:val="00441356"/>
    <w:rsid w:val="004707F5"/>
    <w:rsid w:val="004D4CE6"/>
    <w:rsid w:val="00515034"/>
    <w:rsid w:val="005471CC"/>
    <w:rsid w:val="00590569"/>
    <w:rsid w:val="006A061C"/>
    <w:rsid w:val="006B3FBB"/>
    <w:rsid w:val="00704E21"/>
    <w:rsid w:val="007345F3"/>
    <w:rsid w:val="00747F26"/>
    <w:rsid w:val="00753775"/>
    <w:rsid w:val="007C6B6A"/>
    <w:rsid w:val="00815164"/>
    <w:rsid w:val="008520A9"/>
    <w:rsid w:val="008773CB"/>
    <w:rsid w:val="00886F20"/>
    <w:rsid w:val="008D1FAE"/>
    <w:rsid w:val="0096278D"/>
    <w:rsid w:val="00A15A99"/>
    <w:rsid w:val="00A32E24"/>
    <w:rsid w:val="00A40C50"/>
    <w:rsid w:val="00A515F2"/>
    <w:rsid w:val="00AE33CE"/>
    <w:rsid w:val="00B807D6"/>
    <w:rsid w:val="00CC285D"/>
    <w:rsid w:val="00CD633C"/>
    <w:rsid w:val="00D22CF6"/>
    <w:rsid w:val="00D32B78"/>
    <w:rsid w:val="00D91ED1"/>
    <w:rsid w:val="00DA2D78"/>
    <w:rsid w:val="00DC340A"/>
    <w:rsid w:val="00DD284D"/>
    <w:rsid w:val="00EF20CA"/>
    <w:rsid w:val="00F070A7"/>
    <w:rsid w:val="00F220D1"/>
    <w:rsid w:val="00F56A1E"/>
    <w:rsid w:val="00F86E63"/>
    <w:rsid w:val="00FC6C8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3FBB"/>
    <w:pPr>
      <w:spacing w:after="20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qFormat/>
    <w:rsid w:val="00CD633C"/>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95033"/>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15034"/>
    <w:pPr>
      <w:keepNext/>
      <w:keepLines/>
      <w:spacing w:before="40" w:after="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4707F5"/>
    <w:pPr>
      <w:keepNext/>
      <w:keepLines/>
      <w:spacing w:before="40" w:after="0"/>
      <w:outlineLvl w:val="3"/>
    </w:pPr>
    <w:rPr>
      <w:rFonts w:eastAsiaTheme="majorEastAsia" w:cstheme="majorBidi"/>
      <w:i/>
      <w:iCs/>
      <w:color w:val="2E74B5" w:themeColor="accent1" w:themeShade="BF"/>
      <w:kern w:val="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D633C"/>
    <w:rPr>
      <w:rFonts w:ascii="Times New Roman" w:eastAsiaTheme="majorEastAsia" w:hAnsi="Times New Roman" w:cstheme="majorBidi"/>
      <w:b/>
      <w:sz w:val="28"/>
      <w:szCs w:val="40"/>
      <w:lang w:val="en-GB"/>
    </w:rPr>
  </w:style>
  <w:style w:type="character" w:customStyle="1" w:styleId="Heading4Char">
    <w:name w:val="Heading 4 Char"/>
    <w:basedOn w:val="DefaultParagraphFont"/>
    <w:link w:val="Heading4"/>
    <w:uiPriority w:val="9"/>
    <w:rsid w:val="004707F5"/>
    <w:rPr>
      <w:rFonts w:ascii="Times New Roman" w:eastAsiaTheme="majorEastAsia" w:hAnsi="Times New Roman" w:cstheme="majorBidi"/>
      <w:i/>
      <w:iCs/>
      <w:color w:val="2E74B5" w:themeColor="accent1" w:themeShade="BF"/>
      <w:kern w:val="2"/>
      <w:sz w:val="24"/>
      <w:lang w:val="en-GB"/>
    </w:rPr>
  </w:style>
  <w:style w:type="character" w:customStyle="1" w:styleId="Heading2Char">
    <w:name w:val="Heading 2 Char"/>
    <w:basedOn w:val="DefaultParagraphFont"/>
    <w:link w:val="Heading2"/>
    <w:uiPriority w:val="9"/>
    <w:rsid w:val="0019503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15034"/>
    <w:rPr>
      <w:rFonts w:ascii="Times New Roman" w:eastAsiaTheme="majorEastAsia" w:hAnsi="Times New Roman" w:cstheme="majorBidi"/>
      <w:b/>
      <w:color w:val="000000" w:themeColor="text1"/>
      <w:sz w:val="24"/>
      <w:szCs w:val="24"/>
      <w:lang w:val="en-GB"/>
    </w:rPr>
  </w:style>
  <w:style w:type="character" w:styleId="Strong">
    <w:name w:val="Strong"/>
    <w:basedOn w:val="DefaultParagraphFont"/>
    <w:uiPriority w:val="22"/>
    <w:qFormat/>
    <w:rsid w:val="00B807D6"/>
    <w:rPr>
      <w:b/>
      <w:bCs/>
    </w:rPr>
  </w:style>
  <w:style w:type="table" w:styleId="TableGrid">
    <w:name w:val="Table Grid"/>
    <w:basedOn w:val="TableNormal"/>
    <w:uiPriority w:val="39"/>
    <w:rsid w:val="00D32B7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360457"/>
    <w:pPr>
      <w:spacing w:before="240" w:after="0" w:line="259" w:lineRule="auto"/>
      <w:jc w:val="left"/>
      <w:outlineLvl w:val="9"/>
    </w:pPr>
    <w:rPr>
      <w:rFonts w:asciiTheme="majorHAnsi" w:hAnsiTheme="majorHAnsi"/>
      <w:b w:val="0"/>
      <w:color w:val="2E74B5" w:themeColor="accent1" w:themeShade="BF"/>
      <w:sz w:val="32"/>
      <w:szCs w:val="32"/>
      <w:lang w:val="en-US"/>
    </w:rPr>
  </w:style>
  <w:style w:type="paragraph" w:styleId="TOC1">
    <w:name w:val="toc 1"/>
    <w:basedOn w:val="Normal"/>
    <w:next w:val="Normal"/>
    <w:autoRedefine/>
    <w:uiPriority w:val="39"/>
    <w:unhideWhenUsed/>
    <w:rsid w:val="00360457"/>
    <w:pPr>
      <w:spacing w:after="100"/>
    </w:pPr>
  </w:style>
  <w:style w:type="paragraph" w:styleId="TOC2">
    <w:name w:val="toc 2"/>
    <w:basedOn w:val="Normal"/>
    <w:next w:val="Normal"/>
    <w:autoRedefine/>
    <w:uiPriority w:val="39"/>
    <w:unhideWhenUsed/>
    <w:rsid w:val="00360457"/>
    <w:pPr>
      <w:spacing w:after="100"/>
      <w:ind w:left="240"/>
    </w:pPr>
  </w:style>
  <w:style w:type="character" w:styleId="Hyperlink">
    <w:name w:val="Hyperlink"/>
    <w:basedOn w:val="DefaultParagraphFont"/>
    <w:uiPriority w:val="99"/>
    <w:unhideWhenUsed/>
    <w:rsid w:val="00360457"/>
    <w:rPr>
      <w:color w:val="0563C1" w:themeColor="hyperlink"/>
      <w:u w:val="single"/>
    </w:rPr>
  </w:style>
  <w:style w:type="paragraph" w:styleId="Header">
    <w:name w:val="header"/>
    <w:basedOn w:val="Normal"/>
    <w:link w:val="HeaderChar"/>
    <w:uiPriority w:val="99"/>
    <w:unhideWhenUsed/>
    <w:rsid w:val="005905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590569"/>
    <w:rPr>
      <w:rFonts w:ascii="Times New Roman" w:hAnsi="Times New Roman" w:cs="Times New Roman"/>
      <w:sz w:val="24"/>
      <w:szCs w:val="20"/>
      <w:lang w:val="en-GB"/>
    </w:rPr>
  </w:style>
  <w:style w:type="paragraph" w:styleId="Footer">
    <w:name w:val="footer"/>
    <w:basedOn w:val="Normal"/>
    <w:link w:val="FooterChar"/>
    <w:uiPriority w:val="99"/>
    <w:unhideWhenUsed/>
    <w:rsid w:val="005905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590569"/>
    <w:rPr>
      <w:rFonts w:ascii="Times New Roman" w:hAnsi="Times New Roman" w:cs="Times New Roman"/>
      <w:sz w:val="24"/>
      <w:szCs w:val="20"/>
      <w:lang w:val="en-GB"/>
    </w:rPr>
  </w:style>
  <w:style w:type="paragraph" w:styleId="BalloonText">
    <w:name w:val="Balloon Text"/>
    <w:basedOn w:val="Normal"/>
    <w:link w:val="BalloonTextChar"/>
    <w:uiPriority w:val="99"/>
    <w:semiHidden/>
    <w:unhideWhenUsed/>
    <w:rsid w:val="00F56A1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6A1E"/>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57821475">
      <w:bodyDiv w:val="1"/>
      <w:marLeft w:val="0"/>
      <w:marRight w:val="0"/>
      <w:marTop w:val="0"/>
      <w:marBottom w:val="0"/>
      <w:divBdr>
        <w:top w:val="none" w:sz="0" w:space="0" w:color="auto"/>
        <w:left w:val="none" w:sz="0" w:space="0" w:color="auto"/>
        <w:bottom w:val="none" w:sz="0" w:space="0" w:color="auto"/>
        <w:right w:val="none" w:sz="0" w:space="0" w:color="auto"/>
      </w:divBdr>
    </w:div>
    <w:div w:id="328602512">
      <w:bodyDiv w:val="1"/>
      <w:marLeft w:val="0"/>
      <w:marRight w:val="0"/>
      <w:marTop w:val="0"/>
      <w:marBottom w:val="0"/>
      <w:divBdr>
        <w:top w:val="none" w:sz="0" w:space="0" w:color="auto"/>
        <w:left w:val="none" w:sz="0" w:space="0" w:color="auto"/>
        <w:bottom w:val="none" w:sz="0" w:space="0" w:color="auto"/>
        <w:right w:val="none" w:sz="0" w:space="0" w:color="auto"/>
      </w:divBdr>
    </w:div>
    <w:div w:id="778984521">
      <w:bodyDiv w:val="1"/>
      <w:marLeft w:val="0"/>
      <w:marRight w:val="0"/>
      <w:marTop w:val="0"/>
      <w:marBottom w:val="0"/>
      <w:divBdr>
        <w:top w:val="none" w:sz="0" w:space="0" w:color="auto"/>
        <w:left w:val="none" w:sz="0" w:space="0" w:color="auto"/>
        <w:bottom w:val="none" w:sz="0" w:space="0" w:color="auto"/>
        <w:right w:val="none" w:sz="0" w:space="0" w:color="auto"/>
      </w:divBdr>
    </w:div>
    <w:div w:id="1105538725">
      <w:bodyDiv w:val="1"/>
      <w:marLeft w:val="0"/>
      <w:marRight w:val="0"/>
      <w:marTop w:val="0"/>
      <w:marBottom w:val="0"/>
      <w:divBdr>
        <w:top w:val="none" w:sz="0" w:space="0" w:color="auto"/>
        <w:left w:val="none" w:sz="0" w:space="0" w:color="auto"/>
        <w:bottom w:val="none" w:sz="0" w:space="0" w:color="auto"/>
        <w:right w:val="none" w:sz="0" w:space="0" w:color="auto"/>
      </w:divBdr>
    </w:div>
    <w:div w:id="1177572866">
      <w:bodyDiv w:val="1"/>
      <w:marLeft w:val="0"/>
      <w:marRight w:val="0"/>
      <w:marTop w:val="0"/>
      <w:marBottom w:val="0"/>
      <w:divBdr>
        <w:top w:val="none" w:sz="0" w:space="0" w:color="auto"/>
        <w:left w:val="none" w:sz="0" w:space="0" w:color="auto"/>
        <w:bottom w:val="none" w:sz="0" w:space="0" w:color="auto"/>
        <w:right w:val="none" w:sz="0" w:space="0" w:color="auto"/>
      </w:divBdr>
    </w:div>
    <w:div w:id="1572275212">
      <w:bodyDiv w:val="1"/>
      <w:marLeft w:val="0"/>
      <w:marRight w:val="0"/>
      <w:marTop w:val="0"/>
      <w:marBottom w:val="0"/>
      <w:divBdr>
        <w:top w:val="none" w:sz="0" w:space="0" w:color="auto"/>
        <w:left w:val="none" w:sz="0" w:space="0" w:color="auto"/>
        <w:bottom w:val="none" w:sz="0" w:space="0" w:color="auto"/>
        <w:right w:val="none" w:sz="0" w:space="0" w:color="auto"/>
      </w:divBdr>
    </w:div>
    <w:div w:id="2074697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8BC05-285F-47D2-ACB6-4E6B216B3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TotalTime>
  <Pages>1</Pages>
  <Words>2815</Words>
  <Characters>16049</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Lapaid</dc:creator>
  <cp:keywords/>
  <dc:description/>
  <cp:lastModifiedBy>owner</cp:lastModifiedBy>
  <cp:revision>35</cp:revision>
  <dcterms:created xsi:type="dcterms:W3CDTF">2024-05-02T05:30:00Z</dcterms:created>
  <dcterms:modified xsi:type="dcterms:W3CDTF">2024-05-09T00:33:00Z</dcterms:modified>
</cp:coreProperties>
</file>