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DBEF89" w14:textId="197DD5FE" w:rsidR="00125AAD" w:rsidRDefault="00420076" w:rsidP="00420076">
      <w:pPr>
        <w:jc w:val="center"/>
        <w:rPr>
          <w:rFonts w:ascii="Bell MT" w:hAnsi="Bell MT"/>
          <w:b/>
          <w:bCs/>
          <w:i/>
          <w:iCs/>
          <w:sz w:val="96"/>
          <w:szCs w:val="96"/>
        </w:rPr>
      </w:pPr>
      <w:r>
        <w:rPr>
          <w:noProof/>
        </w:rPr>
        <w:drawing>
          <wp:anchor distT="0" distB="0" distL="114300" distR="114300" simplePos="0" relativeHeight="251658240" behindDoc="0" locked="0" layoutInCell="1" allowOverlap="1" wp14:anchorId="0234C500" wp14:editId="64A91853">
            <wp:simplePos x="2312670" y="914400"/>
            <wp:positionH relativeFrom="margin">
              <wp:align>left</wp:align>
            </wp:positionH>
            <wp:positionV relativeFrom="margin">
              <wp:align>top</wp:align>
            </wp:positionV>
            <wp:extent cx="2853690" cy="1899285"/>
            <wp:effectExtent l="19050" t="0" r="22860" b="577215"/>
            <wp:wrapSquare wrapText="bothSides"/>
            <wp:docPr id="1" name="Picture 1" descr="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with medium confidence"/>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864238" cy="1906826"/>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margin">
              <wp14:pctWidth>0</wp14:pctWidth>
            </wp14:sizeRelH>
            <wp14:sizeRelV relativeFrom="margin">
              <wp14:pctHeight>0</wp14:pctHeight>
            </wp14:sizeRelV>
          </wp:anchor>
        </w:drawing>
      </w:r>
      <w:r>
        <w:rPr>
          <w:b/>
          <w:bCs/>
          <w:i/>
          <w:iCs/>
          <w:sz w:val="96"/>
          <w:szCs w:val="96"/>
        </w:rPr>
        <w:t xml:space="preserve"> </w:t>
      </w:r>
      <w:r w:rsidRPr="00420076">
        <w:rPr>
          <w:rFonts w:ascii="Bell MT" w:hAnsi="Bell MT"/>
          <w:b/>
          <w:bCs/>
          <w:i/>
          <w:iCs/>
          <w:sz w:val="96"/>
          <w:szCs w:val="96"/>
        </w:rPr>
        <w:t>Community Engagement</w:t>
      </w:r>
    </w:p>
    <w:p w14:paraId="269D3D1D" w14:textId="77777777" w:rsidR="00420076" w:rsidRDefault="00420076" w:rsidP="00420076">
      <w:pPr>
        <w:rPr>
          <w:rFonts w:ascii="Bell MT" w:hAnsi="Bell MT"/>
          <w:b/>
          <w:bCs/>
          <w:i/>
          <w:iCs/>
          <w:sz w:val="72"/>
          <w:szCs w:val="72"/>
        </w:rPr>
      </w:pPr>
    </w:p>
    <w:p w14:paraId="0B872E1E" w14:textId="7298C22A" w:rsidR="00420076" w:rsidRDefault="00420076" w:rsidP="00420076">
      <w:pPr>
        <w:rPr>
          <w:rFonts w:ascii="Bell MT" w:hAnsi="Bell MT"/>
          <w:i/>
          <w:iCs/>
          <w:sz w:val="56"/>
          <w:szCs w:val="56"/>
        </w:rPr>
      </w:pPr>
      <w:r w:rsidRPr="00420076">
        <w:rPr>
          <w:rFonts w:ascii="Bell MT" w:hAnsi="Bell MT"/>
          <w:b/>
          <w:bCs/>
          <w:i/>
          <w:iCs/>
          <w:sz w:val="56"/>
          <w:szCs w:val="56"/>
        </w:rPr>
        <w:t>Module</w:t>
      </w:r>
      <w:r>
        <w:rPr>
          <w:rFonts w:ascii="Bell MT" w:hAnsi="Bell MT"/>
          <w:b/>
          <w:bCs/>
          <w:i/>
          <w:iCs/>
          <w:sz w:val="56"/>
          <w:szCs w:val="56"/>
        </w:rPr>
        <w:t xml:space="preserve">: </w:t>
      </w:r>
      <w:r w:rsidRPr="00420076">
        <w:rPr>
          <w:rFonts w:ascii="Bell MT" w:hAnsi="Bell MT"/>
          <w:i/>
          <w:iCs/>
          <w:sz w:val="56"/>
          <w:szCs w:val="56"/>
        </w:rPr>
        <w:t>Community Engagement</w:t>
      </w:r>
    </w:p>
    <w:p w14:paraId="695DB413" w14:textId="50A1FEA6" w:rsidR="00420076" w:rsidRDefault="00420076" w:rsidP="00420076">
      <w:pPr>
        <w:rPr>
          <w:rFonts w:ascii="Bell MT" w:hAnsi="Bell MT"/>
          <w:i/>
          <w:iCs/>
          <w:sz w:val="56"/>
          <w:szCs w:val="56"/>
        </w:rPr>
      </w:pPr>
      <w:r w:rsidRPr="00420076">
        <w:rPr>
          <w:rFonts w:ascii="Bell MT" w:hAnsi="Bell MT"/>
          <w:b/>
          <w:bCs/>
          <w:i/>
          <w:iCs/>
          <w:sz w:val="56"/>
          <w:szCs w:val="56"/>
        </w:rPr>
        <w:t>Code</w:t>
      </w:r>
      <w:r>
        <w:rPr>
          <w:rFonts w:ascii="Bell MT" w:hAnsi="Bell MT"/>
          <w:b/>
          <w:bCs/>
          <w:i/>
          <w:iCs/>
          <w:sz w:val="56"/>
          <w:szCs w:val="56"/>
        </w:rPr>
        <w:t xml:space="preserve">: </w:t>
      </w:r>
      <w:r w:rsidRPr="00420076">
        <w:rPr>
          <w:rFonts w:ascii="Bell MT" w:hAnsi="Bell MT"/>
          <w:i/>
          <w:iCs/>
          <w:sz w:val="56"/>
          <w:szCs w:val="56"/>
        </w:rPr>
        <w:t>LCBB</w:t>
      </w:r>
      <w:r>
        <w:rPr>
          <w:rFonts w:ascii="Bell MT" w:hAnsi="Bell MT"/>
          <w:i/>
          <w:iCs/>
          <w:sz w:val="56"/>
          <w:szCs w:val="56"/>
        </w:rPr>
        <w:t>4002</w:t>
      </w:r>
    </w:p>
    <w:p w14:paraId="71B2FBDF" w14:textId="3E4A78D9" w:rsidR="00420076" w:rsidRDefault="00420076" w:rsidP="00420076">
      <w:pPr>
        <w:rPr>
          <w:rFonts w:ascii="Bell MT" w:hAnsi="Bell MT"/>
          <w:i/>
          <w:iCs/>
          <w:sz w:val="56"/>
          <w:szCs w:val="56"/>
        </w:rPr>
      </w:pPr>
      <w:r w:rsidRPr="00420076">
        <w:rPr>
          <w:rFonts w:ascii="Bell MT" w:hAnsi="Bell MT"/>
          <w:b/>
          <w:bCs/>
          <w:i/>
          <w:iCs/>
          <w:sz w:val="56"/>
          <w:szCs w:val="56"/>
        </w:rPr>
        <w:t>Lecturer</w:t>
      </w:r>
      <w:r>
        <w:rPr>
          <w:rFonts w:ascii="Bell MT" w:hAnsi="Bell MT"/>
          <w:b/>
          <w:bCs/>
          <w:i/>
          <w:iCs/>
          <w:sz w:val="56"/>
          <w:szCs w:val="56"/>
        </w:rPr>
        <w:t xml:space="preserve">: </w:t>
      </w:r>
      <w:r w:rsidRPr="00420076">
        <w:rPr>
          <w:rFonts w:ascii="Bell MT" w:hAnsi="Bell MT"/>
          <w:i/>
          <w:iCs/>
          <w:sz w:val="56"/>
          <w:szCs w:val="56"/>
        </w:rPr>
        <w:t>Anita Nan</w:t>
      </w:r>
    </w:p>
    <w:p w14:paraId="4A0AE6DC" w14:textId="0F70BA6D" w:rsidR="00420076" w:rsidRDefault="00420076" w:rsidP="00420076">
      <w:pPr>
        <w:rPr>
          <w:rFonts w:ascii="Bell MT" w:hAnsi="Bell MT"/>
          <w:i/>
          <w:iCs/>
          <w:sz w:val="56"/>
          <w:szCs w:val="56"/>
        </w:rPr>
      </w:pPr>
      <w:r w:rsidRPr="00420076">
        <w:rPr>
          <w:rFonts w:ascii="Bell MT" w:hAnsi="Bell MT"/>
          <w:b/>
          <w:bCs/>
          <w:i/>
          <w:iCs/>
          <w:sz w:val="56"/>
          <w:szCs w:val="56"/>
        </w:rPr>
        <w:t>Name</w:t>
      </w:r>
      <w:r>
        <w:rPr>
          <w:rFonts w:ascii="Bell MT" w:hAnsi="Bell MT"/>
          <w:b/>
          <w:bCs/>
          <w:i/>
          <w:iCs/>
          <w:sz w:val="56"/>
          <w:szCs w:val="56"/>
        </w:rPr>
        <w:t xml:space="preserve">: </w:t>
      </w:r>
      <w:r w:rsidRPr="00420076">
        <w:rPr>
          <w:rFonts w:ascii="Bell MT" w:hAnsi="Bell MT"/>
          <w:i/>
          <w:iCs/>
          <w:sz w:val="56"/>
          <w:szCs w:val="56"/>
        </w:rPr>
        <w:t>Mirena Terzieva</w:t>
      </w:r>
    </w:p>
    <w:p w14:paraId="72AC9839" w14:textId="0AB88954" w:rsidR="00850F0D" w:rsidRDefault="00850F0D" w:rsidP="00420076">
      <w:pPr>
        <w:rPr>
          <w:rFonts w:ascii="Bell MT" w:hAnsi="Bell MT"/>
          <w:i/>
          <w:iCs/>
          <w:sz w:val="56"/>
          <w:szCs w:val="56"/>
        </w:rPr>
      </w:pPr>
      <w:r w:rsidRPr="00850F0D">
        <w:rPr>
          <w:rFonts w:ascii="Bell MT" w:hAnsi="Bell MT"/>
          <w:b/>
          <w:bCs/>
          <w:i/>
          <w:iCs/>
          <w:sz w:val="56"/>
          <w:szCs w:val="56"/>
        </w:rPr>
        <w:t>Student ID</w:t>
      </w:r>
      <w:r>
        <w:rPr>
          <w:rFonts w:ascii="Bell MT" w:hAnsi="Bell MT"/>
          <w:b/>
          <w:bCs/>
          <w:i/>
          <w:iCs/>
          <w:sz w:val="56"/>
          <w:szCs w:val="56"/>
        </w:rPr>
        <w:t xml:space="preserve">: </w:t>
      </w:r>
      <w:r w:rsidRPr="00850F0D">
        <w:rPr>
          <w:rFonts w:ascii="Bell MT" w:hAnsi="Bell MT"/>
          <w:i/>
          <w:iCs/>
          <w:sz w:val="56"/>
          <w:szCs w:val="56"/>
        </w:rPr>
        <w:t>2130468</w:t>
      </w:r>
    </w:p>
    <w:p w14:paraId="64792132" w14:textId="15FB7886" w:rsidR="00850F0D" w:rsidRDefault="00850F0D" w:rsidP="00420076">
      <w:pPr>
        <w:rPr>
          <w:rFonts w:ascii="Bell MT" w:hAnsi="Bell MT"/>
          <w:i/>
          <w:iCs/>
          <w:sz w:val="56"/>
          <w:szCs w:val="56"/>
        </w:rPr>
      </w:pPr>
    </w:p>
    <w:p w14:paraId="559E2CCE" w14:textId="6476AF53" w:rsidR="00850F0D" w:rsidRDefault="00850F0D" w:rsidP="00850F0D">
      <w:pPr>
        <w:jc w:val="right"/>
        <w:rPr>
          <w:rFonts w:ascii="Bell MT" w:hAnsi="Bell MT"/>
          <w:b/>
          <w:bCs/>
          <w:i/>
          <w:iCs/>
          <w:sz w:val="56"/>
          <w:szCs w:val="56"/>
        </w:rPr>
      </w:pPr>
      <w:r w:rsidRPr="00850F0D">
        <w:rPr>
          <w:rFonts w:ascii="Bell MT" w:hAnsi="Bell MT"/>
          <w:b/>
          <w:bCs/>
          <w:i/>
          <w:iCs/>
          <w:sz w:val="56"/>
          <w:szCs w:val="56"/>
        </w:rPr>
        <w:t xml:space="preserve">Submitted on the </w:t>
      </w:r>
      <w:r w:rsidR="00897940">
        <w:rPr>
          <w:rFonts w:ascii="Bell MT" w:hAnsi="Bell MT"/>
          <w:b/>
          <w:bCs/>
          <w:i/>
          <w:iCs/>
          <w:sz w:val="56"/>
          <w:szCs w:val="56"/>
        </w:rPr>
        <w:t>29</w:t>
      </w:r>
      <w:r w:rsidRPr="00850F0D">
        <w:rPr>
          <w:rFonts w:ascii="Bell MT" w:hAnsi="Bell MT"/>
          <w:b/>
          <w:bCs/>
          <w:i/>
          <w:iCs/>
          <w:sz w:val="56"/>
          <w:szCs w:val="56"/>
        </w:rPr>
        <w:t xml:space="preserve"> November</w:t>
      </w:r>
    </w:p>
    <w:p w14:paraId="565BD719" w14:textId="77777777" w:rsidR="00850F0D" w:rsidRPr="00850F0D" w:rsidRDefault="00850F0D" w:rsidP="00850F0D">
      <w:pPr>
        <w:pStyle w:val="ContentsHeading"/>
        <w:pageBreakBefore/>
        <w:rPr>
          <w:sz w:val="40"/>
          <w:szCs w:val="40"/>
        </w:rPr>
      </w:pPr>
      <w:r w:rsidRPr="00850F0D">
        <w:rPr>
          <w:sz w:val="40"/>
          <w:szCs w:val="40"/>
        </w:rPr>
        <w:lastRenderedPageBreak/>
        <w:t>Table of Contents</w:t>
      </w:r>
    </w:p>
    <w:p w14:paraId="1C57C921" w14:textId="029B1C55" w:rsidR="00850F0D" w:rsidRDefault="00850F0D" w:rsidP="00850F0D">
      <w:pPr>
        <w:pStyle w:val="TOC1"/>
        <w:rPr>
          <w:rFonts w:ascii="Calibri" w:eastAsia="Times New Roman" w:hAnsi="Calibri" w:cs="Times New Roman"/>
          <w:noProof/>
          <w:color w:val="auto"/>
          <w:sz w:val="22"/>
          <w:lang w:val="en-US" w:eastAsia="en-US"/>
        </w:rPr>
      </w:pPr>
      <w:r>
        <w:fldChar w:fldCharType="begin"/>
      </w:r>
      <w:r>
        <w:instrText xml:space="preserve"> TOC \f \o "1-9" \o "1-9" </w:instrText>
      </w:r>
      <w:r>
        <w:fldChar w:fldCharType="separate"/>
      </w:r>
      <w:r>
        <w:rPr>
          <w:noProof/>
        </w:rPr>
        <w:t>INTRODUCTION</w:t>
      </w:r>
      <w:r>
        <w:rPr>
          <w:noProof/>
        </w:rPr>
        <w:tab/>
      </w:r>
      <w:r>
        <w:rPr>
          <w:noProof/>
        </w:rPr>
        <w:fldChar w:fldCharType="begin"/>
      </w:r>
      <w:r>
        <w:rPr>
          <w:noProof/>
        </w:rPr>
        <w:instrText xml:space="preserve"> PAGEREF _Toc99793725 \h </w:instrText>
      </w:r>
      <w:r>
        <w:rPr>
          <w:noProof/>
        </w:rPr>
      </w:r>
      <w:r>
        <w:rPr>
          <w:noProof/>
        </w:rPr>
        <w:fldChar w:fldCharType="separate"/>
      </w:r>
      <w:r w:rsidR="00224E60">
        <w:rPr>
          <w:noProof/>
        </w:rPr>
        <w:t>3</w:t>
      </w:r>
      <w:r>
        <w:rPr>
          <w:noProof/>
        </w:rPr>
        <w:fldChar w:fldCharType="end"/>
      </w:r>
    </w:p>
    <w:p w14:paraId="6ECBB1CE" w14:textId="2A5F43E9" w:rsidR="00850F0D" w:rsidRDefault="00850F0D" w:rsidP="00850F0D">
      <w:pPr>
        <w:pStyle w:val="TOC1"/>
        <w:rPr>
          <w:rFonts w:ascii="Calibri" w:eastAsia="Times New Roman" w:hAnsi="Calibri" w:cs="Times New Roman"/>
          <w:noProof/>
          <w:color w:val="auto"/>
          <w:sz w:val="22"/>
          <w:lang w:val="en-US" w:eastAsia="en-US"/>
        </w:rPr>
      </w:pPr>
      <w:r>
        <w:rPr>
          <w:noProof/>
        </w:rPr>
        <w:t>MAIN BODY</w:t>
      </w:r>
      <w:r>
        <w:rPr>
          <w:noProof/>
        </w:rPr>
        <w:tab/>
      </w:r>
      <w:r>
        <w:rPr>
          <w:noProof/>
        </w:rPr>
        <w:fldChar w:fldCharType="begin"/>
      </w:r>
      <w:r>
        <w:rPr>
          <w:noProof/>
        </w:rPr>
        <w:instrText xml:space="preserve"> PAGEREF _Toc99793726 \h </w:instrText>
      </w:r>
      <w:r>
        <w:rPr>
          <w:noProof/>
        </w:rPr>
      </w:r>
      <w:r>
        <w:rPr>
          <w:noProof/>
        </w:rPr>
        <w:fldChar w:fldCharType="separate"/>
      </w:r>
      <w:r w:rsidR="00224E60">
        <w:rPr>
          <w:noProof/>
        </w:rPr>
        <w:t>3</w:t>
      </w:r>
      <w:r>
        <w:rPr>
          <w:noProof/>
        </w:rPr>
        <w:fldChar w:fldCharType="end"/>
      </w:r>
    </w:p>
    <w:p w14:paraId="17711C3B" w14:textId="27B7A286" w:rsidR="00850F0D" w:rsidRDefault="00850F0D" w:rsidP="00850F0D">
      <w:pPr>
        <w:pStyle w:val="TOC2"/>
        <w:rPr>
          <w:rFonts w:ascii="Calibri" w:eastAsia="Times New Roman" w:hAnsi="Calibri" w:cs="Times New Roman"/>
          <w:noProof/>
          <w:color w:val="auto"/>
          <w:sz w:val="22"/>
          <w:lang w:val="en-US" w:eastAsia="en-US"/>
        </w:rPr>
      </w:pPr>
      <w:r>
        <w:rPr>
          <w:noProof/>
        </w:rPr>
        <w:t>Project or program</w:t>
      </w:r>
      <w:r>
        <w:rPr>
          <w:noProof/>
        </w:rPr>
        <w:tab/>
      </w:r>
      <w:r>
        <w:rPr>
          <w:noProof/>
        </w:rPr>
        <w:fldChar w:fldCharType="begin"/>
      </w:r>
      <w:r>
        <w:rPr>
          <w:noProof/>
        </w:rPr>
        <w:instrText xml:space="preserve"> PAGEREF _Toc99793727 \h </w:instrText>
      </w:r>
      <w:r>
        <w:rPr>
          <w:noProof/>
        </w:rPr>
      </w:r>
      <w:r>
        <w:rPr>
          <w:noProof/>
        </w:rPr>
        <w:fldChar w:fldCharType="separate"/>
      </w:r>
      <w:r w:rsidR="00224E60">
        <w:rPr>
          <w:noProof/>
        </w:rPr>
        <w:t>3</w:t>
      </w:r>
      <w:r>
        <w:rPr>
          <w:noProof/>
        </w:rPr>
        <w:fldChar w:fldCharType="end"/>
      </w:r>
    </w:p>
    <w:p w14:paraId="6954C897" w14:textId="7708A0F2" w:rsidR="00850F0D" w:rsidRDefault="00850F0D" w:rsidP="00850F0D">
      <w:pPr>
        <w:pStyle w:val="TOC2"/>
        <w:rPr>
          <w:rFonts w:ascii="Calibri" w:eastAsia="Times New Roman" w:hAnsi="Calibri" w:cs="Times New Roman"/>
          <w:noProof/>
          <w:color w:val="auto"/>
          <w:sz w:val="22"/>
          <w:lang w:val="en-US" w:eastAsia="en-US"/>
        </w:rPr>
      </w:pPr>
      <w:r>
        <w:rPr>
          <w:noProof/>
        </w:rPr>
        <w:t>Community engagement principles and standards</w:t>
      </w:r>
      <w:r>
        <w:rPr>
          <w:noProof/>
        </w:rPr>
        <w:tab/>
      </w:r>
      <w:r>
        <w:rPr>
          <w:noProof/>
        </w:rPr>
        <w:fldChar w:fldCharType="begin"/>
      </w:r>
      <w:r>
        <w:rPr>
          <w:noProof/>
        </w:rPr>
        <w:instrText xml:space="preserve"> PAGEREF _Toc99793728 \h </w:instrText>
      </w:r>
      <w:r>
        <w:rPr>
          <w:noProof/>
        </w:rPr>
      </w:r>
      <w:r>
        <w:rPr>
          <w:noProof/>
        </w:rPr>
        <w:fldChar w:fldCharType="separate"/>
      </w:r>
      <w:r w:rsidR="00224E60">
        <w:rPr>
          <w:noProof/>
        </w:rPr>
        <w:t>3</w:t>
      </w:r>
      <w:r>
        <w:rPr>
          <w:noProof/>
        </w:rPr>
        <w:fldChar w:fldCharType="end"/>
      </w:r>
    </w:p>
    <w:p w14:paraId="74A03BCB" w14:textId="7E59970F" w:rsidR="00850F0D" w:rsidRDefault="00850F0D" w:rsidP="00850F0D">
      <w:pPr>
        <w:pStyle w:val="TOC2"/>
        <w:rPr>
          <w:rFonts w:ascii="Calibri" w:eastAsia="Times New Roman" w:hAnsi="Calibri" w:cs="Times New Roman"/>
          <w:noProof/>
          <w:color w:val="auto"/>
          <w:sz w:val="22"/>
          <w:lang w:val="en-US" w:eastAsia="en-US"/>
        </w:rPr>
      </w:pPr>
      <w:r>
        <w:rPr>
          <w:noProof/>
        </w:rPr>
        <w:t>Benefits of stakeholder’s participation</w:t>
      </w:r>
      <w:r>
        <w:rPr>
          <w:noProof/>
        </w:rPr>
        <w:tab/>
      </w:r>
      <w:r>
        <w:rPr>
          <w:noProof/>
        </w:rPr>
        <w:fldChar w:fldCharType="begin"/>
      </w:r>
      <w:r>
        <w:rPr>
          <w:noProof/>
        </w:rPr>
        <w:instrText xml:space="preserve"> PAGEREF _Toc99793729 \h </w:instrText>
      </w:r>
      <w:r>
        <w:rPr>
          <w:noProof/>
        </w:rPr>
      </w:r>
      <w:r>
        <w:rPr>
          <w:noProof/>
        </w:rPr>
        <w:fldChar w:fldCharType="separate"/>
      </w:r>
      <w:r w:rsidR="00224E60">
        <w:rPr>
          <w:noProof/>
        </w:rPr>
        <w:t>4</w:t>
      </w:r>
      <w:r>
        <w:rPr>
          <w:noProof/>
        </w:rPr>
        <w:fldChar w:fldCharType="end"/>
      </w:r>
    </w:p>
    <w:p w14:paraId="4222CD03" w14:textId="36DED357" w:rsidR="00850F0D" w:rsidRDefault="00850F0D" w:rsidP="00850F0D">
      <w:pPr>
        <w:pStyle w:val="TOC2"/>
        <w:rPr>
          <w:rFonts w:ascii="Calibri" w:eastAsia="Times New Roman" w:hAnsi="Calibri" w:cs="Times New Roman"/>
          <w:noProof/>
          <w:color w:val="auto"/>
          <w:sz w:val="22"/>
          <w:lang w:val="en-US" w:eastAsia="en-US"/>
        </w:rPr>
      </w:pPr>
      <w:r>
        <w:rPr>
          <w:noProof/>
        </w:rPr>
        <w:t>Engagement with the help of social media</w:t>
      </w:r>
      <w:r>
        <w:rPr>
          <w:noProof/>
        </w:rPr>
        <w:tab/>
      </w:r>
      <w:r>
        <w:rPr>
          <w:noProof/>
        </w:rPr>
        <w:fldChar w:fldCharType="begin"/>
      </w:r>
      <w:r>
        <w:rPr>
          <w:noProof/>
        </w:rPr>
        <w:instrText xml:space="preserve"> PAGEREF _Toc99793730 \h </w:instrText>
      </w:r>
      <w:r>
        <w:rPr>
          <w:noProof/>
        </w:rPr>
      </w:r>
      <w:r>
        <w:rPr>
          <w:noProof/>
        </w:rPr>
        <w:fldChar w:fldCharType="separate"/>
      </w:r>
      <w:r w:rsidR="00224E60">
        <w:rPr>
          <w:noProof/>
        </w:rPr>
        <w:t>4</w:t>
      </w:r>
      <w:r>
        <w:rPr>
          <w:noProof/>
        </w:rPr>
        <w:fldChar w:fldCharType="end"/>
      </w:r>
    </w:p>
    <w:p w14:paraId="4C1FC614" w14:textId="4FA720F0" w:rsidR="00850F0D" w:rsidRDefault="00850F0D" w:rsidP="00850F0D">
      <w:pPr>
        <w:pStyle w:val="TOC2"/>
        <w:rPr>
          <w:rFonts w:ascii="Calibri" w:eastAsia="Times New Roman" w:hAnsi="Calibri" w:cs="Times New Roman"/>
          <w:noProof/>
          <w:color w:val="auto"/>
          <w:sz w:val="22"/>
          <w:lang w:val="en-US" w:eastAsia="en-US"/>
        </w:rPr>
      </w:pPr>
      <w:r>
        <w:rPr>
          <w:noProof/>
        </w:rPr>
        <w:t>Community engagement practitioner needs to adopt a forward-looking approach to educate community members on internal and external factors that influence community development</w:t>
      </w:r>
      <w:r>
        <w:rPr>
          <w:noProof/>
        </w:rPr>
        <w:tab/>
      </w:r>
      <w:r>
        <w:rPr>
          <w:noProof/>
        </w:rPr>
        <w:fldChar w:fldCharType="begin"/>
      </w:r>
      <w:r>
        <w:rPr>
          <w:noProof/>
        </w:rPr>
        <w:instrText xml:space="preserve"> PAGEREF _Toc99793731 \h </w:instrText>
      </w:r>
      <w:r>
        <w:rPr>
          <w:noProof/>
        </w:rPr>
      </w:r>
      <w:r>
        <w:rPr>
          <w:noProof/>
        </w:rPr>
        <w:fldChar w:fldCharType="separate"/>
      </w:r>
      <w:r w:rsidR="00224E60">
        <w:rPr>
          <w:noProof/>
        </w:rPr>
        <w:t>5</w:t>
      </w:r>
      <w:r>
        <w:rPr>
          <w:noProof/>
        </w:rPr>
        <w:fldChar w:fldCharType="end"/>
      </w:r>
    </w:p>
    <w:p w14:paraId="79FECCDF" w14:textId="08ECBC9B" w:rsidR="00850F0D" w:rsidRDefault="00850F0D" w:rsidP="00850F0D">
      <w:pPr>
        <w:pStyle w:val="TOC1"/>
        <w:rPr>
          <w:rFonts w:ascii="Calibri" w:eastAsia="Times New Roman" w:hAnsi="Calibri" w:cs="Times New Roman"/>
          <w:noProof/>
          <w:color w:val="auto"/>
          <w:sz w:val="22"/>
          <w:lang w:val="en-US" w:eastAsia="en-US"/>
        </w:rPr>
      </w:pPr>
      <w:r>
        <w:rPr>
          <w:noProof/>
          <w:shd w:val="clear" w:color="auto" w:fill="FFFFFF"/>
        </w:rPr>
        <w:t>CONCLUSION</w:t>
      </w:r>
      <w:r>
        <w:rPr>
          <w:noProof/>
        </w:rPr>
        <w:tab/>
      </w:r>
      <w:r>
        <w:rPr>
          <w:noProof/>
        </w:rPr>
        <w:fldChar w:fldCharType="begin"/>
      </w:r>
      <w:r>
        <w:rPr>
          <w:noProof/>
        </w:rPr>
        <w:instrText xml:space="preserve"> PAGEREF _Toc99793732 \h </w:instrText>
      </w:r>
      <w:r>
        <w:rPr>
          <w:noProof/>
        </w:rPr>
      </w:r>
      <w:r>
        <w:rPr>
          <w:noProof/>
        </w:rPr>
        <w:fldChar w:fldCharType="separate"/>
      </w:r>
      <w:r w:rsidR="00224E60">
        <w:rPr>
          <w:noProof/>
        </w:rPr>
        <w:t>6</w:t>
      </w:r>
      <w:r>
        <w:rPr>
          <w:noProof/>
        </w:rPr>
        <w:fldChar w:fldCharType="end"/>
      </w:r>
    </w:p>
    <w:p w14:paraId="3F067E86" w14:textId="58344FA6" w:rsidR="00850F0D" w:rsidRDefault="00850F0D" w:rsidP="00850F0D">
      <w:pPr>
        <w:pStyle w:val="TOC1"/>
        <w:rPr>
          <w:rFonts w:ascii="Calibri" w:eastAsia="Times New Roman" w:hAnsi="Calibri" w:cs="Times New Roman"/>
          <w:noProof/>
          <w:color w:val="auto"/>
          <w:sz w:val="22"/>
          <w:lang w:val="en-US" w:eastAsia="en-US"/>
        </w:rPr>
      </w:pPr>
      <w:r>
        <w:rPr>
          <w:noProof/>
        </w:rPr>
        <w:t>REFERENCES:</w:t>
      </w:r>
      <w:r>
        <w:rPr>
          <w:noProof/>
        </w:rPr>
        <w:tab/>
      </w:r>
      <w:r>
        <w:rPr>
          <w:noProof/>
        </w:rPr>
        <w:fldChar w:fldCharType="begin"/>
      </w:r>
      <w:r>
        <w:rPr>
          <w:noProof/>
        </w:rPr>
        <w:instrText xml:space="preserve"> PAGEREF _Toc99793733 \h </w:instrText>
      </w:r>
      <w:r>
        <w:rPr>
          <w:noProof/>
        </w:rPr>
      </w:r>
      <w:r>
        <w:rPr>
          <w:noProof/>
        </w:rPr>
        <w:fldChar w:fldCharType="separate"/>
      </w:r>
      <w:r w:rsidR="00224E60">
        <w:rPr>
          <w:noProof/>
        </w:rPr>
        <w:t>7</w:t>
      </w:r>
      <w:r>
        <w:rPr>
          <w:noProof/>
        </w:rPr>
        <w:fldChar w:fldCharType="end"/>
      </w:r>
    </w:p>
    <w:p w14:paraId="7730A9BA" w14:textId="634924C8" w:rsidR="00850F0D" w:rsidRDefault="00850F0D" w:rsidP="00850F0D">
      <w:pPr>
        <w:pStyle w:val="TOC2"/>
        <w:rPr>
          <w:rFonts w:ascii="Calibri" w:eastAsia="Times New Roman" w:hAnsi="Calibri" w:cs="Times New Roman"/>
          <w:noProof/>
          <w:color w:val="auto"/>
          <w:sz w:val="22"/>
          <w:lang w:val="en-US" w:eastAsia="en-US"/>
        </w:rPr>
      </w:pPr>
      <w:r>
        <w:rPr>
          <w:noProof/>
        </w:rPr>
        <w:t>Books and Journals</w:t>
      </w:r>
      <w:r>
        <w:rPr>
          <w:noProof/>
        </w:rPr>
        <w:tab/>
      </w:r>
      <w:r>
        <w:rPr>
          <w:noProof/>
        </w:rPr>
        <w:fldChar w:fldCharType="begin"/>
      </w:r>
      <w:r>
        <w:rPr>
          <w:noProof/>
        </w:rPr>
        <w:instrText xml:space="preserve"> PAGEREF _Toc99793734 \h </w:instrText>
      </w:r>
      <w:r>
        <w:rPr>
          <w:noProof/>
        </w:rPr>
      </w:r>
      <w:r>
        <w:rPr>
          <w:noProof/>
        </w:rPr>
        <w:fldChar w:fldCharType="separate"/>
      </w:r>
      <w:r w:rsidR="00224E60">
        <w:rPr>
          <w:noProof/>
        </w:rPr>
        <w:t>7</w:t>
      </w:r>
      <w:r>
        <w:rPr>
          <w:noProof/>
        </w:rPr>
        <w:fldChar w:fldCharType="end"/>
      </w:r>
    </w:p>
    <w:p w14:paraId="1084747E" w14:textId="533707BE" w:rsidR="00850F0D" w:rsidRDefault="00850F0D" w:rsidP="00850F0D">
      <w:pPr>
        <w:pStyle w:val="Heading1"/>
        <w:pageBreakBefore/>
        <w:numPr>
          <w:ilvl w:val="0"/>
          <w:numId w:val="0"/>
        </w:numPr>
        <w:tabs>
          <w:tab w:val="left" w:pos="720"/>
        </w:tabs>
      </w:pPr>
      <w:r>
        <w:lastRenderedPageBreak/>
        <w:fldChar w:fldCharType="end"/>
      </w:r>
      <w:bookmarkStart w:id="0" w:name="_Toc99793725"/>
      <w:r w:rsidRPr="00850F0D">
        <w:t xml:space="preserve"> </w:t>
      </w:r>
      <w:r>
        <w:t>INTRODUCTION</w:t>
      </w:r>
      <w:bookmarkEnd w:id="0"/>
    </w:p>
    <w:p w14:paraId="4475C550" w14:textId="33AE769C" w:rsidR="00850F0D" w:rsidRPr="00850F0D" w:rsidRDefault="00850F0D" w:rsidP="00850F0D">
      <w:r w:rsidRPr="00850F0D">
        <w:t>Community engagement means to functioning in the team for the betterment of the community . In addition to this it basically includes assistance as well as efforts of various of the people in accordance to the people that are having similar interest demographic separations as well as same circumstance and specific mindset so that people can assist the individuals that are basically suffering from any type of issue or the difficulty . This also enhances the level of communication among the individuals as well as with the business and also several different types of the members of the society. Engagement of the community provides support in making several alteration that can give the outcome in the appropriate community . The following report is based on the Age UK that is known to be the leading charity organization which was basically founded in the year 2009 and the organization is having their headquarters in London United Kingdom(Song, and et.al., 2022) . The organization is known to be one of the largest charitable trust that was basically formed in order to assist the old age individuals . Moreover to this it will also cover about the narration of the evaluation as well as determination of several different suitable activities and the description of the programs as well as projects on the engagement of the society principle and advantages of the stakeholders. In addition to this the following report will also involves on how the accounts of social media can utilized in order to outreach the assistance of the specific project and several different relevant avenues in order to advertise the participation of community collaboration in order to support multiculturalism as well as social culturalism interaction and in integration.</w:t>
      </w:r>
    </w:p>
    <w:p w14:paraId="6AFB5826" w14:textId="77777777" w:rsidR="00850F0D" w:rsidRDefault="00850F0D" w:rsidP="00850F0D">
      <w:pPr>
        <w:pStyle w:val="Heading1"/>
        <w:numPr>
          <w:ilvl w:val="0"/>
          <w:numId w:val="1"/>
        </w:numPr>
      </w:pPr>
      <w:bookmarkStart w:id="1" w:name="_Toc99793726"/>
      <w:r>
        <w:t>MAIN BODY</w:t>
      </w:r>
      <w:bookmarkEnd w:id="1"/>
    </w:p>
    <w:p w14:paraId="47718FEF" w14:textId="77777777" w:rsidR="00850F0D" w:rsidRDefault="00850F0D" w:rsidP="00850F0D">
      <w:pPr>
        <w:pStyle w:val="Heading2"/>
        <w:numPr>
          <w:ilvl w:val="1"/>
          <w:numId w:val="1"/>
        </w:numPr>
      </w:pPr>
      <w:bookmarkStart w:id="2" w:name="_Toc99793727"/>
      <w:r>
        <w:t>Project or program</w:t>
      </w:r>
      <w:bookmarkEnd w:id="2"/>
    </w:p>
    <w:p w14:paraId="6AABA468" w14:textId="6EF5B33D" w:rsidR="00850F0D" w:rsidRDefault="00850F0D" w:rsidP="00850F0D">
      <w:r>
        <w:t>Age UK strives to improve older people's lives and preserve their level of living in order to disseminate optimism among them. They offer assistance, company, and guidance to older persons who are struggling with life challenges. They provide a number of advantages, including funeral plans, personal alarms, home elevators and stair lifts, legal services, and bathing solutions (Vander</w:t>
      </w:r>
      <w:r>
        <w:t xml:space="preserve"> </w:t>
      </w:r>
      <w:r>
        <w:t xml:space="preserve">Weele, Balboni, and Koh, 2022). Aged UK assists senior citizens in gaining digital skills to make their lives simpler. Because they are autonomous thanks to their technological abilities, they can complete various tasks on their own. They have the ability to engage with one another and freely share their ideas and opinions thanks to digital technologies. With the aid of internet platforms, seniors may amuse themselves and live happier lives. </w:t>
      </w:r>
    </w:p>
    <w:p w14:paraId="55CF08CA" w14:textId="77777777" w:rsidR="00850F0D" w:rsidRDefault="00850F0D" w:rsidP="00850F0D">
      <w:pPr>
        <w:pStyle w:val="Heading2"/>
        <w:numPr>
          <w:ilvl w:val="1"/>
          <w:numId w:val="1"/>
        </w:numPr>
      </w:pPr>
      <w:bookmarkStart w:id="3" w:name="_Toc99793728"/>
      <w:r>
        <w:t>Community engagement principles and standards</w:t>
      </w:r>
      <w:bookmarkEnd w:id="3"/>
    </w:p>
    <w:p w14:paraId="02911384" w14:textId="77777777" w:rsidR="00850F0D" w:rsidRDefault="00850F0D" w:rsidP="00850F0D">
      <w:r>
        <w:tab/>
        <w:t>Elderly UK employs a number of ideas in order to provide users with greater assistance. In order to provide the greatest possible service to the public, this assures the quality and equity of services. The following list includes a few guidelines for community involvement.</w:t>
      </w:r>
    </w:p>
    <w:p w14:paraId="12A6522C" w14:textId="77777777" w:rsidR="00850F0D" w:rsidRDefault="00850F0D" w:rsidP="00850F0D">
      <w:pPr>
        <w:numPr>
          <w:ilvl w:val="0"/>
          <w:numId w:val="2"/>
        </w:numPr>
      </w:pPr>
      <w:r>
        <w:rPr>
          <w:b/>
          <w:bCs/>
        </w:rPr>
        <w:t xml:space="preserve">Careful preparation and planning: </w:t>
      </w:r>
      <w:r>
        <w:t>Organizing effectively enables Elderly UK to guarantee that the needs and desires of senior citizens are fully met. It assists in making clear every action that has to be taken (Rahman, and et.al., 2022).</w:t>
      </w:r>
    </w:p>
    <w:p w14:paraId="11AB23B4" w14:textId="77777777" w:rsidR="00850F0D" w:rsidRDefault="00850F0D" w:rsidP="00850F0D">
      <w:pPr>
        <w:numPr>
          <w:ilvl w:val="0"/>
          <w:numId w:val="2"/>
        </w:numPr>
        <w:rPr>
          <w:b/>
          <w:bCs/>
        </w:rPr>
      </w:pPr>
      <w:r>
        <w:rPr>
          <w:b/>
          <w:bCs/>
        </w:rPr>
        <w:t xml:space="preserve">Openness and learning: </w:t>
      </w:r>
      <w:r>
        <w:t>This allows the unrestricted exchange of opinions so that fresh perspectives may be investigated. Diverse community involvement initiatives may be implemented with the help from new knowledge.</w:t>
      </w:r>
    </w:p>
    <w:p w14:paraId="6D855FF8" w14:textId="77777777" w:rsidR="00850F0D" w:rsidRDefault="00850F0D" w:rsidP="00850F0D">
      <w:pPr>
        <w:numPr>
          <w:ilvl w:val="0"/>
          <w:numId w:val="2"/>
        </w:numPr>
        <w:rPr>
          <w:b/>
          <w:bCs/>
        </w:rPr>
      </w:pPr>
      <w:r>
        <w:rPr>
          <w:b/>
          <w:bCs/>
        </w:rPr>
        <w:t xml:space="preserve">Transparency and trust: </w:t>
      </w:r>
      <w:r>
        <w:t xml:space="preserve">Every procedure needs to get started with transparency. Elder UK adheres to this rule of citizen engagement so that opinions can be specific set of conditions. </w:t>
      </w:r>
    </w:p>
    <w:p w14:paraId="30BF940C" w14:textId="77777777" w:rsidR="00850F0D" w:rsidRDefault="00850F0D" w:rsidP="00850F0D">
      <w:r>
        <w:rPr>
          <w:b/>
          <w:bCs/>
        </w:rPr>
        <w:lastRenderedPageBreak/>
        <w:t xml:space="preserve">Collaboration and shared purpose: </w:t>
      </w:r>
      <w:r>
        <w:t>Age UK believes that it is crucial to help and enabling people. It facilitates appropriate result at the end</w:t>
      </w:r>
      <w:r>
        <w:tab/>
        <w:t>.</w:t>
      </w:r>
      <w:r>
        <w:rPr>
          <w:b/>
          <w:bCs/>
        </w:rPr>
        <w:t xml:space="preserve"> </w:t>
      </w:r>
      <w:r>
        <w:t xml:space="preserve"> </w:t>
      </w:r>
    </w:p>
    <w:p w14:paraId="409F5A04" w14:textId="77777777" w:rsidR="00850F0D" w:rsidRDefault="00850F0D" w:rsidP="00850F0D">
      <w:pPr>
        <w:pStyle w:val="Heading2"/>
        <w:numPr>
          <w:ilvl w:val="1"/>
          <w:numId w:val="1"/>
        </w:numPr>
      </w:pPr>
      <w:bookmarkStart w:id="4" w:name="_Toc99793729"/>
      <w:r>
        <w:t>Benefits of stakeholder’s participation</w:t>
      </w:r>
      <w:bookmarkEnd w:id="4"/>
    </w:p>
    <w:p w14:paraId="3C4D1422" w14:textId="764770FF" w:rsidR="00850F0D" w:rsidRDefault="00850F0D" w:rsidP="00850F0D">
      <w:pPr>
        <w:numPr>
          <w:ilvl w:val="0"/>
          <w:numId w:val="3"/>
        </w:numPr>
      </w:pPr>
      <w:r>
        <w:t xml:space="preserve">Speaking with </w:t>
      </w:r>
      <w:r>
        <w:t>shareholders</w:t>
      </w:r>
      <w:r>
        <w:t xml:space="preserve"> can lead to a variety of new insights and expertise. Age UK focuses on the wisdom of the elderly so that they may comprehend the situations and circumstances (Pacheco, and et.al., 2022). </w:t>
      </w:r>
    </w:p>
    <w:p w14:paraId="740A3D88" w14:textId="77777777" w:rsidR="00850F0D" w:rsidRDefault="00850F0D" w:rsidP="00850F0D">
      <w:pPr>
        <w:numPr>
          <w:ilvl w:val="0"/>
          <w:numId w:val="4"/>
        </w:numPr>
      </w:pPr>
      <w:r>
        <w:t>Well with help of peers, older adults can improve their decision-making abilities. Age UK advocates for improving people's lives so they can develop independently and make self-directed decisions.</w:t>
      </w:r>
    </w:p>
    <w:p w14:paraId="47E77ACC" w14:textId="77777777" w:rsidR="00850F0D" w:rsidRDefault="00850F0D" w:rsidP="00850F0D">
      <w:r>
        <w:t>CollaboInteraction among peers fosters greater loyalty and trust among Age UK members, which reduces isolation. It drives out negativity and promotes harmony and tranquilly.</w:t>
      </w:r>
    </w:p>
    <w:p w14:paraId="165ECFA2" w14:textId="77777777" w:rsidR="00850F0D" w:rsidRDefault="00850F0D" w:rsidP="00850F0D">
      <w:pPr>
        <w:numPr>
          <w:ilvl w:val="0"/>
          <w:numId w:val="4"/>
        </w:numPr>
      </w:pPr>
      <w:r>
        <w:t xml:space="preserve">Community engagement can reduce the likelihood that older individuals linked to Age UK would think or act negatively. Shareholders offer helpful strategies for overcoming pessimism, which can promote social cohesion. </w:t>
      </w:r>
    </w:p>
    <w:p w14:paraId="4E50466D" w14:textId="77777777" w:rsidR="00850F0D" w:rsidRDefault="00850F0D" w:rsidP="00850F0D">
      <w:pPr>
        <w:pStyle w:val="Heading2"/>
        <w:numPr>
          <w:ilvl w:val="1"/>
          <w:numId w:val="1"/>
        </w:numPr>
      </w:pPr>
      <w:bookmarkStart w:id="5" w:name="_Toc99793730"/>
      <w:r>
        <w:t>Engagement with the help of social media</w:t>
      </w:r>
      <w:bookmarkEnd w:id="5"/>
    </w:p>
    <w:p w14:paraId="78AAB5DC" w14:textId="2D3454E9" w:rsidR="00850F0D" w:rsidRDefault="00850F0D" w:rsidP="00850F0D">
      <w:r>
        <w:t>Due to its cutting-edge and alluring qualities, social media usage increases user experience. It facilitates quick connections between individuals from all around the globe. Age UK engages their audience on a variety of social media sites, including Instagram, Facebook, YouTube, and Twitter (Mbwogge</w:t>
      </w:r>
      <w:r w:rsidR="00897940">
        <w:t xml:space="preserve"> </w:t>
      </w:r>
      <w:r>
        <w:t xml:space="preserve">and Nkumbe, 2022). To better comprehend human behavioural patterns, communication can be done with one another and exchange their actions and information. Anxiety and restlessness are reduced when connectedness increases. Additionally, Age UK utilizes social media channels to share messages and details about their ongoing operations, initiatives, and crucial information. Increased involvement of their </w:t>
      </w:r>
      <w:r w:rsidR="00897940">
        <w:t>stock</w:t>
      </w:r>
      <w:r>
        <w:t xml:space="preserve"> holders and technical experts results from this. It enables Age UK to educate the public about the needs of the senior population. Social media is used to regularly update individuals, allowing them to participate in a variety of charitable projects. By effectively helping the less fortunate, this may benefit the entire society. It teaches individuals so they remain informed about the situation and state of society today. Many individuals who can take action to address the different issues that older members of society are experiencing are drawn to creative posts and original material. Social media may bring people together by effectively involving them in initiatives that manage some of Age UK's initiatives. Age UK has used social media to create a number of projects that improve the digital literacy of older people. It is an important step that the programme management have done to help with Covid-19. By communicating with one another on social media platforms, older folks will be able to stay engaged. Social media has the ability to spread useful material virally, which they may use to promote consciousness of the elderly between a large audience (Martono, and et.al., 2022). Numerous creative artists have produced content on social media that engages many people by demonstrating how you may contribute to attaining the greatest outcomes. It is the ideal platform for concurrently interacting with a sizable audience from any place. By posting material, a lot of workers and perhaps other people appear interested in age UK activities. The should respond to them and allow them enough time to understand their perspective. The further they include people, more and more income will go to stockholders. In that case, you should be aware of the following points at your level.</w:t>
      </w:r>
    </w:p>
    <w:p w14:paraId="480FB933" w14:textId="7BE639E6" w:rsidR="00850F0D" w:rsidRDefault="00850F0D" w:rsidP="00850F0D">
      <w:r>
        <w:rPr>
          <w:b/>
          <w:bCs/>
          <w:i/>
          <w:iCs/>
        </w:rPr>
        <w:tab/>
        <w:t>Community participations:</w:t>
      </w:r>
      <w:r>
        <w:t xml:space="preserve"> The respective organization Age UK has known to be having major goal of including the part participation of the community as much as this can be done. In the existing time period people that are of very old age are having the helpless as well as homeless </w:t>
      </w:r>
      <w:r>
        <w:lastRenderedPageBreak/>
        <w:t xml:space="preserve">sense because of the unethical as well as immoral attitude as well as </w:t>
      </w:r>
      <w:r w:rsidR="00897940">
        <w:t>behaviour</w:t>
      </w:r>
      <w:r>
        <w:t xml:space="preserve"> of the society and also of their own children. In addition to this they encounter various of the difficulty during the old age live that makes it more problematic for them because of their level of dissatisfaction so the respective organization function various effectual campaigns as well as programs in order to provide them a suitable as well as happy lifestyle. For this example they focus on utilizing several different methods as well as techniques in accordance to provide support to the members in order to make them stand for their own selves in which the platforms of social media is one of the major campaign to making them more engaged with more people effectively and </w:t>
      </w:r>
      <w:r w:rsidR="00897940">
        <w:t>efficiently. Younger</w:t>
      </w:r>
      <w:r>
        <w:t xml:space="preserve"> youngsters as well as older individuals are influenced by their programmes. Therefore, Age UK must employ social media strategies by initiating frequent initiatives or empowering mankind by carrying out the proper deed.</w:t>
      </w:r>
    </w:p>
    <w:p w14:paraId="1E40B22B" w14:textId="77777777" w:rsidR="00850F0D" w:rsidRDefault="00850F0D" w:rsidP="00850F0D">
      <w:pPr>
        <w:ind w:firstLine="432"/>
        <w:rPr>
          <w:b/>
          <w:bCs/>
          <w:i/>
          <w:iCs/>
        </w:rPr>
      </w:pPr>
      <w:r>
        <w:rPr>
          <w:b/>
          <w:bCs/>
          <w:i/>
          <w:iCs/>
        </w:rPr>
        <w:t xml:space="preserve">Collaboration: </w:t>
      </w:r>
      <w:r>
        <w:t>Age UK must take into account this since it is the most important factor. Collaboration is essential for involving others and obtaining useful coordination and judgement. When many individuals join forces and focus on the same goal, it will be extremely successful indefinitely. Therefore, the generation you come from must improve collaboration capabilities by going digital to draw in other NGOs and programmes so that they may cooperate and work toward a common goal.</w:t>
      </w:r>
    </w:p>
    <w:p w14:paraId="32FFF0E4" w14:textId="4C2C5432" w:rsidR="00850F0D" w:rsidRDefault="00850F0D" w:rsidP="00850F0D">
      <w:pPr>
        <w:ind w:firstLine="432"/>
      </w:pPr>
      <w:r>
        <w:rPr>
          <w:b/>
          <w:bCs/>
          <w:i/>
          <w:iCs/>
        </w:rPr>
        <w:t xml:space="preserve">Socio-cultural integration: </w:t>
      </w:r>
      <w:r>
        <w:t xml:space="preserve">Age UK is a community-based group that emphasises the need for awareness of culture and social agree to follow. The needs to function in accordance with community values and interests (Lee, and Hsieh, 2022). The company can be more successful in achieving its objectives when community is content. Social media is a fantastic tool for controlling people's viewpoints and </w:t>
      </w:r>
      <w:r w:rsidR="00897940">
        <w:t>self-improvement</w:t>
      </w:r>
      <w:r>
        <w:t>. It is necessary to raise the bar for social and cultural integration, assist individuals in changing their attitudes toward senior citizens, and provide assistance when it is most needed. Through showcasing societal challenges and social traditions on social media platforms, communities may entice stakeholders and financiers.</w:t>
      </w:r>
    </w:p>
    <w:p w14:paraId="1FC9296E" w14:textId="77777777" w:rsidR="00850F0D" w:rsidRDefault="00850F0D" w:rsidP="00850F0D">
      <w:pPr>
        <w:ind w:firstLine="432"/>
      </w:pPr>
      <w:r>
        <w:rPr>
          <w:b/>
          <w:bCs/>
          <w:i/>
          <w:iCs/>
        </w:rPr>
        <w:t xml:space="preserve">Multiculturalism: </w:t>
      </w:r>
      <w:r>
        <w:t>Individuals are increasingly interested in living in multicultural societies where cooperation and harmony are still prevalent. They adhere to multiculturalism, which aims to uphold excellence and eradicate prejudice based on values and beliefs. Therefore, these principles were spread more widely throughout society via social media tools and techniques, which helped to close the wealth gap and increase people's understanding of humanity. The AGE UK takes into account this component in order to solve community problems and offers the finest help (Hussain,  and et.al., 2022)</w:t>
      </w:r>
    </w:p>
    <w:p w14:paraId="03472932" w14:textId="77777777" w:rsidR="00850F0D" w:rsidRDefault="00850F0D" w:rsidP="00850F0D">
      <w:pPr>
        <w:pStyle w:val="Heading2"/>
        <w:numPr>
          <w:ilvl w:val="1"/>
          <w:numId w:val="1"/>
        </w:numPr>
      </w:pPr>
      <w:bookmarkStart w:id="6" w:name="_Toc99793731"/>
      <w:r>
        <w:t>Community engagement practitioner needs to adopt a forward-looking approach to educate community members on internal and external factors that influence community development</w:t>
      </w:r>
      <w:bookmarkEnd w:id="6"/>
      <w:r>
        <w:t xml:space="preserve"> </w:t>
      </w:r>
    </w:p>
    <w:p w14:paraId="5C041A89" w14:textId="77777777" w:rsidR="00850F0D" w:rsidRDefault="00850F0D" w:rsidP="00850F0D">
      <w:pPr>
        <w:rPr>
          <w:color w:val="FF3333"/>
          <w:u w:val="single"/>
        </w:rPr>
      </w:pPr>
      <w:r>
        <w:tab/>
        <w:t>Practitioners of community engagement are essential to drawing significant numbers of individuals to an organization's initiatives and plans. The must exhibit a forward-thinking attitude in order to effectively assist individuals and society by providing the greatest advice and direction. In order to preserve a healthy environment in both internal and external aspects, social practise must inform individuals, which is what a forward-looking strategy simply implies. They need to be informed on contemporary international patterns in the variables affecting community initiatives. They will become involved and stay out of the tricky circumstances as a result. Consequently, you may need to be older to make wiser selections about both issues in the manner mentioned below.</w:t>
      </w:r>
    </w:p>
    <w:p w14:paraId="247ADC88" w14:textId="77777777" w:rsidR="00850F0D" w:rsidRDefault="00850F0D" w:rsidP="00850F0D">
      <w:pPr>
        <w:rPr>
          <w:color w:val="000000"/>
        </w:rPr>
      </w:pPr>
      <w:r>
        <w:rPr>
          <w:b/>
          <w:bCs/>
        </w:rPr>
        <w:lastRenderedPageBreak/>
        <w:t>Internal factors</w:t>
      </w:r>
      <w:r>
        <w:t>: category contains elements that have a significant impact on community programming. This covers the organization's financial resources as well as depth of talent. It's really impossible to fulfil goals and objectives for community participation even without those two factors (Hartemann, 2022).</w:t>
      </w:r>
    </w:p>
    <w:p w14:paraId="186B00F6" w14:textId="77777777" w:rsidR="00850F0D" w:rsidRDefault="00850F0D" w:rsidP="00850F0D">
      <w:r>
        <w:rPr>
          <w:b/>
          <w:bCs/>
        </w:rPr>
        <w:t>External factors:</w:t>
      </w:r>
      <w:r>
        <w:t xml:space="preserve"> External factors like the government and the society have a great deal of influence on how businesses operate. The policies and plans must be developed after considering all of the requirements for a successful outcome.</w:t>
      </w:r>
    </w:p>
    <w:p w14:paraId="470909FA" w14:textId="5912934F" w:rsidR="00850F0D" w:rsidRDefault="00850F0D" w:rsidP="00850F0D"/>
    <w:p w14:paraId="38AA2E78" w14:textId="23D95F6B" w:rsidR="00850F0D" w:rsidRDefault="00850F0D" w:rsidP="00850F0D"/>
    <w:p w14:paraId="652E5B38" w14:textId="3E6E5AE5" w:rsidR="00850F0D" w:rsidRDefault="00850F0D" w:rsidP="00850F0D"/>
    <w:p w14:paraId="0BEE0DBE" w14:textId="77777777" w:rsidR="00850F0D" w:rsidRDefault="00850F0D" w:rsidP="00850F0D">
      <w:pPr>
        <w:pStyle w:val="Heading1"/>
        <w:numPr>
          <w:ilvl w:val="0"/>
          <w:numId w:val="1"/>
        </w:numPr>
      </w:pPr>
      <w:bookmarkStart w:id="7" w:name="_Toc99793732"/>
      <w:r>
        <w:rPr>
          <w:shd w:val="clear" w:color="auto" w:fill="FFFFFF"/>
        </w:rPr>
        <w:t>CONCLUSION</w:t>
      </w:r>
      <w:bookmarkEnd w:id="7"/>
      <w:r>
        <w:rPr>
          <w:shd w:val="clear" w:color="auto" w:fill="FFFFFF"/>
        </w:rPr>
        <w:t xml:space="preserve"> </w:t>
      </w:r>
    </w:p>
    <w:p w14:paraId="4691EE91" w14:textId="77777777" w:rsidR="00850F0D" w:rsidRDefault="00850F0D" w:rsidP="00850F0D">
      <w:r>
        <w:tab/>
        <w:t xml:space="preserve">The report has concluded that community engagement is an essential component of the community initiatives. It encourages more people to adopt a constructive perspective for society's advancement. As a result, the study has established the goal of the programme and how stakeholder participation might effectively contribute to it. In order to engage individuals and foster collaboration for efficient operation, the research suggests using social media. The topic of debate is a forward-thinking strategy, which is also essential for community practise to recruit talented individuals and set aside funds for significant community involvement. With the help of social media, it is necessary to educate those who are still unaware of current societal values and culture. </w:t>
      </w:r>
    </w:p>
    <w:p w14:paraId="677A0185" w14:textId="77777777" w:rsidR="00850F0D" w:rsidRDefault="00850F0D" w:rsidP="00850F0D">
      <w:pPr>
        <w:rPr>
          <w:color w:val="FF3333"/>
        </w:rPr>
      </w:pPr>
    </w:p>
    <w:p w14:paraId="4982A030" w14:textId="77777777" w:rsidR="00850F0D" w:rsidRDefault="00850F0D" w:rsidP="00850F0D"/>
    <w:p w14:paraId="55E1CEDB" w14:textId="77777777" w:rsidR="00850F0D" w:rsidRDefault="00850F0D" w:rsidP="00850F0D">
      <w:pPr>
        <w:pStyle w:val="Heading1"/>
        <w:pageBreakBefore/>
        <w:numPr>
          <w:ilvl w:val="0"/>
          <w:numId w:val="1"/>
        </w:numPr>
      </w:pPr>
      <w:bookmarkStart w:id="8" w:name="_Toc99793733"/>
      <w:r>
        <w:lastRenderedPageBreak/>
        <w:t>REFERENCES:</w:t>
      </w:r>
      <w:bookmarkEnd w:id="8"/>
    </w:p>
    <w:p w14:paraId="52C98C09" w14:textId="77777777" w:rsidR="00850F0D" w:rsidRDefault="00850F0D" w:rsidP="00850F0D">
      <w:pPr>
        <w:pStyle w:val="Heading2"/>
        <w:numPr>
          <w:ilvl w:val="1"/>
          <w:numId w:val="1"/>
        </w:numPr>
        <w:rPr>
          <w:shd w:val="clear" w:color="auto" w:fill="FFFFFF"/>
        </w:rPr>
      </w:pPr>
      <w:bookmarkStart w:id="9" w:name="_Toc99793734"/>
      <w:r>
        <w:t>Books and Journals</w:t>
      </w:r>
      <w:bookmarkEnd w:id="9"/>
    </w:p>
    <w:p w14:paraId="190E255D" w14:textId="77777777" w:rsidR="00850F0D" w:rsidRDefault="00850F0D" w:rsidP="00850F0D">
      <w:pPr>
        <w:numPr>
          <w:ilvl w:val="0"/>
          <w:numId w:val="1"/>
        </w:numPr>
        <w:spacing w:line="240" w:lineRule="auto"/>
      </w:pPr>
      <w:r>
        <w:t>Den Broeder, L., and et.al., 2022. Community engagement in deprived neighbourhoods during the COVID-19 crisis: perspectives for more resilient and healthier communities. Health Promotion International, 37(2), p.daab098.</w:t>
      </w:r>
    </w:p>
    <w:p w14:paraId="4EBC306F" w14:textId="77777777" w:rsidR="00850F0D" w:rsidRDefault="00850F0D" w:rsidP="00850F0D">
      <w:pPr>
        <w:numPr>
          <w:ilvl w:val="0"/>
          <w:numId w:val="1"/>
        </w:numPr>
        <w:spacing w:line="240" w:lineRule="auto"/>
      </w:pPr>
      <w:r>
        <w:t>Hartemann, G.O., 2022. Unearthing colonial violence: Griotic archaeology and community-engagement in Guiana. International Journal of Historical Archaeology, 26(1), pp.79-117.</w:t>
      </w:r>
    </w:p>
    <w:p w14:paraId="249AEF63" w14:textId="77777777" w:rsidR="00850F0D" w:rsidRDefault="00850F0D" w:rsidP="00850F0D">
      <w:pPr>
        <w:numPr>
          <w:ilvl w:val="0"/>
          <w:numId w:val="1"/>
        </w:numPr>
        <w:spacing w:line="240" w:lineRule="auto"/>
      </w:pPr>
      <w:r>
        <w:t>Hussain, S., and et.al., 2022. The influence of government support, organizational innovativeness and community participation in renewable energy project success: A case of Pakistan. Energy, 239, p.122172.</w:t>
      </w:r>
    </w:p>
    <w:p w14:paraId="66DE735E" w14:textId="77777777" w:rsidR="00850F0D" w:rsidRDefault="00850F0D" w:rsidP="00850F0D">
      <w:pPr>
        <w:numPr>
          <w:ilvl w:val="0"/>
          <w:numId w:val="1"/>
        </w:numPr>
        <w:spacing w:line="240" w:lineRule="auto"/>
      </w:pPr>
      <w:r>
        <w:t>Lee, C.T. and Hsieh, S.H., 2022. Can social media-based brand communities build brand relationships? Examining the effect of community engagement on brand love. Behaviour &amp; Information Technology, 41(6), pp.1270-1285.</w:t>
      </w:r>
    </w:p>
    <w:p w14:paraId="7EFCC525" w14:textId="77777777" w:rsidR="00850F0D" w:rsidRDefault="00850F0D" w:rsidP="00850F0D">
      <w:pPr>
        <w:numPr>
          <w:ilvl w:val="0"/>
          <w:numId w:val="1"/>
        </w:numPr>
        <w:spacing w:line="240" w:lineRule="auto"/>
      </w:pPr>
      <w:r>
        <w:t>Martono, M., and et.al., 2022. The national identity on the border: Indonesian language awareness and attitudes through multi‐ethnic community involvement. Journal of Community Psychology, 50(1), pp.111-125.</w:t>
      </w:r>
    </w:p>
    <w:p w14:paraId="42242124" w14:textId="77777777" w:rsidR="00850F0D" w:rsidRDefault="00850F0D" w:rsidP="00850F0D">
      <w:pPr>
        <w:numPr>
          <w:ilvl w:val="0"/>
          <w:numId w:val="1"/>
        </w:numPr>
        <w:spacing w:line="240" w:lineRule="auto"/>
      </w:pPr>
      <w:r>
        <w:t>Mbwogge, M. and Nkumbe, H.E., 2022. Exploring the reasons for low cataract surgery uptake among patients detected in a community outreach program in Cameroon: focused ethnographic mixed methods study. JMIRx Med, 3(2), p.e35044.</w:t>
      </w:r>
    </w:p>
    <w:p w14:paraId="7F182FED" w14:textId="77777777" w:rsidR="00850F0D" w:rsidRDefault="00850F0D" w:rsidP="00850F0D">
      <w:pPr>
        <w:numPr>
          <w:ilvl w:val="0"/>
          <w:numId w:val="1"/>
        </w:numPr>
        <w:spacing w:line="240" w:lineRule="auto"/>
      </w:pPr>
      <w:r>
        <w:t>Pacheco, A., and et.al., 2022. Energy transition process and community engagement on geographic islands: The case of Culatra Island (Ria Formosa, Portugal). Renewable Energy, 184, pp.700-711.</w:t>
      </w:r>
    </w:p>
    <w:p w14:paraId="5DF38CBC" w14:textId="77777777" w:rsidR="00850F0D" w:rsidRDefault="00850F0D" w:rsidP="00850F0D">
      <w:pPr>
        <w:numPr>
          <w:ilvl w:val="0"/>
          <w:numId w:val="1"/>
        </w:numPr>
        <w:spacing w:line="240" w:lineRule="auto"/>
      </w:pPr>
      <w:r>
        <w:t>Rahman, M.K., and et.al., 2022. Impact of community participation on sustainable development of marine protected areas: Assessment of ecotourism development. International Journal of Tourism Research, 24(1), pp.33-43.</w:t>
      </w:r>
    </w:p>
    <w:p w14:paraId="636AE907" w14:textId="77777777" w:rsidR="00850F0D" w:rsidRDefault="00850F0D" w:rsidP="00850F0D">
      <w:pPr>
        <w:numPr>
          <w:ilvl w:val="0"/>
          <w:numId w:val="1"/>
        </w:numPr>
        <w:spacing w:line="240" w:lineRule="auto"/>
      </w:pPr>
      <w:r>
        <w:t>Song, W., and et.al., 2022. Community participation comparison between adults on the autism spectrum and adults in the general population. Journal of Autism and Developmental Disorders, 52(4), pp.1610-1621.</w:t>
      </w:r>
    </w:p>
    <w:p w14:paraId="177A9E7E" w14:textId="77777777" w:rsidR="00850F0D" w:rsidRDefault="00850F0D" w:rsidP="00850F0D">
      <w:pPr>
        <w:numPr>
          <w:ilvl w:val="0"/>
          <w:numId w:val="1"/>
        </w:numPr>
        <w:spacing w:line="240" w:lineRule="auto"/>
      </w:pPr>
      <w:r>
        <w:t>VanderWeele, T.J., Balboni, T.A. and Koh, H.K., 2022. Invited commentary: religious service attendance and implications for clinical care, community participation, and public health. American Journal of Epidemiology, 191(1), pp.31-35.</w:t>
      </w:r>
    </w:p>
    <w:p w14:paraId="561EFF4B" w14:textId="77777777" w:rsidR="00850F0D" w:rsidRDefault="00850F0D" w:rsidP="00850F0D">
      <w:pPr>
        <w:numPr>
          <w:ilvl w:val="0"/>
          <w:numId w:val="1"/>
        </w:numPr>
        <w:spacing w:line="240" w:lineRule="auto"/>
      </w:pPr>
    </w:p>
    <w:p w14:paraId="7E34D0EF" w14:textId="77777777" w:rsidR="00850F0D" w:rsidRDefault="00850F0D" w:rsidP="00850F0D">
      <w:pPr>
        <w:rPr>
          <w:color w:val="FF3333"/>
          <w:u w:val="single"/>
        </w:rPr>
      </w:pPr>
    </w:p>
    <w:p w14:paraId="3D8091CB" w14:textId="751F7777" w:rsidR="00850F0D" w:rsidRDefault="00850F0D" w:rsidP="00850F0D">
      <w:pPr>
        <w:pStyle w:val="ContentsHeading"/>
        <w:pageBreakBefore/>
      </w:pPr>
    </w:p>
    <w:p w14:paraId="4875481A" w14:textId="77777777" w:rsidR="00850F0D" w:rsidRDefault="00850F0D" w:rsidP="00850F0D">
      <w:pPr>
        <w:pStyle w:val="ContentsHeading"/>
        <w:pageBreakBefore/>
      </w:pPr>
    </w:p>
    <w:p w14:paraId="49CD7987" w14:textId="77777777" w:rsidR="00850F0D" w:rsidRDefault="00850F0D" w:rsidP="00850F0D">
      <w:pPr>
        <w:pStyle w:val="ContentsHeading"/>
        <w:pageBreakBefore/>
      </w:pPr>
    </w:p>
    <w:p w14:paraId="6CD1DB5F" w14:textId="5BA6CE24" w:rsidR="00850F0D" w:rsidRDefault="00850F0D" w:rsidP="00850F0D">
      <w:pPr>
        <w:rPr>
          <w:rFonts w:ascii="Bell MT" w:hAnsi="Bell MT"/>
          <w:b/>
          <w:bCs/>
          <w:i/>
          <w:iCs/>
          <w:sz w:val="56"/>
          <w:szCs w:val="56"/>
        </w:rPr>
      </w:pPr>
    </w:p>
    <w:p w14:paraId="403B81C0" w14:textId="77777777" w:rsidR="00850F0D" w:rsidRPr="00850F0D" w:rsidRDefault="00850F0D" w:rsidP="00850F0D">
      <w:pPr>
        <w:jc w:val="right"/>
        <w:rPr>
          <w:rFonts w:ascii="Bell MT" w:hAnsi="Bell MT"/>
          <w:b/>
          <w:bCs/>
          <w:i/>
          <w:iCs/>
          <w:sz w:val="56"/>
          <w:szCs w:val="56"/>
        </w:rPr>
      </w:pPr>
    </w:p>
    <w:sectPr w:rsidR="00850F0D" w:rsidRPr="00850F0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Yu Gothic"/>
    <w:charset w:val="8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jaVu Sans">
    <w:altName w:val="MS Gothic"/>
    <w:charset w:val="80"/>
    <w:family w:val="auto"/>
    <w:pitch w:val="variable"/>
  </w:font>
  <w:font w:name="Droid Sans">
    <w:altName w:val="MS Gothic"/>
    <w:charset w:val="80"/>
    <w:family w:val="auto"/>
    <w:pitch w:val="variable"/>
  </w:font>
  <w:font w:name="Bell MT">
    <w:panose1 w:val="02020503060305020303"/>
    <w:charset w:val="00"/>
    <w:family w:val="roman"/>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6"/>
    <w:multiLevelType w:val="multilevel"/>
    <w:tmpl w:val="00000006"/>
    <w:lvl w:ilvl="0">
      <w:start w:val="1"/>
      <w:numFmt w:val="bullet"/>
      <w:lvlText w:val=""/>
      <w:lvlJc w:val="left"/>
      <w:pPr>
        <w:tabs>
          <w:tab w:val="num" w:pos="780"/>
        </w:tabs>
        <w:ind w:left="780" w:hanging="360"/>
      </w:pPr>
      <w:rPr>
        <w:rFonts w:ascii="Symbol" w:hAnsi="Symbol" w:cs="OpenSymbol"/>
      </w:rPr>
    </w:lvl>
    <w:lvl w:ilvl="1">
      <w:start w:val="1"/>
      <w:numFmt w:val="bullet"/>
      <w:lvlText w:val="◦"/>
      <w:lvlJc w:val="left"/>
      <w:pPr>
        <w:tabs>
          <w:tab w:val="num" w:pos="1140"/>
        </w:tabs>
        <w:ind w:left="1140" w:hanging="360"/>
      </w:pPr>
      <w:rPr>
        <w:rFonts w:ascii="OpenSymbol" w:hAnsi="OpenSymbol" w:cs="OpenSymbol"/>
      </w:rPr>
    </w:lvl>
    <w:lvl w:ilvl="2">
      <w:start w:val="1"/>
      <w:numFmt w:val="bullet"/>
      <w:lvlText w:val="▪"/>
      <w:lvlJc w:val="left"/>
      <w:pPr>
        <w:tabs>
          <w:tab w:val="num" w:pos="1500"/>
        </w:tabs>
        <w:ind w:left="1500" w:hanging="360"/>
      </w:pPr>
      <w:rPr>
        <w:rFonts w:ascii="OpenSymbol" w:hAnsi="OpenSymbol" w:cs="OpenSymbol"/>
      </w:rPr>
    </w:lvl>
    <w:lvl w:ilvl="3">
      <w:start w:val="1"/>
      <w:numFmt w:val="bullet"/>
      <w:lvlText w:val=""/>
      <w:lvlJc w:val="left"/>
      <w:pPr>
        <w:tabs>
          <w:tab w:val="num" w:pos="1860"/>
        </w:tabs>
        <w:ind w:left="1860" w:hanging="360"/>
      </w:pPr>
      <w:rPr>
        <w:rFonts w:ascii="Symbol" w:hAnsi="Symbol" w:cs="OpenSymbol"/>
      </w:rPr>
    </w:lvl>
    <w:lvl w:ilvl="4">
      <w:start w:val="1"/>
      <w:numFmt w:val="bullet"/>
      <w:lvlText w:val="◦"/>
      <w:lvlJc w:val="left"/>
      <w:pPr>
        <w:tabs>
          <w:tab w:val="num" w:pos="2220"/>
        </w:tabs>
        <w:ind w:left="2220" w:hanging="360"/>
      </w:pPr>
      <w:rPr>
        <w:rFonts w:ascii="OpenSymbol" w:hAnsi="OpenSymbol" w:cs="OpenSymbol"/>
      </w:rPr>
    </w:lvl>
    <w:lvl w:ilvl="5">
      <w:start w:val="1"/>
      <w:numFmt w:val="bullet"/>
      <w:lvlText w:val="▪"/>
      <w:lvlJc w:val="left"/>
      <w:pPr>
        <w:tabs>
          <w:tab w:val="num" w:pos="2580"/>
        </w:tabs>
        <w:ind w:left="2580" w:hanging="360"/>
      </w:pPr>
      <w:rPr>
        <w:rFonts w:ascii="OpenSymbol" w:hAnsi="OpenSymbol" w:cs="OpenSymbol"/>
      </w:rPr>
    </w:lvl>
    <w:lvl w:ilvl="6">
      <w:start w:val="1"/>
      <w:numFmt w:val="bullet"/>
      <w:lvlText w:val=""/>
      <w:lvlJc w:val="left"/>
      <w:pPr>
        <w:tabs>
          <w:tab w:val="num" w:pos="2940"/>
        </w:tabs>
        <w:ind w:left="2940" w:hanging="360"/>
      </w:pPr>
      <w:rPr>
        <w:rFonts w:ascii="Symbol" w:hAnsi="Symbol" w:cs="OpenSymbol"/>
      </w:rPr>
    </w:lvl>
    <w:lvl w:ilvl="7">
      <w:start w:val="1"/>
      <w:numFmt w:val="bullet"/>
      <w:lvlText w:val="◦"/>
      <w:lvlJc w:val="left"/>
      <w:pPr>
        <w:tabs>
          <w:tab w:val="num" w:pos="3300"/>
        </w:tabs>
        <w:ind w:left="3300" w:hanging="360"/>
      </w:pPr>
      <w:rPr>
        <w:rFonts w:ascii="OpenSymbol" w:hAnsi="OpenSymbol" w:cs="OpenSymbol"/>
      </w:rPr>
    </w:lvl>
    <w:lvl w:ilvl="8">
      <w:start w:val="1"/>
      <w:numFmt w:val="bullet"/>
      <w:lvlText w:val="▪"/>
      <w:lvlJc w:val="left"/>
      <w:pPr>
        <w:tabs>
          <w:tab w:val="num" w:pos="3660"/>
        </w:tabs>
        <w:ind w:left="3660" w:hanging="360"/>
      </w:pPr>
      <w:rPr>
        <w:rFonts w:ascii="OpenSymbol" w:hAnsi="OpenSymbol" w:cs="OpenSymbol"/>
      </w:rPr>
    </w:lvl>
  </w:abstractNum>
  <w:abstractNum w:abstractNumId="2" w15:restartNumberingAfterBreak="0">
    <w:nsid w:val="4BCC2237"/>
    <w:multiLevelType w:val="hybridMultilevel"/>
    <w:tmpl w:val="823EECEC"/>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3" w15:restartNumberingAfterBreak="0">
    <w:nsid w:val="7D186400"/>
    <w:multiLevelType w:val="hybridMultilevel"/>
    <w:tmpl w:val="5BEE29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145733723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36885351">
    <w:abstractNumId w:val="1"/>
    <w:lvlOverride w:ilvl="0"/>
    <w:lvlOverride w:ilvl="1"/>
    <w:lvlOverride w:ilvl="2"/>
    <w:lvlOverride w:ilvl="3"/>
    <w:lvlOverride w:ilvl="4"/>
    <w:lvlOverride w:ilvl="5"/>
    <w:lvlOverride w:ilvl="6"/>
    <w:lvlOverride w:ilvl="7"/>
    <w:lvlOverride w:ilvl="8"/>
  </w:num>
  <w:num w:numId="3" w16cid:durableId="1092891477">
    <w:abstractNumId w:val="2"/>
    <w:lvlOverride w:ilvl="0"/>
    <w:lvlOverride w:ilvl="1"/>
    <w:lvlOverride w:ilvl="2"/>
    <w:lvlOverride w:ilvl="3"/>
    <w:lvlOverride w:ilvl="4"/>
    <w:lvlOverride w:ilvl="5"/>
    <w:lvlOverride w:ilvl="6"/>
    <w:lvlOverride w:ilvl="7"/>
    <w:lvlOverride w:ilvl="8"/>
  </w:num>
  <w:num w:numId="4" w16cid:durableId="841046563">
    <w:abstractNumId w:val="3"/>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0076"/>
    <w:rsid w:val="00125AAD"/>
    <w:rsid w:val="00224E60"/>
    <w:rsid w:val="00420076"/>
    <w:rsid w:val="00850F0D"/>
    <w:rsid w:val="00897940"/>
    <w:rsid w:val="00950043"/>
    <w:rsid w:val="0098395E"/>
    <w:rsid w:val="00AF59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5129F2"/>
  <w15:chartTrackingRefBased/>
  <w15:docId w15:val="{432E20E1-01F7-4EA3-942E-0A56B5CEBA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850F0D"/>
    <w:pPr>
      <w:keepNext/>
      <w:keepLines/>
      <w:numPr>
        <w:numId w:val="2"/>
      </w:numPr>
      <w:suppressAutoHyphens/>
      <w:spacing w:before="113" w:after="0" w:line="360" w:lineRule="auto"/>
      <w:jc w:val="both"/>
      <w:outlineLvl w:val="0"/>
    </w:pPr>
    <w:rPr>
      <w:rFonts w:ascii="Times New Roman" w:eastAsia="Times New Roman" w:hAnsi="Times New Roman" w:cs="Times New Roman"/>
      <w:b/>
      <w:bCs/>
      <w:color w:val="000000"/>
      <w:sz w:val="28"/>
      <w:szCs w:val="28"/>
      <w:lang w:eastAsia="ar-SA"/>
    </w:rPr>
  </w:style>
  <w:style w:type="paragraph" w:styleId="Heading2">
    <w:name w:val="heading 2"/>
    <w:basedOn w:val="Normal"/>
    <w:next w:val="Normal"/>
    <w:link w:val="Heading2Char"/>
    <w:uiPriority w:val="9"/>
    <w:semiHidden/>
    <w:unhideWhenUsed/>
    <w:qFormat/>
    <w:rsid w:val="00850F0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autoRedefine/>
    <w:uiPriority w:val="39"/>
    <w:semiHidden/>
    <w:unhideWhenUsed/>
    <w:rsid w:val="00850F0D"/>
    <w:pPr>
      <w:suppressLineNumbers/>
      <w:tabs>
        <w:tab w:val="right" w:leader="dot" w:pos="9360"/>
      </w:tabs>
      <w:suppressAutoHyphens/>
      <w:spacing w:after="0" w:line="360" w:lineRule="auto"/>
      <w:jc w:val="both"/>
    </w:pPr>
    <w:rPr>
      <w:rFonts w:ascii="Times New Roman" w:eastAsia="Calibri" w:hAnsi="Times New Roman" w:cs="DejaVu Sans"/>
      <w:color w:val="000000"/>
      <w:sz w:val="24"/>
      <w:lang w:eastAsia="ar-SA"/>
    </w:rPr>
  </w:style>
  <w:style w:type="paragraph" w:styleId="TOC2">
    <w:name w:val="toc 2"/>
    <w:basedOn w:val="Normal"/>
    <w:autoRedefine/>
    <w:uiPriority w:val="39"/>
    <w:semiHidden/>
    <w:unhideWhenUsed/>
    <w:rsid w:val="00850F0D"/>
    <w:pPr>
      <w:suppressLineNumbers/>
      <w:tabs>
        <w:tab w:val="right" w:leader="dot" w:pos="9077"/>
      </w:tabs>
      <w:suppressAutoHyphens/>
      <w:spacing w:after="0" w:line="360" w:lineRule="auto"/>
      <w:ind w:left="283"/>
      <w:jc w:val="both"/>
    </w:pPr>
    <w:rPr>
      <w:rFonts w:ascii="Times New Roman" w:eastAsia="Calibri" w:hAnsi="Times New Roman" w:cs="DejaVu Sans"/>
      <w:color w:val="000000"/>
      <w:sz w:val="24"/>
      <w:lang w:eastAsia="ar-SA"/>
    </w:rPr>
  </w:style>
  <w:style w:type="paragraph" w:customStyle="1" w:styleId="ContentsHeading">
    <w:name w:val="Contents Heading"/>
    <w:basedOn w:val="Normal"/>
    <w:rsid w:val="00850F0D"/>
    <w:pPr>
      <w:keepNext/>
      <w:suppressLineNumbers/>
      <w:suppressAutoHyphens/>
      <w:spacing w:before="240" w:after="120" w:line="360" w:lineRule="auto"/>
      <w:jc w:val="center"/>
    </w:pPr>
    <w:rPr>
      <w:rFonts w:ascii="Times New Roman" w:eastAsia="Droid Sans" w:hAnsi="Times New Roman" w:cs="Times New Roman"/>
      <w:b/>
      <w:bCs/>
      <w:color w:val="000000"/>
      <w:sz w:val="28"/>
      <w:szCs w:val="32"/>
      <w:lang w:eastAsia="ar-SA"/>
    </w:rPr>
  </w:style>
  <w:style w:type="character" w:customStyle="1" w:styleId="Heading1Char">
    <w:name w:val="Heading 1 Char"/>
    <w:basedOn w:val="DefaultParagraphFont"/>
    <w:link w:val="Heading1"/>
    <w:rsid w:val="00850F0D"/>
    <w:rPr>
      <w:rFonts w:ascii="Times New Roman" w:eastAsia="Times New Roman" w:hAnsi="Times New Roman" w:cs="Times New Roman"/>
      <w:b/>
      <w:bCs/>
      <w:color w:val="000000"/>
      <w:sz w:val="28"/>
      <w:szCs w:val="28"/>
      <w:lang w:eastAsia="ar-SA"/>
    </w:rPr>
  </w:style>
  <w:style w:type="character" w:customStyle="1" w:styleId="Heading2Char">
    <w:name w:val="Heading 2 Char"/>
    <w:basedOn w:val="DefaultParagraphFont"/>
    <w:link w:val="Heading2"/>
    <w:uiPriority w:val="9"/>
    <w:semiHidden/>
    <w:rsid w:val="00850F0D"/>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104401">
      <w:bodyDiv w:val="1"/>
      <w:marLeft w:val="0"/>
      <w:marRight w:val="0"/>
      <w:marTop w:val="0"/>
      <w:marBottom w:val="0"/>
      <w:divBdr>
        <w:top w:val="none" w:sz="0" w:space="0" w:color="auto"/>
        <w:left w:val="none" w:sz="0" w:space="0" w:color="auto"/>
        <w:bottom w:val="none" w:sz="0" w:space="0" w:color="auto"/>
        <w:right w:val="none" w:sz="0" w:space="0" w:color="auto"/>
      </w:divBdr>
    </w:div>
    <w:div w:id="220872748">
      <w:bodyDiv w:val="1"/>
      <w:marLeft w:val="0"/>
      <w:marRight w:val="0"/>
      <w:marTop w:val="0"/>
      <w:marBottom w:val="0"/>
      <w:divBdr>
        <w:top w:val="none" w:sz="0" w:space="0" w:color="auto"/>
        <w:left w:val="none" w:sz="0" w:space="0" w:color="auto"/>
        <w:bottom w:val="none" w:sz="0" w:space="0" w:color="auto"/>
        <w:right w:val="none" w:sz="0" w:space="0" w:color="auto"/>
      </w:divBdr>
    </w:div>
    <w:div w:id="237860492">
      <w:bodyDiv w:val="1"/>
      <w:marLeft w:val="0"/>
      <w:marRight w:val="0"/>
      <w:marTop w:val="0"/>
      <w:marBottom w:val="0"/>
      <w:divBdr>
        <w:top w:val="none" w:sz="0" w:space="0" w:color="auto"/>
        <w:left w:val="none" w:sz="0" w:space="0" w:color="auto"/>
        <w:bottom w:val="none" w:sz="0" w:space="0" w:color="auto"/>
        <w:right w:val="none" w:sz="0" w:space="0" w:color="auto"/>
      </w:divBdr>
    </w:div>
    <w:div w:id="1038819560">
      <w:bodyDiv w:val="1"/>
      <w:marLeft w:val="0"/>
      <w:marRight w:val="0"/>
      <w:marTop w:val="0"/>
      <w:marBottom w:val="0"/>
      <w:divBdr>
        <w:top w:val="none" w:sz="0" w:space="0" w:color="auto"/>
        <w:left w:val="none" w:sz="0" w:space="0" w:color="auto"/>
        <w:bottom w:val="none" w:sz="0" w:space="0" w:color="auto"/>
        <w:right w:val="none" w:sz="0" w:space="0" w:color="auto"/>
      </w:divBdr>
    </w:div>
    <w:div w:id="1364135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84ECBB-4341-409D-ABD4-1EA3B2C74D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2327</Words>
  <Characters>13270</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Mirena Terzieva (2130468)</dc:creator>
  <cp:keywords/>
  <dc:description/>
  <cp:lastModifiedBy>Mirena Terzieva (2130468)</cp:lastModifiedBy>
  <cp:revision>1</cp:revision>
  <cp:lastPrinted>2022-11-29T20:04:00Z</cp:lastPrinted>
  <dcterms:created xsi:type="dcterms:W3CDTF">2022-11-29T19:38:00Z</dcterms:created>
  <dcterms:modified xsi:type="dcterms:W3CDTF">2022-11-29T20:08:00Z</dcterms:modified>
</cp:coreProperties>
</file>