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152E17" w14:textId="1150F918" w:rsidR="00763291" w:rsidRDefault="00763291" w:rsidP="00763291">
      <w:pPr>
        <w:pStyle w:val="NormalWeb"/>
        <w:spacing w:before="0" w:beforeAutospacing="0" w:after="0" w:afterAutospacing="0"/>
        <w:ind w:left="-180" w:right="-334"/>
      </w:pPr>
      <w:r>
        <w:rPr>
          <w:noProof/>
        </w:rPr>
        <w:drawing>
          <wp:inline distT="0" distB="0" distL="0" distR="0" wp14:anchorId="6E1B0ED7" wp14:editId="6C4AEC1D">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A95F60F" w14:textId="77777777" w:rsidR="00763291" w:rsidRDefault="00763291" w:rsidP="00763291">
      <w:pPr>
        <w:pStyle w:val="NormalWeb"/>
        <w:spacing w:before="0" w:beforeAutospacing="0" w:after="0" w:afterAutospacing="0"/>
        <w:ind w:left="-180" w:right="-334"/>
      </w:pPr>
    </w:p>
    <w:p w14:paraId="360D5ECA" w14:textId="77777777" w:rsidR="00763291" w:rsidRDefault="00763291" w:rsidP="00763291">
      <w:pPr>
        <w:pStyle w:val="NormalWeb"/>
        <w:spacing w:before="0" w:beforeAutospacing="0" w:after="0" w:afterAutospacing="0"/>
        <w:ind w:left="-180" w:right="-334"/>
      </w:pPr>
    </w:p>
    <w:p w14:paraId="39FA2DD8" w14:textId="77777777" w:rsidR="00763291" w:rsidRDefault="00763291" w:rsidP="007632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BD95BA" w14:textId="77777777" w:rsidR="00763291" w:rsidRPr="00230F35" w:rsidRDefault="00763291" w:rsidP="007632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 xml:space="preserve">ssignment </w:t>
      </w:r>
      <w:r>
        <w:rPr>
          <w:rFonts w:ascii="Arial" w:hAnsi="Arial" w:cs="Arial"/>
          <w:b/>
          <w:sz w:val="28"/>
          <w:szCs w:val="28"/>
          <w:lang w:val="cy-GB"/>
        </w:rPr>
        <w:t>C</w:t>
      </w:r>
      <w:r w:rsidRPr="00230F35">
        <w:rPr>
          <w:rFonts w:ascii="Arial" w:hAnsi="Arial" w:cs="Arial"/>
          <w:b/>
          <w:sz w:val="28"/>
          <w:szCs w:val="28"/>
          <w:lang w:val="cy-GB"/>
        </w:rPr>
        <w:t xml:space="preserve">oversheet &amp; </w:t>
      </w:r>
      <w:r>
        <w:rPr>
          <w:rFonts w:ascii="Arial" w:hAnsi="Arial" w:cs="Arial"/>
          <w:b/>
          <w:sz w:val="28"/>
          <w:szCs w:val="28"/>
          <w:lang w:val="cy-GB"/>
        </w:rPr>
        <w:t>F</w:t>
      </w:r>
      <w:r w:rsidRPr="00230F35">
        <w:rPr>
          <w:rFonts w:ascii="Arial" w:hAnsi="Arial" w:cs="Arial"/>
          <w:b/>
          <w:sz w:val="28"/>
          <w:szCs w:val="28"/>
          <w:lang w:val="cy-GB"/>
        </w:rPr>
        <w:t xml:space="preserve">eedback </w:t>
      </w:r>
      <w:r>
        <w:rPr>
          <w:rFonts w:ascii="Arial" w:hAnsi="Arial" w:cs="Arial"/>
          <w:b/>
          <w:sz w:val="28"/>
          <w:szCs w:val="28"/>
          <w:lang w:val="cy-GB"/>
        </w:rPr>
        <w:t>F</w:t>
      </w:r>
      <w:r w:rsidRPr="00230F35">
        <w:rPr>
          <w:rFonts w:ascii="Arial" w:hAnsi="Arial" w:cs="Arial"/>
          <w:b/>
          <w:sz w:val="28"/>
          <w:szCs w:val="28"/>
          <w:lang w:val="cy-GB"/>
        </w:rPr>
        <w:t>orm</w:t>
      </w:r>
    </w:p>
    <w:p w14:paraId="7D25EDBD" w14:textId="77777777" w:rsidR="00763291" w:rsidRPr="00230F35" w:rsidRDefault="00763291" w:rsidP="00763291">
      <w:pPr>
        <w:rPr>
          <w:rFonts w:ascii="Arial" w:hAnsi="Arial" w:cs="Arial"/>
          <w:sz w:val="28"/>
          <w:szCs w:val="28"/>
          <w:lang w:val="cy-GB"/>
        </w:rPr>
      </w:pPr>
    </w:p>
    <w:p w14:paraId="331E5E74" w14:textId="77777777" w:rsidR="00763291" w:rsidRDefault="00763291" w:rsidP="00763291">
      <w:pPr>
        <w:pStyle w:val="Heading3"/>
        <w:jc w:val="center"/>
        <w:rPr>
          <w:lang w:val="cy-GB"/>
        </w:rPr>
      </w:pPr>
      <w:r>
        <w:rPr>
          <w:lang w:val="cy-GB"/>
        </w:rPr>
        <w:t>THIS SHEET MUST BE THE FIRST PAGE OF THE ASSIGNMENT YOU ARE SUBMITTING  (DO NOT SEND AS A SEPARATE FILE)</w:t>
      </w:r>
    </w:p>
    <w:p w14:paraId="2F1A461C" w14:textId="77777777" w:rsidR="00763291" w:rsidRDefault="00763291" w:rsidP="007632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3291" w:rsidRPr="00230F35" w14:paraId="0ED4EAA0" w14:textId="77777777" w:rsidTr="00F82391">
        <w:trPr>
          <w:trHeight w:val="614"/>
        </w:trPr>
        <w:tc>
          <w:tcPr>
            <w:tcW w:w="8856" w:type="dxa"/>
            <w:gridSpan w:val="5"/>
          </w:tcPr>
          <w:p w14:paraId="1E005BF8"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3291" w:rsidRPr="00230F35" w14:paraId="77BDC52D" w14:textId="77777777" w:rsidTr="00F82391">
        <w:trPr>
          <w:trHeight w:val="718"/>
        </w:trPr>
        <w:tc>
          <w:tcPr>
            <w:tcW w:w="8856" w:type="dxa"/>
            <w:gridSpan w:val="5"/>
          </w:tcPr>
          <w:p w14:paraId="1939B213"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Murray</w:t>
            </w:r>
          </w:p>
          <w:p w14:paraId="55715459" w14:textId="77777777" w:rsidR="00763291" w:rsidRPr="00230F35" w:rsidRDefault="00763291" w:rsidP="00F82391">
            <w:pPr>
              <w:pStyle w:val="NormalWeb"/>
              <w:spacing w:before="0" w:beforeAutospacing="0" w:after="0" w:afterAutospacing="0"/>
              <w:ind w:right="34"/>
              <w:rPr>
                <w:rFonts w:ascii="Arial" w:hAnsi="Arial" w:cs="Arial"/>
                <w:sz w:val="22"/>
                <w:szCs w:val="22"/>
              </w:rPr>
            </w:pPr>
          </w:p>
        </w:tc>
      </w:tr>
      <w:tr w:rsidR="00763291" w:rsidRPr="00230F35" w14:paraId="547CC713" w14:textId="77777777" w:rsidTr="00F82391">
        <w:trPr>
          <w:trHeight w:val="849"/>
        </w:trPr>
        <w:tc>
          <w:tcPr>
            <w:tcW w:w="4788" w:type="dxa"/>
          </w:tcPr>
          <w:p w14:paraId="4642504D"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90F64AC" w14:textId="77777777" w:rsidR="00763291" w:rsidRPr="00230F35" w:rsidRDefault="00763291" w:rsidP="00F82391">
            <w:pPr>
              <w:pStyle w:val="NormalWeb"/>
              <w:spacing w:before="0" w:beforeAutospacing="0" w:after="0" w:afterAutospacing="0"/>
              <w:ind w:right="34"/>
              <w:rPr>
                <w:rFonts w:ascii="Arial" w:hAnsi="Arial" w:cs="Arial"/>
                <w:sz w:val="22"/>
                <w:szCs w:val="22"/>
              </w:rPr>
            </w:pPr>
          </w:p>
          <w:p w14:paraId="5E961E5B"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40177D46" w14:textId="77777777" w:rsidR="00763291" w:rsidRPr="00230F35" w:rsidRDefault="00763291" w:rsidP="00F82391">
            <w:pPr>
              <w:pStyle w:val="NormalWeb"/>
              <w:spacing w:before="0" w:beforeAutospacing="0" w:after="0" w:afterAutospacing="0"/>
              <w:ind w:right="34"/>
              <w:rPr>
                <w:rFonts w:ascii="Arial" w:hAnsi="Arial" w:cs="Arial"/>
                <w:sz w:val="22"/>
                <w:szCs w:val="22"/>
              </w:rPr>
            </w:pPr>
          </w:p>
        </w:tc>
        <w:tc>
          <w:tcPr>
            <w:tcW w:w="2266" w:type="dxa"/>
            <w:gridSpan w:val="3"/>
          </w:tcPr>
          <w:p w14:paraId="602DB5B4"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A09AF9" w14:textId="77777777" w:rsidR="00763291" w:rsidRDefault="00763291" w:rsidP="00F82391">
            <w:pPr>
              <w:pStyle w:val="NormalWeb"/>
              <w:spacing w:before="0" w:beforeAutospacing="0" w:after="0" w:afterAutospacing="0"/>
              <w:ind w:right="34"/>
              <w:rPr>
                <w:rFonts w:ascii="Arial" w:hAnsi="Arial" w:cs="Arial"/>
                <w:sz w:val="22"/>
                <w:szCs w:val="22"/>
              </w:rPr>
            </w:pPr>
          </w:p>
          <w:p w14:paraId="30662178"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591EB85B"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936B01"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37C63">
              <w:rPr>
                <w:rFonts w:ascii="Arial" w:hAnsi="Arial" w:cs="Arial"/>
                <w:color w:val="FF0000"/>
                <w:sz w:val="22"/>
                <w:szCs w:val="22"/>
              </w:rPr>
              <w:t>No</w:t>
            </w:r>
          </w:p>
        </w:tc>
      </w:tr>
      <w:tr w:rsidR="00763291" w:rsidRPr="00230F35" w14:paraId="62458F55" w14:textId="77777777" w:rsidTr="00F82391">
        <w:trPr>
          <w:trHeight w:val="1139"/>
        </w:trPr>
        <w:tc>
          <w:tcPr>
            <w:tcW w:w="8856" w:type="dxa"/>
            <w:gridSpan w:val="5"/>
          </w:tcPr>
          <w:p w14:paraId="51EE0934"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(Lead): Dr. Nicholas Campion</w:t>
            </w:r>
          </w:p>
          <w:p w14:paraId="33E3FFE9" w14:textId="77777777" w:rsidR="00763291" w:rsidRDefault="00763291" w:rsidP="00F82391">
            <w:pPr>
              <w:pStyle w:val="NormalWeb"/>
              <w:spacing w:before="0" w:beforeAutospacing="0" w:after="0" w:afterAutospacing="0"/>
              <w:ind w:right="34"/>
              <w:rPr>
                <w:rFonts w:ascii="Arial" w:hAnsi="Arial" w:cs="Arial"/>
                <w:sz w:val="22"/>
                <w:szCs w:val="22"/>
              </w:rPr>
            </w:pPr>
          </w:p>
          <w:p w14:paraId="4CDD5653" w14:textId="06A1B4EC"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C063BC">
              <w:rPr>
                <w:rFonts w:ascii="Arial" w:hAnsi="Arial" w:cs="Arial"/>
                <w:sz w:val="22"/>
                <w:szCs w:val="22"/>
              </w:rPr>
              <w:t>January</w:t>
            </w:r>
            <w:r>
              <w:rPr>
                <w:rFonts w:ascii="Arial" w:hAnsi="Arial" w:cs="Arial"/>
                <w:sz w:val="22"/>
                <w:szCs w:val="22"/>
              </w:rPr>
              <w:t xml:space="preserve"> </w:t>
            </w:r>
            <w:r w:rsidR="00C063BC">
              <w:rPr>
                <w:rFonts w:ascii="Arial" w:hAnsi="Arial" w:cs="Arial"/>
                <w:sz w:val="22"/>
                <w:szCs w:val="22"/>
              </w:rPr>
              <w:t>8</w:t>
            </w:r>
            <w:r>
              <w:rPr>
                <w:rFonts w:ascii="Arial" w:hAnsi="Arial" w:cs="Arial"/>
                <w:sz w:val="22"/>
                <w:szCs w:val="22"/>
              </w:rPr>
              <w:t>, 202</w:t>
            </w:r>
            <w:r w:rsidR="00C063BC">
              <w:rPr>
                <w:rFonts w:ascii="Arial" w:hAnsi="Arial" w:cs="Arial"/>
                <w:sz w:val="22"/>
                <w:szCs w:val="22"/>
              </w:rPr>
              <w:t>1</w:t>
            </w:r>
            <w:r>
              <w:rPr>
                <w:rFonts w:ascii="Arial" w:hAnsi="Arial" w:cs="Arial"/>
                <w:sz w:val="22"/>
                <w:szCs w:val="22"/>
              </w:rPr>
              <w:t xml:space="preserve"> @ 23:59 GMT</w:t>
            </w:r>
          </w:p>
        </w:tc>
      </w:tr>
      <w:tr w:rsidR="00763291" w:rsidRPr="00230F35" w14:paraId="2D21F961" w14:textId="77777777" w:rsidTr="00F82391">
        <w:trPr>
          <w:trHeight w:val="978"/>
        </w:trPr>
        <w:tc>
          <w:tcPr>
            <w:tcW w:w="8856" w:type="dxa"/>
            <w:gridSpan w:val="5"/>
            <w:tcBorders>
              <w:bottom w:val="single" w:sz="4" w:space="0" w:color="000000"/>
            </w:tcBorders>
          </w:tcPr>
          <w:p w14:paraId="2198A046" w14:textId="26A21755" w:rsidR="00763291" w:rsidRDefault="00763291" w:rsidP="00F82391">
            <w:pPr>
              <w:rPr>
                <w:rFonts w:ascii="Arial" w:hAnsi="Arial" w:cs="Arial"/>
              </w:rPr>
            </w:pPr>
            <w:r>
              <w:rPr>
                <w:rFonts w:ascii="Arial" w:hAnsi="Arial" w:cs="Arial"/>
              </w:rPr>
              <w:t>If your module has multiple submissions</w:t>
            </w:r>
            <w:r w:rsidR="000235BC">
              <w:rPr>
                <w:rFonts w:ascii="Arial" w:hAnsi="Arial" w:cs="Arial"/>
              </w:rPr>
              <w:t>,</w:t>
            </w:r>
            <w:r>
              <w:rPr>
                <w:rFonts w:ascii="Arial" w:hAnsi="Arial" w:cs="Arial"/>
              </w:rPr>
              <w:t xml:space="preserve"> please indicate which piece of work this is.</w:t>
            </w:r>
          </w:p>
          <w:p w14:paraId="77496296" w14:textId="77777777" w:rsidR="00763291" w:rsidRDefault="00763291" w:rsidP="00F82391">
            <w:pPr>
              <w:rPr>
                <w:rFonts w:ascii="Arial" w:hAnsi="Arial" w:cs="Arial"/>
              </w:rPr>
            </w:pPr>
          </w:p>
          <w:p w14:paraId="5558076E" w14:textId="6DEBBB07" w:rsidR="00763291" w:rsidRPr="00230F35" w:rsidRDefault="00763291" w:rsidP="00F82391">
            <w:pPr>
              <w:rPr>
                <w:rFonts w:ascii="Arial" w:hAnsi="Arial" w:cs="Arial"/>
              </w:rPr>
            </w:pPr>
            <w:r w:rsidRPr="00230F35">
              <w:rPr>
                <w:rFonts w:ascii="Arial" w:hAnsi="Arial" w:cs="Arial"/>
              </w:rPr>
              <w:t>1</w:t>
            </w:r>
            <w:r w:rsidRPr="00230F35">
              <w:rPr>
                <w:rFonts w:ascii="Arial" w:hAnsi="Arial" w:cs="Arial"/>
                <w:vertAlign w:val="superscript"/>
              </w:rPr>
              <w:t>st</w:t>
            </w:r>
            <w:r w:rsidRPr="00230F35">
              <w:rPr>
                <w:rFonts w:ascii="Arial" w:hAnsi="Arial" w:cs="Arial"/>
              </w:rPr>
              <w:t xml:space="preserve"> </w:t>
            </w:r>
            <w:r w:rsidR="00C063BC">
              <w:rPr>
                <w:rFonts w:ascii="Arial" w:hAnsi="Arial" w:cs="Arial"/>
              </w:rPr>
              <w:t xml:space="preserve"> </w:t>
            </w:r>
            <w:r w:rsidR="00C063BC" w:rsidRPr="00230F35">
              <w:rPr>
                <w:rFonts w:ascii="Arial" w:hAnsi="Arial" w:cs="Arial"/>
              </w:rPr>
              <w:fldChar w:fldCharType="begin">
                <w:ffData>
                  <w:name w:val="Check16"/>
                  <w:enabled/>
                  <w:calcOnExit w:val="0"/>
                  <w:checkBox>
                    <w:sizeAuto/>
                    <w:default w:val="0"/>
                  </w:checkBox>
                </w:ffData>
              </w:fldChar>
            </w:r>
            <w:r w:rsidR="00C063BC" w:rsidRPr="00230F35">
              <w:rPr>
                <w:rFonts w:ascii="Arial" w:hAnsi="Arial" w:cs="Arial"/>
              </w:rPr>
              <w:instrText xml:space="preserve"> FORMCHECKBOX </w:instrText>
            </w:r>
            <w:r w:rsidR="00195223">
              <w:rPr>
                <w:rFonts w:ascii="Arial" w:hAnsi="Arial" w:cs="Arial"/>
              </w:rPr>
            </w:r>
            <w:r w:rsidR="00195223">
              <w:rPr>
                <w:rFonts w:ascii="Arial" w:hAnsi="Arial" w:cs="Arial"/>
              </w:rPr>
              <w:fldChar w:fldCharType="separate"/>
            </w:r>
            <w:r w:rsidR="00C063BC" w:rsidRPr="00230F35">
              <w:rPr>
                <w:rFonts w:ascii="Arial" w:hAnsi="Arial" w:cs="Arial"/>
              </w:rPr>
              <w:fldChar w:fldCharType="end"/>
            </w:r>
            <w:r w:rsidR="00C063BC">
              <w:rPr>
                <w:rFonts w:ascii="Arial" w:hAnsi="Arial" w:cs="Arial"/>
              </w:rPr>
              <w:t xml:space="preserve">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195223">
              <w:rPr>
                <w:rFonts w:ascii="Arial" w:hAnsi="Arial" w:cs="Arial"/>
              </w:rPr>
            </w:r>
            <w:r w:rsidR="00195223">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C063BC" w:rsidRPr="000235BC">
              <w:rPr>
                <w:rFonts w:ascii="Arial" w:hAnsi="Arial" w:cs="Arial"/>
                <w:b/>
                <w:bCs/>
                <w:color w:val="FF0000"/>
              </w:rPr>
              <w:t>X</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00195223">
              <w:rPr>
                <w:rFonts w:ascii="Arial" w:hAnsi="Arial" w:cs="Arial"/>
              </w:rPr>
            </w:r>
            <w:r w:rsidR="00195223">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00195223">
              <w:rPr>
                <w:rFonts w:ascii="Arial" w:hAnsi="Arial" w:cs="Arial"/>
              </w:rPr>
            </w:r>
            <w:r w:rsidR="00195223">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00195223">
              <w:rPr>
                <w:rFonts w:ascii="Arial" w:hAnsi="Arial" w:cs="Arial"/>
              </w:rPr>
            </w:r>
            <w:r w:rsidR="00195223">
              <w:rPr>
                <w:rFonts w:ascii="Arial" w:hAnsi="Arial" w:cs="Arial"/>
              </w:rPr>
              <w:fldChar w:fldCharType="separate"/>
            </w:r>
            <w:r w:rsidRPr="00230F35">
              <w:rPr>
                <w:rFonts w:ascii="Arial" w:hAnsi="Arial" w:cs="Arial"/>
              </w:rPr>
              <w:fldChar w:fldCharType="end"/>
            </w:r>
          </w:p>
        </w:tc>
      </w:tr>
      <w:tr w:rsidR="00763291" w:rsidRPr="00230F35" w14:paraId="222B581B" w14:textId="77777777" w:rsidTr="00F82391">
        <w:trPr>
          <w:trHeight w:val="978"/>
        </w:trPr>
        <w:tc>
          <w:tcPr>
            <w:tcW w:w="8856" w:type="dxa"/>
            <w:gridSpan w:val="5"/>
            <w:shd w:val="clear" w:color="auto" w:fill="D9D9D9"/>
          </w:tcPr>
          <w:p w14:paraId="0B68BFBB"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C9012F8"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E348A1C" w14:textId="77777777" w:rsidR="00763291" w:rsidRDefault="00763291" w:rsidP="00F8239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50A34217"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63291" w:rsidRPr="00230F35" w14:paraId="3AFCDB08" w14:textId="77777777" w:rsidTr="00F82391">
        <w:trPr>
          <w:trHeight w:val="3972"/>
        </w:trPr>
        <w:tc>
          <w:tcPr>
            <w:tcW w:w="8856" w:type="dxa"/>
            <w:gridSpan w:val="5"/>
          </w:tcPr>
          <w:p w14:paraId="73DFBEED" w14:textId="77777777" w:rsidR="00763291" w:rsidRDefault="00763291" w:rsidP="00F82391">
            <w:pPr>
              <w:rPr>
                <w:rFonts w:ascii="Arial" w:hAnsi="Arial"/>
                <w:b/>
              </w:rPr>
            </w:pPr>
          </w:p>
          <w:p w14:paraId="69AC6FFF" w14:textId="77777777" w:rsidR="00763291" w:rsidRDefault="00763291" w:rsidP="00F82391">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3291" w:rsidRPr="00116CE6" w14:paraId="30C8CE21" w14:textId="77777777" w:rsidTr="00F82391">
              <w:tc>
                <w:tcPr>
                  <w:tcW w:w="6970" w:type="dxa"/>
                </w:tcPr>
                <w:p w14:paraId="17518B0A" w14:textId="77777777" w:rsidR="00763291" w:rsidRDefault="00763291" w:rsidP="00F82391">
                  <w:pPr>
                    <w:rPr>
                      <w:rFonts w:ascii="Arial" w:hAnsi="Arial"/>
                      <w:sz w:val="20"/>
                      <w:szCs w:val="20"/>
                    </w:rPr>
                  </w:pPr>
                </w:p>
                <w:p w14:paraId="2E4FCCB6" w14:textId="77777777" w:rsidR="00763291" w:rsidRPr="00022345" w:rsidRDefault="00763291" w:rsidP="00F82391">
                  <w:pPr>
                    <w:rPr>
                      <w:rFonts w:ascii="Arial" w:hAnsi="Arial"/>
                      <w:b/>
                      <w:sz w:val="20"/>
                      <w:szCs w:val="20"/>
                    </w:rPr>
                  </w:pPr>
                  <w:r w:rsidRPr="00022345">
                    <w:rPr>
                      <w:rFonts w:ascii="Arial" w:hAnsi="Arial"/>
                      <w:b/>
                      <w:sz w:val="20"/>
                      <w:szCs w:val="20"/>
                    </w:rPr>
                    <w:t>Final Mark</w:t>
                  </w:r>
                </w:p>
                <w:p w14:paraId="466D1FEF" w14:textId="77777777" w:rsidR="00763291" w:rsidRPr="00116CE6" w:rsidRDefault="00763291" w:rsidP="00F82391">
                  <w:pPr>
                    <w:rPr>
                      <w:rFonts w:ascii="Arial" w:hAnsi="Arial"/>
                      <w:sz w:val="20"/>
                      <w:szCs w:val="20"/>
                    </w:rPr>
                  </w:pPr>
                </w:p>
              </w:tc>
              <w:tc>
                <w:tcPr>
                  <w:tcW w:w="1660" w:type="dxa"/>
                </w:tcPr>
                <w:p w14:paraId="636EE80B" w14:textId="77777777" w:rsidR="00763291" w:rsidRPr="00116CE6" w:rsidRDefault="00763291" w:rsidP="00F82391">
                  <w:pPr>
                    <w:rPr>
                      <w:rFonts w:ascii="Arial" w:hAnsi="Arial"/>
                      <w:sz w:val="20"/>
                      <w:szCs w:val="20"/>
                    </w:rPr>
                  </w:pPr>
                  <w:r>
                    <w:rPr>
                      <w:rFonts w:ascii="Arial" w:hAnsi="Arial"/>
                      <w:sz w:val="20"/>
                      <w:szCs w:val="20"/>
                    </w:rPr>
                    <w:t>WILL BE GIVEN ON TURNITIN</w:t>
                  </w:r>
                </w:p>
              </w:tc>
            </w:tr>
          </w:tbl>
          <w:p w14:paraId="2298A38E" w14:textId="77777777" w:rsidR="00763291" w:rsidRDefault="00763291" w:rsidP="00F82391">
            <w:pPr>
              <w:pStyle w:val="NormalWeb"/>
              <w:spacing w:before="0" w:beforeAutospacing="0" w:after="0" w:afterAutospacing="0"/>
              <w:ind w:left="142" w:right="34"/>
              <w:rPr>
                <w:rFonts w:ascii="Arial" w:hAnsi="Arial" w:cs="Arial"/>
                <w:b/>
                <w:sz w:val="22"/>
                <w:szCs w:val="22"/>
              </w:rPr>
            </w:pPr>
          </w:p>
          <w:p w14:paraId="54C730B6" w14:textId="77777777" w:rsidR="00763291" w:rsidRPr="00230F35" w:rsidRDefault="00763291" w:rsidP="00F8239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A4A3CF" w14:textId="77777777" w:rsidR="00763291" w:rsidRDefault="00763291" w:rsidP="00F82391">
            <w:pPr>
              <w:pStyle w:val="NormalWeb"/>
              <w:spacing w:before="0" w:beforeAutospacing="0" w:after="0" w:afterAutospacing="0"/>
              <w:rPr>
                <w:rFonts w:ascii="Arial" w:hAnsi="Arial" w:cs="Arial"/>
                <w:b/>
                <w:sz w:val="22"/>
                <w:szCs w:val="22"/>
              </w:rPr>
            </w:pPr>
          </w:p>
          <w:p w14:paraId="5F2D3967" w14:textId="77777777" w:rsidR="00763291" w:rsidRDefault="00763291" w:rsidP="00F82391">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5001256" w14:textId="77777777" w:rsidR="00763291" w:rsidRDefault="00763291" w:rsidP="00F82391">
            <w:pPr>
              <w:pStyle w:val="NormalWeb"/>
              <w:spacing w:before="0" w:beforeAutospacing="0" w:after="0" w:afterAutospacing="0"/>
              <w:rPr>
                <w:rFonts w:ascii="Arial" w:hAnsi="Arial" w:cs="Arial"/>
                <w:b/>
                <w:sz w:val="22"/>
                <w:szCs w:val="22"/>
              </w:rPr>
            </w:pPr>
          </w:p>
          <w:p w14:paraId="4ECC58FD" w14:textId="77777777" w:rsidR="00763291" w:rsidRDefault="00763291" w:rsidP="00F82391">
            <w:pPr>
              <w:pStyle w:val="NormalWeb"/>
              <w:spacing w:before="0" w:beforeAutospacing="0" w:after="0" w:afterAutospacing="0"/>
              <w:rPr>
                <w:rFonts w:ascii="Arial" w:hAnsi="Arial" w:cs="Arial"/>
                <w:b/>
                <w:sz w:val="22"/>
                <w:szCs w:val="22"/>
              </w:rPr>
            </w:pPr>
          </w:p>
          <w:p w14:paraId="107EC365" w14:textId="77777777" w:rsidR="00763291" w:rsidRPr="00230F35" w:rsidRDefault="00763291" w:rsidP="00F8239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A1AB93A" w14:textId="77777777" w:rsidR="00763291" w:rsidRDefault="00763291" w:rsidP="00F8239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0E779" w14:textId="77777777" w:rsidR="00763291" w:rsidRPr="00001C3B" w:rsidRDefault="00763291" w:rsidP="00F82391">
            <w:pPr>
              <w:pStyle w:val="NormalWeb"/>
              <w:rPr>
                <w:rFonts w:ascii="Arial" w:hAnsi="Arial" w:cs="Arial"/>
                <w:sz w:val="22"/>
                <w:szCs w:val="22"/>
              </w:rPr>
            </w:pPr>
          </w:p>
        </w:tc>
      </w:tr>
      <w:tr w:rsidR="00763291" w:rsidRPr="00230F35" w14:paraId="55C3EDC0" w14:textId="77777777" w:rsidTr="00F82391">
        <w:trPr>
          <w:trHeight w:val="492"/>
        </w:trPr>
        <w:tc>
          <w:tcPr>
            <w:tcW w:w="6768" w:type="dxa"/>
            <w:gridSpan w:val="3"/>
          </w:tcPr>
          <w:p w14:paraId="116BA617" w14:textId="77777777" w:rsidR="00763291" w:rsidRPr="00230F35" w:rsidRDefault="00763291" w:rsidP="00F8239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CF6E36" w14:textId="77777777" w:rsidR="00763291" w:rsidRPr="00230F35" w:rsidRDefault="00763291" w:rsidP="00F82391">
            <w:pPr>
              <w:pStyle w:val="NormalWeb"/>
              <w:spacing w:after="0"/>
              <w:ind w:left="142" w:right="34"/>
              <w:rPr>
                <w:rFonts w:ascii="Arial" w:hAnsi="Arial" w:cs="Arial"/>
                <w:sz w:val="22"/>
                <w:szCs w:val="22"/>
              </w:rPr>
            </w:pPr>
            <w:r w:rsidRPr="00230F35">
              <w:rPr>
                <w:rFonts w:ascii="Arial" w:hAnsi="Arial" w:cs="Arial"/>
                <w:sz w:val="22"/>
                <w:szCs w:val="22"/>
              </w:rPr>
              <w:t>Date:</w:t>
            </w:r>
          </w:p>
        </w:tc>
      </w:tr>
      <w:tr w:rsidR="00763291" w:rsidRPr="002F467C" w14:paraId="4AB27406" w14:textId="77777777" w:rsidTr="00F82391">
        <w:tc>
          <w:tcPr>
            <w:tcW w:w="8856" w:type="dxa"/>
            <w:gridSpan w:val="5"/>
          </w:tcPr>
          <w:p w14:paraId="5884BA50" w14:textId="77777777" w:rsidR="00763291" w:rsidRPr="00230F35" w:rsidRDefault="00763291" w:rsidP="00F82391">
            <w:pPr>
              <w:pStyle w:val="NormalWeb"/>
              <w:spacing w:before="0" w:beforeAutospacing="0" w:after="0" w:afterAutospacing="0"/>
              <w:ind w:right="-334"/>
              <w:rPr>
                <w:rFonts w:ascii="Arial" w:hAnsi="Arial" w:cs="Arial"/>
                <w:bCs/>
                <w:i/>
                <w:sz w:val="22"/>
                <w:szCs w:val="22"/>
              </w:rPr>
            </w:pPr>
          </w:p>
          <w:p w14:paraId="76EC678D" w14:textId="77777777" w:rsidR="00763291" w:rsidRPr="00230F35" w:rsidRDefault="00763291" w:rsidP="00F8239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4D79EA" w14:textId="77777777" w:rsidR="00763291" w:rsidRPr="00230F35" w:rsidRDefault="00763291" w:rsidP="00F82391">
            <w:pPr>
              <w:pStyle w:val="NormalWeb"/>
              <w:spacing w:before="0" w:beforeAutospacing="0" w:after="0" w:afterAutospacing="0"/>
              <w:ind w:right="-334"/>
              <w:rPr>
                <w:rFonts w:ascii="Arial" w:hAnsi="Arial" w:cs="Arial"/>
                <w:b/>
                <w:bCs/>
                <w:sz w:val="22"/>
                <w:szCs w:val="22"/>
              </w:rPr>
            </w:pPr>
          </w:p>
          <w:p w14:paraId="454B033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C71C7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169BBFA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7014028B"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tc>
      </w:tr>
      <w:tr w:rsidR="00763291" w:rsidRPr="002F467C" w14:paraId="24D5BECE" w14:textId="77777777" w:rsidTr="00F82391">
        <w:trPr>
          <w:trHeight w:val="720"/>
        </w:trPr>
        <w:tc>
          <w:tcPr>
            <w:tcW w:w="5211" w:type="dxa"/>
            <w:gridSpan w:val="2"/>
          </w:tcPr>
          <w:p w14:paraId="3B19E8D1"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055D3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63291" w:rsidRPr="002F467C" w14:paraId="1BBEC740" w14:textId="77777777" w:rsidTr="00F82391">
        <w:trPr>
          <w:trHeight w:val="720"/>
        </w:trPr>
        <w:tc>
          <w:tcPr>
            <w:tcW w:w="8856" w:type="dxa"/>
            <w:gridSpan w:val="5"/>
          </w:tcPr>
          <w:p w14:paraId="3705A4C0" w14:textId="77777777" w:rsidR="00763291" w:rsidRPr="006367FD" w:rsidRDefault="00763291" w:rsidP="00F82391">
            <w:pPr>
              <w:rPr>
                <w:rFonts w:ascii="Arial" w:hAnsi="Arial" w:cs="Arial"/>
                <w:b/>
              </w:rPr>
            </w:pPr>
            <w:r w:rsidRPr="006367FD">
              <w:rPr>
                <w:rFonts w:ascii="Arial" w:hAnsi="Arial" w:cs="Arial"/>
                <w:b/>
              </w:rPr>
              <w:t>AGREED INTERNAL MARK (where necessary):</w:t>
            </w:r>
          </w:p>
          <w:p w14:paraId="6E8E3144" w14:textId="77777777" w:rsidR="00763291" w:rsidRPr="006367FD" w:rsidRDefault="00763291" w:rsidP="00F82391">
            <w:pPr>
              <w:rPr>
                <w:rFonts w:ascii="Arial" w:hAnsi="Arial" w:cs="Arial"/>
                <w:b/>
              </w:rPr>
            </w:pPr>
          </w:p>
          <w:p w14:paraId="6004DD89" w14:textId="77777777" w:rsidR="00763291" w:rsidRDefault="00763291" w:rsidP="00F82391">
            <w:pPr>
              <w:rPr>
                <w:rFonts w:ascii="Arial" w:hAnsi="Arial" w:cs="Arial"/>
                <w:b/>
              </w:rPr>
            </w:pPr>
            <w:r w:rsidRPr="006367FD">
              <w:rPr>
                <w:rFonts w:ascii="Arial" w:hAnsi="Arial" w:cs="Arial"/>
                <w:b/>
              </w:rPr>
              <w:t>Comment on process of arriving at agreed mark:</w:t>
            </w:r>
          </w:p>
          <w:p w14:paraId="35B3B6E6" w14:textId="77777777" w:rsidR="00763291" w:rsidRDefault="00763291" w:rsidP="00F82391">
            <w:pPr>
              <w:rPr>
                <w:rFonts w:ascii="Arial" w:hAnsi="Arial" w:cs="Arial"/>
                <w:b/>
              </w:rPr>
            </w:pPr>
          </w:p>
          <w:p w14:paraId="4A7C5F22" w14:textId="77777777" w:rsidR="00763291" w:rsidRDefault="00763291" w:rsidP="00F82391">
            <w:pPr>
              <w:rPr>
                <w:rFonts w:ascii="Arial" w:hAnsi="Arial" w:cs="Arial"/>
                <w:b/>
              </w:rPr>
            </w:pPr>
          </w:p>
          <w:p w14:paraId="205A836E" w14:textId="77777777" w:rsidR="00763291" w:rsidRDefault="00763291" w:rsidP="00F82391">
            <w:pPr>
              <w:rPr>
                <w:rFonts w:ascii="Arial" w:hAnsi="Arial" w:cs="Arial"/>
                <w:b/>
              </w:rPr>
            </w:pPr>
          </w:p>
          <w:p w14:paraId="4B70D1E6" w14:textId="77777777" w:rsidR="00763291" w:rsidRDefault="00763291" w:rsidP="00F82391">
            <w:pPr>
              <w:rPr>
                <w:rFonts w:ascii="Arial" w:hAnsi="Arial" w:cs="Arial"/>
                <w:b/>
              </w:rPr>
            </w:pPr>
          </w:p>
          <w:p w14:paraId="42315493" w14:textId="77777777" w:rsidR="00763291" w:rsidRDefault="00763291" w:rsidP="00F82391">
            <w:pPr>
              <w:rPr>
                <w:rFonts w:ascii="Arial" w:hAnsi="Arial" w:cs="Arial"/>
                <w:b/>
              </w:rPr>
            </w:pPr>
          </w:p>
          <w:p w14:paraId="79865414" w14:textId="77777777" w:rsidR="00763291" w:rsidRDefault="00763291" w:rsidP="00F82391">
            <w:pPr>
              <w:rPr>
                <w:rFonts w:ascii="Arial" w:hAnsi="Arial" w:cs="Arial"/>
                <w:b/>
              </w:rPr>
            </w:pPr>
          </w:p>
          <w:p w14:paraId="31548AD0" w14:textId="77777777" w:rsidR="00763291" w:rsidRDefault="00763291" w:rsidP="00F82391">
            <w:pPr>
              <w:rPr>
                <w:rFonts w:ascii="Arial" w:hAnsi="Arial" w:cs="Arial"/>
                <w:b/>
              </w:rPr>
            </w:pPr>
          </w:p>
          <w:p w14:paraId="135E17AB" w14:textId="77777777" w:rsidR="00763291" w:rsidRPr="00B34964" w:rsidRDefault="00763291" w:rsidP="00F82391">
            <w:pPr>
              <w:rPr>
                <w:rFonts w:ascii="Arial" w:hAnsi="Arial" w:cs="Arial"/>
                <w:b/>
              </w:rPr>
            </w:pPr>
          </w:p>
        </w:tc>
      </w:tr>
      <w:tr w:rsidR="00763291" w:rsidRPr="002F467C" w14:paraId="50CF327A" w14:textId="77777777" w:rsidTr="00F82391">
        <w:trPr>
          <w:trHeight w:val="720"/>
        </w:trPr>
        <w:tc>
          <w:tcPr>
            <w:tcW w:w="8856" w:type="dxa"/>
            <w:gridSpan w:val="5"/>
          </w:tcPr>
          <w:p w14:paraId="00EEAAB6" w14:textId="77777777" w:rsidR="00763291" w:rsidRPr="00B34964" w:rsidRDefault="00763291" w:rsidP="00F82391">
            <w:pPr>
              <w:rPr>
                <w:rFonts w:ascii="Arial" w:hAnsi="Arial" w:cs="Arial"/>
                <w:b/>
              </w:rPr>
            </w:pPr>
            <w:r w:rsidRPr="00B34964">
              <w:rPr>
                <w:rFonts w:ascii="Arial" w:hAnsi="Arial" w:cs="Arial"/>
                <w:b/>
              </w:rPr>
              <w:lastRenderedPageBreak/>
              <w:t>External Examiner’s comments (if relevant)</w:t>
            </w:r>
          </w:p>
          <w:p w14:paraId="5F17AE08" w14:textId="77777777" w:rsidR="00763291" w:rsidRDefault="00763291" w:rsidP="00F82391">
            <w:pPr>
              <w:pStyle w:val="NormalWeb"/>
              <w:spacing w:before="0" w:beforeAutospacing="0" w:after="0" w:afterAutospacing="0"/>
              <w:ind w:right="-334"/>
              <w:rPr>
                <w:rFonts w:ascii="Arial" w:hAnsi="Arial" w:cs="Arial"/>
                <w:bCs/>
                <w:sz w:val="22"/>
                <w:szCs w:val="22"/>
              </w:rPr>
            </w:pPr>
          </w:p>
          <w:p w14:paraId="2A7C3F4D" w14:textId="77777777" w:rsidR="00763291" w:rsidRDefault="00763291" w:rsidP="00F82391">
            <w:pPr>
              <w:pStyle w:val="NormalWeb"/>
              <w:spacing w:before="0" w:beforeAutospacing="0" w:after="0" w:afterAutospacing="0"/>
              <w:ind w:right="-334"/>
              <w:rPr>
                <w:rFonts w:ascii="Arial" w:hAnsi="Arial" w:cs="Arial"/>
                <w:bCs/>
                <w:sz w:val="22"/>
                <w:szCs w:val="22"/>
              </w:rPr>
            </w:pPr>
          </w:p>
          <w:p w14:paraId="7B953C78" w14:textId="77777777" w:rsidR="00763291" w:rsidRDefault="00763291" w:rsidP="00F82391">
            <w:pPr>
              <w:pStyle w:val="NormalWeb"/>
              <w:spacing w:before="0" w:beforeAutospacing="0" w:after="0" w:afterAutospacing="0"/>
              <w:ind w:right="-334"/>
              <w:rPr>
                <w:rFonts w:ascii="Arial" w:hAnsi="Arial" w:cs="Arial"/>
                <w:bCs/>
                <w:sz w:val="22"/>
                <w:szCs w:val="22"/>
              </w:rPr>
            </w:pPr>
          </w:p>
          <w:p w14:paraId="273DBD15" w14:textId="77777777" w:rsidR="00763291" w:rsidRDefault="00763291" w:rsidP="00F82391">
            <w:pPr>
              <w:pStyle w:val="NormalWeb"/>
              <w:spacing w:before="0" w:beforeAutospacing="0" w:after="0" w:afterAutospacing="0"/>
              <w:ind w:right="-334"/>
              <w:rPr>
                <w:rFonts w:ascii="Arial" w:hAnsi="Arial" w:cs="Arial"/>
                <w:bCs/>
                <w:sz w:val="22"/>
                <w:szCs w:val="22"/>
              </w:rPr>
            </w:pPr>
          </w:p>
          <w:p w14:paraId="068BA14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35B6E1AF"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43FCB59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tc>
      </w:tr>
      <w:tr w:rsidR="00763291" w:rsidRPr="002F467C" w14:paraId="46E7ED23" w14:textId="77777777" w:rsidTr="00F82391">
        <w:trPr>
          <w:trHeight w:val="720"/>
        </w:trPr>
        <w:tc>
          <w:tcPr>
            <w:tcW w:w="5211" w:type="dxa"/>
            <w:gridSpan w:val="2"/>
          </w:tcPr>
          <w:p w14:paraId="37D05D3E" w14:textId="77777777" w:rsidR="00763291" w:rsidRPr="00230F35" w:rsidRDefault="00763291" w:rsidP="00F82391">
            <w:pPr>
              <w:rPr>
                <w:rFonts w:ascii="Arial" w:hAnsi="Arial" w:cs="Arial"/>
              </w:rPr>
            </w:pPr>
            <w:r w:rsidRPr="00230F35">
              <w:rPr>
                <w:rFonts w:ascii="Arial" w:hAnsi="Arial" w:cs="Arial"/>
              </w:rPr>
              <w:t>External Examiner’s Signature:</w:t>
            </w:r>
          </w:p>
        </w:tc>
        <w:tc>
          <w:tcPr>
            <w:tcW w:w="3645" w:type="dxa"/>
            <w:gridSpan w:val="3"/>
          </w:tcPr>
          <w:p w14:paraId="4F95F514" w14:textId="77777777" w:rsidR="00763291" w:rsidRPr="00230F35" w:rsidRDefault="00763291" w:rsidP="00F82391">
            <w:pPr>
              <w:rPr>
                <w:rFonts w:ascii="Arial" w:hAnsi="Arial" w:cs="Arial"/>
              </w:rPr>
            </w:pPr>
            <w:r w:rsidRPr="00230F35">
              <w:rPr>
                <w:rFonts w:ascii="Arial" w:hAnsi="Arial" w:cs="Arial"/>
              </w:rPr>
              <w:t>Date:</w:t>
            </w:r>
          </w:p>
        </w:tc>
      </w:tr>
    </w:tbl>
    <w:p w14:paraId="55B1BD07" w14:textId="77777777" w:rsidR="00763291" w:rsidRDefault="00763291" w:rsidP="00763291">
      <w:pPr>
        <w:rPr>
          <w:rFonts w:cstheme="minorHAnsi"/>
          <w:b/>
          <w:bCs/>
        </w:rPr>
        <w:sectPr w:rsidR="00763291" w:rsidSect="00763291">
          <w:headerReference w:type="default" r:id="rId9"/>
          <w:footerReference w:type="default" r:id="rId10"/>
          <w:pgSz w:w="12240" w:h="15840"/>
          <w:pgMar w:top="1440" w:right="1440" w:bottom="1440" w:left="1440" w:header="708" w:footer="708" w:gutter="0"/>
          <w:pgNumType w:fmt="lowerRoman"/>
          <w:cols w:space="708"/>
          <w:docGrid w:linePitch="360"/>
        </w:sectPr>
      </w:pPr>
    </w:p>
    <w:p w14:paraId="33331900" w14:textId="77777777" w:rsidR="00543B55" w:rsidRDefault="00543B55" w:rsidP="00543B55">
      <w:pPr>
        <w:jc w:val="center"/>
        <w:rPr>
          <w:b/>
          <w:bCs/>
        </w:rPr>
      </w:pPr>
      <w:r w:rsidRPr="005F24DF">
        <w:rPr>
          <w:b/>
          <w:bCs/>
        </w:rPr>
        <w:lastRenderedPageBreak/>
        <w:t xml:space="preserve">‘The stars incline; they do not compel.’ </w:t>
      </w:r>
    </w:p>
    <w:p w14:paraId="4A52F116" w14:textId="77777777" w:rsidR="00543B55" w:rsidRPr="005F24DF" w:rsidRDefault="00543B55" w:rsidP="00543B55">
      <w:pPr>
        <w:jc w:val="center"/>
        <w:rPr>
          <w:b/>
          <w:bCs/>
        </w:rPr>
      </w:pPr>
      <w:r w:rsidRPr="005F24DF">
        <w:rPr>
          <w:b/>
          <w:bCs/>
        </w:rPr>
        <w:t>Discuss this statement in relation to the theory and practice of astrology, using the work of two astrologers</w:t>
      </w:r>
    </w:p>
    <w:p w14:paraId="6AF7BBE5" w14:textId="77777777" w:rsidR="00543B55" w:rsidRDefault="00543B55" w:rsidP="00543B55">
      <w:pPr>
        <w:jc w:val="center"/>
      </w:pPr>
      <w:r w:rsidRPr="00422C36">
        <w:t xml:space="preserve">Word Count: </w:t>
      </w:r>
      <w:r>
        <w:t>3,478</w:t>
      </w:r>
    </w:p>
    <w:p w14:paraId="3CF03767" w14:textId="77777777" w:rsidR="00543B55" w:rsidRDefault="00543B55" w:rsidP="00543B55">
      <w:pPr>
        <w:jc w:val="center"/>
      </w:pPr>
    </w:p>
    <w:p w14:paraId="668A43F5" w14:textId="77777777" w:rsidR="00543B55" w:rsidRDefault="00543B55" w:rsidP="00543B55">
      <w:pPr>
        <w:spacing w:after="0"/>
        <w:jc w:val="center"/>
        <w:rPr>
          <w:i/>
          <w:iCs/>
        </w:rPr>
      </w:pPr>
      <w:r>
        <w:rPr>
          <w:i/>
          <w:iCs/>
        </w:rPr>
        <w:t>“</w:t>
      </w:r>
      <w:r w:rsidRPr="000572EC">
        <w:rPr>
          <w:i/>
          <w:iCs/>
        </w:rPr>
        <w:t>astra inclinat sed non necessitant</w:t>
      </w:r>
      <w:r>
        <w:rPr>
          <w:i/>
          <w:iCs/>
        </w:rPr>
        <w:t>”</w:t>
      </w:r>
    </w:p>
    <w:p w14:paraId="615DEA2A" w14:textId="77777777" w:rsidR="00543B55" w:rsidRPr="006D2D7B" w:rsidRDefault="00543B55" w:rsidP="00543B55">
      <w:pPr>
        <w:spacing w:after="0"/>
        <w:jc w:val="center"/>
        <w:rPr>
          <w:i/>
          <w:iCs/>
          <w:sz w:val="18"/>
          <w:szCs w:val="18"/>
        </w:rPr>
      </w:pPr>
      <w:r w:rsidRPr="006D2D7B">
        <w:rPr>
          <w:i/>
          <w:iCs/>
          <w:sz w:val="18"/>
          <w:szCs w:val="18"/>
        </w:rPr>
        <w:t>(attributed to Saint Thomas Aquinas)</w:t>
      </w:r>
    </w:p>
    <w:p w14:paraId="6AED3721" w14:textId="77777777" w:rsidR="00543B55" w:rsidRDefault="00543B55" w:rsidP="00543B55">
      <w:pPr>
        <w:spacing w:after="0"/>
        <w:jc w:val="center"/>
        <w:rPr>
          <w:i/>
          <w:iCs/>
          <w:sz w:val="20"/>
          <w:szCs w:val="20"/>
        </w:rPr>
      </w:pPr>
    </w:p>
    <w:p w14:paraId="2968E014" w14:textId="77777777" w:rsidR="00543B55" w:rsidRDefault="00543B55" w:rsidP="00543B55">
      <w:pPr>
        <w:spacing w:after="0"/>
        <w:jc w:val="center"/>
        <w:rPr>
          <w:i/>
          <w:iCs/>
          <w:sz w:val="20"/>
          <w:szCs w:val="20"/>
        </w:rPr>
      </w:pPr>
    </w:p>
    <w:p w14:paraId="3769391B" w14:textId="77777777" w:rsidR="00543B55" w:rsidRDefault="00543B55" w:rsidP="00543B55">
      <w:pPr>
        <w:spacing w:after="0"/>
        <w:jc w:val="center"/>
        <w:rPr>
          <w:i/>
          <w:iCs/>
          <w:sz w:val="20"/>
          <w:szCs w:val="20"/>
        </w:rPr>
      </w:pPr>
    </w:p>
    <w:p w14:paraId="5AC0927B" w14:textId="77777777" w:rsidR="00543B55" w:rsidRDefault="00543B55" w:rsidP="00543B55">
      <w:pPr>
        <w:spacing w:after="0" w:line="360" w:lineRule="auto"/>
        <w:rPr>
          <w:b/>
          <w:bCs/>
        </w:rPr>
      </w:pPr>
      <w:r>
        <w:rPr>
          <w:b/>
          <w:bCs/>
        </w:rPr>
        <w:t>Introduction</w:t>
      </w:r>
    </w:p>
    <w:p w14:paraId="28C05213" w14:textId="77777777" w:rsidR="00543B55" w:rsidRDefault="00543B55" w:rsidP="00543B55">
      <w:pPr>
        <w:spacing w:after="0" w:line="360" w:lineRule="auto"/>
      </w:pPr>
    </w:p>
    <w:p w14:paraId="75197120" w14:textId="77777777" w:rsidR="00543B55" w:rsidRPr="00853F02" w:rsidRDefault="00543B55" w:rsidP="00543B55">
      <w:pPr>
        <w:spacing w:after="0" w:line="360" w:lineRule="auto"/>
      </w:pPr>
      <w:r>
        <w:t xml:space="preserve">The well-known astrological aphorism, ‘the stars incline; but they do not compel’, of obscure origin historically but popularised in many astrological circles, provides a thought experiment. An experiment about the fated skies. Here, the ‘experiment’ reminds of the thinking of Daryn Leroux in the </w:t>
      </w:r>
      <w:r w:rsidRPr="00AF0857">
        <w:rPr>
          <w:i/>
          <w:iCs/>
        </w:rPr>
        <w:t>context</w:t>
      </w:r>
      <w:r>
        <w:t xml:space="preserve"> of ‘assume that the world we live in is sensitively influenced by some force exerted by the sun, the moon, and the stars’.</w:t>
      </w:r>
      <w:r>
        <w:rPr>
          <w:rStyle w:val="FootnoteReference"/>
        </w:rPr>
        <w:footnoteReference w:id="2"/>
      </w:r>
      <w:r>
        <w:t xml:space="preserve"> That context is then applied to the theoretical positions and practical techniques of two astrologers – the Persian Jew Sahl Ibn Bishr </w:t>
      </w:r>
      <w:r>
        <w:rPr>
          <w:rFonts w:cstheme="minorHAnsi"/>
        </w:rPr>
        <w:t xml:space="preserve">(ca. 786 – 845 CE) </w:t>
      </w:r>
      <w:r>
        <w:t xml:space="preserve">and the British Theosophist-Astrologer Alan Leo (1860 – 1917 CE). Their respective astrological contributions are framed within two classical models of fate – Platonist dualism and Stoic monism. How fate is viewed and in what cultural environment these astrologers lived and worked allows for modelling of their respective positions historically with particular reference to the Hellenistic traditions in astrology. </w:t>
      </w:r>
    </w:p>
    <w:p w14:paraId="6C15CABD" w14:textId="77777777" w:rsidR="00543B55" w:rsidRDefault="00543B55" w:rsidP="00543B55">
      <w:pPr>
        <w:spacing w:after="0" w:line="360" w:lineRule="auto"/>
        <w:rPr>
          <w:b/>
          <w:bCs/>
        </w:rPr>
      </w:pPr>
    </w:p>
    <w:p w14:paraId="1B0FA714" w14:textId="77777777" w:rsidR="00543B55" w:rsidRDefault="00543B55" w:rsidP="00543B55">
      <w:pPr>
        <w:spacing w:after="0" w:line="360" w:lineRule="auto"/>
        <w:rPr>
          <w:b/>
          <w:bCs/>
        </w:rPr>
      </w:pPr>
      <w:r>
        <w:rPr>
          <w:b/>
          <w:bCs/>
        </w:rPr>
        <w:t>Classical Models of Fate, Free-Will and Determinism</w:t>
      </w:r>
    </w:p>
    <w:p w14:paraId="42896BD4" w14:textId="77777777" w:rsidR="00543B55" w:rsidRDefault="00543B55" w:rsidP="00543B55">
      <w:pPr>
        <w:spacing w:after="0" w:line="360" w:lineRule="auto"/>
      </w:pPr>
    </w:p>
    <w:p w14:paraId="2CFA7B62" w14:textId="77777777" w:rsidR="00543B55" w:rsidRDefault="00543B55" w:rsidP="00543B55">
      <w:pPr>
        <w:spacing w:after="0" w:line="360" w:lineRule="auto"/>
      </w:pPr>
      <w:r>
        <w:t xml:space="preserve">The notion of ‘fate’, if considered as the course of development of certain events in a person’s life as inevitable, pre-determined, beyond one’s control, governed externally by supernatural entities, or determined by the influences of cosmological objects, is an ancient one. Fate as </w:t>
      </w:r>
      <w:r>
        <w:rPr>
          <w:i/>
          <w:iCs/>
        </w:rPr>
        <w:t xml:space="preserve">fatum, </w:t>
      </w:r>
      <w:r>
        <w:t xml:space="preserve">or ‘that which has already been spoken’, has both etymological roots which can be connected to these examples and historical discourses which take us back more than two millennia. Bernadette Brady, in discussing theories of fate and the order of the cosmos, has indicated that the debate over what constitutes models of fate is equally possessive of a ‘long history’. Her work in this area has made a particular </w:t>
      </w:r>
      <w:r>
        <w:lastRenderedPageBreak/>
        <w:t>contribution to how classical models of fate have formed, and do form to this day, the theoretical and behavioural positions of practitioners of astrology.</w:t>
      </w:r>
      <w:r>
        <w:rPr>
          <w:rStyle w:val="FootnoteReference"/>
        </w:rPr>
        <w:footnoteReference w:id="3"/>
      </w:r>
      <w:r>
        <w:t xml:space="preserve"> Prior to examining the positioning of fate between the Medieval Persian astrologer, Sahl Ibn Bishr, and the Modernist / Theosophist astrologer, Alan Leo, brief sketches of two classical models of fate – Platonist dualism and Stoic monism – guide the discussion. These two models of fate then lead to the identification that </w:t>
      </w:r>
      <w:r>
        <w:rPr>
          <w:i/>
          <w:iCs/>
        </w:rPr>
        <w:t xml:space="preserve">determinism </w:t>
      </w:r>
      <w:r>
        <w:t>has come to replace the notion of fate in modern philosophical discourses.</w:t>
      </w:r>
    </w:p>
    <w:p w14:paraId="205C3080" w14:textId="77777777" w:rsidR="00543B55" w:rsidRDefault="00543B55" w:rsidP="00543B55">
      <w:pPr>
        <w:spacing w:after="0" w:line="360" w:lineRule="auto"/>
      </w:pPr>
    </w:p>
    <w:p w14:paraId="0BBD666F" w14:textId="77777777" w:rsidR="00543B55" w:rsidRDefault="00543B55" w:rsidP="00543B55">
      <w:pPr>
        <w:spacing w:after="0" w:line="360" w:lineRule="auto"/>
      </w:pPr>
      <w:r>
        <w:t xml:space="preserve">Plato (ca. 428 – 348 BCE), in the </w:t>
      </w:r>
      <w:r>
        <w:rPr>
          <w:i/>
          <w:iCs/>
        </w:rPr>
        <w:t xml:space="preserve">Timaeus, </w:t>
      </w:r>
      <w:r>
        <w:t xml:space="preserve">sets up a distinction between the </w:t>
      </w:r>
      <w:r w:rsidRPr="000310D5">
        <w:rPr>
          <w:i/>
          <w:iCs/>
        </w:rPr>
        <w:t xml:space="preserve">physical </w:t>
      </w:r>
      <w:r>
        <w:t xml:space="preserve">world which is subject to changes, violence, and decay which can only be appreciated as ‘matters of opinion’ and the </w:t>
      </w:r>
      <w:r w:rsidRPr="000310D5">
        <w:rPr>
          <w:i/>
          <w:iCs/>
        </w:rPr>
        <w:t>eternal</w:t>
      </w:r>
      <w:r>
        <w:t xml:space="preserve"> one which cannot change and is therefore comprehensible with expert human reasoning.</w:t>
      </w:r>
      <w:r>
        <w:rPr>
          <w:rStyle w:val="FootnoteReference"/>
        </w:rPr>
        <w:footnoteReference w:id="4"/>
      </w:r>
      <w:r>
        <w:t xml:space="preserve"> It is this macroscale distinction between the cosmic physical and the eternal which eventually bears upon the microscale ‘dualist’ nature of the human soul according to Plato. As for this ‘soul’, Plato states that ‘God, however, constructed the soul to be older than the Body and so it is prior to birth and excellent, since she was to be the mistress and ruler and it, the ruled’.</w:t>
      </w:r>
      <w:r>
        <w:rPr>
          <w:rStyle w:val="FootnoteReference"/>
        </w:rPr>
        <w:footnoteReference w:id="5"/>
      </w:r>
      <w:r>
        <w:t xml:space="preserve"> Moreover, there is within Plato’s concept of soul a direct connection to the manner in which late nineteenth-century Theosophical reasoning about the soul’s desire to have experiences here below but eventually return to its ‘Individual Star’ – a form of Platonic dualism.</w:t>
      </w:r>
      <w:r>
        <w:rPr>
          <w:rStyle w:val="FootnoteReference"/>
        </w:rPr>
        <w:footnoteReference w:id="6"/>
      </w:r>
      <w:r>
        <w:t xml:space="preserve"> </w:t>
      </w:r>
    </w:p>
    <w:p w14:paraId="7C0F722F" w14:textId="77777777" w:rsidR="00543B55" w:rsidRPr="001E1409" w:rsidRDefault="00543B55" w:rsidP="00543B55">
      <w:pPr>
        <w:spacing w:after="0" w:line="360" w:lineRule="auto"/>
        <w:rPr>
          <w:iCs/>
        </w:rPr>
      </w:pPr>
    </w:p>
    <w:p w14:paraId="779C6850" w14:textId="77777777" w:rsidR="00543B55" w:rsidRPr="00B7014E" w:rsidRDefault="00543B55" w:rsidP="00543B55">
      <w:pPr>
        <w:spacing w:after="0" w:line="360" w:lineRule="auto"/>
      </w:pPr>
      <w:r>
        <w:t xml:space="preserve">Contrasting this model of Platonist dualism, the Stoic </w:t>
      </w:r>
      <w:r w:rsidRPr="005C3859">
        <w:rPr>
          <w:i/>
          <w:iCs/>
        </w:rPr>
        <w:t xml:space="preserve">monist </w:t>
      </w:r>
      <w:r>
        <w:t xml:space="preserve">model of fate is grounded in the unity of both the transcendent and immanent </w:t>
      </w:r>
      <w:r w:rsidRPr="00DA2100">
        <w:rPr>
          <w:i/>
          <w:iCs/>
        </w:rPr>
        <w:t>together</w:t>
      </w:r>
      <w:r>
        <w:t xml:space="preserve"> with the world and in which it was imbued with moral responsibility for one’s actions to assist with, or co-create, this unitary whole. Put another way, humans possess a certain partial responsibility to the veritable creation of God.</w:t>
      </w:r>
      <w:r>
        <w:rPr>
          <w:rStyle w:val="FootnoteReference"/>
        </w:rPr>
        <w:footnoteReference w:id="7"/>
      </w:r>
      <w:r>
        <w:t xml:space="preserve"> In this model, there is not the Platonic demarcation between knowledge and opinion, or soul and physical body, or divine nature and human nature, or post-death liberty from the chaos, tragedies, and suffering of an earthly existence but the ‘universality of necessity’ which placed both ‘the human soul and the human will within the physical </w:t>
      </w:r>
      <w:r>
        <w:lastRenderedPageBreak/>
        <w:t>world’.</w:t>
      </w:r>
      <w:r>
        <w:rPr>
          <w:rStyle w:val="FootnoteReference"/>
        </w:rPr>
        <w:footnoteReference w:id="8"/>
      </w:r>
      <w:r>
        <w:t xml:space="preserve"> There are important implications of this demarcation between Platonist dualism and Stoic monism with respect to incarnations, re-incarnations, and the concept of the passage of time. If there is a corporeal soul, then the ‘union of individual body and soul was reborn, but as a result of the re-birth of the entire world through the conflagration…[One] was naturally reborn – body and soul – at the appointed time of one’s birth in the history of the planet’.</w:t>
      </w:r>
      <w:r>
        <w:rPr>
          <w:rStyle w:val="FootnoteReference"/>
        </w:rPr>
        <w:footnoteReference w:id="9"/>
      </w:r>
      <w:r>
        <w:t xml:space="preserve"> The immediate implication in terms of the concept of the passage of time is that time is eternally </w:t>
      </w:r>
      <w:r>
        <w:rPr>
          <w:i/>
          <w:iCs/>
        </w:rPr>
        <w:t xml:space="preserve">cyclic </w:t>
      </w:r>
      <w:r>
        <w:t>with repeating patterns. Morally, the person continues to participate in the creation and manifestation of the divine nature – repeatedly – and this manifests itself in the seeking of inner harmony, holistic health of mind, body and soul, and all within a framework which permits personal freedom. One’s future could be understood by virtue of looking at the past, for ‘Stoic time is closed, circular, implying that the past was embedded in the future and the future was embedded in the past’.</w:t>
      </w:r>
      <w:r>
        <w:rPr>
          <w:rStyle w:val="FootnoteReference"/>
        </w:rPr>
        <w:footnoteReference w:id="10"/>
      </w:r>
    </w:p>
    <w:p w14:paraId="465AACFD" w14:textId="77777777" w:rsidR="00543B55" w:rsidRDefault="00543B55" w:rsidP="00543B55">
      <w:pPr>
        <w:spacing w:after="0" w:line="360" w:lineRule="auto"/>
      </w:pPr>
    </w:p>
    <w:p w14:paraId="1FAB3D5B" w14:textId="77777777" w:rsidR="00543B55" w:rsidRDefault="00543B55" w:rsidP="00543B55">
      <w:pPr>
        <w:spacing w:after="0" w:line="360" w:lineRule="auto"/>
      </w:pPr>
      <w:r>
        <w:t xml:space="preserve">Daryn Lehoux stated that, ‘of all the predictive sciences in antiquity, astrology is particularly prone to questions of </w:t>
      </w:r>
      <w:r w:rsidRPr="00BC7D8C">
        <w:t>determinism</w:t>
      </w:r>
      <w:r>
        <w:t>’</w:t>
      </w:r>
      <w:r w:rsidRPr="00BC7D8C">
        <w:t>.</w:t>
      </w:r>
      <w:r w:rsidRPr="00BC7D8C">
        <w:rPr>
          <w:rStyle w:val="FootnoteReference"/>
        </w:rPr>
        <w:footnoteReference w:id="11"/>
      </w:r>
      <w:r>
        <w:rPr>
          <w:i/>
          <w:iCs/>
        </w:rPr>
        <w:t xml:space="preserve"> </w:t>
      </w:r>
      <w:r>
        <w:t xml:space="preserve">An in-depth discussion of the philosophical abandonment of ‘fate’ </w:t>
      </w:r>
      <w:r>
        <w:rPr>
          <w:i/>
          <w:iCs/>
        </w:rPr>
        <w:t xml:space="preserve">per se </w:t>
      </w:r>
      <w:r>
        <w:t xml:space="preserve">in favour of various positions on a spectrum of determinism, indeterminism, anti-determinism, and what will be referred to later as </w:t>
      </w:r>
      <w:r>
        <w:rPr>
          <w:i/>
          <w:iCs/>
        </w:rPr>
        <w:t>circumstantial (partial) determinism</w:t>
      </w:r>
      <w:r>
        <w:t xml:space="preserve"> is beyond the scope of this essay. However, the treatment of this by Brady is extensive, and for the purposes here two of Baruch Spinoza’s (1632 – 1677 CE) ways of ‘living with determinism’ are relevant: 1) Body and mind/soul are of the same substance, thus body and the human will were both within the influence of determinism, and; 2) By accepting the consequences of determinism one could begin to release oneself from reacting (especially emotionally) to the determinism of the mind.</w:t>
      </w:r>
      <w:r>
        <w:rPr>
          <w:rStyle w:val="FootnoteReference"/>
        </w:rPr>
        <w:footnoteReference w:id="12"/>
      </w:r>
      <w:r>
        <w:t xml:space="preserve"> </w:t>
      </w:r>
    </w:p>
    <w:p w14:paraId="075D7E90" w14:textId="77777777" w:rsidR="00543B55" w:rsidRDefault="00543B55" w:rsidP="00543B55">
      <w:pPr>
        <w:spacing w:after="0" w:line="360" w:lineRule="auto"/>
      </w:pPr>
    </w:p>
    <w:p w14:paraId="28CD1E20" w14:textId="77777777" w:rsidR="00543B55" w:rsidRDefault="00543B55" w:rsidP="00543B55">
      <w:pPr>
        <w:spacing w:after="0" w:line="360" w:lineRule="auto"/>
      </w:pPr>
      <w:r>
        <w:t xml:space="preserve">In a series of articles in </w:t>
      </w:r>
      <w:r>
        <w:rPr>
          <w:i/>
          <w:iCs/>
        </w:rPr>
        <w:t xml:space="preserve">The Mountain Astrologer, </w:t>
      </w:r>
      <w:r>
        <w:t xml:space="preserve">Hellenistic astrologer Chris Brennan discussed differing philosophical positions which were adopted in the ancient world among leading astrologers. Figure 1 adapts Brennan’s model of situating certain astrologers of the Hellenistic tradition and will be applied later to Sahl Ibn Bishr and Alan Leo. In this model, the planets are considered either as ‘signs’ or as </w:t>
      </w:r>
      <w:r>
        <w:lastRenderedPageBreak/>
        <w:t>‘causes’ of events occurring in the future, but in all cases are thought of as the ‘instruments of fate’.</w:t>
      </w:r>
      <w:r>
        <w:rPr>
          <w:rStyle w:val="FootnoteReference"/>
        </w:rPr>
        <w:footnoteReference w:id="13"/>
      </w:r>
      <w:r>
        <w:t xml:space="preserve"> The vertical axis containing these signs and causes is a rather rigid distinction in considering the role of the planets. For example, the planet Saturn could symbolise the ‘discipline figure’ or be viewed as a cause of ‘depressive’ events. The horizontal axis, however, is viewed as a spectrum or continuum from the ‘hard’ view of Brennan’s ‘complete determinism’ (adapted here to the new term </w:t>
      </w:r>
      <w:r w:rsidRPr="00A324F4">
        <w:rPr>
          <w:i/>
          <w:iCs/>
        </w:rPr>
        <w:t>comprehensive determinism</w:t>
      </w:r>
      <w:r>
        <w:t xml:space="preserve"> (cf. fate)) to a more libertarian position of what Brennan called ‘partial determinism’, now adapted to the term </w:t>
      </w:r>
      <w:r w:rsidRPr="00A324F4">
        <w:rPr>
          <w:i/>
          <w:iCs/>
        </w:rPr>
        <w:t>c</w:t>
      </w:r>
      <w:r>
        <w:rPr>
          <w:i/>
          <w:iCs/>
        </w:rPr>
        <w:t>ircumstantial</w:t>
      </w:r>
      <w:r w:rsidRPr="00A324F4">
        <w:rPr>
          <w:i/>
          <w:iCs/>
        </w:rPr>
        <w:t xml:space="preserve"> determinism</w:t>
      </w:r>
      <w:r>
        <w:rPr>
          <w:i/>
          <w:iCs/>
        </w:rPr>
        <w:t>.</w:t>
      </w:r>
      <w:r w:rsidRPr="00C41751">
        <w:rPr>
          <w:rStyle w:val="FootnoteReference"/>
        </w:rPr>
        <w:footnoteReference w:id="14"/>
      </w:r>
      <w:r w:rsidRPr="00C41751">
        <w:t xml:space="preserve"> </w:t>
      </w:r>
    </w:p>
    <w:p w14:paraId="600973DC" w14:textId="77777777" w:rsidR="00543B55" w:rsidRDefault="00543B55" w:rsidP="00543B55">
      <w:pPr>
        <w:keepNext/>
        <w:spacing w:after="0" w:line="360" w:lineRule="auto"/>
        <w:jc w:val="center"/>
      </w:pPr>
      <w:r w:rsidRPr="00BC7D8C">
        <mc:AlternateContent>
          <mc:Choice Requires="wps">
            <w:drawing>
              <wp:anchor distT="45720" distB="45720" distL="114300" distR="114300" simplePos="0" relativeHeight="251660288" behindDoc="0" locked="0" layoutInCell="1" allowOverlap="1" wp14:anchorId="3FC66AB2" wp14:editId="39F7FDB7">
                <wp:simplePos x="0" y="0"/>
                <wp:positionH relativeFrom="column">
                  <wp:posOffset>2854805</wp:posOffset>
                </wp:positionH>
                <wp:positionV relativeFrom="paragraph">
                  <wp:posOffset>1211268</wp:posOffset>
                </wp:positionV>
                <wp:extent cx="759125" cy="34988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125" cy="349885"/>
                        </a:xfrm>
                        <a:prstGeom prst="rect">
                          <a:avLst/>
                        </a:prstGeom>
                        <a:noFill/>
                        <a:ln w="9525">
                          <a:noFill/>
                          <a:miter lim="800000"/>
                          <a:headEnd/>
                          <a:tailEnd/>
                        </a:ln>
                      </wps:spPr>
                      <wps:txbx>
                        <w:txbxContent>
                          <w:p w14:paraId="3EDE7013" w14:textId="77777777" w:rsidR="00543B55" w:rsidRPr="00BC7D8C" w:rsidRDefault="00543B55" w:rsidP="00543B55">
                            <w:pPr>
                              <w:rPr>
                                <w:b/>
                                <w:bCs/>
                                <w:sz w:val="16"/>
                                <w:szCs w:val="16"/>
                              </w:rPr>
                            </w:pPr>
                            <w:r w:rsidRPr="00BC7D8C">
                              <w:rPr>
                                <w:b/>
                                <w:bCs/>
                                <w:sz w:val="16"/>
                                <w:szCs w:val="16"/>
                              </w:rPr>
                              <w:t>DOROTHEUS</w:t>
                            </w:r>
                          </w:p>
                          <w:p w14:paraId="767E6429" w14:textId="77777777" w:rsidR="00543B55" w:rsidRPr="002150B5" w:rsidRDefault="00543B55" w:rsidP="00543B55">
                            <w:pPr>
                              <w:rPr>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C66AB2" id="_x0000_t202" coordsize="21600,21600" o:spt="202" path="m,l,21600r21600,l21600,xe">
                <v:stroke joinstyle="miter"/>
                <v:path gradientshapeok="t" o:connecttype="rect"/>
              </v:shapetype>
              <v:shape id="Text Box 5" o:spid="_x0000_s1026" type="#_x0000_t202" style="position:absolute;left:0;text-align:left;margin-left:224.8pt;margin-top:95.4pt;width:59.75pt;height:27.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" filled="f" stroked="f">
                <v:textbox>
                  <w:txbxContent>
                    <w:p w14:paraId="3EDE7013" w14:textId="77777777" w:rsidR="00543B55" w:rsidRPr="00BC7D8C" w:rsidRDefault="00543B55" w:rsidP="00543B55">
                      <w:pPr>
                        <w:rPr>
                          <w:b/>
                          <w:bCs/>
                          <w:sz w:val="16"/>
                          <w:szCs w:val="16"/>
                        </w:rPr>
                      </w:pPr>
                      <w:r w:rsidRPr="00BC7D8C">
                        <w:rPr>
                          <w:b/>
                          <w:bCs/>
                          <w:sz w:val="16"/>
                          <w:szCs w:val="16"/>
                        </w:rPr>
                        <w:t>DOROTHEUS</w:t>
                      </w:r>
                    </w:p>
                    <w:p w14:paraId="767E6429" w14:textId="77777777" w:rsidR="00543B55" w:rsidRPr="002150B5" w:rsidRDefault="00543B55" w:rsidP="00543B55">
                      <w:pPr>
                        <w:rPr>
                          <w:b/>
                          <w:bCs/>
                          <w:sz w:val="24"/>
                          <w:szCs w:val="24"/>
                        </w:rPr>
                      </w:pPr>
                    </w:p>
                  </w:txbxContent>
                </v:textbox>
              </v:shape>
            </w:pict>
          </mc:Fallback>
        </mc:AlternateContent>
      </w:r>
      <w:r w:rsidRPr="00BC7D8C">
        <mc:AlternateContent>
          <mc:Choice Requires="wps">
            <w:drawing>
              <wp:anchor distT="45720" distB="45720" distL="114300" distR="114300" simplePos="0" relativeHeight="251662336" behindDoc="0" locked="0" layoutInCell="1" allowOverlap="1" wp14:anchorId="79CD2128" wp14:editId="4D7DE6E7">
                <wp:simplePos x="0" y="0"/>
                <wp:positionH relativeFrom="column">
                  <wp:posOffset>2173545</wp:posOffset>
                </wp:positionH>
                <wp:positionV relativeFrom="paragraph">
                  <wp:posOffset>1866744</wp:posOffset>
                </wp:positionV>
                <wp:extent cx="715992" cy="53403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992" cy="534035"/>
                        </a:xfrm>
                        <a:prstGeom prst="rect">
                          <a:avLst/>
                        </a:prstGeom>
                        <a:noFill/>
                        <a:ln w="9525">
                          <a:noFill/>
                          <a:miter lim="800000"/>
                          <a:headEnd/>
                          <a:tailEnd/>
                        </a:ln>
                      </wps:spPr>
                      <wps:txbx>
                        <w:txbxContent>
                          <w:p w14:paraId="3EF2360D" w14:textId="77777777" w:rsidR="00543B55" w:rsidRPr="00BC7D8C" w:rsidRDefault="00543B55" w:rsidP="00543B55">
                            <w:pPr>
                              <w:spacing w:after="0"/>
                              <w:rPr>
                                <w:b/>
                                <w:bCs/>
                                <w:sz w:val="16"/>
                                <w:szCs w:val="16"/>
                              </w:rPr>
                            </w:pPr>
                            <w:r w:rsidRPr="00BC7D8C">
                              <w:rPr>
                                <w:b/>
                                <w:bCs/>
                                <w:sz w:val="16"/>
                                <w:szCs w:val="16"/>
                              </w:rPr>
                              <w:t xml:space="preserve">FIRMICUS </w:t>
                            </w:r>
                          </w:p>
                          <w:p w14:paraId="6D106D08" w14:textId="77777777" w:rsidR="00543B55" w:rsidRPr="00BC7D8C" w:rsidRDefault="00543B55" w:rsidP="00543B55">
                            <w:pPr>
                              <w:spacing w:after="0"/>
                              <w:rPr>
                                <w:b/>
                                <w:bCs/>
                                <w:sz w:val="16"/>
                                <w:szCs w:val="16"/>
                              </w:rPr>
                            </w:pPr>
                            <w:r w:rsidRPr="00BC7D8C">
                              <w:rPr>
                                <w:b/>
                                <w:bCs/>
                                <w:sz w:val="16"/>
                                <w:szCs w:val="16"/>
                              </w:rPr>
                              <w:t>MATERNUS</w:t>
                            </w:r>
                          </w:p>
                          <w:p w14:paraId="2A33C3B8" w14:textId="77777777" w:rsidR="00543B55" w:rsidRPr="00A6644F" w:rsidRDefault="00543B55" w:rsidP="00543B55">
                            <w:pPr>
                              <w:spacing w:after="0"/>
                              <w:rPr>
                                <w:b/>
                                <w:bCs/>
                                <w:color w:val="C0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CD2128" id="Text Box 2" o:spid="_x0000_s1027" type="#_x0000_t202" style="position:absolute;left:0;text-align:left;margin-left:171.15pt;margin-top:147pt;width:56.4pt;height:42.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" filled="f" stroked="f">
                <v:textbox>
                  <w:txbxContent>
                    <w:p w14:paraId="3EF2360D" w14:textId="77777777" w:rsidR="00543B55" w:rsidRPr="00BC7D8C" w:rsidRDefault="00543B55" w:rsidP="00543B55">
                      <w:pPr>
                        <w:spacing w:after="0"/>
                        <w:rPr>
                          <w:b/>
                          <w:bCs/>
                          <w:sz w:val="16"/>
                          <w:szCs w:val="16"/>
                        </w:rPr>
                      </w:pPr>
                      <w:r w:rsidRPr="00BC7D8C">
                        <w:rPr>
                          <w:b/>
                          <w:bCs/>
                          <w:sz w:val="16"/>
                          <w:szCs w:val="16"/>
                        </w:rPr>
                        <w:t xml:space="preserve">FIRMICUS </w:t>
                      </w:r>
                    </w:p>
                    <w:p w14:paraId="6D106D08" w14:textId="77777777" w:rsidR="00543B55" w:rsidRPr="00BC7D8C" w:rsidRDefault="00543B55" w:rsidP="00543B55">
                      <w:pPr>
                        <w:spacing w:after="0"/>
                        <w:rPr>
                          <w:b/>
                          <w:bCs/>
                          <w:sz w:val="16"/>
                          <w:szCs w:val="16"/>
                        </w:rPr>
                      </w:pPr>
                      <w:r w:rsidRPr="00BC7D8C">
                        <w:rPr>
                          <w:b/>
                          <w:bCs/>
                          <w:sz w:val="16"/>
                          <w:szCs w:val="16"/>
                        </w:rPr>
                        <w:t>MATERNUS</w:t>
                      </w:r>
                    </w:p>
                    <w:p w14:paraId="2A33C3B8" w14:textId="77777777" w:rsidR="00543B55" w:rsidRPr="00A6644F" w:rsidRDefault="00543B55" w:rsidP="00543B55">
                      <w:pPr>
                        <w:spacing w:after="0"/>
                        <w:rPr>
                          <w:b/>
                          <w:bCs/>
                          <w:color w:val="C00000"/>
                        </w:rPr>
                      </w:pPr>
                    </w:p>
                  </w:txbxContent>
                </v:textbox>
              </v:shape>
            </w:pict>
          </mc:Fallback>
        </mc:AlternateContent>
      </w:r>
      <w:r w:rsidRPr="00BC7D8C">
        <mc:AlternateContent>
          <mc:Choice Requires="wps">
            <w:drawing>
              <wp:anchor distT="45720" distB="45720" distL="114300" distR="114300" simplePos="0" relativeHeight="251659264" behindDoc="0" locked="0" layoutInCell="1" allowOverlap="1" wp14:anchorId="721010FE" wp14:editId="6D68E1BF">
                <wp:simplePos x="0" y="0"/>
                <wp:positionH relativeFrom="column">
                  <wp:posOffset>2958861</wp:posOffset>
                </wp:positionH>
                <wp:positionV relativeFrom="paragraph">
                  <wp:posOffset>1944538</wp:posOffset>
                </wp:positionV>
                <wp:extent cx="690114" cy="309245"/>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0114" cy="309245"/>
                        </a:xfrm>
                        <a:prstGeom prst="rect">
                          <a:avLst/>
                        </a:prstGeom>
                        <a:noFill/>
                        <a:ln w="9525">
                          <a:noFill/>
                          <a:miter lim="800000"/>
                          <a:headEnd/>
                          <a:tailEnd/>
                        </a:ln>
                      </wps:spPr>
                      <wps:txbx>
                        <w:txbxContent>
                          <w:p w14:paraId="4C4906F9" w14:textId="77777777" w:rsidR="00543B55" w:rsidRPr="00BC7D8C" w:rsidRDefault="00543B55" w:rsidP="00543B55">
                            <w:pPr>
                              <w:rPr>
                                <w:b/>
                                <w:bCs/>
                                <w:sz w:val="16"/>
                                <w:szCs w:val="16"/>
                              </w:rPr>
                            </w:pPr>
                            <w:r w:rsidRPr="00BC7D8C">
                              <w:rPr>
                                <w:b/>
                                <w:bCs/>
                                <w:sz w:val="16"/>
                                <w:szCs w:val="16"/>
                              </w:rPr>
                              <w:t>PTOLEMY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1010FE" id="_x0000_s1028" type="#_x0000_t202" style="position:absolute;left:0;text-align:left;margin-left:233pt;margin-top:153.1pt;width:54.35pt;height:24.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" filled="f" stroked="f">
                <v:textbox>
                  <w:txbxContent>
                    <w:p w14:paraId="4C4906F9" w14:textId="77777777" w:rsidR="00543B55" w:rsidRPr="00BC7D8C" w:rsidRDefault="00543B55" w:rsidP="00543B55">
                      <w:pPr>
                        <w:rPr>
                          <w:b/>
                          <w:bCs/>
                          <w:sz w:val="16"/>
                          <w:szCs w:val="16"/>
                        </w:rPr>
                      </w:pPr>
                      <w:r w:rsidRPr="00BC7D8C">
                        <w:rPr>
                          <w:b/>
                          <w:bCs/>
                          <w:sz w:val="16"/>
                          <w:szCs w:val="16"/>
                        </w:rPr>
                        <w:t>PTOLEMY</w:t>
                      </w:r>
                    </w:p>
                  </w:txbxContent>
                </v:textbox>
              </v:shape>
            </w:pict>
          </mc:Fallback>
        </mc:AlternateContent>
      </w:r>
      <w:r w:rsidRPr="00BC7D8C">
        <mc:AlternateContent>
          <mc:Choice Requires="wps">
            <w:drawing>
              <wp:anchor distT="45720" distB="45720" distL="114300" distR="114300" simplePos="0" relativeHeight="251661312" behindDoc="0" locked="0" layoutInCell="1" allowOverlap="1" wp14:anchorId="6BA957CB" wp14:editId="5A99E6E1">
                <wp:simplePos x="0" y="0"/>
                <wp:positionH relativeFrom="column">
                  <wp:posOffset>2221589</wp:posOffset>
                </wp:positionH>
                <wp:positionV relativeFrom="paragraph">
                  <wp:posOffset>1122584</wp:posOffset>
                </wp:positionV>
                <wp:extent cx="764540" cy="49784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4540" cy="497840"/>
                        </a:xfrm>
                        <a:prstGeom prst="rect">
                          <a:avLst/>
                        </a:prstGeom>
                        <a:noFill/>
                        <a:ln w="9525">
                          <a:noFill/>
                          <a:miter lim="800000"/>
                          <a:headEnd/>
                          <a:tailEnd/>
                        </a:ln>
                      </wps:spPr>
                      <wps:txbx>
                        <w:txbxContent>
                          <w:p w14:paraId="3A2B4C6F" w14:textId="77777777" w:rsidR="00543B55" w:rsidRPr="00BC7D8C" w:rsidRDefault="00543B55" w:rsidP="00543B55">
                            <w:pPr>
                              <w:spacing w:after="0"/>
                              <w:rPr>
                                <w:b/>
                                <w:bCs/>
                                <w:sz w:val="16"/>
                                <w:szCs w:val="16"/>
                              </w:rPr>
                            </w:pPr>
                            <w:r w:rsidRPr="00BC7D8C">
                              <w:rPr>
                                <w:b/>
                                <w:bCs/>
                                <w:sz w:val="16"/>
                                <w:szCs w:val="16"/>
                              </w:rPr>
                              <w:t xml:space="preserve">VETTIUS </w:t>
                            </w:r>
                          </w:p>
                          <w:p w14:paraId="2A200CC7" w14:textId="77777777" w:rsidR="00543B55" w:rsidRPr="00BC7D8C" w:rsidRDefault="00543B55" w:rsidP="00543B55">
                            <w:pPr>
                              <w:spacing w:after="0"/>
                              <w:rPr>
                                <w:b/>
                                <w:bCs/>
                                <w:sz w:val="16"/>
                                <w:szCs w:val="16"/>
                              </w:rPr>
                            </w:pPr>
                            <w:r w:rsidRPr="00BC7D8C">
                              <w:rPr>
                                <w:b/>
                                <w:bCs/>
                                <w:sz w:val="16"/>
                                <w:szCs w:val="16"/>
                              </w:rPr>
                              <w:t>VALENS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957CB" id="_x0000_s1029" type="#_x0000_t202" style="position:absolute;left:0;text-align:left;margin-left:174.95pt;margin-top:88.4pt;width:60.2pt;height:3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" filled="f" stroked="f">
                <v:textbox>
                  <w:txbxContent>
                    <w:p w14:paraId="3A2B4C6F" w14:textId="77777777" w:rsidR="00543B55" w:rsidRPr="00BC7D8C" w:rsidRDefault="00543B55" w:rsidP="00543B55">
                      <w:pPr>
                        <w:spacing w:after="0"/>
                        <w:rPr>
                          <w:b/>
                          <w:bCs/>
                          <w:sz w:val="16"/>
                          <w:szCs w:val="16"/>
                        </w:rPr>
                      </w:pPr>
                      <w:r w:rsidRPr="00BC7D8C">
                        <w:rPr>
                          <w:b/>
                          <w:bCs/>
                          <w:sz w:val="16"/>
                          <w:szCs w:val="16"/>
                        </w:rPr>
                        <w:t xml:space="preserve">VETTIUS </w:t>
                      </w:r>
                    </w:p>
                    <w:p w14:paraId="2A200CC7" w14:textId="77777777" w:rsidR="00543B55" w:rsidRPr="00BC7D8C" w:rsidRDefault="00543B55" w:rsidP="00543B55">
                      <w:pPr>
                        <w:spacing w:after="0"/>
                        <w:rPr>
                          <w:b/>
                          <w:bCs/>
                          <w:sz w:val="16"/>
                          <w:szCs w:val="16"/>
                        </w:rPr>
                      </w:pPr>
                      <w:r w:rsidRPr="00BC7D8C">
                        <w:rPr>
                          <w:b/>
                          <w:bCs/>
                          <w:sz w:val="16"/>
                          <w:szCs w:val="16"/>
                        </w:rPr>
                        <w:t>VALENS</w:t>
                      </w:r>
                    </w:p>
                  </w:txbxContent>
                </v:textbox>
              </v:shape>
            </w:pict>
          </mc:Fallback>
        </mc:AlternateContent>
      </w:r>
      <w:r>
        <w:rPr>
          <w:noProof/>
        </w:rPr>
        <w:drawing>
          <wp:inline distT="0" distB="0" distL="0" distR="0" wp14:anchorId="5D3B2160" wp14:editId="407C3F55">
            <wp:extent cx="4247597" cy="3426106"/>
            <wp:effectExtent l="0" t="0" r="635"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47597" cy="3426106"/>
                    </a:xfrm>
                    <a:prstGeom prst="rect">
                      <a:avLst/>
                    </a:prstGeom>
                  </pic:spPr>
                </pic:pic>
              </a:graphicData>
            </a:graphic>
          </wp:inline>
        </w:drawing>
      </w:r>
    </w:p>
    <w:p w14:paraId="65AEAEA3" w14:textId="77777777" w:rsidR="00543B55" w:rsidRDefault="00543B55" w:rsidP="00543B55">
      <w:pPr>
        <w:pStyle w:val="Caption"/>
        <w:ind w:left="1429" w:hanging="709"/>
        <w:rPr>
          <w:i w:val="0"/>
          <w:iCs w:val="0"/>
        </w:rPr>
      </w:pPr>
      <w:r w:rsidRPr="00E129D9">
        <w:rPr>
          <w:i w:val="0"/>
          <w:iCs w:val="0"/>
          <w:u w:val="single"/>
        </w:rPr>
        <w:t xml:space="preserve">Figure </w:t>
      </w:r>
      <w:r w:rsidRPr="00E129D9">
        <w:rPr>
          <w:i w:val="0"/>
          <w:iCs w:val="0"/>
          <w:u w:val="single"/>
        </w:rPr>
        <w:fldChar w:fldCharType="begin"/>
      </w:r>
      <w:r w:rsidRPr="00E129D9">
        <w:rPr>
          <w:i w:val="0"/>
          <w:iCs w:val="0"/>
          <w:u w:val="single"/>
        </w:rPr>
        <w:instrText xml:space="preserve"> SEQ Figure \* ARABIC </w:instrText>
      </w:r>
      <w:r w:rsidRPr="00E129D9">
        <w:rPr>
          <w:i w:val="0"/>
          <w:iCs w:val="0"/>
          <w:u w:val="single"/>
        </w:rPr>
        <w:fldChar w:fldCharType="separate"/>
      </w:r>
      <w:r>
        <w:rPr>
          <w:i w:val="0"/>
          <w:iCs w:val="0"/>
          <w:noProof/>
          <w:u w:val="single"/>
        </w:rPr>
        <w:t>1</w:t>
      </w:r>
      <w:r w:rsidRPr="00E129D9">
        <w:rPr>
          <w:i w:val="0"/>
          <w:iCs w:val="0"/>
          <w:u w:val="single"/>
        </w:rPr>
        <w:fldChar w:fldCharType="end"/>
      </w:r>
      <w:r w:rsidRPr="00E129D9">
        <w:rPr>
          <w:i w:val="0"/>
          <w:iCs w:val="0"/>
        </w:rPr>
        <w:t>: Model of Astrological Commitments to Fate and Their Relationships to Determinism, Causes and Signs</w:t>
      </w:r>
      <w:r>
        <w:rPr>
          <w:i w:val="0"/>
          <w:iCs w:val="0"/>
        </w:rPr>
        <w:t>.</w:t>
      </w:r>
      <w:r w:rsidRPr="00E129D9">
        <w:rPr>
          <w:i w:val="0"/>
          <w:iCs w:val="0"/>
        </w:rPr>
        <w:t xml:space="preserve"> </w:t>
      </w:r>
      <w:r>
        <w:rPr>
          <w:i w:val="0"/>
          <w:iCs w:val="0"/>
        </w:rPr>
        <w:t xml:space="preserve">                   </w:t>
      </w:r>
      <w:r w:rsidRPr="00E129D9">
        <w:rPr>
          <w:i w:val="0"/>
          <w:iCs w:val="0"/>
        </w:rPr>
        <w:t>(adapted from Brennan, 2012; 2018)</w:t>
      </w:r>
    </w:p>
    <w:p w14:paraId="796E9CBF" w14:textId="77777777" w:rsidR="00543B55" w:rsidRDefault="00543B55" w:rsidP="00543B55"/>
    <w:p w14:paraId="23803D0E" w14:textId="77777777" w:rsidR="00543B55" w:rsidRDefault="00543B55" w:rsidP="00543B55">
      <w:pPr>
        <w:spacing w:after="0" w:line="360" w:lineRule="auto"/>
      </w:pPr>
      <w:r>
        <w:t>In the treatment of his original model, Brennan suggested that many of the ‘issues that were originally raised and dealt with by astrologers during the Hellenistic and Roman periods are still very much relevant to astrologers today’.</w:t>
      </w:r>
      <w:r>
        <w:rPr>
          <w:rStyle w:val="FootnoteReference"/>
        </w:rPr>
        <w:footnoteReference w:id="15"/>
      </w:r>
      <w:r>
        <w:t xml:space="preserve"> In her comprehensive research into the belief systems of present-day astrologers, this same argument holds quite well – particularly when one reads the anecdotal </w:t>
      </w:r>
      <w:r>
        <w:lastRenderedPageBreak/>
        <w:t>commentary provided by the practicing professional astrological community with respect to their beliefs about fate.</w:t>
      </w:r>
      <w:r>
        <w:rPr>
          <w:rStyle w:val="FootnoteReference"/>
        </w:rPr>
        <w:footnoteReference w:id="16"/>
      </w:r>
    </w:p>
    <w:p w14:paraId="09B30AB2" w14:textId="77777777" w:rsidR="00543B55" w:rsidRPr="00C70BAE" w:rsidRDefault="00543B55" w:rsidP="00543B55">
      <w:pPr>
        <w:spacing w:after="0" w:line="360" w:lineRule="auto"/>
      </w:pPr>
      <w:r>
        <w:t>The next two sections outline the life circumstances, place in history, and orientations of the two astrologers selected for this essay. Following this, there is a return to the model of Figure 1.</w:t>
      </w:r>
    </w:p>
    <w:p w14:paraId="34AE0284" w14:textId="77777777" w:rsidR="00543B55" w:rsidRDefault="00543B55" w:rsidP="00543B55">
      <w:pPr>
        <w:spacing w:after="0" w:line="360" w:lineRule="auto"/>
      </w:pPr>
    </w:p>
    <w:p w14:paraId="12A3501B" w14:textId="77777777" w:rsidR="00543B55" w:rsidRPr="006D2D7B" w:rsidRDefault="00543B55" w:rsidP="00543B55">
      <w:pPr>
        <w:spacing w:after="0" w:line="360" w:lineRule="auto"/>
      </w:pPr>
      <w:r>
        <w:t xml:space="preserve"> </w:t>
      </w:r>
      <w:r>
        <w:rPr>
          <w:b/>
          <w:bCs/>
        </w:rPr>
        <w:t>The Medieval Astrology of Sahl Ibn Bishr</w:t>
      </w:r>
    </w:p>
    <w:p w14:paraId="1E44E098" w14:textId="77777777" w:rsidR="00543B55" w:rsidRDefault="00543B55" w:rsidP="00543B55">
      <w:pPr>
        <w:autoSpaceDE w:val="0"/>
        <w:autoSpaceDN w:val="0"/>
        <w:adjustRightInd w:val="0"/>
        <w:spacing w:after="0" w:line="360" w:lineRule="auto"/>
        <w:rPr>
          <w:rFonts w:cstheme="minorHAnsi"/>
        </w:rPr>
      </w:pPr>
    </w:p>
    <w:p w14:paraId="5368F751" w14:textId="77777777" w:rsidR="00543B55" w:rsidRDefault="00543B55" w:rsidP="00543B55">
      <w:pPr>
        <w:autoSpaceDE w:val="0"/>
        <w:autoSpaceDN w:val="0"/>
        <w:adjustRightInd w:val="0"/>
        <w:spacing w:after="0" w:line="360" w:lineRule="auto"/>
        <w:rPr>
          <w:rFonts w:cstheme="minorHAnsi"/>
        </w:rPr>
      </w:pPr>
      <w:r>
        <w:rPr>
          <w:rFonts w:cstheme="minorHAnsi"/>
        </w:rPr>
        <w:t>Sahl Ibn Bishr (ca. 786 – 845 CE), or simply Haya al-Yahudi (“the Jew”), was a Syriac astrologer, astronomer and mathematician who had converted to Eastern Orthodox Christianity. Geographically, he originated in the region of Tabaristan along the southern coast of the Caspian Sea in what is now northern Iran. His son, Ali Ibn Sahl Rabban al-Tabari (hereafter, Sahl) became a noted physician who converted to Islam.</w:t>
      </w:r>
      <w:r>
        <w:rPr>
          <w:rStyle w:val="FootnoteReference"/>
          <w:rFonts w:cstheme="minorHAnsi"/>
        </w:rPr>
        <w:footnoteReference w:id="17"/>
      </w:r>
      <w:r>
        <w:rPr>
          <w:rFonts w:cstheme="minorHAnsi"/>
        </w:rPr>
        <w:t xml:space="preserve"> According to Holden, Sahl was likely the first to provide a translation of the </w:t>
      </w:r>
      <w:r>
        <w:rPr>
          <w:rFonts w:cstheme="minorHAnsi"/>
          <w:i/>
          <w:iCs/>
        </w:rPr>
        <w:t xml:space="preserve">Almagest </w:t>
      </w:r>
      <w:r>
        <w:rPr>
          <w:rFonts w:cstheme="minorHAnsi"/>
        </w:rPr>
        <w:t>of Ptolemy (ca. 100 – 170 CE).</w:t>
      </w:r>
      <w:r>
        <w:rPr>
          <w:rStyle w:val="FootnoteReference"/>
          <w:rFonts w:cstheme="minorHAnsi"/>
        </w:rPr>
        <w:footnoteReference w:id="18"/>
      </w:r>
      <w:r>
        <w:rPr>
          <w:rFonts w:cstheme="minorHAnsi"/>
        </w:rPr>
        <w:t xml:space="preserve"> Though the precise dates of his lifetime are unknown, Dykes references his productive period as 811 – 825 CE.</w:t>
      </w:r>
      <w:r>
        <w:rPr>
          <w:rStyle w:val="FootnoteReference"/>
          <w:rFonts w:cstheme="minorHAnsi"/>
        </w:rPr>
        <w:footnoteReference w:id="19"/>
      </w:r>
      <w:r>
        <w:rPr>
          <w:rFonts w:cstheme="minorHAnsi"/>
        </w:rPr>
        <w:t xml:space="preserve"> In the Latin west, his name is transliterated as </w:t>
      </w:r>
      <w:r>
        <w:rPr>
          <w:rFonts w:cstheme="minorHAnsi"/>
          <w:i/>
          <w:iCs/>
        </w:rPr>
        <w:t xml:space="preserve">Zahel, </w:t>
      </w:r>
      <w:r>
        <w:rPr>
          <w:rFonts w:cstheme="minorHAnsi"/>
        </w:rPr>
        <w:t xml:space="preserve">which as Dykes points out, is a source of confusion for the word for Saturn in Arabic is </w:t>
      </w:r>
      <w:r>
        <w:rPr>
          <w:rFonts w:cstheme="minorHAnsi"/>
          <w:i/>
          <w:iCs/>
        </w:rPr>
        <w:t>Zuhal</w:t>
      </w:r>
      <w:r>
        <w:rPr>
          <w:rFonts w:cstheme="minorHAnsi"/>
        </w:rPr>
        <w:t xml:space="preserve"> and is also a name granted to Arabic treatises on magic and divination.</w:t>
      </w:r>
      <w:r>
        <w:rPr>
          <w:rStyle w:val="FootnoteReference"/>
          <w:rFonts w:cstheme="minorHAnsi"/>
        </w:rPr>
        <w:footnoteReference w:id="20"/>
      </w:r>
    </w:p>
    <w:p w14:paraId="7CE4BEEE" w14:textId="77777777" w:rsidR="00543B55" w:rsidRDefault="00543B55" w:rsidP="00543B55">
      <w:pPr>
        <w:autoSpaceDE w:val="0"/>
        <w:autoSpaceDN w:val="0"/>
        <w:adjustRightInd w:val="0"/>
        <w:spacing w:after="0" w:line="360" w:lineRule="auto"/>
        <w:rPr>
          <w:rFonts w:cstheme="minorHAnsi"/>
        </w:rPr>
      </w:pPr>
    </w:p>
    <w:p w14:paraId="6E7DAEDD" w14:textId="77777777" w:rsidR="00543B55" w:rsidRPr="006B0095" w:rsidRDefault="00543B55" w:rsidP="00543B55">
      <w:pPr>
        <w:autoSpaceDE w:val="0"/>
        <w:autoSpaceDN w:val="0"/>
        <w:adjustRightInd w:val="0"/>
        <w:spacing w:after="0" w:line="360" w:lineRule="auto"/>
        <w:rPr>
          <w:rFonts w:cstheme="minorHAnsi"/>
        </w:rPr>
      </w:pPr>
      <w:r>
        <w:rPr>
          <w:rFonts w:cstheme="minorHAnsi"/>
        </w:rPr>
        <w:t xml:space="preserve">If the suggested date of Sahl’s birth is accurate, his fertile period of astrological writing began early when he was in his mid-twenties in a milieu where court astrologers of the Abbasid Caliphate were influential civil servants or bureaucrats in the role of the astrologer-vizier. Sahl’s arrival in Baghdad could have permitted him to encounter the influential Persian-Jewish astrologer </w:t>
      </w:r>
      <w:r w:rsidRPr="00421110">
        <w:t>Mā</w:t>
      </w:r>
      <w:r>
        <w:t>s</w:t>
      </w:r>
      <w:r w:rsidRPr="00421110">
        <w:t>hā’ Allāh</w:t>
      </w:r>
      <w:r>
        <w:t xml:space="preserve"> (ca. 740 – 815 CE) who, among other </w:t>
      </w:r>
      <w:r>
        <w:rPr>
          <w:rFonts w:cstheme="minorHAnsi"/>
        </w:rPr>
        <w:t>accomplishments, was a contributor to the electional horoscope for the founding of Baghdad in 762 CE and the construction of its first observatory.</w:t>
      </w:r>
      <w:r>
        <w:rPr>
          <w:rStyle w:val="FootnoteReference"/>
          <w:rFonts w:cstheme="minorHAnsi"/>
        </w:rPr>
        <w:footnoteReference w:id="21"/>
      </w:r>
      <w:r>
        <w:rPr>
          <w:rFonts w:cstheme="minorHAnsi"/>
          <w:vertAlign w:val="superscript"/>
        </w:rPr>
        <w:t>,</w:t>
      </w:r>
      <w:r>
        <w:rPr>
          <w:rStyle w:val="FootnoteReference"/>
          <w:rFonts w:cstheme="minorHAnsi"/>
        </w:rPr>
        <w:footnoteReference w:id="22"/>
      </w:r>
      <w:r>
        <w:rPr>
          <w:rFonts w:cstheme="minorHAnsi"/>
        </w:rPr>
        <w:t xml:space="preserve"> In his most recent publication, Dykes has provided an unique reconstruction of a significant portion of </w:t>
      </w:r>
      <w:r w:rsidRPr="00421110">
        <w:t>Mā</w:t>
      </w:r>
      <w:r>
        <w:t>s</w:t>
      </w:r>
      <w:r w:rsidRPr="00421110">
        <w:t>hā’ Allāh</w:t>
      </w:r>
      <w:r>
        <w:t xml:space="preserve">’s lost works to the </w:t>
      </w:r>
      <w:r>
        <w:lastRenderedPageBreak/>
        <w:t xml:space="preserve">Latin West though the new translation from Sahl’s </w:t>
      </w:r>
      <w:r>
        <w:rPr>
          <w:i/>
          <w:iCs/>
        </w:rPr>
        <w:t xml:space="preserve">Nativities </w:t>
      </w:r>
      <w:r>
        <w:t xml:space="preserve">wherein there are significant portions directly mentioning </w:t>
      </w:r>
      <w:r w:rsidRPr="00421110">
        <w:t>Mā</w:t>
      </w:r>
      <w:r>
        <w:t>s</w:t>
      </w:r>
      <w:r w:rsidRPr="00421110">
        <w:t>hā’ Allāh</w:t>
      </w:r>
      <w:r>
        <w:t xml:space="preserve"> by name as the originating source.</w:t>
      </w:r>
      <w:r>
        <w:rPr>
          <w:rStyle w:val="FootnoteReference"/>
        </w:rPr>
        <w:footnoteReference w:id="23"/>
      </w:r>
      <w:r>
        <w:t xml:space="preserve"> </w:t>
      </w:r>
    </w:p>
    <w:p w14:paraId="66AA3E9B" w14:textId="77777777" w:rsidR="00543B55" w:rsidRDefault="00543B55" w:rsidP="00543B55">
      <w:pPr>
        <w:autoSpaceDE w:val="0"/>
        <w:autoSpaceDN w:val="0"/>
        <w:adjustRightInd w:val="0"/>
        <w:spacing w:after="0" w:line="360" w:lineRule="auto"/>
        <w:rPr>
          <w:rFonts w:cstheme="minorHAnsi"/>
        </w:rPr>
      </w:pPr>
    </w:p>
    <w:p w14:paraId="2C30B6EC" w14:textId="77777777" w:rsidR="00543B55" w:rsidRDefault="00543B55" w:rsidP="00543B55">
      <w:pPr>
        <w:autoSpaceDE w:val="0"/>
        <w:autoSpaceDN w:val="0"/>
        <w:adjustRightInd w:val="0"/>
        <w:spacing w:after="0" w:line="360" w:lineRule="auto"/>
        <w:rPr>
          <w:rFonts w:cstheme="minorHAnsi"/>
        </w:rPr>
      </w:pPr>
      <w:r>
        <w:rPr>
          <w:rFonts w:cstheme="minorHAnsi"/>
        </w:rPr>
        <w:t xml:space="preserve">In his book </w:t>
      </w:r>
      <w:r>
        <w:rPr>
          <w:rFonts w:cstheme="minorHAnsi"/>
          <w:i/>
          <w:iCs/>
        </w:rPr>
        <w:t xml:space="preserve">Introduction, </w:t>
      </w:r>
      <w:r>
        <w:rPr>
          <w:rFonts w:cstheme="minorHAnsi"/>
        </w:rPr>
        <w:t xml:space="preserve">Sahl patterns his astrology in the manner of the Hellenistic traditions of the </w:t>
      </w:r>
      <w:r>
        <w:rPr>
          <w:rFonts w:cstheme="minorHAnsi"/>
          <w:i/>
          <w:iCs/>
        </w:rPr>
        <w:t xml:space="preserve">Tetrabiblos </w:t>
      </w:r>
      <w:r>
        <w:rPr>
          <w:rFonts w:cstheme="minorHAnsi"/>
        </w:rPr>
        <w:t>of Ptolemy, Dorotheus of Sidon, and Firmicus Maternus with systematic treatment of the nature of zodiacal signs, aspects, the meanings of the houses and important planetary configurations for horary astrology.</w:t>
      </w:r>
      <w:r>
        <w:rPr>
          <w:rStyle w:val="FootnoteReference"/>
          <w:rFonts w:cstheme="minorHAnsi"/>
        </w:rPr>
        <w:footnoteReference w:id="24"/>
      </w:r>
      <w:r>
        <w:rPr>
          <w:rFonts w:cstheme="minorHAnsi"/>
        </w:rPr>
        <w:t xml:space="preserve"> The </w:t>
      </w:r>
      <w:r>
        <w:rPr>
          <w:rFonts w:cstheme="minorHAnsi"/>
          <w:i/>
          <w:iCs/>
        </w:rPr>
        <w:t xml:space="preserve">Fifty Aphorisms </w:t>
      </w:r>
      <w:r>
        <w:rPr>
          <w:rFonts w:cstheme="minorHAnsi"/>
        </w:rPr>
        <w:t xml:space="preserve">volume of Sahl is a comprehensive treatment (actually containing 107 aphorisms) which would have provided the student of astrology or professed astrologer with a sort of quick reference guide to retrograde motions, conditions of the Moon, and the essential dignities. Most of these, as suggested by Dykes, have come directly from, or are </w:t>
      </w:r>
      <w:r>
        <w:t>modified from,</w:t>
      </w:r>
      <w:r>
        <w:rPr>
          <w:rFonts w:cstheme="minorHAnsi"/>
        </w:rPr>
        <w:t xml:space="preserve"> </w:t>
      </w:r>
      <w:r w:rsidRPr="00421110">
        <w:t>Mā</w:t>
      </w:r>
      <w:r>
        <w:t>s</w:t>
      </w:r>
      <w:r w:rsidRPr="00421110">
        <w:t>hā’ Allāh</w:t>
      </w:r>
      <w:r>
        <w:t>.</w:t>
      </w:r>
      <w:r>
        <w:rPr>
          <w:rStyle w:val="FootnoteReference"/>
        </w:rPr>
        <w:footnoteReference w:id="25"/>
      </w:r>
      <w:r>
        <w:t xml:space="preserve"> Sahl’s </w:t>
      </w:r>
      <w:r>
        <w:rPr>
          <w:i/>
          <w:iCs/>
        </w:rPr>
        <w:t xml:space="preserve">The Book of Choices </w:t>
      </w:r>
      <w:r>
        <w:t xml:space="preserve">and </w:t>
      </w:r>
      <w:r>
        <w:rPr>
          <w:i/>
          <w:iCs/>
        </w:rPr>
        <w:t xml:space="preserve">On Nativities </w:t>
      </w:r>
      <w:r>
        <w:t xml:space="preserve">comprise exceptionally detailed synopses of what could be termed </w:t>
      </w:r>
      <w:r>
        <w:rPr>
          <w:i/>
          <w:iCs/>
        </w:rPr>
        <w:t xml:space="preserve">conditional cosmological determinism </w:t>
      </w:r>
      <w:r>
        <w:t xml:space="preserve">in the manner of William Lilly’s treatise </w:t>
      </w:r>
      <w:r>
        <w:rPr>
          <w:i/>
          <w:iCs/>
        </w:rPr>
        <w:t>Christian Astrology.</w:t>
      </w:r>
      <w:r w:rsidRPr="00F3298F">
        <w:rPr>
          <w:rStyle w:val="FootnoteReference"/>
        </w:rPr>
        <w:footnoteReference w:id="26"/>
      </w:r>
      <w:r>
        <w:rPr>
          <w:i/>
          <w:iCs/>
        </w:rPr>
        <w:t xml:space="preserve"> </w:t>
      </w:r>
      <w:r>
        <w:t xml:space="preserve">Taken together, the works of Sahl, his position in early ninth-century Persian astrological circles, his appeals to the astrology of </w:t>
      </w:r>
      <w:r w:rsidRPr="00421110">
        <w:t>Mā</w:t>
      </w:r>
      <w:r>
        <w:t>s</w:t>
      </w:r>
      <w:r w:rsidRPr="00421110">
        <w:t>hā’ Allāh</w:t>
      </w:r>
      <w:r>
        <w:t xml:space="preserve">, and the political implications of being in the employ of the Abbasid Caliph, categorize Sahl as an important figure in Medieval Arabic astrological history. Unfortunately, </w:t>
      </w:r>
      <w:r>
        <w:rPr>
          <w:rFonts w:cstheme="minorHAnsi"/>
        </w:rPr>
        <w:t xml:space="preserve">there exist no reliable primary or secondary sources which can illuminate the </w:t>
      </w:r>
      <w:r>
        <w:rPr>
          <w:rFonts w:cstheme="minorHAnsi"/>
          <w:i/>
          <w:iCs/>
        </w:rPr>
        <w:t xml:space="preserve">astrological practices </w:t>
      </w:r>
      <w:r>
        <w:rPr>
          <w:rFonts w:cstheme="minorHAnsi"/>
        </w:rPr>
        <w:t xml:space="preserve">of Sahl or his activities as court astrologer-vizier. Given Sahl’s dependence upon </w:t>
      </w:r>
      <w:r w:rsidRPr="00421110">
        <w:t>Mā</w:t>
      </w:r>
      <w:r>
        <w:t>s</w:t>
      </w:r>
      <w:r w:rsidRPr="00421110">
        <w:t>hā’ Allāh</w:t>
      </w:r>
      <w:r>
        <w:t xml:space="preserve">’s works and the evidence that he was the first to translate the </w:t>
      </w:r>
      <w:r>
        <w:rPr>
          <w:i/>
          <w:iCs/>
        </w:rPr>
        <w:t xml:space="preserve">Almagest </w:t>
      </w:r>
      <w:r>
        <w:t>into Arabic, it is surmised that he may have had – as Campion has described of  Ptolemy - a</w:t>
      </w:r>
      <w:r>
        <w:rPr>
          <w:rFonts w:cstheme="minorHAnsi"/>
        </w:rPr>
        <w:t xml:space="preserve"> ‘diluted form’ of the ‘very embodiment of determinism’, a Stoic.</w:t>
      </w:r>
      <w:r>
        <w:rPr>
          <w:rStyle w:val="FootnoteReference"/>
          <w:rFonts w:cstheme="minorHAnsi"/>
        </w:rPr>
        <w:footnoteReference w:id="27"/>
      </w:r>
      <w:r>
        <w:rPr>
          <w:rFonts w:cstheme="minorHAnsi"/>
        </w:rPr>
        <w:t xml:space="preserve"> In addition, there is insufficient historical evidence to determine whether Sahl’s position with respect to the Stoic union of body and soul is supported from his astrology.</w:t>
      </w:r>
    </w:p>
    <w:p w14:paraId="63E643D0" w14:textId="77777777" w:rsidR="00543B55" w:rsidRDefault="00543B55" w:rsidP="00543B55">
      <w:pPr>
        <w:spacing w:after="0" w:line="360" w:lineRule="auto"/>
        <w:rPr>
          <w:b/>
          <w:bCs/>
        </w:rPr>
      </w:pPr>
    </w:p>
    <w:p w14:paraId="13C478BA" w14:textId="77777777" w:rsidR="00543B55" w:rsidRPr="00927A3C" w:rsidRDefault="00543B55" w:rsidP="00543B55">
      <w:pPr>
        <w:spacing w:after="0" w:line="360" w:lineRule="auto"/>
        <w:rPr>
          <w:b/>
          <w:bCs/>
        </w:rPr>
      </w:pPr>
      <w:r>
        <w:rPr>
          <w:b/>
          <w:bCs/>
        </w:rPr>
        <w:t>The Astrology of Alan Leo and His Inclinations to Fate</w:t>
      </w:r>
    </w:p>
    <w:p w14:paraId="73583C34" w14:textId="77777777" w:rsidR="00543B55" w:rsidRPr="001257E7" w:rsidRDefault="00543B55" w:rsidP="00543B55">
      <w:pPr>
        <w:spacing w:after="0" w:line="360" w:lineRule="auto"/>
      </w:pPr>
    </w:p>
    <w:p w14:paraId="1B0A7F6B" w14:textId="77777777" w:rsidR="00543B55" w:rsidRDefault="00543B55" w:rsidP="00543B55">
      <w:pPr>
        <w:spacing w:after="0" w:line="360" w:lineRule="auto"/>
      </w:pPr>
      <w:r>
        <w:t xml:space="preserve">William Frederick Allan (1860 – 1917 CE) was a central figure in astrological circles of the early twentieth century in England, and perhaps the only modern astrologer of significance who was known as an </w:t>
      </w:r>
      <w:r>
        <w:rPr>
          <w:i/>
          <w:iCs/>
        </w:rPr>
        <w:t>auto-didact,</w:t>
      </w:r>
      <w:r>
        <w:t xml:space="preserve"> having little formal education. It is commonly held that his </w:t>
      </w:r>
      <w:r>
        <w:rPr>
          <w:i/>
          <w:iCs/>
        </w:rPr>
        <w:t xml:space="preserve">nom de plume, </w:t>
      </w:r>
      <w:r>
        <w:t>Alan Leo,</w:t>
      </w:r>
      <w:r>
        <w:rPr>
          <w:i/>
          <w:iCs/>
        </w:rPr>
        <w:t xml:space="preserve"> </w:t>
      </w:r>
      <w:r>
        <w:t xml:space="preserve">or </w:t>
      </w:r>
      <w:r>
        <w:lastRenderedPageBreak/>
        <w:t>‘pseudonym’ as Campion remarked, was not an official change of name.</w:t>
      </w:r>
      <w:r>
        <w:rPr>
          <w:rStyle w:val="FootnoteReference"/>
        </w:rPr>
        <w:footnoteReference w:id="28"/>
      </w:r>
      <w:r>
        <w:t xml:space="preserve"> According to a reminiscence of F.W. Lacey, writing a panegyric in </w:t>
      </w:r>
      <w:r>
        <w:rPr>
          <w:i/>
          <w:iCs/>
        </w:rPr>
        <w:t xml:space="preserve">The Life and Work of Alan Leo </w:t>
      </w:r>
      <w:r>
        <w:t xml:space="preserve">assembled by his widow, Bessie Leo, the name change was a legal one. </w:t>
      </w:r>
      <w:r>
        <w:rPr>
          <w:rStyle w:val="FootnoteReference"/>
        </w:rPr>
        <w:footnoteReference w:id="29"/>
      </w:r>
      <w:r>
        <w:t xml:space="preserve"> According to Bobrick, Leo was the individual chiefly responsible for placing ‘Sun sign astrology’ into the popular fabric of astrology itself.</w:t>
      </w:r>
      <w:r>
        <w:rPr>
          <w:rStyle w:val="FootnoteReference"/>
        </w:rPr>
        <w:footnoteReference w:id="30"/>
      </w:r>
      <w:r>
        <w:t xml:space="preserve"> This is no accident, but a recognition that, given his in-depth commitment to the tenets of the Theosophical movement, Leo regarded the horoscope as a ‘kind of esoteric celestial document with symbolical coded language, and the interpretation of which was an occult exercise.</w:t>
      </w:r>
      <w:r>
        <w:rPr>
          <w:rStyle w:val="FootnoteReference"/>
        </w:rPr>
        <w:footnoteReference w:id="31"/>
      </w:r>
      <w:r>
        <w:t xml:space="preserve"> S. Maud Sharpe, a fellow Theosophist, in her remembrance of Leo following his sudden death on 30 August, 2017, wrote:</w:t>
      </w:r>
    </w:p>
    <w:p w14:paraId="7CC6EE54" w14:textId="77777777" w:rsidR="00543B55" w:rsidRDefault="00543B55" w:rsidP="00543B55">
      <w:pPr>
        <w:spacing w:after="0"/>
        <w:ind w:left="720"/>
      </w:pPr>
    </w:p>
    <w:p w14:paraId="76B21123" w14:textId="77777777" w:rsidR="00543B55" w:rsidRDefault="00543B55" w:rsidP="00543B55">
      <w:pPr>
        <w:spacing w:after="0"/>
        <w:ind w:left="720"/>
      </w:pPr>
      <w:r>
        <w:t>Though he was best known to the world as an astrologer, he was always, before all, a Theosophist. He could not think of Theosophy as complete without the great science of</w:t>
      </w:r>
    </w:p>
    <w:p w14:paraId="28485909" w14:textId="77777777" w:rsidR="00543B55" w:rsidRDefault="00543B55" w:rsidP="00543B55">
      <w:pPr>
        <w:spacing w:after="0"/>
        <w:ind w:left="720"/>
      </w:pPr>
      <w:r>
        <w:t>Astrology, but equally he could not imagine Astrology – one of the great ways to God – without</w:t>
      </w:r>
    </w:p>
    <w:p w14:paraId="7A8C88B4" w14:textId="77777777" w:rsidR="00543B55" w:rsidRDefault="00543B55" w:rsidP="00543B55">
      <w:pPr>
        <w:spacing w:after="0"/>
        <w:ind w:left="720"/>
      </w:pPr>
      <w:r>
        <w:t>Theosophy.</w:t>
      </w:r>
      <w:r>
        <w:rPr>
          <w:rStyle w:val="FootnoteReference"/>
        </w:rPr>
        <w:footnoteReference w:id="32"/>
      </w:r>
    </w:p>
    <w:p w14:paraId="7C656ACE" w14:textId="77777777" w:rsidR="00543B55" w:rsidRDefault="00543B55" w:rsidP="00543B55">
      <w:pPr>
        <w:spacing w:after="0"/>
      </w:pPr>
    </w:p>
    <w:p w14:paraId="59BF6622" w14:textId="77777777" w:rsidR="00543B55" w:rsidRDefault="00543B55" w:rsidP="00543B55">
      <w:pPr>
        <w:spacing w:after="0" w:line="360" w:lineRule="auto"/>
      </w:pPr>
      <w:r>
        <w:t>Holden and Hughes support this claim of a central position for Leo’s Theosophical orientation insofar as most or all of Leo’s books had a ‘concentration on the mathematics of astrology which was quite traditional, but his interpretive techniques parted company with the classical texts of the field’.</w:t>
      </w:r>
      <w:r>
        <w:rPr>
          <w:rStyle w:val="FootnoteReference"/>
        </w:rPr>
        <w:footnoteReference w:id="33"/>
      </w:r>
    </w:p>
    <w:p w14:paraId="1EBE0596" w14:textId="77777777" w:rsidR="00543B55" w:rsidRDefault="00543B55" w:rsidP="00543B55">
      <w:pPr>
        <w:spacing w:after="0" w:line="360" w:lineRule="auto"/>
      </w:pPr>
    </w:p>
    <w:p w14:paraId="7AE92028" w14:textId="77777777" w:rsidR="00543B55" w:rsidRPr="009622AE" w:rsidRDefault="00543B55" w:rsidP="00543B55">
      <w:pPr>
        <w:spacing w:after="0" w:line="360" w:lineRule="auto"/>
      </w:pPr>
      <w:r>
        <w:t xml:space="preserve">In order to place Alan Leo’s astrology within a classical, dualist neo-Platonist model of fate, it is relevant to connect his Theosophical commitments with respect to the soul’s desire to return to its place of origin to its simultaneous struggle with the material world. In </w:t>
      </w:r>
      <w:r>
        <w:rPr>
          <w:i/>
          <w:iCs/>
        </w:rPr>
        <w:t xml:space="preserve">The Progressed Horoscope, </w:t>
      </w:r>
      <w:r>
        <w:t>Leo asserts that ‘matter is fated to assume shape and form, yet the life within that form is destined to control it sooner or later’.</w:t>
      </w:r>
      <w:r>
        <w:rPr>
          <w:rStyle w:val="FootnoteReference"/>
        </w:rPr>
        <w:footnoteReference w:id="34"/>
      </w:r>
      <w:r>
        <w:t xml:space="preserve"> He goes on to claim that ‘man (sic) is a spirit, or to speak more correctly a soul, with a body. His ‘spirit’ is free, immortal, undying and permanent, but his soul is imprisoned in the ‘matter’, or bodies….[hence] matter is </w:t>
      </w:r>
      <w:r w:rsidRPr="00C9059C">
        <w:rPr>
          <w:i/>
          <w:iCs/>
        </w:rPr>
        <w:t>fated</w:t>
      </w:r>
      <w:r>
        <w:t xml:space="preserve"> while the </w:t>
      </w:r>
      <w:r w:rsidRPr="00C9059C">
        <w:rPr>
          <w:i/>
          <w:iCs/>
        </w:rPr>
        <w:t>spirit</w:t>
      </w:r>
      <w:r>
        <w:t xml:space="preserve"> is free’.</w:t>
      </w:r>
      <w:r>
        <w:rPr>
          <w:rStyle w:val="FootnoteReference"/>
        </w:rPr>
        <w:footnoteReference w:id="35"/>
      </w:r>
      <w:r>
        <w:t xml:space="preserve"> Given that Alan Leo is credited with penning </w:t>
      </w:r>
      <w:r>
        <w:lastRenderedPageBreak/>
        <w:t>the aphorism ‘the stars incline, they do not compel’, it may be expected that he would have a certain ‘inclination’ to the use of the word.</w:t>
      </w:r>
      <w:r>
        <w:rPr>
          <w:rStyle w:val="FootnoteReference"/>
        </w:rPr>
        <w:footnoteReference w:id="36"/>
      </w:r>
      <w:r>
        <w:t xml:space="preserve"> This is the case, as he uses the word ‘incline’, or variants of it, across much of his writings. In the chapter, </w:t>
      </w:r>
      <w:r>
        <w:rPr>
          <w:i/>
          <w:iCs/>
        </w:rPr>
        <w:t xml:space="preserve">Saturn the Subduer </w:t>
      </w:r>
      <w:r>
        <w:t xml:space="preserve">in </w:t>
      </w:r>
      <w:r>
        <w:rPr>
          <w:i/>
          <w:iCs/>
        </w:rPr>
        <w:t xml:space="preserve">The Art of Synthesis, </w:t>
      </w:r>
      <w:r>
        <w:t xml:space="preserve">Leo uses the word “inclines” or a variant more often than any other in the volume. In total, the use of the word ‘incline’ appears twenty-six times in the </w:t>
      </w:r>
      <w:r>
        <w:rPr>
          <w:i/>
          <w:iCs/>
        </w:rPr>
        <w:t xml:space="preserve">Art of Synthesis </w:t>
      </w:r>
      <w:r>
        <w:t xml:space="preserve">in contexts which would be equivalent to </w:t>
      </w:r>
      <w:r>
        <w:rPr>
          <w:i/>
          <w:iCs/>
        </w:rPr>
        <w:t xml:space="preserve">astra inclinat – </w:t>
      </w:r>
      <w:r>
        <w:t>‘the stars incline’. However, in a sudden turn towards ‘the stars compel’, Leo claims that ‘</w:t>
      </w:r>
      <w:r w:rsidRPr="00576F07">
        <w:rPr>
          <w:rFonts w:cstheme="minorHAnsi"/>
        </w:rPr>
        <w:t>Saturn governs all the actions of</w:t>
      </w:r>
      <w:r>
        <w:rPr>
          <w:rFonts w:cstheme="minorHAnsi"/>
        </w:rPr>
        <w:t xml:space="preserve"> </w:t>
      </w:r>
      <w:r w:rsidRPr="00576F07">
        <w:rPr>
          <w:rFonts w:cstheme="minorHAnsi"/>
        </w:rPr>
        <w:t>humanity, and therefore becomes the chief ruler over fate and destiny</w:t>
      </w:r>
      <w:r>
        <w:rPr>
          <w:rFonts w:cstheme="minorHAnsi"/>
        </w:rPr>
        <w:t>’.</w:t>
      </w:r>
      <w:r>
        <w:rPr>
          <w:rStyle w:val="FootnoteReference"/>
          <w:rFonts w:cstheme="minorHAnsi"/>
        </w:rPr>
        <w:footnoteReference w:id="37"/>
      </w:r>
      <w:r>
        <w:rPr>
          <w:rFonts w:cstheme="minorHAnsi"/>
        </w:rPr>
        <w:t xml:space="preserve"> For Leo, Saturn was the planet which dominates his writings on both mundane astrology and esoteric astrology. Saturn also figures prominently in his volume </w:t>
      </w:r>
      <w:r>
        <w:rPr>
          <w:rFonts w:cstheme="minorHAnsi"/>
          <w:i/>
          <w:iCs/>
        </w:rPr>
        <w:t xml:space="preserve">The Progressed Horoscope, </w:t>
      </w:r>
      <w:r>
        <w:rPr>
          <w:rFonts w:cstheme="minorHAnsi"/>
        </w:rPr>
        <w:t>including his dictum that Saturn’s influences are predominant in mid-life to late-life – not youth.</w:t>
      </w:r>
      <w:r>
        <w:rPr>
          <w:rStyle w:val="FootnoteReference"/>
          <w:rFonts w:cstheme="minorHAnsi"/>
        </w:rPr>
        <w:footnoteReference w:id="38"/>
      </w:r>
      <w:r>
        <w:rPr>
          <w:rFonts w:cstheme="minorHAnsi"/>
        </w:rPr>
        <w:t xml:space="preserve"> </w:t>
      </w:r>
      <w:r>
        <w:t xml:space="preserve">Leo </w:t>
      </w:r>
      <w:r>
        <w:rPr>
          <w:rFonts w:cstheme="minorHAnsi"/>
        </w:rPr>
        <w:t>claims</w:t>
      </w:r>
      <w:r w:rsidRPr="000B3AC5">
        <w:rPr>
          <w:rFonts w:cstheme="minorHAnsi"/>
        </w:rPr>
        <w:t xml:space="preserve"> </w:t>
      </w:r>
      <w:r>
        <w:rPr>
          <w:rFonts w:cstheme="minorHAnsi"/>
        </w:rPr>
        <w:t>‘</w:t>
      </w:r>
      <w:r w:rsidRPr="000B3AC5">
        <w:rPr>
          <w:rFonts w:cstheme="minorHAnsi"/>
        </w:rPr>
        <w:t xml:space="preserve">Saturn </w:t>
      </w:r>
      <w:r>
        <w:rPr>
          <w:rFonts w:cstheme="minorHAnsi"/>
        </w:rPr>
        <w:t>as</w:t>
      </w:r>
      <w:r w:rsidRPr="000B3AC5">
        <w:rPr>
          <w:rFonts w:cstheme="minorHAnsi"/>
        </w:rPr>
        <w:t xml:space="preserve"> the</w:t>
      </w:r>
      <w:r>
        <w:rPr>
          <w:rFonts w:cstheme="minorHAnsi"/>
        </w:rPr>
        <w:t xml:space="preserve"> </w:t>
      </w:r>
      <w:r w:rsidRPr="000B3AC5">
        <w:rPr>
          <w:rFonts w:cstheme="minorHAnsi"/>
        </w:rPr>
        <w:t>planet of fate and destiny</w:t>
      </w:r>
      <w:r>
        <w:rPr>
          <w:rFonts w:cstheme="minorHAnsi"/>
        </w:rPr>
        <w:t>…[</w:t>
      </w:r>
      <w:r w:rsidRPr="000B3AC5">
        <w:rPr>
          <w:rFonts w:cstheme="minorHAnsi"/>
        </w:rPr>
        <w:t>Nothing</w:t>
      </w:r>
      <w:r>
        <w:rPr>
          <w:rFonts w:cstheme="minorHAnsi"/>
        </w:rPr>
        <w:t xml:space="preserve">] </w:t>
      </w:r>
      <w:r w:rsidRPr="000B3AC5">
        <w:rPr>
          <w:rFonts w:cstheme="minorHAnsi"/>
        </w:rPr>
        <w:t>so clearly proves th</w:t>
      </w:r>
      <w:r>
        <w:rPr>
          <w:rFonts w:cstheme="minorHAnsi"/>
        </w:rPr>
        <w:t>is</w:t>
      </w:r>
      <w:r w:rsidRPr="000B3AC5">
        <w:rPr>
          <w:rFonts w:cstheme="minorHAnsi"/>
        </w:rPr>
        <w:t xml:space="preserve"> fact that each man is absolutely his own lawgiver</w:t>
      </w:r>
      <w:r>
        <w:rPr>
          <w:rFonts w:cstheme="minorHAnsi"/>
        </w:rPr>
        <w:t xml:space="preserve">, </w:t>
      </w:r>
      <w:r w:rsidRPr="000B3AC5">
        <w:rPr>
          <w:rFonts w:cstheme="minorHAnsi"/>
        </w:rPr>
        <w:t>as the working out in each nativity, through Saturn, of the limitations</w:t>
      </w:r>
      <w:r>
        <w:t xml:space="preserve"> </w:t>
      </w:r>
      <w:r w:rsidRPr="000B3AC5">
        <w:rPr>
          <w:rFonts w:cstheme="minorHAnsi"/>
        </w:rPr>
        <w:t>and bondages forged in other lives</w:t>
      </w:r>
      <w:r>
        <w:rPr>
          <w:rFonts w:cstheme="minorHAnsi"/>
        </w:rPr>
        <w:t>.</w:t>
      </w:r>
      <w:r>
        <w:rPr>
          <w:rStyle w:val="FootnoteReference"/>
          <w:rFonts w:cstheme="minorHAnsi"/>
        </w:rPr>
        <w:footnoteReference w:id="39"/>
      </w:r>
      <w:r>
        <w:rPr>
          <w:rFonts w:cstheme="minorHAnsi"/>
        </w:rPr>
        <w:t xml:space="preserve"> </w:t>
      </w:r>
      <w:r w:rsidRPr="009622AE">
        <w:rPr>
          <w:rFonts w:cstheme="minorHAnsi"/>
        </w:rPr>
        <w:t xml:space="preserve">Here, Leo provides evidence of his position with respect to fate, and attaches particular importance to </w:t>
      </w:r>
      <w:r>
        <w:rPr>
          <w:rFonts w:cstheme="minorHAnsi"/>
        </w:rPr>
        <w:t>one</w:t>
      </w:r>
      <w:r w:rsidRPr="009622AE">
        <w:rPr>
          <w:rFonts w:cstheme="minorHAnsi"/>
        </w:rPr>
        <w:t xml:space="preserve"> </w:t>
      </w:r>
      <w:r>
        <w:rPr>
          <w:rFonts w:cstheme="minorHAnsi"/>
        </w:rPr>
        <w:t>celestial body</w:t>
      </w:r>
      <w:r w:rsidRPr="009622AE">
        <w:rPr>
          <w:rFonts w:cstheme="minorHAnsi"/>
        </w:rPr>
        <w:t xml:space="preserve"> as its arbiter. </w:t>
      </w:r>
      <w:r>
        <w:rPr>
          <w:rFonts w:cstheme="minorHAnsi"/>
        </w:rPr>
        <w:t xml:space="preserve">It is </w:t>
      </w:r>
      <w:r w:rsidRPr="009622AE">
        <w:rPr>
          <w:rFonts w:cstheme="minorHAnsi"/>
        </w:rPr>
        <w:t xml:space="preserve">Saturn </w:t>
      </w:r>
      <w:r>
        <w:rPr>
          <w:rFonts w:cstheme="minorHAnsi"/>
        </w:rPr>
        <w:t xml:space="preserve">which </w:t>
      </w:r>
      <w:r w:rsidRPr="009622AE">
        <w:rPr>
          <w:rFonts w:cstheme="minorHAnsi"/>
        </w:rPr>
        <w:t>provides for ‘hard fate’, that which restricts, chastises, limits, and punishes.</w:t>
      </w:r>
      <w:r>
        <w:rPr>
          <w:rStyle w:val="FootnoteReference"/>
          <w:rFonts w:cstheme="minorHAnsi"/>
        </w:rPr>
        <w:footnoteReference w:id="40"/>
      </w:r>
    </w:p>
    <w:p w14:paraId="5C83A879" w14:textId="77777777" w:rsidR="00543B55" w:rsidRDefault="00543B55" w:rsidP="00543B55">
      <w:pPr>
        <w:spacing w:after="0" w:line="360" w:lineRule="auto"/>
        <w:rPr>
          <w:i/>
          <w:iCs/>
        </w:rPr>
      </w:pPr>
    </w:p>
    <w:p w14:paraId="41E3133B" w14:textId="77777777" w:rsidR="00543B55" w:rsidRDefault="00543B55" w:rsidP="00543B55">
      <w:pPr>
        <w:spacing w:after="0" w:line="360" w:lineRule="auto"/>
        <w:rPr>
          <w:b/>
          <w:bCs/>
        </w:rPr>
      </w:pPr>
      <w:r>
        <w:rPr>
          <w:b/>
          <w:bCs/>
        </w:rPr>
        <w:t>Positioning Astrologers Within ‘The stars incline’ and ‘but do not compel’</w:t>
      </w:r>
    </w:p>
    <w:p w14:paraId="3F65A024" w14:textId="77777777" w:rsidR="00543B55" w:rsidRDefault="00543B55" w:rsidP="00543B55">
      <w:pPr>
        <w:spacing w:after="0" w:line="360" w:lineRule="auto"/>
        <w:rPr>
          <w:b/>
          <w:bCs/>
        </w:rPr>
      </w:pPr>
    </w:p>
    <w:p w14:paraId="38BD5986" w14:textId="77777777" w:rsidR="00543B55" w:rsidRDefault="00543B55" w:rsidP="00543B55">
      <w:pPr>
        <w:spacing w:after="0" w:line="360" w:lineRule="auto"/>
      </w:pPr>
      <w:r>
        <w:t>Lehoux opened his section on the epistemology of astrology with the stated difficulty that ‘ancient astrology is far from monolithic’ and that for astrologers their various positions on determinism often constitute ‘various justifications for the efficacy of their astrology’; that is, astrology is ‘polyvalently adaptable’.</w:t>
      </w:r>
      <w:r>
        <w:rPr>
          <w:rStyle w:val="FootnoteReference"/>
        </w:rPr>
        <w:footnoteReference w:id="41"/>
      </w:r>
      <w:r>
        <w:t xml:space="preserve"> Returning to the model presented earlier, it is now possible to make certain additions to it and also appeal to Lehoux’s ‘polyvalency’; that is, it is not so simple to pin down an astrologer’s position in any one place. The best that can be had is where an astrologer may </w:t>
      </w:r>
      <w:r>
        <w:rPr>
          <w:i/>
          <w:iCs/>
        </w:rPr>
        <w:t xml:space="preserve">incline themselves </w:t>
      </w:r>
      <w:r>
        <w:t xml:space="preserve">to be placed from the point of view of the observer. The representation in Figure 2 (next page) attempts to address the issue raised by Lehoux about this ‘polyvalency’ of positions among astrologers. For instance, an </w:t>
      </w:r>
      <w:r>
        <w:lastRenderedPageBreak/>
        <w:t>argument has been made by Brennan that Dorotheus of Sidon (ca. 75 - ?? CE) can be situated such that his astrology is principally related to the planets as ‘signs’ or ‘significators’ and his commitment to fate was equivalent solely to a determinism based on circumstances. What Dykes’ recent translations of Sahl’s reading of Dorotheus’ works demonstrate is that it is not realistic to be rigid in that claim. Here, we find that Dorotheus engaged in ‘basic concepts in astrology, natal interpretation, predictive techniques, longevity calculations, and elections’.</w:t>
      </w:r>
      <w:r>
        <w:rPr>
          <w:rStyle w:val="FootnoteReference"/>
        </w:rPr>
        <w:footnoteReference w:id="42"/>
      </w:r>
      <w:r>
        <w:t xml:space="preserve"> At any given time, then, Dorotheus (in this model) could operate from the central position and work in all four domains. Therefore, the model here is not to be interpreted as rigid or definitional, or to confine an astrologer into any one particular orientation, but as a preliminary heuristic which could serve further work in this area.</w:t>
      </w:r>
    </w:p>
    <w:p w14:paraId="5320385B" w14:textId="77777777" w:rsidR="00543B55" w:rsidRDefault="00543B55" w:rsidP="00543B55">
      <w:pPr>
        <w:spacing w:after="0" w:line="360" w:lineRule="auto"/>
      </w:pPr>
    </w:p>
    <w:p w14:paraId="161ECA43" w14:textId="5F76DD80" w:rsidR="00543B55" w:rsidRDefault="00543B55" w:rsidP="00543B55">
      <w:pPr>
        <w:keepNext/>
        <w:spacing w:after="0" w:line="360" w:lineRule="auto"/>
        <w:jc w:val="center"/>
      </w:pPr>
      <w:r w:rsidRPr="00F55E79">
        <mc:AlternateContent>
          <mc:Choice Requires="wps">
            <w:drawing>
              <wp:anchor distT="45720" distB="45720" distL="114300" distR="114300" simplePos="0" relativeHeight="251663360" behindDoc="0" locked="0" layoutInCell="1" allowOverlap="1" wp14:anchorId="32176168" wp14:editId="4CB92A56">
                <wp:simplePos x="0" y="0"/>
                <wp:positionH relativeFrom="column">
                  <wp:posOffset>4915942</wp:posOffset>
                </wp:positionH>
                <wp:positionV relativeFrom="paragraph">
                  <wp:posOffset>1617345</wp:posOffset>
                </wp:positionV>
                <wp:extent cx="1367942" cy="577850"/>
                <wp:effectExtent l="0" t="0" r="381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942" cy="577850"/>
                        </a:xfrm>
                        <a:prstGeom prst="rect">
                          <a:avLst/>
                        </a:prstGeom>
                        <a:solidFill>
                          <a:sysClr val="windowText" lastClr="000000">
                            <a:alpha val="32000"/>
                          </a:sysClr>
                        </a:solidFill>
                        <a:ln w="9525">
                          <a:noFill/>
                          <a:miter lim="800000"/>
                          <a:headEnd/>
                          <a:tailEnd/>
                        </a:ln>
                      </wps:spPr>
                      <wps:txbx>
                        <w:txbxContent>
                          <w:p w14:paraId="4E176CDE" w14:textId="77777777" w:rsidR="00543B55" w:rsidRPr="00F55E79" w:rsidRDefault="00543B55" w:rsidP="00543B55">
                            <w:pPr>
                              <w:spacing w:after="0"/>
                              <w:rPr>
                                <w:b/>
                                <w:bCs/>
                                <w:smallCaps/>
                                <w:sz w:val="18"/>
                                <w:szCs w:val="18"/>
                              </w:rPr>
                            </w:pPr>
                            <w:r w:rsidRPr="00F55E79">
                              <w:rPr>
                                <w:b/>
                                <w:bCs/>
                                <w:smallCaps/>
                                <w:sz w:val="18"/>
                                <w:szCs w:val="18"/>
                              </w:rPr>
                              <w:t>Māshā’ Allāh’</w:t>
                            </w:r>
                          </w:p>
                          <w:p w14:paraId="73B87289" w14:textId="77777777" w:rsidR="00543B55" w:rsidRDefault="00543B55" w:rsidP="00543B55">
                            <w:pPr>
                              <w:spacing w:after="0"/>
                              <w:rPr>
                                <w:b/>
                                <w:bCs/>
                                <w:smallCaps/>
                                <w:sz w:val="18"/>
                                <w:szCs w:val="18"/>
                              </w:rPr>
                            </w:pPr>
                            <w:r w:rsidRPr="00F55E79">
                              <w:rPr>
                                <w:b/>
                                <w:bCs/>
                                <w:smallCaps/>
                                <w:sz w:val="18"/>
                                <w:szCs w:val="18"/>
                              </w:rPr>
                              <w:t>Saul Ibn Bishr</w:t>
                            </w:r>
                            <w:r>
                              <w:rPr>
                                <w:b/>
                                <w:bCs/>
                                <w:smallCaps/>
                                <w:sz w:val="18"/>
                                <w:szCs w:val="18"/>
                              </w:rPr>
                              <w:t xml:space="preserve"> (Judicial)</w:t>
                            </w:r>
                          </w:p>
                          <w:p w14:paraId="060EF592" w14:textId="77777777" w:rsidR="00543B55" w:rsidRPr="00F55E79" w:rsidRDefault="00543B55" w:rsidP="00543B55">
                            <w:pPr>
                              <w:spacing w:after="0"/>
                              <w:rPr>
                                <w:b/>
                                <w:bCs/>
                                <w:smallCaps/>
                                <w:sz w:val="18"/>
                                <w:szCs w:val="18"/>
                              </w:rPr>
                            </w:pPr>
                            <w:r>
                              <w:rPr>
                                <w:b/>
                                <w:bCs/>
                                <w:smallCaps/>
                                <w:sz w:val="18"/>
                                <w:szCs w:val="18"/>
                              </w:rPr>
                              <w:t>Alan Leo “Strong-willed”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76168" id="Text Box 7" o:spid="_x0000_s1030" type="#_x0000_t202" style="position:absolute;left:0;text-align:left;margin-left:387.1pt;margin-top:127.35pt;width:107.7pt;height:4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" fillcolor="windowText" stroked="f">
                <v:fill opacity="21074f"/>
                <v:textbox>
                  <w:txbxContent>
                    <w:p w14:paraId="4E176CDE" w14:textId="77777777" w:rsidR="00543B55" w:rsidRPr="00F55E79" w:rsidRDefault="00543B55" w:rsidP="00543B55">
                      <w:pPr>
                        <w:spacing w:after="0"/>
                        <w:rPr>
                          <w:b/>
                          <w:bCs/>
                          <w:smallCaps/>
                          <w:sz w:val="18"/>
                          <w:szCs w:val="18"/>
                        </w:rPr>
                      </w:pPr>
                      <w:r w:rsidRPr="00F55E79">
                        <w:rPr>
                          <w:b/>
                          <w:bCs/>
                          <w:smallCaps/>
                          <w:sz w:val="18"/>
                          <w:szCs w:val="18"/>
                        </w:rPr>
                        <w:t>Māshā’ Allāh’</w:t>
                      </w:r>
                    </w:p>
                    <w:p w14:paraId="73B87289" w14:textId="77777777" w:rsidR="00543B55" w:rsidRDefault="00543B55" w:rsidP="00543B55">
                      <w:pPr>
                        <w:spacing w:after="0"/>
                        <w:rPr>
                          <w:b/>
                          <w:bCs/>
                          <w:smallCaps/>
                          <w:sz w:val="18"/>
                          <w:szCs w:val="18"/>
                        </w:rPr>
                      </w:pPr>
                      <w:r w:rsidRPr="00F55E79">
                        <w:rPr>
                          <w:b/>
                          <w:bCs/>
                          <w:smallCaps/>
                          <w:sz w:val="18"/>
                          <w:szCs w:val="18"/>
                        </w:rPr>
                        <w:t>Saul Ibn Bishr</w:t>
                      </w:r>
                      <w:r>
                        <w:rPr>
                          <w:b/>
                          <w:bCs/>
                          <w:smallCaps/>
                          <w:sz w:val="18"/>
                          <w:szCs w:val="18"/>
                        </w:rPr>
                        <w:t xml:space="preserve"> (Judicial)</w:t>
                      </w:r>
                    </w:p>
                    <w:p w14:paraId="060EF592" w14:textId="77777777" w:rsidR="00543B55" w:rsidRPr="00F55E79" w:rsidRDefault="00543B55" w:rsidP="00543B55">
                      <w:pPr>
                        <w:spacing w:after="0"/>
                        <w:rPr>
                          <w:b/>
                          <w:bCs/>
                          <w:smallCaps/>
                          <w:sz w:val="18"/>
                          <w:szCs w:val="18"/>
                        </w:rPr>
                      </w:pPr>
                      <w:r>
                        <w:rPr>
                          <w:b/>
                          <w:bCs/>
                          <w:smallCaps/>
                          <w:sz w:val="18"/>
                          <w:szCs w:val="18"/>
                        </w:rPr>
                        <w:t>Alan Leo “Strong-willed”</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42E1D362" wp14:editId="2EEBFE37">
                <wp:simplePos x="0" y="0"/>
                <wp:positionH relativeFrom="column">
                  <wp:posOffset>3151014</wp:posOffset>
                </wp:positionH>
                <wp:positionV relativeFrom="paragraph">
                  <wp:posOffset>1754505</wp:posOffset>
                </wp:positionV>
                <wp:extent cx="1881440" cy="445724"/>
                <wp:effectExtent l="0" t="152400" r="24130" b="278765"/>
                <wp:wrapNone/>
                <wp:docPr id="11" name="Arrow: Bent 11"/>
                <wp:cNvGraphicFramePr/>
                <a:graphic xmlns:a="http://schemas.openxmlformats.org/drawingml/2006/main">
                  <a:graphicData uri="http://schemas.microsoft.com/office/word/2010/wordprocessingShape">
                    <wps:wsp>
                      <wps:cNvSpPr/>
                      <wps:spPr>
                        <a:xfrm rot="12280514">
                          <a:off x="0" y="0"/>
                          <a:ext cx="1881440" cy="445724"/>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8FBF7" id="Arrow: Bent 11" o:spid="_x0000_s1026" style="position:absolute;margin-left:248.1pt;margin-top:138.15pt;width:148.15pt;height:35.1pt;rotation:-10179364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81440,445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" path="m,445724l,250720c,143022,87306,55716,195004,55716r1575005,l1770009,r111431,111431l1770009,222862r,-55715l195004,167147v-46156,,-83573,37417,-83573,83573l111431,445724,,445724xe" fillcolor="#4472c4 [3204]" strokecolor="#1f3763 [1604]" strokeweight="1pt">
                <v:stroke joinstyle="miter"/>
                <v:path arrowok="t" o:connecttype="custom" o:connectlocs="0,445724;0,250720;195004,55716;1770009,55716;1770009,0;1881440,111431;1770009,222862;1770009,167147;195004,167147;111431,250720;111431,445724;0,445724" o:connectangles="0,0,0,0,0,0,0,0,0,0,0,0"/>
              </v:shape>
            </w:pict>
          </mc:Fallback>
        </mc:AlternateContent>
      </w:r>
      <w:r w:rsidRPr="00F55E79">
        <mc:AlternateContent>
          <mc:Choice Requires="wps">
            <w:drawing>
              <wp:anchor distT="45720" distB="45720" distL="114300" distR="114300" simplePos="0" relativeHeight="251664384" behindDoc="0" locked="0" layoutInCell="1" allowOverlap="1" wp14:anchorId="79968973" wp14:editId="72786C3A">
                <wp:simplePos x="0" y="0"/>
                <wp:positionH relativeFrom="margin">
                  <wp:posOffset>-69011</wp:posOffset>
                </wp:positionH>
                <wp:positionV relativeFrom="paragraph">
                  <wp:posOffset>2176780</wp:posOffset>
                </wp:positionV>
                <wp:extent cx="1259457" cy="595222"/>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9457" cy="595222"/>
                        </a:xfrm>
                        <a:prstGeom prst="rect">
                          <a:avLst/>
                        </a:prstGeom>
                        <a:solidFill>
                          <a:sysClr val="windowText" lastClr="000000">
                            <a:alpha val="38000"/>
                          </a:sysClr>
                        </a:solidFill>
                        <a:ln w="9525">
                          <a:noFill/>
                          <a:miter lim="800000"/>
                          <a:headEnd/>
                          <a:tailEnd/>
                        </a:ln>
                      </wps:spPr>
                      <wps:txbx>
                        <w:txbxContent>
                          <w:p w14:paraId="7A65A877" w14:textId="77777777" w:rsidR="00543B55" w:rsidRDefault="00543B55" w:rsidP="00543B55">
                            <w:pPr>
                              <w:spacing w:after="0"/>
                              <w:rPr>
                                <w:b/>
                                <w:bCs/>
                                <w:smallCaps/>
                                <w:sz w:val="18"/>
                                <w:szCs w:val="18"/>
                              </w:rPr>
                            </w:pPr>
                            <w:r>
                              <w:rPr>
                                <w:b/>
                                <w:bCs/>
                                <w:smallCaps/>
                                <w:sz w:val="18"/>
                                <w:szCs w:val="18"/>
                              </w:rPr>
                              <w:t xml:space="preserve"> </w:t>
                            </w:r>
                            <w:r w:rsidRPr="00F55E79">
                              <w:rPr>
                                <w:b/>
                                <w:bCs/>
                                <w:smallCaps/>
                                <w:sz w:val="18"/>
                                <w:szCs w:val="18"/>
                              </w:rPr>
                              <w:t>Saul Ibn Bishr</w:t>
                            </w:r>
                            <w:r>
                              <w:rPr>
                                <w:b/>
                                <w:bCs/>
                                <w:smallCaps/>
                                <w:sz w:val="18"/>
                                <w:szCs w:val="18"/>
                              </w:rPr>
                              <w:t xml:space="preserve"> (natal)</w:t>
                            </w:r>
                          </w:p>
                          <w:p w14:paraId="28FCE59A" w14:textId="77777777" w:rsidR="00543B55" w:rsidRDefault="00543B55" w:rsidP="00543B55">
                            <w:pPr>
                              <w:spacing w:after="0"/>
                              <w:rPr>
                                <w:b/>
                                <w:bCs/>
                                <w:smallCaps/>
                                <w:sz w:val="18"/>
                                <w:szCs w:val="18"/>
                              </w:rPr>
                            </w:pPr>
                          </w:p>
                          <w:p w14:paraId="09010EE7" w14:textId="77777777" w:rsidR="00543B55" w:rsidRPr="00F55E79" w:rsidRDefault="00543B55" w:rsidP="00543B55">
                            <w:pPr>
                              <w:spacing w:after="0"/>
                              <w:rPr>
                                <w:b/>
                                <w:bCs/>
                                <w:smallCaps/>
                                <w:sz w:val="18"/>
                                <w:szCs w:val="18"/>
                              </w:rPr>
                            </w:pPr>
                            <w:r>
                              <w:rPr>
                                <w:b/>
                                <w:bCs/>
                                <w:smallCaps/>
                                <w:sz w:val="18"/>
                                <w:szCs w:val="18"/>
                              </w:rPr>
                              <w:t>Alan Leo “weak-willed”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68973" id="Text Box 9" o:spid="_x0000_s1031" type="#_x0000_t202" style="position:absolute;left:0;text-align:left;margin-left:-5.45pt;margin-top:171.4pt;width:99.15pt;height:46.8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" fillcolor="windowText" stroked="f">
                <v:fill opacity="24929f"/>
                <v:textbox>
                  <w:txbxContent>
                    <w:p w14:paraId="7A65A877" w14:textId="77777777" w:rsidR="00543B55" w:rsidRDefault="00543B55" w:rsidP="00543B55">
                      <w:pPr>
                        <w:spacing w:after="0"/>
                        <w:rPr>
                          <w:b/>
                          <w:bCs/>
                          <w:smallCaps/>
                          <w:sz w:val="18"/>
                          <w:szCs w:val="18"/>
                        </w:rPr>
                      </w:pPr>
                      <w:r>
                        <w:rPr>
                          <w:b/>
                          <w:bCs/>
                          <w:smallCaps/>
                          <w:sz w:val="18"/>
                          <w:szCs w:val="18"/>
                        </w:rPr>
                        <w:t xml:space="preserve"> </w:t>
                      </w:r>
                      <w:r w:rsidRPr="00F55E79">
                        <w:rPr>
                          <w:b/>
                          <w:bCs/>
                          <w:smallCaps/>
                          <w:sz w:val="18"/>
                          <w:szCs w:val="18"/>
                        </w:rPr>
                        <w:t>Saul Ibn Bishr</w:t>
                      </w:r>
                      <w:r>
                        <w:rPr>
                          <w:b/>
                          <w:bCs/>
                          <w:smallCaps/>
                          <w:sz w:val="18"/>
                          <w:szCs w:val="18"/>
                        </w:rPr>
                        <w:t xml:space="preserve"> (natal)</w:t>
                      </w:r>
                    </w:p>
                    <w:p w14:paraId="28FCE59A" w14:textId="77777777" w:rsidR="00543B55" w:rsidRDefault="00543B55" w:rsidP="00543B55">
                      <w:pPr>
                        <w:spacing w:after="0"/>
                        <w:rPr>
                          <w:b/>
                          <w:bCs/>
                          <w:smallCaps/>
                          <w:sz w:val="18"/>
                          <w:szCs w:val="18"/>
                        </w:rPr>
                      </w:pPr>
                    </w:p>
                    <w:p w14:paraId="09010EE7" w14:textId="77777777" w:rsidR="00543B55" w:rsidRPr="00F55E79" w:rsidRDefault="00543B55" w:rsidP="00543B55">
                      <w:pPr>
                        <w:spacing w:after="0"/>
                        <w:rPr>
                          <w:b/>
                          <w:bCs/>
                          <w:smallCaps/>
                          <w:sz w:val="18"/>
                          <w:szCs w:val="18"/>
                        </w:rPr>
                      </w:pPr>
                      <w:r>
                        <w:rPr>
                          <w:b/>
                          <w:bCs/>
                          <w:smallCaps/>
                          <w:sz w:val="18"/>
                          <w:szCs w:val="18"/>
                        </w:rPr>
                        <w:t>Alan Leo “weak-willed”</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220AEB86" wp14:editId="17FA353F">
                <wp:simplePos x="0" y="0"/>
                <wp:positionH relativeFrom="column">
                  <wp:posOffset>818896</wp:posOffset>
                </wp:positionH>
                <wp:positionV relativeFrom="paragraph">
                  <wp:posOffset>1790269</wp:posOffset>
                </wp:positionV>
                <wp:extent cx="1769745" cy="375971"/>
                <wp:effectExtent l="0" t="19050" r="40005" b="24130"/>
                <wp:wrapNone/>
                <wp:docPr id="10" name="Arrow: Bent 10"/>
                <wp:cNvGraphicFramePr/>
                <a:graphic xmlns:a="http://schemas.openxmlformats.org/drawingml/2006/main">
                  <a:graphicData uri="http://schemas.microsoft.com/office/word/2010/wordprocessingShape">
                    <wps:wsp>
                      <wps:cNvSpPr/>
                      <wps:spPr>
                        <a:xfrm>
                          <a:off x="0" y="0"/>
                          <a:ext cx="1769745" cy="375971"/>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053F33A" id="Arrow: Bent 10" o:spid="_x0000_s1026" style="position:absolute;margin-left:64.5pt;margin-top:140.95pt;width:139.35pt;height:29.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769745,3759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" path="m,375971l,211484c,120640,73643,46997,164487,46997r1511265,-1l1675752,r93993,93993l1675752,187986r,-46997l164487,140989v-38933,,-70495,31562,-70495,70495c93992,266313,93993,321142,93993,375971l,375971xe" fillcolor="#4472c4 [3204]" strokecolor="#1f3763 [1604]" strokeweight="1pt">
                <v:stroke joinstyle="miter"/>
                <v:path arrowok="t" o:connecttype="custom" o:connectlocs="0,375971;0,211484;164487,46997;1675752,46996;1675752,0;1769745,93993;1675752,187986;1675752,140989;164487,140989;93992,211484;93993,375971;0,375971" o:connectangles="0,0,0,0,0,0,0,0,0,0,0,0"/>
              </v:shape>
            </w:pict>
          </mc:Fallback>
        </mc:AlternateContent>
      </w:r>
      <w:r>
        <w:rPr>
          <w:noProof/>
        </w:rPr>
        <w:drawing>
          <wp:inline distT="0" distB="0" distL="0" distR="0" wp14:anchorId="74D962E3" wp14:editId="52B396B9">
            <wp:extent cx="4541763" cy="3530278"/>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639113" cy="3605948"/>
                    </a:xfrm>
                    <a:prstGeom prst="rect">
                      <a:avLst/>
                    </a:prstGeom>
                  </pic:spPr>
                </pic:pic>
              </a:graphicData>
            </a:graphic>
          </wp:inline>
        </w:drawing>
      </w:r>
    </w:p>
    <w:p w14:paraId="36421F97" w14:textId="77777777" w:rsidR="00543B55" w:rsidRDefault="00543B55" w:rsidP="00543B55">
      <w:pPr>
        <w:pStyle w:val="Caption"/>
        <w:spacing w:after="0"/>
        <w:ind w:left="1276" w:hanging="709"/>
        <w:rPr>
          <w:i w:val="0"/>
          <w:iCs w:val="0"/>
        </w:rPr>
      </w:pPr>
      <w:r w:rsidRPr="00772A82">
        <w:rPr>
          <w:i w:val="0"/>
          <w:iCs w:val="0"/>
          <w:u w:val="single"/>
        </w:rPr>
        <w:t xml:space="preserve">Figure </w:t>
      </w:r>
      <w:r w:rsidRPr="00772A82">
        <w:rPr>
          <w:i w:val="0"/>
          <w:iCs w:val="0"/>
          <w:u w:val="single"/>
        </w:rPr>
        <w:fldChar w:fldCharType="begin"/>
      </w:r>
      <w:r w:rsidRPr="00772A82">
        <w:rPr>
          <w:i w:val="0"/>
          <w:iCs w:val="0"/>
          <w:u w:val="single"/>
        </w:rPr>
        <w:instrText xml:space="preserve"> SEQ Figure \* ARABIC </w:instrText>
      </w:r>
      <w:r w:rsidRPr="00772A82">
        <w:rPr>
          <w:i w:val="0"/>
          <w:iCs w:val="0"/>
          <w:u w:val="single"/>
        </w:rPr>
        <w:fldChar w:fldCharType="separate"/>
      </w:r>
      <w:r>
        <w:rPr>
          <w:i w:val="0"/>
          <w:iCs w:val="0"/>
          <w:noProof/>
          <w:u w:val="single"/>
        </w:rPr>
        <w:t>2</w:t>
      </w:r>
      <w:r w:rsidRPr="00772A82">
        <w:rPr>
          <w:i w:val="0"/>
          <w:iCs w:val="0"/>
          <w:u w:val="single"/>
        </w:rPr>
        <w:fldChar w:fldCharType="end"/>
      </w:r>
      <w:r w:rsidRPr="003777AD">
        <w:rPr>
          <w:i w:val="0"/>
          <w:iCs w:val="0"/>
        </w:rPr>
        <w:t xml:space="preserve">: Model of Classical Astrologers' Orientations to Signs, Causes, Determinism and whether the </w:t>
      </w:r>
      <w:r>
        <w:rPr>
          <w:i w:val="0"/>
          <w:iCs w:val="0"/>
        </w:rPr>
        <w:t xml:space="preserve">                         </w:t>
      </w:r>
      <w:r w:rsidRPr="003777AD">
        <w:rPr>
          <w:i w:val="0"/>
          <w:iCs w:val="0"/>
        </w:rPr>
        <w:t>'Stars Compel' or the 'Stars Incline'</w:t>
      </w:r>
      <w:r>
        <w:rPr>
          <w:i w:val="0"/>
          <w:iCs w:val="0"/>
        </w:rPr>
        <w:t xml:space="preserve"> </w:t>
      </w:r>
      <w:r w:rsidRPr="00E129D9">
        <w:rPr>
          <w:i w:val="0"/>
          <w:iCs w:val="0"/>
        </w:rPr>
        <w:t>(adapted from Brennan, 2012; 2018)</w:t>
      </w:r>
      <w:r>
        <w:rPr>
          <w:i w:val="0"/>
          <w:iCs w:val="0"/>
        </w:rPr>
        <w:t>.</w:t>
      </w:r>
    </w:p>
    <w:p w14:paraId="21C2C6FD" w14:textId="77777777" w:rsidR="00543B55" w:rsidRDefault="00543B55" w:rsidP="00543B55"/>
    <w:p w14:paraId="4858974D" w14:textId="77777777" w:rsidR="00543B55" w:rsidRDefault="00543B55" w:rsidP="00543B55">
      <w:pPr>
        <w:spacing w:after="0" w:line="360" w:lineRule="auto"/>
      </w:pPr>
      <w:r>
        <w:t xml:space="preserve">The astrology of Sahl draws identifiably, systematically and in significant proportions from Ptolemy, </w:t>
      </w:r>
    </w:p>
    <w:p w14:paraId="09B13214" w14:textId="77777777" w:rsidR="00543B55" w:rsidRPr="0042550F" w:rsidRDefault="00543B55" w:rsidP="00543B55">
      <w:pPr>
        <w:spacing w:after="0" w:line="360" w:lineRule="auto"/>
      </w:pPr>
      <w:r>
        <w:t xml:space="preserve">Dorotheus, and </w:t>
      </w:r>
      <w:r w:rsidRPr="00421110">
        <w:t>Mā</w:t>
      </w:r>
      <w:r>
        <w:t>s</w:t>
      </w:r>
      <w:r w:rsidRPr="00421110">
        <w:t>hā’ Allāh</w:t>
      </w:r>
      <w:r>
        <w:t xml:space="preserve">. This is known from how he provides credit in virtually all instances at the beginning of a section of text. For instance, there is the treatment of ‘Seasonal Effects on the Body of Ptolemy’, ‘The Lot of Spirit According to </w:t>
      </w:r>
      <w:r w:rsidRPr="00421110">
        <w:t>Mā</w:t>
      </w:r>
      <w:r>
        <w:t>s</w:t>
      </w:r>
      <w:r w:rsidRPr="00421110">
        <w:t>hā’ Allāh</w:t>
      </w:r>
      <w:r>
        <w:t xml:space="preserve">’, and ‘Synastry and Inceptions in Friendship: </w:t>
      </w:r>
      <w:r>
        <w:lastRenderedPageBreak/>
        <w:t>Dorotheus, from al-Andarzaghar.</w:t>
      </w:r>
      <w:r>
        <w:rPr>
          <w:rStyle w:val="FootnoteReference"/>
        </w:rPr>
        <w:footnoteReference w:id="43"/>
      </w:r>
      <w:r w:rsidRPr="004A1B2A">
        <w:rPr>
          <w:vertAlign w:val="superscript"/>
        </w:rPr>
        <w:t>,</w:t>
      </w:r>
      <w:r>
        <w:rPr>
          <w:rStyle w:val="FootnoteReference"/>
        </w:rPr>
        <w:footnoteReference w:id="44"/>
      </w:r>
      <w:r>
        <w:rPr>
          <w:vertAlign w:val="superscript"/>
        </w:rPr>
        <w:t>,</w:t>
      </w:r>
      <w:r>
        <w:rPr>
          <w:rStyle w:val="FootnoteReference"/>
        </w:rPr>
        <w:footnoteReference w:id="45"/>
      </w:r>
      <w:r>
        <w:t xml:space="preserve">  This scrupulous citation method of Sahl is most common in his </w:t>
      </w:r>
      <w:r>
        <w:rPr>
          <w:i/>
          <w:iCs/>
        </w:rPr>
        <w:t xml:space="preserve">On Nativities. </w:t>
      </w:r>
      <w:r>
        <w:t xml:space="preserve">In the absence of bio- or auto-biographical texts about Sahl does not permit of an appreciation for his actual astrological practices, but inferences can be made from who he appeals to as his guides. Given the sources to which Sahl appeals in his astrology, he was likely to be bound to participate in an eclectic mix of horary, electional, and judicial astrology. </w:t>
      </w:r>
      <w:r>
        <w:rPr>
          <w:rFonts w:cstheme="minorHAnsi"/>
        </w:rPr>
        <w:t>According to Campion, the astrology of the Islamic world did draw principally from the judicial astrological texts from Hellenistic, Near Eastern and Indian sources.</w:t>
      </w:r>
      <w:r>
        <w:rPr>
          <w:rStyle w:val="FootnoteReference"/>
          <w:rFonts w:cstheme="minorHAnsi"/>
        </w:rPr>
        <w:footnoteReference w:id="46"/>
      </w:r>
      <w:r>
        <w:rPr>
          <w:rFonts w:cstheme="minorHAnsi"/>
        </w:rPr>
        <w:t xml:space="preserve"> Accordingly, Sahl’s astrology could well have been situational or subject to the conditions of the requests made of him by querents. That is, there would be occasions for Sahl which would have his judgements leaning towards a more rigid delineation for which ‘the stars compelled’ and other cases – such as the electional judgements of fortuitous occasions, especially politically-motivated instances – for which a range of options would be desirable.</w:t>
      </w:r>
    </w:p>
    <w:p w14:paraId="6DDAD938" w14:textId="77777777" w:rsidR="00543B55" w:rsidRDefault="00543B55" w:rsidP="00543B55">
      <w:pPr>
        <w:autoSpaceDE w:val="0"/>
        <w:autoSpaceDN w:val="0"/>
        <w:adjustRightInd w:val="0"/>
        <w:spacing w:after="0" w:line="360" w:lineRule="auto"/>
        <w:rPr>
          <w:rFonts w:cstheme="minorHAnsi"/>
        </w:rPr>
      </w:pPr>
    </w:p>
    <w:p w14:paraId="7FCC1CC5" w14:textId="77777777" w:rsidR="00543B55" w:rsidRDefault="00543B55" w:rsidP="00543B55">
      <w:pPr>
        <w:spacing w:after="0" w:line="360" w:lineRule="auto"/>
      </w:pPr>
      <w:r>
        <w:t xml:space="preserve">In the case of Alan Leo, the opposite is the case. Not only was Leo a prolific writer, he used regularly his own natal or progressed chart in his writings, those of over a thousand other individuals, and there is access to the revealing – albeit at times hagiographical – 1919 account compiled by his widow, Bessie Leo, of how he first came to astrology, the nature of his practices, how his astrology evolved over a period of about two decades, and how he met his tragic end. Leo possessed an astrological eclecticism which makes it difficult to position him precisely in terms of whether the ‘stars incline’ or whether the ‘stars compel’, or in the model presented here. Alan Leo’s philosophical basis for conducting astrological analyses is firmly grounded in his Theosophical leanings with respect to the concept of ‘soul’ and its desire to be free and independent of the birth horoscope, but his astrological </w:t>
      </w:r>
      <w:r w:rsidRPr="00831BFB">
        <w:rPr>
          <w:i/>
          <w:iCs/>
        </w:rPr>
        <w:t>techniques</w:t>
      </w:r>
      <w:r>
        <w:t xml:space="preserve"> pay heed to a centuries-old </w:t>
      </w:r>
      <w:r w:rsidRPr="00B67ECF">
        <w:rPr>
          <w:i/>
          <w:iCs/>
        </w:rPr>
        <w:t>praxis</w:t>
      </w:r>
      <w:r>
        <w:t xml:space="preserve"> in astrology. His books generally exemplify this duality, with early chapters devoted to the esoteric factors of the human condition such as character, destiny, and the fate of the soul followed by exceptionally detailed accounts of how to conduct astrological delineations – the exoteric factors. In his own words:</w:t>
      </w:r>
    </w:p>
    <w:p w14:paraId="5478B344" w14:textId="77777777" w:rsidR="00543B55" w:rsidRPr="005D0532" w:rsidRDefault="00543B55" w:rsidP="00543B55">
      <w:pPr>
        <w:spacing w:after="0"/>
        <w:ind w:left="720"/>
      </w:pPr>
      <w:r w:rsidRPr="005D0532">
        <w:t xml:space="preserve">The author at one time contemplated abandoning all methods of directing and </w:t>
      </w:r>
    </w:p>
    <w:p w14:paraId="358221BA" w14:textId="77777777" w:rsidR="00543B55" w:rsidRPr="005D0532" w:rsidRDefault="00543B55" w:rsidP="00543B55">
      <w:pPr>
        <w:spacing w:after="0"/>
        <w:ind w:left="720"/>
      </w:pPr>
      <w:r w:rsidRPr="005D0532">
        <w:t>all attempts to discover the nature of future prospects from planetary movements</w:t>
      </w:r>
    </w:p>
    <w:p w14:paraId="5C54B73B" w14:textId="77777777" w:rsidR="00543B55" w:rsidRPr="005D0532" w:rsidRDefault="00543B55" w:rsidP="00543B55">
      <w:pPr>
        <w:spacing w:after="0"/>
        <w:ind w:left="720"/>
      </w:pPr>
      <w:r w:rsidRPr="005D0532">
        <w:t xml:space="preserve">after birth. He inclined to the belief, at that time, that the horoscope of birth alone </w:t>
      </w:r>
    </w:p>
    <w:p w14:paraId="39064A65" w14:textId="77777777" w:rsidR="00543B55" w:rsidRPr="005D0532" w:rsidRDefault="00543B55" w:rsidP="00543B55">
      <w:pPr>
        <w:spacing w:after="0"/>
        <w:ind w:left="720"/>
      </w:pPr>
      <w:r w:rsidRPr="005D0532">
        <w:t xml:space="preserve">was sufficient to reveal past, present and future events; basing his belief on the principle </w:t>
      </w:r>
    </w:p>
    <w:p w14:paraId="4160D71D" w14:textId="77777777" w:rsidR="00543B55" w:rsidRDefault="00543B55" w:rsidP="00543B55">
      <w:pPr>
        <w:spacing w:after="0"/>
        <w:ind w:left="720"/>
        <w:rPr>
          <w:i/>
          <w:iCs/>
        </w:rPr>
      </w:pPr>
      <w:r>
        <w:lastRenderedPageBreak/>
        <w:t xml:space="preserve">that </w:t>
      </w:r>
      <w:r>
        <w:rPr>
          <w:i/>
          <w:iCs/>
        </w:rPr>
        <w:t>Character is Destiny.</w:t>
      </w:r>
      <w:r>
        <w:rPr>
          <w:rStyle w:val="FootnoteReference"/>
          <w:i/>
          <w:iCs/>
        </w:rPr>
        <w:footnoteReference w:id="47"/>
      </w:r>
      <w:r>
        <w:rPr>
          <w:i/>
          <w:iCs/>
        </w:rPr>
        <w:t xml:space="preserve"> </w:t>
      </w:r>
    </w:p>
    <w:p w14:paraId="3B2945E2" w14:textId="77777777" w:rsidR="00543B55" w:rsidRDefault="00543B55" w:rsidP="00543B55">
      <w:pPr>
        <w:spacing w:after="0" w:line="360" w:lineRule="auto"/>
      </w:pPr>
    </w:p>
    <w:p w14:paraId="396ABA7B" w14:textId="77777777" w:rsidR="00543B55" w:rsidRPr="00685D9C" w:rsidRDefault="00543B55" w:rsidP="00543B55">
      <w:pPr>
        <w:spacing w:after="0" w:line="360" w:lineRule="auto"/>
      </w:pPr>
      <w:r>
        <w:t xml:space="preserve">In the end, it was Leo’s </w:t>
      </w:r>
      <w:r>
        <w:rPr>
          <w:i/>
          <w:iCs/>
        </w:rPr>
        <w:t xml:space="preserve">own </w:t>
      </w:r>
      <w:r>
        <w:t>fate and destiny which were called upon. According to Bessie Leo, ‘at the moment when Alan convulsed violently just prior to his death, he was heard to exclaim “Oh my poor head, it is going round; the eclipse of my Moon has done this.”’</w:t>
      </w:r>
      <w:r>
        <w:rPr>
          <w:rStyle w:val="FootnoteReference"/>
        </w:rPr>
        <w:footnoteReference w:id="48"/>
      </w:r>
      <w:r>
        <w:t xml:space="preserve"> She recalled that this occurred at 9:55 AM on August 30, 1917, the precise moment when the transiting Sun opposed his natal Moon, and Alan succumbed to a cerebral hemorrhage.</w:t>
      </w:r>
      <w:r>
        <w:rPr>
          <w:rStyle w:val="FootnoteReference"/>
        </w:rPr>
        <w:footnoteReference w:id="49"/>
      </w:r>
      <w:r>
        <w:t xml:space="preserve"> Despite any inclinations of the stars to the contrary, Leo himself spent his final breath claiming that the Luminaries had conspired to compel him to leave his physical body, perhaps to find the answer to his commitment – not to a neo-Platonist dualism – to fate.</w:t>
      </w:r>
    </w:p>
    <w:p w14:paraId="4E80D02F" w14:textId="77777777" w:rsidR="00543B55" w:rsidRPr="0042550F" w:rsidRDefault="00543B55" w:rsidP="00543B55">
      <w:pPr>
        <w:spacing w:after="0" w:line="360" w:lineRule="auto"/>
        <w:rPr>
          <w:i/>
          <w:iCs/>
        </w:rPr>
      </w:pPr>
      <w:r>
        <w:t xml:space="preserve"> </w:t>
      </w:r>
    </w:p>
    <w:p w14:paraId="26B8F43D" w14:textId="77777777" w:rsidR="00543B55" w:rsidRDefault="00543B55" w:rsidP="00543B55">
      <w:pPr>
        <w:spacing w:after="0"/>
        <w:rPr>
          <w:b/>
          <w:bCs/>
        </w:rPr>
      </w:pPr>
      <w:r>
        <w:rPr>
          <w:b/>
          <w:bCs/>
        </w:rPr>
        <w:t>Summary</w:t>
      </w:r>
    </w:p>
    <w:p w14:paraId="207E872D" w14:textId="77777777" w:rsidR="00543B55" w:rsidRDefault="00543B55" w:rsidP="00543B55">
      <w:pPr>
        <w:spacing w:after="0"/>
        <w:rPr>
          <w:b/>
          <w:bCs/>
        </w:rPr>
      </w:pPr>
    </w:p>
    <w:p w14:paraId="311499F9" w14:textId="77777777" w:rsidR="00543B55" w:rsidRDefault="00543B55" w:rsidP="00543B55">
      <w:pPr>
        <w:spacing w:after="0" w:line="360" w:lineRule="auto"/>
      </w:pPr>
      <w:r>
        <w:t xml:space="preserve">This essay considered the aphorism, ‘the stars incline; they do not compel’ as articulated by the well-known British Theosophist and astrologer, Alan Leo as it can be applied to views of fate represented theoretically and practically to either instructional or interpretive texts in the works of the ninth-century Persian Medieval astrologer Sahl Ibn Bishr and the British modern astrologer Alan Leo. Two classical models of fate and its modern analogue, determinism - Platonist dualism and Stoic monism - were considered with respect to the astrological orientations of these individuals. It proved difficult, principally due to lack of evidence from primary source materials, to make any conjecture about Sahl Ibn Bishr’s position with respect to his ascribing to any model of fate. </w:t>
      </w:r>
    </w:p>
    <w:p w14:paraId="7E63AA03" w14:textId="77777777" w:rsidR="00543B55" w:rsidRDefault="00543B55" w:rsidP="00543B55">
      <w:pPr>
        <w:spacing w:after="0" w:line="360" w:lineRule="auto"/>
      </w:pPr>
    </w:p>
    <w:p w14:paraId="26FE4558" w14:textId="6E1C7394" w:rsidR="00543B55" w:rsidRPr="00543B55" w:rsidRDefault="00543B55" w:rsidP="00543B55">
      <w:pPr>
        <w:spacing w:after="0" w:line="360" w:lineRule="auto"/>
      </w:pPr>
      <w:r>
        <w:t>A model was developed from an adaptation of Chris Brennan’s work on placing Hellenistic astrologers within particular philosophical traditions of astrology then applied to both Sahl and Leo.</w:t>
      </w:r>
      <w:r>
        <w:rPr>
          <w:rStyle w:val="FootnoteReference"/>
        </w:rPr>
        <w:footnoteReference w:id="50"/>
      </w:r>
      <w:r>
        <w:t xml:space="preserve">  This model contained two features: 1) a vertical axis with the planets considered either as ‘signs’ or as ‘causes’ of events occurring in the future, and; 2) a horizontal axis representing a continuum from a more ‘fated’ comprehensive determinism to a more libertarian circumstantial determinism. It was determined that Sahl’s judicial astrology and Alan Leo’s ‘strength of individual will’ were positioned within the ‘stars incline’ and their respective traditional natal and horary techniques, when used, fall within the ‘stars compel’. </w:t>
      </w:r>
    </w:p>
    <w:p w14:paraId="1D90024B" w14:textId="548AED2D" w:rsidR="00543B55" w:rsidRPr="00543B55" w:rsidRDefault="00543B55" w:rsidP="00543B55">
      <w:pPr>
        <w:spacing w:after="120" w:line="360" w:lineRule="auto"/>
        <w:jc w:val="center"/>
      </w:pPr>
      <w:r w:rsidRPr="00422C36">
        <w:br w:type="page"/>
      </w:r>
      <w:r w:rsidRPr="00422C36">
        <w:rPr>
          <w:b/>
        </w:rPr>
        <w:lastRenderedPageBreak/>
        <w:t>Bibliography</w:t>
      </w:r>
    </w:p>
    <w:p w14:paraId="38B4C4F3" w14:textId="77777777" w:rsidR="00543B55" w:rsidRPr="00422C36" w:rsidRDefault="00543B55" w:rsidP="00543B55">
      <w:pPr>
        <w:jc w:val="center"/>
        <w:rPr>
          <w:b/>
        </w:rPr>
      </w:pPr>
    </w:p>
    <w:p w14:paraId="09F45F9E" w14:textId="77777777" w:rsidR="00543B55" w:rsidRDefault="00543B55" w:rsidP="00543B55">
      <w:pPr>
        <w:spacing w:after="120"/>
      </w:pPr>
      <w:r>
        <w:rPr>
          <w:b/>
          <w:bCs/>
          <w:u w:val="single"/>
        </w:rPr>
        <w:t>Primary Sources</w:t>
      </w:r>
      <w:r>
        <w:t xml:space="preserve"> </w:t>
      </w:r>
    </w:p>
    <w:p w14:paraId="7F04F2DB" w14:textId="77777777" w:rsidR="00543B55" w:rsidRDefault="00543B55" w:rsidP="00543B55"/>
    <w:p w14:paraId="7BE5C02E" w14:textId="77777777" w:rsidR="00543B55" w:rsidRPr="00543B55" w:rsidRDefault="00543B55" w:rsidP="00543B55">
      <w:pPr>
        <w:rPr>
          <w:sz w:val="20"/>
          <w:szCs w:val="20"/>
        </w:rPr>
      </w:pPr>
      <w:r w:rsidRPr="00543B55">
        <w:rPr>
          <w:sz w:val="20"/>
          <w:szCs w:val="20"/>
        </w:rPr>
        <w:t xml:space="preserve">Bishr, Sahl Ibn, </w:t>
      </w:r>
      <w:r w:rsidRPr="00543B55">
        <w:rPr>
          <w:i/>
          <w:iCs/>
          <w:sz w:val="20"/>
          <w:szCs w:val="20"/>
        </w:rPr>
        <w:t>The Introduction to the Science of the Judgements of the Stars</w:t>
      </w:r>
      <w:r w:rsidRPr="00543B55">
        <w:rPr>
          <w:sz w:val="20"/>
          <w:szCs w:val="20"/>
        </w:rPr>
        <w:t>, trans. By James Herschel Holden (Tempe, AZ: American Federation of Astrologers, 2008).</w:t>
      </w:r>
    </w:p>
    <w:p w14:paraId="380A9208" w14:textId="77777777" w:rsidR="00543B55" w:rsidRPr="00543B55" w:rsidRDefault="00543B55" w:rsidP="00543B55">
      <w:pPr>
        <w:autoSpaceDE w:val="0"/>
        <w:autoSpaceDN w:val="0"/>
        <w:adjustRightInd w:val="0"/>
        <w:spacing w:after="120" w:line="240" w:lineRule="auto"/>
        <w:rPr>
          <w:rFonts w:ascii="CIDFont+F3" w:hAnsi="CIDFont+F3" w:cs="CIDFont+F3"/>
          <w:sz w:val="20"/>
          <w:szCs w:val="20"/>
        </w:rPr>
      </w:pPr>
      <w:r w:rsidRPr="00543B55">
        <w:rPr>
          <w:rFonts w:ascii="CIDFont+F3" w:hAnsi="CIDFont+F3" w:cs="CIDFont+F3"/>
          <w:sz w:val="20"/>
          <w:szCs w:val="20"/>
        </w:rPr>
        <w:t xml:space="preserve">Leo, Alan. ‘The Editor’s Observatory’, </w:t>
      </w:r>
      <w:r w:rsidRPr="00543B55">
        <w:rPr>
          <w:rFonts w:ascii="CIDFont+F7" w:hAnsi="CIDFont+F7" w:cs="CIDFont+F7"/>
          <w:i/>
          <w:iCs/>
          <w:sz w:val="20"/>
          <w:szCs w:val="20"/>
        </w:rPr>
        <w:t>Modern Astrology</w:t>
      </w:r>
      <w:r w:rsidRPr="00543B55">
        <w:rPr>
          <w:rFonts w:ascii="CIDFont+F3" w:hAnsi="CIDFont+F3" w:cs="CIDFont+F3"/>
          <w:sz w:val="20"/>
          <w:szCs w:val="20"/>
        </w:rPr>
        <w:t xml:space="preserve">, New Series, 8/3 (1911): 89–96 (p. 95), cited in Campion, Nicholas, </w:t>
      </w:r>
      <w:r w:rsidRPr="00543B55">
        <w:rPr>
          <w:rFonts w:ascii="CIDFont+F7" w:hAnsi="CIDFont+F7" w:cs="CIDFont+F7"/>
          <w:sz w:val="20"/>
          <w:szCs w:val="20"/>
        </w:rPr>
        <w:t>Astrology and Popular Religion in the</w:t>
      </w:r>
      <w:r w:rsidRPr="00543B55">
        <w:rPr>
          <w:rFonts w:ascii="CIDFont+F3" w:hAnsi="CIDFont+F3" w:cs="CIDFont+F3"/>
          <w:sz w:val="20"/>
          <w:szCs w:val="20"/>
        </w:rPr>
        <w:t xml:space="preserve"> </w:t>
      </w:r>
      <w:r w:rsidRPr="00543B55">
        <w:rPr>
          <w:rFonts w:ascii="CIDFont+F7" w:hAnsi="CIDFont+F7" w:cs="CIDFont+F7"/>
          <w:sz w:val="20"/>
          <w:szCs w:val="20"/>
        </w:rPr>
        <w:t xml:space="preserve">Modern West: Prophecy, Cosmology and the New Age Movement </w:t>
      </w:r>
      <w:r w:rsidRPr="00543B55">
        <w:rPr>
          <w:rFonts w:ascii="CIDFont+F3" w:hAnsi="CIDFont+F3" w:cs="CIDFont+F3"/>
          <w:sz w:val="20"/>
          <w:szCs w:val="20"/>
        </w:rPr>
        <w:t>(Abingdon: Ashgate, 2012).</w:t>
      </w:r>
    </w:p>
    <w:p w14:paraId="08911759" w14:textId="77777777" w:rsidR="00543B55" w:rsidRPr="00543B55" w:rsidRDefault="00543B55" w:rsidP="00543B55">
      <w:pPr>
        <w:spacing w:after="120"/>
        <w:rPr>
          <w:sz w:val="20"/>
          <w:szCs w:val="20"/>
        </w:rPr>
      </w:pPr>
      <w:r w:rsidRPr="00543B55">
        <w:rPr>
          <w:sz w:val="20"/>
          <w:szCs w:val="20"/>
        </w:rPr>
        <w:t xml:space="preserve">Leo, Alan. </w:t>
      </w:r>
      <w:r w:rsidRPr="00543B55">
        <w:rPr>
          <w:i/>
          <w:iCs/>
          <w:sz w:val="20"/>
          <w:szCs w:val="20"/>
        </w:rPr>
        <w:t>The Art of Synthesis (3</w:t>
      </w:r>
      <w:r w:rsidRPr="00543B55">
        <w:rPr>
          <w:i/>
          <w:iCs/>
          <w:sz w:val="20"/>
          <w:szCs w:val="20"/>
          <w:vertAlign w:val="superscript"/>
        </w:rPr>
        <w:t>rd</w:t>
      </w:r>
      <w:r w:rsidRPr="00543B55">
        <w:rPr>
          <w:i/>
          <w:iCs/>
          <w:sz w:val="20"/>
          <w:szCs w:val="20"/>
        </w:rPr>
        <w:t xml:space="preserve"> ed.). </w:t>
      </w:r>
      <w:r w:rsidRPr="00543B55">
        <w:rPr>
          <w:sz w:val="20"/>
          <w:szCs w:val="20"/>
        </w:rPr>
        <w:t xml:space="preserve">(London: Modern Astrology Office/L.N. Fowler &amp; Co., 1912). </w:t>
      </w:r>
      <w:hyperlink r:id="rId13" w:history="1">
        <w:r w:rsidRPr="00543B55">
          <w:rPr>
            <w:rStyle w:val="Hyperlink"/>
            <w:sz w:val="20"/>
            <w:szCs w:val="20"/>
          </w:rPr>
          <w:t>https://ia801203.us.archive.org/26/items/artofsynthesis00leoa/artofsynthesis00leoa.pdf</w:t>
        </w:r>
      </w:hyperlink>
      <w:r w:rsidRPr="00543B55">
        <w:rPr>
          <w:sz w:val="20"/>
          <w:szCs w:val="20"/>
        </w:rPr>
        <w:t xml:space="preserve"> [accessed December 8, 2020.</w:t>
      </w:r>
    </w:p>
    <w:p w14:paraId="41396E06" w14:textId="77777777" w:rsidR="00543B55" w:rsidRPr="00543B55" w:rsidRDefault="00543B55" w:rsidP="00543B55">
      <w:pPr>
        <w:rPr>
          <w:sz w:val="20"/>
          <w:szCs w:val="20"/>
        </w:rPr>
      </w:pPr>
      <w:r w:rsidRPr="00543B55">
        <w:rPr>
          <w:sz w:val="20"/>
          <w:szCs w:val="20"/>
        </w:rPr>
        <w:t xml:space="preserve">Leo, Alan. </w:t>
      </w:r>
      <w:r w:rsidRPr="00543B55">
        <w:rPr>
          <w:i/>
          <w:iCs/>
          <w:sz w:val="20"/>
          <w:szCs w:val="20"/>
        </w:rPr>
        <w:t xml:space="preserve">Esoteric Astrology: A Study in Human Nature. </w:t>
      </w:r>
      <w:r w:rsidRPr="00543B55">
        <w:rPr>
          <w:sz w:val="20"/>
          <w:szCs w:val="20"/>
        </w:rPr>
        <w:t xml:space="preserve">(London: Modern Astrology Office/L.N. Fowler &amp; Co., 1913).  </w:t>
      </w:r>
      <w:hyperlink r:id="rId14" w:tgtFrame="_blank" w:tooltip="Original URL: https://archive.org/details/in.ernet.dli.2015.170445. Click or tap if you trust this link." w:history="1">
        <w:r w:rsidRPr="00543B55">
          <w:rPr>
            <w:rStyle w:val="Hyperlink"/>
            <w:sz w:val="20"/>
            <w:szCs w:val="20"/>
          </w:rPr>
          <w:t>https://archive.org/details/in.ernet.dli.2015.170445</w:t>
        </w:r>
      </w:hyperlink>
      <w:r w:rsidRPr="00543B55">
        <w:rPr>
          <w:sz w:val="20"/>
          <w:szCs w:val="20"/>
        </w:rPr>
        <w:t xml:space="preserve">  [accessed December 28, 2020].</w:t>
      </w:r>
    </w:p>
    <w:p w14:paraId="533EBAF7" w14:textId="77777777" w:rsidR="00543B55" w:rsidRPr="00543B55" w:rsidRDefault="00543B55" w:rsidP="00543B55">
      <w:pPr>
        <w:rPr>
          <w:sz w:val="20"/>
          <w:szCs w:val="20"/>
        </w:rPr>
      </w:pPr>
      <w:r w:rsidRPr="00543B55">
        <w:rPr>
          <w:sz w:val="20"/>
          <w:szCs w:val="20"/>
        </w:rPr>
        <w:t xml:space="preserve">Leo, Alan. </w:t>
      </w:r>
      <w:r w:rsidRPr="00543B55">
        <w:rPr>
          <w:i/>
          <w:iCs/>
          <w:sz w:val="20"/>
          <w:szCs w:val="20"/>
        </w:rPr>
        <w:t xml:space="preserve">Saturn: The Reaper. </w:t>
      </w:r>
      <w:r w:rsidRPr="00543B55">
        <w:rPr>
          <w:sz w:val="20"/>
          <w:szCs w:val="20"/>
        </w:rPr>
        <w:t>(London: Modern Astrology Office/L.N. Fowler &amp; Co., 1916).</w:t>
      </w:r>
      <w:hyperlink r:id="rId15" w:tgtFrame="_blank" w:tooltip="Original URL: https://archive.org/details/saturnreaperbein00leoa/page/n5/mode/2up. Click or tap if you trust this link." w:history="1">
        <w:r w:rsidRPr="00543B55">
          <w:rPr>
            <w:rStyle w:val="Hyperlink"/>
            <w:sz w:val="20"/>
            <w:szCs w:val="20"/>
          </w:rPr>
          <w:t>https://archive.org/details/saturnreaperbein00leoa/page/n5/mode/2up</w:t>
        </w:r>
      </w:hyperlink>
      <w:r w:rsidRPr="00543B55">
        <w:rPr>
          <w:sz w:val="20"/>
          <w:szCs w:val="20"/>
        </w:rPr>
        <w:t xml:space="preserve"> .</w:t>
      </w:r>
    </w:p>
    <w:p w14:paraId="289766F4" w14:textId="77777777" w:rsidR="00543B55" w:rsidRPr="00543B55" w:rsidRDefault="00543B55" w:rsidP="00543B55">
      <w:pPr>
        <w:rPr>
          <w:sz w:val="20"/>
          <w:szCs w:val="20"/>
        </w:rPr>
      </w:pPr>
      <w:r w:rsidRPr="00543B55">
        <w:rPr>
          <w:sz w:val="20"/>
          <w:szCs w:val="20"/>
        </w:rPr>
        <w:t xml:space="preserve">Leo, Alan. </w:t>
      </w:r>
      <w:r w:rsidRPr="00543B55">
        <w:rPr>
          <w:i/>
          <w:iCs/>
          <w:sz w:val="20"/>
          <w:szCs w:val="20"/>
        </w:rPr>
        <w:t>The Progressed Horoscope (5</w:t>
      </w:r>
      <w:r w:rsidRPr="00543B55">
        <w:rPr>
          <w:i/>
          <w:iCs/>
          <w:sz w:val="20"/>
          <w:szCs w:val="20"/>
          <w:vertAlign w:val="superscript"/>
        </w:rPr>
        <w:t>th</w:t>
      </w:r>
      <w:r w:rsidRPr="00543B55">
        <w:rPr>
          <w:i/>
          <w:iCs/>
          <w:sz w:val="20"/>
          <w:szCs w:val="20"/>
        </w:rPr>
        <w:t xml:space="preserve"> Ed.). </w:t>
      </w:r>
      <w:r w:rsidRPr="00543B55">
        <w:rPr>
          <w:sz w:val="20"/>
          <w:szCs w:val="20"/>
        </w:rPr>
        <w:t xml:space="preserve">(London: L.N. Fowler &amp; Co., 1936). </w:t>
      </w:r>
      <w:hyperlink r:id="rId16" w:tgtFrame="_blank" w:tooltip="Original URL: https://ia800204.us.archive.org/33/items/in.ernet.dli.2015.128064/2015.128064.The-Progressed-Horoscope.pdf. Click or tap if you trust this link." w:history="1">
        <w:r w:rsidRPr="00543B55">
          <w:rPr>
            <w:rStyle w:val="Hyperlink"/>
            <w:sz w:val="20"/>
            <w:szCs w:val="20"/>
          </w:rPr>
          <w:t>https://ia800204.us.archive.org/33/items/in.ernet.dli.2015.128064/2015.128064.The-Progressed-Horoscope.pdf</w:t>
        </w:r>
      </w:hyperlink>
      <w:r w:rsidRPr="00543B55">
        <w:rPr>
          <w:sz w:val="20"/>
          <w:szCs w:val="20"/>
        </w:rPr>
        <w:t xml:space="preserve"> [accessed December 8, 2020].</w:t>
      </w:r>
    </w:p>
    <w:p w14:paraId="53557495" w14:textId="77777777" w:rsidR="00543B55" w:rsidRPr="00543B55" w:rsidRDefault="00543B55" w:rsidP="00543B55">
      <w:pPr>
        <w:rPr>
          <w:sz w:val="20"/>
          <w:szCs w:val="20"/>
        </w:rPr>
      </w:pPr>
      <w:r w:rsidRPr="00543B55">
        <w:rPr>
          <w:sz w:val="20"/>
          <w:szCs w:val="20"/>
        </w:rPr>
        <w:t xml:space="preserve">Lilly, William, </w:t>
      </w:r>
      <w:r w:rsidRPr="00543B55">
        <w:rPr>
          <w:i/>
          <w:iCs/>
          <w:sz w:val="20"/>
          <w:szCs w:val="20"/>
        </w:rPr>
        <w:t xml:space="preserve">Christian Astrology, </w:t>
      </w:r>
      <w:r w:rsidRPr="00543B55">
        <w:rPr>
          <w:sz w:val="20"/>
          <w:szCs w:val="20"/>
        </w:rPr>
        <w:t>(New York: Cosimo Classics, 1647; 2011 edition).</w:t>
      </w:r>
    </w:p>
    <w:p w14:paraId="10665F15" w14:textId="77777777" w:rsidR="00543B55" w:rsidRPr="00543B55" w:rsidRDefault="00543B55" w:rsidP="00543B55">
      <w:pPr>
        <w:rPr>
          <w:sz w:val="20"/>
          <w:szCs w:val="20"/>
        </w:rPr>
      </w:pPr>
      <w:r w:rsidRPr="00543B55">
        <w:rPr>
          <w:sz w:val="20"/>
          <w:szCs w:val="20"/>
        </w:rPr>
        <w:t xml:space="preserve">Plato, </w:t>
      </w:r>
      <w:r w:rsidRPr="00543B55">
        <w:rPr>
          <w:i/>
          <w:sz w:val="20"/>
          <w:szCs w:val="20"/>
        </w:rPr>
        <w:t xml:space="preserve">Timaeus, </w:t>
      </w:r>
      <w:r w:rsidRPr="00543B55">
        <w:rPr>
          <w:sz w:val="20"/>
          <w:szCs w:val="20"/>
        </w:rPr>
        <w:t xml:space="preserve">(trans. R.G. Bury; Cambridge, MA: Harvard University Press, 1931). </w:t>
      </w:r>
      <w:hyperlink r:id="rId17" w:history="1">
        <w:r w:rsidRPr="00543B55">
          <w:rPr>
            <w:rStyle w:val="Hyperlink"/>
            <w:sz w:val="20"/>
            <w:szCs w:val="20"/>
          </w:rPr>
          <w:t>https://www-loebclassics-com.ezproxy.uwtsd.ac.uk/view/plato-philosopher_timaeus/1929/pb_LCL234.47.xml?result=1&amp;rskey=sDwO2u</w:t>
        </w:r>
      </w:hyperlink>
      <w:r w:rsidRPr="00543B55">
        <w:rPr>
          <w:sz w:val="20"/>
          <w:szCs w:val="20"/>
        </w:rPr>
        <w:t xml:space="preserve"> [Accessed October 18, 2020].</w:t>
      </w:r>
    </w:p>
    <w:p w14:paraId="425A7222" w14:textId="77777777" w:rsidR="00543B55" w:rsidRDefault="00543B55" w:rsidP="00543B55">
      <w:pPr>
        <w:rPr>
          <w:b/>
          <w:bCs/>
        </w:rPr>
      </w:pPr>
    </w:p>
    <w:p w14:paraId="22D96376" w14:textId="77777777" w:rsidR="00543B55" w:rsidRPr="007D5356" w:rsidRDefault="00543B55" w:rsidP="00543B55">
      <w:pPr>
        <w:rPr>
          <w:i/>
          <w:iCs/>
        </w:rPr>
      </w:pPr>
      <w:r>
        <w:rPr>
          <w:b/>
          <w:bCs/>
        </w:rPr>
        <w:t>Secondary Sources (JSTOR):</w:t>
      </w:r>
    </w:p>
    <w:p w14:paraId="08C968EF" w14:textId="77777777" w:rsidR="00543B55" w:rsidRPr="00543B55" w:rsidRDefault="00543B55" w:rsidP="00543B55">
      <w:pPr>
        <w:rPr>
          <w:sz w:val="20"/>
          <w:szCs w:val="20"/>
        </w:rPr>
      </w:pPr>
      <w:r w:rsidRPr="00543B55">
        <w:rPr>
          <w:sz w:val="20"/>
          <w:szCs w:val="20"/>
        </w:rPr>
        <w:t xml:space="preserve">Campion, Nicholas, ‘Theosophical, New Age, and Pagan Cosmologies: Nature and Transformation,’ in </w:t>
      </w:r>
      <w:r w:rsidRPr="00543B55">
        <w:rPr>
          <w:i/>
          <w:iCs/>
          <w:sz w:val="20"/>
          <w:szCs w:val="20"/>
        </w:rPr>
        <w:t xml:space="preserve">Astrology and Cosmology in the Worlds Religions. </w:t>
      </w:r>
      <w:r w:rsidRPr="00543B55">
        <w:rPr>
          <w:sz w:val="20"/>
          <w:szCs w:val="20"/>
        </w:rPr>
        <w:t xml:space="preserve">(New York, NY and London: New York University Press, 2012), pp. 189-199. </w:t>
      </w:r>
      <w:hyperlink r:id="rId18" w:history="1">
        <w:r w:rsidRPr="00543B55">
          <w:rPr>
            <w:rStyle w:val="Hyperlink"/>
            <w:sz w:val="20"/>
            <w:szCs w:val="20"/>
          </w:rPr>
          <w:t>https://www.jstor.org/stable/j.ctt9qg5q5.19</w:t>
        </w:r>
      </w:hyperlink>
      <w:r w:rsidRPr="00543B55">
        <w:rPr>
          <w:sz w:val="20"/>
          <w:szCs w:val="20"/>
        </w:rPr>
        <w:t xml:space="preserve"> </w:t>
      </w:r>
    </w:p>
    <w:p w14:paraId="31CB3BBE" w14:textId="77777777" w:rsidR="00543B55" w:rsidRPr="00543B55" w:rsidRDefault="00543B55" w:rsidP="00543B55">
      <w:pPr>
        <w:rPr>
          <w:sz w:val="20"/>
          <w:szCs w:val="20"/>
        </w:rPr>
      </w:pPr>
      <w:r w:rsidRPr="00543B55">
        <w:rPr>
          <w:sz w:val="20"/>
          <w:szCs w:val="20"/>
        </w:rPr>
        <w:t xml:space="preserve">Campion, Nicholas, ‘Islam: Faith and Reason,’ in </w:t>
      </w:r>
      <w:r w:rsidRPr="00543B55">
        <w:rPr>
          <w:i/>
          <w:iCs/>
          <w:sz w:val="20"/>
          <w:szCs w:val="20"/>
        </w:rPr>
        <w:t xml:space="preserve">Astrology and Cosmology in the Worlds Religions. </w:t>
      </w:r>
      <w:r w:rsidRPr="00543B55">
        <w:rPr>
          <w:sz w:val="20"/>
          <w:szCs w:val="20"/>
        </w:rPr>
        <w:t xml:space="preserve">(New York, NY and London: New York University Press, 2012), pp. 173-187. </w:t>
      </w:r>
      <w:hyperlink r:id="rId19" w:history="1">
        <w:r w:rsidRPr="00543B55">
          <w:rPr>
            <w:rStyle w:val="Hyperlink"/>
            <w:sz w:val="20"/>
            <w:szCs w:val="20"/>
          </w:rPr>
          <w:t>https://www.jstor.org/stable/j.ctt9qg5q5.18</w:t>
        </w:r>
      </w:hyperlink>
      <w:r w:rsidRPr="00543B55">
        <w:rPr>
          <w:sz w:val="20"/>
          <w:szCs w:val="20"/>
        </w:rPr>
        <w:t xml:space="preserve">  [accessed December 28, 2020]. </w:t>
      </w:r>
    </w:p>
    <w:p w14:paraId="5CBFB439" w14:textId="77777777" w:rsidR="00543B55" w:rsidRPr="00543B55" w:rsidRDefault="00543B55" w:rsidP="00543B55">
      <w:pPr>
        <w:rPr>
          <w:sz w:val="20"/>
          <w:szCs w:val="20"/>
        </w:rPr>
      </w:pPr>
      <w:r w:rsidRPr="00543B55">
        <w:rPr>
          <w:sz w:val="20"/>
          <w:szCs w:val="20"/>
        </w:rPr>
        <w:t xml:space="preserve">Lehoux, Daryn, ‘Tomorrow’s News Today: Astrology, Fate, and the Way Out’, </w:t>
      </w:r>
      <w:r w:rsidRPr="00543B55">
        <w:rPr>
          <w:i/>
          <w:iCs/>
          <w:sz w:val="20"/>
          <w:szCs w:val="20"/>
        </w:rPr>
        <w:t xml:space="preserve">Representations, </w:t>
      </w:r>
      <w:r w:rsidRPr="00543B55">
        <w:rPr>
          <w:sz w:val="20"/>
          <w:szCs w:val="20"/>
        </w:rPr>
        <w:t xml:space="preserve">95, (Summer 2006), pp. 105-122. </w:t>
      </w:r>
      <w:hyperlink r:id="rId20" w:history="1">
        <w:r w:rsidRPr="00543B55">
          <w:rPr>
            <w:rStyle w:val="Hyperlink"/>
            <w:sz w:val="20"/>
            <w:szCs w:val="20"/>
          </w:rPr>
          <w:t>https://www.jstor.org/stable/10.1525/rep.2006.95.1.105</w:t>
        </w:r>
      </w:hyperlink>
      <w:r w:rsidRPr="00543B55">
        <w:rPr>
          <w:sz w:val="20"/>
          <w:szCs w:val="20"/>
        </w:rPr>
        <w:t xml:space="preserve"> [accessed November 25, 2020].</w:t>
      </w:r>
    </w:p>
    <w:p w14:paraId="4171E47F" w14:textId="77777777" w:rsidR="00543B55" w:rsidRDefault="00543B55" w:rsidP="00543B55">
      <w:pPr>
        <w:pStyle w:val="FootnoteText"/>
        <w:spacing w:after="120"/>
        <w:rPr>
          <w:b/>
          <w:bCs/>
          <w:sz w:val="22"/>
          <w:szCs w:val="22"/>
          <w:u w:val="single"/>
        </w:rPr>
      </w:pPr>
    </w:p>
    <w:p w14:paraId="20195B7B" w14:textId="77777777" w:rsidR="00543B55" w:rsidRDefault="00543B55" w:rsidP="00543B55">
      <w:pPr>
        <w:pStyle w:val="FootnoteText"/>
        <w:spacing w:after="120"/>
        <w:rPr>
          <w:b/>
          <w:bCs/>
          <w:sz w:val="22"/>
          <w:szCs w:val="22"/>
          <w:u w:val="single"/>
        </w:rPr>
      </w:pPr>
    </w:p>
    <w:p w14:paraId="68E6FCA3" w14:textId="77777777" w:rsidR="00543B55" w:rsidRDefault="00543B55" w:rsidP="00543B55">
      <w:pPr>
        <w:pStyle w:val="FootnoteText"/>
        <w:spacing w:after="120"/>
        <w:rPr>
          <w:b/>
          <w:bCs/>
          <w:sz w:val="22"/>
          <w:szCs w:val="22"/>
          <w:u w:val="single"/>
        </w:rPr>
      </w:pPr>
    </w:p>
    <w:p w14:paraId="6D4E866E" w14:textId="77777777" w:rsidR="00543B55" w:rsidRDefault="00543B55" w:rsidP="00543B55">
      <w:pPr>
        <w:pStyle w:val="FootnoteText"/>
        <w:spacing w:after="120"/>
        <w:rPr>
          <w:b/>
          <w:bCs/>
          <w:sz w:val="22"/>
          <w:szCs w:val="22"/>
          <w:u w:val="single"/>
        </w:rPr>
      </w:pPr>
    </w:p>
    <w:p w14:paraId="4957A44B" w14:textId="0076EC29" w:rsidR="00543B55" w:rsidRDefault="00543B55" w:rsidP="00543B55">
      <w:pPr>
        <w:pStyle w:val="FootnoteText"/>
        <w:spacing w:after="120"/>
        <w:rPr>
          <w:b/>
          <w:bCs/>
          <w:sz w:val="22"/>
          <w:szCs w:val="22"/>
          <w:u w:val="single"/>
        </w:rPr>
      </w:pPr>
      <w:r>
        <w:rPr>
          <w:b/>
          <w:bCs/>
          <w:sz w:val="22"/>
          <w:szCs w:val="22"/>
          <w:u w:val="single"/>
        </w:rPr>
        <w:lastRenderedPageBreak/>
        <w:t>Secondary</w:t>
      </w:r>
      <w:r w:rsidRPr="00D01F56">
        <w:rPr>
          <w:b/>
          <w:bCs/>
          <w:sz w:val="22"/>
          <w:szCs w:val="22"/>
          <w:u w:val="single"/>
        </w:rPr>
        <w:t xml:space="preserve"> Sources</w:t>
      </w:r>
    </w:p>
    <w:p w14:paraId="4246A803" w14:textId="77777777" w:rsidR="00543B55" w:rsidRDefault="00543B55" w:rsidP="00543B55">
      <w:pPr>
        <w:pStyle w:val="FootnoteText"/>
        <w:spacing w:after="120"/>
        <w:rPr>
          <w:b/>
          <w:bCs/>
          <w:sz w:val="22"/>
          <w:szCs w:val="22"/>
          <w:u w:val="single"/>
        </w:rPr>
      </w:pPr>
    </w:p>
    <w:p w14:paraId="2BA861F8" w14:textId="77777777" w:rsidR="00543B55" w:rsidRPr="00543B55" w:rsidRDefault="00543B55" w:rsidP="00543B55">
      <w:pPr>
        <w:rPr>
          <w:sz w:val="20"/>
          <w:szCs w:val="20"/>
        </w:rPr>
      </w:pPr>
      <w:r w:rsidRPr="00543B55">
        <w:rPr>
          <w:sz w:val="20"/>
          <w:szCs w:val="20"/>
        </w:rPr>
        <w:t xml:space="preserve">Bobrick, Benson, </w:t>
      </w:r>
      <w:r w:rsidRPr="00543B55">
        <w:rPr>
          <w:i/>
          <w:iCs/>
          <w:sz w:val="20"/>
          <w:szCs w:val="20"/>
        </w:rPr>
        <w:t xml:space="preserve">The Fated Sky: Astrology in History </w:t>
      </w:r>
      <w:r w:rsidRPr="00543B55">
        <w:rPr>
          <w:sz w:val="20"/>
          <w:szCs w:val="20"/>
        </w:rPr>
        <w:t>(New York, NY: Simon &amp; Schuster, 2005).</w:t>
      </w:r>
    </w:p>
    <w:p w14:paraId="75C329A1" w14:textId="77777777" w:rsidR="00543B55" w:rsidRPr="00543B55" w:rsidRDefault="00543B55" w:rsidP="00543B55">
      <w:pPr>
        <w:rPr>
          <w:sz w:val="20"/>
          <w:szCs w:val="20"/>
        </w:rPr>
      </w:pPr>
      <w:r w:rsidRPr="00543B55">
        <w:rPr>
          <w:sz w:val="20"/>
          <w:szCs w:val="20"/>
        </w:rPr>
        <w:t>Brady, Bernadette, ‘Theories of Fate Among Present-Day Astrologers’, (unpublished doctoral thesis, University of Wales Trinity Saint David, 2012).</w:t>
      </w:r>
      <w:r w:rsidRPr="00543B55">
        <w:rPr>
          <w:sz w:val="20"/>
          <w:szCs w:val="20"/>
        </w:rPr>
        <w:softHyphen/>
      </w:r>
    </w:p>
    <w:p w14:paraId="5B20EAB7" w14:textId="77777777" w:rsidR="00543B55" w:rsidRPr="00543B55" w:rsidRDefault="00543B55" w:rsidP="00543B55">
      <w:pPr>
        <w:rPr>
          <w:sz w:val="20"/>
          <w:szCs w:val="20"/>
        </w:rPr>
      </w:pPr>
      <w:r w:rsidRPr="00543B55">
        <w:rPr>
          <w:sz w:val="20"/>
          <w:szCs w:val="20"/>
        </w:rPr>
        <w:t xml:space="preserve">Brennan, Chris. ‘Introduction to Hellenistic Astrology (Part 2) – Annual Profections, Lots, and Zodiacal Releasing’. </w:t>
      </w:r>
      <w:r w:rsidRPr="00543B55">
        <w:rPr>
          <w:i/>
          <w:iCs/>
          <w:sz w:val="20"/>
          <w:szCs w:val="20"/>
        </w:rPr>
        <w:t xml:space="preserve">The Mountain Astrologer, </w:t>
      </w:r>
      <w:r w:rsidRPr="00543B55">
        <w:rPr>
          <w:sz w:val="20"/>
          <w:szCs w:val="20"/>
        </w:rPr>
        <w:t xml:space="preserve">(Issue 163: June, 2012). </w:t>
      </w:r>
      <w:hyperlink r:id="rId21" w:history="1">
        <w:r w:rsidRPr="00543B55">
          <w:rPr>
            <w:rStyle w:val="Hyperlink"/>
            <w:sz w:val="20"/>
            <w:szCs w:val="20"/>
          </w:rPr>
          <w:t>https://www.astro.com/astrology/tma_article190314_e.htm</w:t>
        </w:r>
      </w:hyperlink>
      <w:r w:rsidRPr="00543B55">
        <w:rPr>
          <w:sz w:val="20"/>
          <w:szCs w:val="20"/>
        </w:rPr>
        <w:t xml:space="preserve"> , [accessed December 7, 2020].</w:t>
      </w:r>
    </w:p>
    <w:p w14:paraId="18D9579C" w14:textId="77777777" w:rsidR="00543B55" w:rsidRPr="00543B55" w:rsidRDefault="00543B55" w:rsidP="00543B55">
      <w:pPr>
        <w:autoSpaceDE w:val="0"/>
        <w:autoSpaceDN w:val="0"/>
        <w:adjustRightInd w:val="0"/>
        <w:spacing w:after="0" w:line="240" w:lineRule="auto"/>
        <w:rPr>
          <w:rFonts w:ascii="CIDFont+F3" w:hAnsi="CIDFont+F3" w:cs="CIDFont+F3"/>
          <w:sz w:val="20"/>
          <w:szCs w:val="20"/>
        </w:rPr>
      </w:pPr>
      <w:r w:rsidRPr="00543B55">
        <w:rPr>
          <w:rFonts w:ascii="CIDFont+F3" w:hAnsi="CIDFont+F3" w:cs="CIDFont+F3"/>
          <w:sz w:val="20"/>
          <w:szCs w:val="20"/>
        </w:rPr>
        <w:t>Campion, Nicholas, ‘Prophecy, Cosmology and the New Age Movement: The Extent and Nature of Contemporary Belief in Astrology’, (unpublished doctoral thesis, Bath Spa University/University of the West of England, 2004). 381 pp.</w:t>
      </w:r>
    </w:p>
    <w:p w14:paraId="6502A914" w14:textId="77777777" w:rsidR="00543B55" w:rsidRPr="00543B55" w:rsidRDefault="00543B55" w:rsidP="00543B55">
      <w:pPr>
        <w:autoSpaceDE w:val="0"/>
        <w:autoSpaceDN w:val="0"/>
        <w:adjustRightInd w:val="0"/>
        <w:spacing w:after="0" w:line="240" w:lineRule="auto"/>
        <w:rPr>
          <w:sz w:val="20"/>
          <w:szCs w:val="20"/>
        </w:rPr>
      </w:pPr>
    </w:p>
    <w:p w14:paraId="321D40F4" w14:textId="77777777" w:rsidR="00543B55" w:rsidRPr="00543B55" w:rsidRDefault="00543B55" w:rsidP="00543B55">
      <w:pPr>
        <w:autoSpaceDE w:val="0"/>
        <w:autoSpaceDN w:val="0"/>
        <w:adjustRightInd w:val="0"/>
        <w:spacing w:after="0" w:line="240" w:lineRule="auto"/>
        <w:rPr>
          <w:rFonts w:ascii="CIDFont+F3" w:hAnsi="CIDFont+F3" w:cs="CIDFont+F3"/>
          <w:sz w:val="20"/>
          <w:szCs w:val="20"/>
        </w:rPr>
      </w:pPr>
      <w:r w:rsidRPr="00543B55">
        <w:rPr>
          <w:sz w:val="20"/>
          <w:szCs w:val="20"/>
        </w:rPr>
        <w:t xml:space="preserve">Campion, Nicholas ‘Determinism in Ancient and Medieval Astrology’ in </w:t>
      </w:r>
      <w:r w:rsidRPr="00543B55">
        <w:rPr>
          <w:i/>
          <w:iCs/>
          <w:sz w:val="20"/>
          <w:szCs w:val="20"/>
        </w:rPr>
        <w:t xml:space="preserve">The Dawn of Astrology: A Cultural History of Western Astrology, Vol. 1 </w:t>
      </w:r>
      <w:r w:rsidRPr="00543B55">
        <w:rPr>
          <w:sz w:val="20"/>
          <w:szCs w:val="20"/>
        </w:rPr>
        <w:t>(London, UK: Continuum, 2008)</w:t>
      </w:r>
    </w:p>
    <w:p w14:paraId="27519E91" w14:textId="77777777" w:rsidR="00543B55" w:rsidRPr="00543B55" w:rsidRDefault="00543B55" w:rsidP="00543B55">
      <w:pPr>
        <w:autoSpaceDE w:val="0"/>
        <w:autoSpaceDN w:val="0"/>
        <w:adjustRightInd w:val="0"/>
        <w:spacing w:after="0" w:line="240" w:lineRule="auto"/>
        <w:rPr>
          <w:rFonts w:ascii="CIDFont+F3" w:hAnsi="CIDFont+F3" w:cs="CIDFont+F3"/>
          <w:sz w:val="20"/>
          <w:szCs w:val="20"/>
        </w:rPr>
      </w:pPr>
    </w:p>
    <w:p w14:paraId="013CF6EC" w14:textId="77777777" w:rsidR="00543B55" w:rsidRPr="00543B55" w:rsidRDefault="00543B55" w:rsidP="00543B55">
      <w:pPr>
        <w:rPr>
          <w:sz w:val="20"/>
          <w:szCs w:val="20"/>
        </w:rPr>
      </w:pPr>
      <w:r w:rsidRPr="00543B55">
        <w:rPr>
          <w:sz w:val="20"/>
          <w:szCs w:val="20"/>
        </w:rPr>
        <w:t xml:space="preserve">Dykes, Benjamin N. (ed.), </w:t>
      </w:r>
      <w:r w:rsidRPr="00543B55">
        <w:rPr>
          <w:i/>
          <w:iCs/>
          <w:sz w:val="20"/>
          <w:szCs w:val="20"/>
        </w:rPr>
        <w:t xml:space="preserve">The Astrology of Sahl B. Bishr, Volume 1: Principles, Elections, Questions, Nativities, </w:t>
      </w:r>
      <w:r w:rsidRPr="00543B55">
        <w:rPr>
          <w:sz w:val="20"/>
          <w:szCs w:val="20"/>
        </w:rPr>
        <w:t>trans. by Benjamin N. Dykes (Minneapolis, MN: The Cazimi Press, 2019).</w:t>
      </w:r>
    </w:p>
    <w:p w14:paraId="1AD971D6" w14:textId="6A6F88C0" w:rsidR="00543B55" w:rsidRPr="00543B55" w:rsidRDefault="00543B55" w:rsidP="00543B55">
      <w:pPr>
        <w:rPr>
          <w:sz w:val="20"/>
          <w:szCs w:val="20"/>
        </w:rPr>
      </w:pPr>
      <w:r w:rsidRPr="00543B55">
        <w:rPr>
          <w:sz w:val="20"/>
          <w:szCs w:val="20"/>
        </w:rPr>
        <w:t xml:space="preserve">Leo, Bessie and others. </w:t>
      </w:r>
      <w:r w:rsidRPr="00543B55">
        <w:rPr>
          <w:i/>
          <w:iCs/>
          <w:sz w:val="20"/>
          <w:szCs w:val="20"/>
        </w:rPr>
        <w:t xml:space="preserve">The Life and Work of Alan Leo: Theosophist – Astrologer – Mason. </w:t>
      </w:r>
      <w:r w:rsidRPr="00543B55">
        <w:rPr>
          <w:sz w:val="20"/>
          <w:szCs w:val="20"/>
        </w:rPr>
        <w:t xml:space="preserve">(London: Modern Astrology Office, L.N. Fowler and Company, 1919), </w:t>
      </w:r>
      <w:hyperlink r:id="rId22" w:history="1">
        <w:r w:rsidRPr="00543B55">
          <w:rPr>
            <w:rStyle w:val="Hyperlink"/>
            <w:sz w:val="20"/>
            <w:szCs w:val="20"/>
          </w:rPr>
          <w:t>https://ia802608.us.archive.org/11/items/lifeworkofalanle00leob/lifeworkofalanle00leob.pdf</w:t>
        </w:r>
      </w:hyperlink>
      <w:r w:rsidRPr="00543B55">
        <w:rPr>
          <w:sz w:val="20"/>
          <w:szCs w:val="20"/>
        </w:rPr>
        <w:t xml:space="preserve"> </w:t>
      </w:r>
      <w:r w:rsidR="00EE670B">
        <w:rPr>
          <w:sz w:val="20"/>
          <w:szCs w:val="20"/>
        </w:rPr>
        <w:tab/>
        <w:t xml:space="preserve">               </w:t>
      </w:r>
      <w:r w:rsidRPr="00543B55">
        <w:rPr>
          <w:sz w:val="20"/>
          <w:szCs w:val="20"/>
        </w:rPr>
        <w:t xml:space="preserve">[accessed December 8, 2020]. </w:t>
      </w:r>
    </w:p>
    <w:p w14:paraId="22F0D7C4" w14:textId="77777777" w:rsidR="00543B55" w:rsidRPr="00543B55" w:rsidRDefault="00543B55" w:rsidP="00543B55">
      <w:pPr>
        <w:rPr>
          <w:sz w:val="20"/>
          <w:szCs w:val="20"/>
        </w:rPr>
      </w:pPr>
      <w:r w:rsidRPr="00543B55">
        <w:rPr>
          <w:sz w:val="20"/>
          <w:szCs w:val="20"/>
        </w:rPr>
        <w:t xml:space="preserve">Singer, Isadore and Max Schloessinger, eds. </w:t>
      </w:r>
      <w:r w:rsidRPr="00543B55">
        <w:rPr>
          <w:i/>
          <w:iCs/>
          <w:sz w:val="20"/>
          <w:szCs w:val="20"/>
        </w:rPr>
        <w:t xml:space="preserve">The Jewish Encyclopedia, </w:t>
      </w:r>
      <w:r w:rsidRPr="00543B55">
        <w:rPr>
          <w:sz w:val="20"/>
          <w:szCs w:val="20"/>
        </w:rPr>
        <w:t>(entry:</w:t>
      </w:r>
      <w:r w:rsidRPr="00543B55">
        <w:rPr>
          <w:i/>
          <w:iCs/>
          <w:sz w:val="20"/>
          <w:szCs w:val="20"/>
        </w:rPr>
        <w:t xml:space="preserve"> </w:t>
      </w:r>
      <w:r w:rsidRPr="00543B55">
        <w:rPr>
          <w:sz w:val="20"/>
          <w:szCs w:val="20"/>
        </w:rPr>
        <w:t xml:space="preserve">Sahl ibn Bishr of Tabaristan (c. 786-845? CE)), </w:t>
      </w:r>
      <w:hyperlink r:id="rId23" w:history="1">
        <w:r w:rsidRPr="00543B55">
          <w:rPr>
            <w:rStyle w:val="Hyperlink"/>
            <w:sz w:val="20"/>
            <w:szCs w:val="20"/>
          </w:rPr>
          <w:t>http://jewishencyclopedia.com/articles/12993-sahl</w:t>
        </w:r>
      </w:hyperlink>
      <w:r w:rsidRPr="00543B55">
        <w:rPr>
          <w:sz w:val="20"/>
          <w:szCs w:val="20"/>
        </w:rPr>
        <w:t xml:space="preserve"> [accessed January 3, 2021]. </w:t>
      </w:r>
    </w:p>
    <w:p w14:paraId="003440CF" w14:textId="6DDD50BA" w:rsidR="00F63B04" w:rsidRPr="00E51347" w:rsidRDefault="00F63B04" w:rsidP="0014037F"/>
    <w:sectPr w:rsidR="00F63B04" w:rsidRPr="00E51347" w:rsidSect="00E51347">
      <w:headerReference w:type="default" r:id="rId24"/>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37461" w14:textId="77777777" w:rsidR="00195223" w:rsidRDefault="00195223" w:rsidP="00422C36">
      <w:pPr>
        <w:spacing w:after="0" w:line="240" w:lineRule="auto"/>
      </w:pPr>
      <w:r>
        <w:separator/>
      </w:r>
    </w:p>
  </w:endnote>
  <w:endnote w:type="continuationSeparator" w:id="0">
    <w:p w14:paraId="5C42EC61" w14:textId="77777777" w:rsidR="00195223" w:rsidRDefault="00195223" w:rsidP="00422C36">
      <w:pPr>
        <w:spacing w:after="0" w:line="240" w:lineRule="auto"/>
      </w:pPr>
      <w:r>
        <w:continuationSeparator/>
      </w:r>
    </w:p>
  </w:endnote>
  <w:endnote w:type="continuationNotice" w:id="1">
    <w:p w14:paraId="73CF192A" w14:textId="77777777" w:rsidR="00195223" w:rsidRDefault="00195223" w:rsidP="00422C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de">
    <w:altName w:val="Code"/>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IDFont+F3">
    <w:altName w:val="Calibri"/>
    <w:panose1 w:val="00000000000000000000"/>
    <w:charset w:val="00"/>
    <w:family w:val="auto"/>
    <w:notTrueType/>
    <w:pitch w:val="default"/>
    <w:sig w:usb0="00000003" w:usb1="00000000" w:usb2="00000000" w:usb3="00000000" w:csb0="00000001" w:csb1="00000000"/>
  </w:font>
  <w:font w:name="CIDFont+F7">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D96B3"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3349C" w14:textId="77777777" w:rsidR="00195223" w:rsidRDefault="00195223" w:rsidP="00422C36">
      <w:pPr>
        <w:spacing w:after="0" w:line="240" w:lineRule="auto"/>
      </w:pPr>
      <w:r>
        <w:separator/>
      </w:r>
    </w:p>
  </w:footnote>
  <w:footnote w:type="continuationSeparator" w:id="0">
    <w:p w14:paraId="25CEEF82" w14:textId="77777777" w:rsidR="00195223" w:rsidRDefault="00195223" w:rsidP="00422C36">
      <w:pPr>
        <w:spacing w:after="0" w:line="240" w:lineRule="auto"/>
      </w:pPr>
      <w:r>
        <w:continuationSeparator/>
      </w:r>
    </w:p>
  </w:footnote>
  <w:footnote w:type="continuationNotice" w:id="1">
    <w:p w14:paraId="06454949" w14:textId="77777777" w:rsidR="00195223" w:rsidRDefault="00195223" w:rsidP="00422C36">
      <w:pPr>
        <w:spacing w:after="0" w:line="240" w:lineRule="auto"/>
      </w:pPr>
    </w:p>
  </w:footnote>
  <w:footnote w:id="2">
    <w:p w14:paraId="4EAA2593" w14:textId="77777777" w:rsidR="00543B55" w:rsidRDefault="00543B55" w:rsidP="00543B55">
      <w:pPr>
        <w:pStyle w:val="FootnoteText"/>
      </w:pPr>
      <w:r>
        <w:rPr>
          <w:rStyle w:val="FootnoteReference"/>
        </w:rPr>
        <w:footnoteRef/>
      </w:r>
      <w:r>
        <w:t xml:space="preserve"> </w:t>
      </w:r>
      <w:r w:rsidRPr="00FC4841">
        <w:rPr>
          <w:sz w:val="18"/>
          <w:szCs w:val="18"/>
        </w:rPr>
        <w:t>Daryn</w:t>
      </w:r>
      <w:r>
        <w:rPr>
          <w:sz w:val="18"/>
          <w:szCs w:val="18"/>
        </w:rPr>
        <w:t xml:space="preserve"> Lehoux</w:t>
      </w:r>
      <w:r w:rsidRPr="00FC4841">
        <w:rPr>
          <w:sz w:val="18"/>
          <w:szCs w:val="18"/>
        </w:rPr>
        <w:t>, ‘Tomorrow’s News Today: Astrology, Fate, and the Way Out’</w:t>
      </w:r>
      <w:r>
        <w:rPr>
          <w:sz w:val="18"/>
          <w:szCs w:val="18"/>
        </w:rPr>
        <w:t xml:space="preserve">, </w:t>
      </w:r>
      <w:r w:rsidRPr="00FC4841">
        <w:rPr>
          <w:i/>
          <w:iCs/>
          <w:sz w:val="18"/>
          <w:szCs w:val="18"/>
        </w:rPr>
        <w:t xml:space="preserve">Representations, </w:t>
      </w:r>
      <w:r w:rsidRPr="00FC4841">
        <w:rPr>
          <w:sz w:val="18"/>
          <w:szCs w:val="18"/>
        </w:rPr>
        <w:t>95, (Summer</w:t>
      </w:r>
      <w:r>
        <w:rPr>
          <w:sz w:val="18"/>
          <w:szCs w:val="18"/>
        </w:rPr>
        <w:t>,</w:t>
      </w:r>
      <w:r w:rsidRPr="00FC4841">
        <w:rPr>
          <w:sz w:val="18"/>
          <w:szCs w:val="18"/>
        </w:rPr>
        <w:t xml:space="preserve"> 200</w:t>
      </w:r>
      <w:r>
        <w:rPr>
          <w:sz w:val="18"/>
          <w:szCs w:val="18"/>
        </w:rPr>
        <w:t xml:space="preserve">6) </w:t>
      </w:r>
      <w:r w:rsidRPr="00FC4841">
        <w:rPr>
          <w:sz w:val="18"/>
          <w:szCs w:val="18"/>
        </w:rPr>
        <w:t>p. 1</w:t>
      </w:r>
      <w:r>
        <w:rPr>
          <w:sz w:val="18"/>
          <w:szCs w:val="18"/>
        </w:rPr>
        <w:t>05</w:t>
      </w:r>
      <w:r w:rsidRPr="00FC4841">
        <w:rPr>
          <w:sz w:val="18"/>
          <w:szCs w:val="18"/>
        </w:rPr>
        <w:t>.</w:t>
      </w:r>
      <w:r>
        <w:rPr>
          <w:sz w:val="18"/>
          <w:szCs w:val="18"/>
        </w:rPr>
        <w:t xml:space="preserve"> </w:t>
      </w:r>
      <w:r w:rsidRPr="00FC4841">
        <w:rPr>
          <w:sz w:val="18"/>
          <w:szCs w:val="18"/>
        </w:rPr>
        <w:t xml:space="preserve"> </w:t>
      </w:r>
      <w:r>
        <w:t xml:space="preserve"> </w:t>
      </w:r>
    </w:p>
  </w:footnote>
  <w:footnote w:id="3">
    <w:p w14:paraId="70706798" w14:textId="77777777" w:rsidR="00543B55" w:rsidRPr="00195E13" w:rsidRDefault="00543B55" w:rsidP="00543B55">
      <w:pPr>
        <w:spacing w:after="0"/>
      </w:pPr>
      <w:r>
        <w:rPr>
          <w:rStyle w:val="FootnoteReference"/>
        </w:rPr>
        <w:footnoteRef/>
      </w:r>
      <w:r>
        <w:t xml:space="preserve"> </w:t>
      </w:r>
      <w:r w:rsidRPr="00186C17">
        <w:rPr>
          <w:sz w:val="18"/>
          <w:szCs w:val="18"/>
        </w:rPr>
        <w:t>Bernadette Brady, ‘Theories of Fate Among Present-Day Astrologers’, (unpublished doctoral thesis, University of Wales Trinity Saint David, 2012)</w:t>
      </w:r>
      <w:r>
        <w:rPr>
          <w:sz w:val="18"/>
          <w:szCs w:val="18"/>
        </w:rPr>
        <w:t>, p. 48, 219-247.</w:t>
      </w:r>
    </w:p>
  </w:footnote>
  <w:footnote w:id="4">
    <w:p w14:paraId="23432157" w14:textId="77777777" w:rsidR="00543B55" w:rsidRPr="000310D5" w:rsidRDefault="00543B55" w:rsidP="00543B55">
      <w:pPr>
        <w:pStyle w:val="FootnoteText"/>
        <w:spacing w:line="259" w:lineRule="auto"/>
        <w:ind w:left="142" w:hanging="142"/>
        <w:rPr>
          <w:sz w:val="18"/>
          <w:szCs w:val="18"/>
        </w:rPr>
      </w:pPr>
      <w:r>
        <w:rPr>
          <w:rStyle w:val="FootnoteReference"/>
        </w:rPr>
        <w:footnoteRef/>
      </w:r>
      <w:r>
        <w:t xml:space="preserve"> </w:t>
      </w:r>
      <w:r>
        <w:rPr>
          <w:sz w:val="18"/>
          <w:szCs w:val="18"/>
        </w:rPr>
        <w:t xml:space="preserve">Plato, </w:t>
      </w:r>
      <w:r>
        <w:rPr>
          <w:i/>
          <w:sz w:val="18"/>
          <w:szCs w:val="18"/>
        </w:rPr>
        <w:t xml:space="preserve">Timaeus </w:t>
      </w:r>
      <w:r>
        <w:rPr>
          <w:iCs/>
          <w:sz w:val="18"/>
          <w:szCs w:val="18"/>
        </w:rPr>
        <w:t>27,</w:t>
      </w:r>
      <w:r>
        <w:rPr>
          <w:i/>
          <w:sz w:val="18"/>
          <w:szCs w:val="18"/>
        </w:rPr>
        <w:t xml:space="preserve"> </w:t>
      </w:r>
      <w:r>
        <w:rPr>
          <w:sz w:val="18"/>
          <w:szCs w:val="18"/>
        </w:rPr>
        <w:t xml:space="preserve">(trans. R.G. Bury; Cambridge, MA: Harvard University Press, 1931). </w:t>
      </w:r>
      <w:hyperlink r:id="rId1" w:history="1">
        <w:r w:rsidRPr="004D1DAF">
          <w:rPr>
            <w:rStyle w:val="Hyperlink"/>
            <w:sz w:val="18"/>
            <w:szCs w:val="18"/>
          </w:rPr>
          <w:t>https://www-loebclassics-com.ezproxy.uwtsd.ac.uk/view/plato-philosopher_timaeus/1929/pb_LCL234.47.xml?result=1&amp;rskey=sDwO2u</w:t>
        </w:r>
      </w:hyperlink>
      <w:r>
        <w:rPr>
          <w:sz w:val="18"/>
          <w:szCs w:val="18"/>
        </w:rPr>
        <w:t xml:space="preserve"> ;              [Accessed October 18, 2020].</w:t>
      </w:r>
    </w:p>
  </w:footnote>
  <w:footnote w:id="5">
    <w:p w14:paraId="6162C877" w14:textId="77777777" w:rsidR="00543B55" w:rsidRDefault="00543B55" w:rsidP="00543B55">
      <w:pPr>
        <w:pStyle w:val="FootnoteText"/>
      </w:pPr>
      <w:r>
        <w:rPr>
          <w:rStyle w:val="FootnoteReference"/>
        </w:rPr>
        <w:footnoteRef/>
      </w:r>
      <w:r>
        <w:t xml:space="preserve"> </w:t>
      </w:r>
      <w:r>
        <w:rPr>
          <w:sz w:val="18"/>
          <w:szCs w:val="18"/>
        </w:rPr>
        <w:t xml:space="preserve">Plato, </w:t>
      </w:r>
      <w:r>
        <w:rPr>
          <w:i/>
          <w:sz w:val="18"/>
          <w:szCs w:val="18"/>
        </w:rPr>
        <w:t xml:space="preserve">Timaeus </w:t>
      </w:r>
      <w:r>
        <w:rPr>
          <w:sz w:val="18"/>
          <w:szCs w:val="18"/>
        </w:rPr>
        <w:t>(34C)</w:t>
      </w:r>
      <w:r>
        <w:rPr>
          <w:i/>
          <w:sz w:val="18"/>
          <w:szCs w:val="18"/>
        </w:rPr>
        <w:t xml:space="preserve">. </w:t>
      </w:r>
      <w:r>
        <w:rPr>
          <w:sz w:val="18"/>
          <w:szCs w:val="18"/>
        </w:rPr>
        <w:t>(trans. R.G. Bury; Cambridge, MA: Harvard University Press, 1931).</w:t>
      </w:r>
    </w:p>
  </w:footnote>
  <w:footnote w:id="6">
    <w:p w14:paraId="25B17079" w14:textId="77777777" w:rsidR="00543B55" w:rsidRDefault="00543B55" w:rsidP="00543B55">
      <w:pPr>
        <w:pStyle w:val="FootnoteText"/>
        <w:ind w:left="142" w:hanging="142"/>
      </w:pPr>
      <w:r>
        <w:rPr>
          <w:rStyle w:val="FootnoteReference"/>
        </w:rPr>
        <w:footnoteRef/>
      </w:r>
      <w:r>
        <w:t xml:space="preserve"> </w:t>
      </w:r>
      <w:r w:rsidRPr="00086F3A">
        <w:rPr>
          <w:sz w:val="18"/>
          <w:szCs w:val="18"/>
        </w:rPr>
        <w:t xml:space="preserve">Alan Leo, </w:t>
      </w:r>
      <w:r w:rsidRPr="00086F3A">
        <w:rPr>
          <w:i/>
          <w:iCs/>
          <w:sz w:val="18"/>
          <w:szCs w:val="18"/>
        </w:rPr>
        <w:t>The Art of Synthesis (3</w:t>
      </w:r>
      <w:r w:rsidRPr="00086F3A">
        <w:rPr>
          <w:i/>
          <w:iCs/>
          <w:sz w:val="18"/>
          <w:szCs w:val="18"/>
          <w:vertAlign w:val="superscript"/>
        </w:rPr>
        <w:t>rd</w:t>
      </w:r>
      <w:r w:rsidRPr="00086F3A">
        <w:rPr>
          <w:i/>
          <w:iCs/>
          <w:sz w:val="18"/>
          <w:szCs w:val="18"/>
        </w:rPr>
        <w:t xml:space="preserve"> ed.). </w:t>
      </w:r>
      <w:r w:rsidRPr="00086F3A">
        <w:rPr>
          <w:sz w:val="18"/>
          <w:szCs w:val="18"/>
        </w:rPr>
        <w:t xml:space="preserve">(London: Modern Astrology Office/L.N. Fowler &amp; Co., 1912). </w:t>
      </w:r>
      <w:hyperlink r:id="rId2" w:history="1">
        <w:r w:rsidRPr="00086F3A">
          <w:rPr>
            <w:rStyle w:val="Hyperlink"/>
            <w:sz w:val="18"/>
            <w:szCs w:val="18"/>
          </w:rPr>
          <w:t>https://ia801203.us.archive.org/26/items/artofsynthesis00leoa/artofsynthesis00leoa.pdf</w:t>
        </w:r>
      </w:hyperlink>
      <w:r w:rsidRPr="00086F3A">
        <w:rPr>
          <w:sz w:val="18"/>
          <w:szCs w:val="18"/>
        </w:rPr>
        <w:t xml:space="preserve"> [accessed December 8, 2020],</w:t>
      </w:r>
      <w:r>
        <w:rPr>
          <w:sz w:val="18"/>
          <w:szCs w:val="18"/>
        </w:rPr>
        <w:t xml:space="preserve"> viii.</w:t>
      </w:r>
    </w:p>
  </w:footnote>
  <w:footnote w:id="7">
    <w:p w14:paraId="2334935F" w14:textId="77777777" w:rsidR="00543B55" w:rsidRDefault="00543B55" w:rsidP="00543B55">
      <w:pPr>
        <w:pStyle w:val="FootnoteText"/>
      </w:pPr>
      <w:r>
        <w:rPr>
          <w:rStyle w:val="FootnoteReference"/>
        </w:rPr>
        <w:footnoteRef/>
      </w:r>
      <w:r>
        <w:t xml:space="preserve"> </w:t>
      </w:r>
      <w:r w:rsidRPr="00186C17">
        <w:rPr>
          <w:sz w:val="18"/>
          <w:szCs w:val="18"/>
        </w:rPr>
        <w:t>Bernadette Brady, ‘Theories of Fate Among Present-Day Astrologers’</w:t>
      </w:r>
      <w:r>
        <w:rPr>
          <w:sz w:val="18"/>
          <w:szCs w:val="18"/>
        </w:rPr>
        <w:t>, p. 73-75.</w:t>
      </w:r>
    </w:p>
  </w:footnote>
  <w:footnote w:id="8">
    <w:p w14:paraId="33066CF1" w14:textId="77777777" w:rsidR="00543B55" w:rsidRDefault="00543B55" w:rsidP="00543B55">
      <w:pPr>
        <w:pStyle w:val="FootnoteText"/>
      </w:pPr>
      <w:r>
        <w:rPr>
          <w:rStyle w:val="FootnoteReference"/>
        </w:rPr>
        <w:footnoteRef/>
      </w:r>
      <w:r>
        <w:t xml:space="preserve"> </w:t>
      </w:r>
      <w:r w:rsidRPr="00186C17">
        <w:rPr>
          <w:sz w:val="18"/>
          <w:szCs w:val="18"/>
        </w:rPr>
        <w:t>Bernadette Brady, ‘Theories of Fate Among Present-Day Astrologers’</w:t>
      </w:r>
      <w:r>
        <w:rPr>
          <w:sz w:val="18"/>
          <w:szCs w:val="18"/>
        </w:rPr>
        <w:t>, p. 76.</w:t>
      </w:r>
    </w:p>
  </w:footnote>
  <w:footnote w:id="9">
    <w:p w14:paraId="188E33B1" w14:textId="77777777" w:rsidR="00543B55" w:rsidRDefault="00543B55" w:rsidP="00543B55">
      <w:pPr>
        <w:pStyle w:val="FootnoteText"/>
      </w:pPr>
      <w:r>
        <w:rPr>
          <w:rStyle w:val="FootnoteReference"/>
        </w:rPr>
        <w:footnoteRef/>
      </w:r>
      <w:r>
        <w:t xml:space="preserve"> </w:t>
      </w:r>
      <w:r w:rsidRPr="00186C17">
        <w:rPr>
          <w:sz w:val="18"/>
          <w:szCs w:val="18"/>
        </w:rPr>
        <w:t>Bernadette Brady, ‘Theories of Fate Among Present-Day Astrologers’</w:t>
      </w:r>
      <w:r>
        <w:rPr>
          <w:sz w:val="18"/>
          <w:szCs w:val="18"/>
        </w:rPr>
        <w:t>, p. 77.</w:t>
      </w:r>
    </w:p>
  </w:footnote>
  <w:footnote w:id="10">
    <w:p w14:paraId="2261D47C" w14:textId="77777777" w:rsidR="00543B55" w:rsidRDefault="00543B55" w:rsidP="00543B55">
      <w:pPr>
        <w:pStyle w:val="FootnoteText"/>
      </w:pPr>
      <w:r>
        <w:rPr>
          <w:rStyle w:val="FootnoteReference"/>
        </w:rPr>
        <w:footnoteRef/>
      </w:r>
      <w:r>
        <w:t xml:space="preserve"> </w:t>
      </w:r>
      <w:r w:rsidRPr="00186C17">
        <w:rPr>
          <w:sz w:val="18"/>
          <w:szCs w:val="18"/>
        </w:rPr>
        <w:t>Bernadette Brady, ‘Theories of Fate Among Present-Day Astrologers’</w:t>
      </w:r>
      <w:r>
        <w:rPr>
          <w:sz w:val="18"/>
          <w:szCs w:val="18"/>
        </w:rPr>
        <w:t>, p. 77.</w:t>
      </w:r>
    </w:p>
  </w:footnote>
  <w:footnote w:id="11">
    <w:p w14:paraId="1E2161F4" w14:textId="77777777" w:rsidR="00543B55" w:rsidRPr="00F96FF8" w:rsidRDefault="00543B55" w:rsidP="00543B55">
      <w:pPr>
        <w:spacing w:after="0"/>
        <w:ind w:left="142" w:hanging="142"/>
      </w:pPr>
      <w:r>
        <w:rPr>
          <w:rStyle w:val="FootnoteReference"/>
        </w:rPr>
        <w:footnoteRef/>
      </w:r>
      <w:r w:rsidRPr="00FC4841">
        <w:rPr>
          <w:sz w:val="18"/>
          <w:szCs w:val="18"/>
        </w:rPr>
        <w:t>Daryn</w:t>
      </w:r>
      <w:r>
        <w:rPr>
          <w:sz w:val="18"/>
          <w:szCs w:val="18"/>
        </w:rPr>
        <w:t xml:space="preserve"> Lehoux</w:t>
      </w:r>
      <w:r w:rsidRPr="00FC4841">
        <w:rPr>
          <w:sz w:val="18"/>
          <w:szCs w:val="18"/>
        </w:rPr>
        <w:t>, ‘Tomorrow’s News Today: Astrology, Fate, and the Way Out’</w:t>
      </w:r>
      <w:r>
        <w:rPr>
          <w:sz w:val="18"/>
          <w:szCs w:val="18"/>
        </w:rPr>
        <w:t xml:space="preserve">, </w:t>
      </w:r>
      <w:r w:rsidRPr="00FC4841">
        <w:rPr>
          <w:i/>
          <w:iCs/>
          <w:sz w:val="18"/>
          <w:szCs w:val="18"/>
        </w:rPr>
        <w:t xml:space="preserve">Representations, </w:t>
      </w:r>
      <w:r w:rsidRPr="00FC4841">
        <w:rPr>
          <w:sz w:val="18"/>
          <w:szCs w:val="18"/>
        </w:rPr>
        <w:t>95, (Summer</w:t>
      </w:r>
      <w:r>
        <w:rPr>
          <w:sz w:val="18"/>
          <w:szCs w:val="18"/>
        </w:rPr>
        <w:t>,</w:t>
      </w:r>
      <w:r w:rsidRPr="00FC4841">
        <w:rPr>
          <w:sz w:val="18"/>
          <w:szCs w:val="18"/>
        </w:rPr>
        <w:t xml:space="preserve"> 2006), </w:t>
      </w:r>
      <w:hyperlink r:id="rId3" w:history="1">
        <w:r w:rsidRPr="00FC4841">
          <w:rPr>
            <w:rStyle w:val="Hyperlink"/>
            <w:sz w:val="18"/>
            <w:szCs w:val="18"/>
          </w:rPr>
          <w:t>https://www.jstor.org/stable/10.1525/rep.2006.95.1.105</w:t>
        </w:r>
      </w:hyperlink>
      <w:r w:rsidRPr="00FC4841">
        <w:rPr>
          <w:sz w:val="18"/>
          <w:szCs w:val="18"/>
        </w:rPr>
        <w:t xml:space="preserve"> [accessed November 25, 2020]</w:t>
      </w:r>
      <w:r>
        <w:rPr>
          <w:sz w:val="18"/>
          <w:szCs w:val="18"/>
        </w:rPr>
        <w:t xml:space="preserve">, </w:t>
      </w:r>
      <w:r w:rsidRPr="00FC4841">
        <w:rPr>
          <w:sz w:val="18"/>
          <w:szCs w:val="18"/>
        </w:rPr>
        <w:t>p. 113.</w:t>
      </w:r>
      <w:r>
        <w:rPr>
          <w:sz w:val="18"/>
          <w:szCs w:val="18"/>
        </w:rPr>
        <w:t xml:space="preserve"> (</w:t>
      </w:r>
      <w:r>
        <w:rPr>
          <w:i/>
          <w:iCs/>
          <w:sz w:val="18"/>
          <w:szCs w:val="18"/>
        </w:rPr>
        <w:t xml:space="preserve">italics </w:t>
      </w:r>
      <w:r>
        <w:rPr>
          <w:sz w:val="18"/>
          <w:szCs w:val="18"/>
        </w:rPr>
        <w:t>added)</w:t>
      </w:r>
    </w:p>
  </w:footnote>
  <w:footnote w:id="12">
    <w:p w14:paraId="01B79D5E" w14:textId="77777777" w:rsidR="00543B55" w:rsidRDefault="00543B55" w:rsidP="00543B55">
      <w:pPr>
        <w:pStyle w:val="FootnoteText"/>
      </w:pPr>
      <w:r>
        <w:rPr>
          <w:rStyle w:val="FootnoteReference"/>
        </w:rPr>
        <w:footnoteRef/>
      </w:r>
      <w:r>
        <w:t xml:space="preserve"> </w:t>
      </w:r>
      <w:r w:rsidRPr="00186C17">
        <w:rPr>
          <w:sz w:val="18"/>
          <w:szCs w:val="18"/>
        </w:rPr>
        <w:t>Bernadette Brady, ‘Theories of Fate Among Present-Day Astrologers’</w:t>
      </w:r>
      <w:r>
        <w:rPr>
          <w:sz w:val="18"/>
          <w:szCs w:val="18"/>
        </w:rPr>
        <w:t>, p. 99; 89-120.</w:t>
      </w:r>
    </w:p>
  </w:footnote>
  <w:footnote w:id="13">
    <w:p w14:paraId="7C1CDCD0" w14:textId="77777777" w:rsidR="00543B55" w:rsidRPr="00F637CC" w:rsidRDefault="00543B55" w:rsidP="00543B55">
      <w:pPr>
        <w:pStyle w:val="FootnoteText"/>
        <w:ind w:left="142" w:hanging="142"/>
        <w:rPr>
          <w:sz w:val="18"/>
          <w:szCs w:val="18"/>
        </w:rPr>
      </w:pPr>
      <w:r w:rsidRPr="00E17914">
        <w:rPr>
          <w:rStyle w:val="FootnoteReference"/>
        </w:rPr>
        <w:footnoteRef/>
      </w:r>
      <w:r w:rsidRPr="00F637CC">
        <w:rPr>
          <w:sz w:val="18"/>
          <w:szCs w:val="18"/>
        </w:rPr>
        <w:t>Chris</w:t>
      </w:r>
      <w:r>
        <w:rPr>
          <w:sz w:val="18"/>
          <w:szCs w:val="18"/>
        </w:rPr>
        <w:t xml:space="preserve"> Brennan,</w:t>
      </w:r>
      <w:r w:rsidRPr="00F637CC">
        <w:rPr>
          <w:sz w:val="18"/>
          <w:szCs w:val="18"/>
        </w:rPr>
        <w:t xml:space="preserve"> ‘Introduction to Hellenistic Astrology (Part 2) – Annual Profections, Lots, and Zodiacal Releasing’. </w:t>
      </w:r>
      <w:r w:rsidRPr="00F637CC">
        <w:rPr>
          <w:i/>
          <w:iCs/>
          <w:sz w:val="18"/>
          <w:szCs w:val="18"/>
        </w:rPr>
        <w:t xml:space="preserve">The Mountain Astrologer, </w:t>
      </w:r>
      <w:r w:rsidRPr="00F637CC">
        <w:rPr>
          <w:sz w:val="18"/>
          <w:szCs w:val="18"/>
        </w:rPr>
        <w:t xml:space="preserve">(Issue 163: June, 2012)  </w:t>
      </w:r>
      <w:hyperlink r:id="rId4" w:history="1">
        <w:r w:rsidRPr="00F637CC">
          <w:rPr>
            <w:rStyle w:val="Hyperlink"/>
            <w:sz w:val="18"/>
            <w:szCs w:val="18"/>
          </w:rPr>
          <w:t>https://www.astro.com/astrology/tma_article190314_e.htm</w:t>
        </w:r>
      </w:hyperlink>
      <w:r w:rsidRPr="00F637CC">
        <w:rPr>
          <w:sz w:val="18"/>
          <w:szCs w:val="18"/>
        </w:rPr>
        <w:t xml:space="preserve"> , [accessed December 7, 2020].</w:t>
      </w:r>
    </w:p>
  </w:footnote>
  <w:footnote w:id="14">
    <w:p w14:paraId="7A500435" w14:textId="77777777" w:rsidR="00543B55" w:rsidRPr="0071592F" w:rsidRDefault="00543B55" w:rsidP="00543B55">
      <w:pPr>
        <w:pStyle w:val="FootnoteText"/>
        <w:rPr>
          <w:sz w:val="18"/>
          <w:szCs w:val="18"/>
        </w:rPr>
      </w:pPr>
      <w:r>
        <w:rPr>
          <w:rStyle w:val="FootnoteReference"/>
        </w:rPr>
        <w:footnoteRef/>
      </w:r>
      <w:r>
        <w:t xml:space="preserve"> </w:t>
      </w:r>
      <w:r w:rsidRPr="00F637CC">
        <w:rPr>
          <w:sz w:val="18"/>
          <w:szCs w:val="18"/>
        </w:rPr>
        <w:t>Chris</w:t>
      </w:r>
      <w:r>
        <w:rPr>
          <w:sz w:val="18"/>
          <w:szCs w:val="18"/>
        </w:rPr>
        <w:t xml:space="preserve"> Brennan,</w:t>
      </w:r>
      <w:r w:rsidRPr="00F637CC">
        <w:rPr>
          <w:sz w:val="18"/>
          <w:szCs w:val="18"/>
        </w:rPr>
        <w:t xml:space="preserve"> ‘Introduction to Hellenistic Astrology (Part 2)</w:t>
      </w:r>
      <w:r>
        <w:rPr>
          <w:sz w:val="18"/>
          <w:szCs w:val="18"/>
        </w:rPr>
        <w:t>.</w:t>
      </w:r>
    </w:p>
  </w:footnote>
  <w:footnote w:id="15">
    <w:p w14:paraId="6ABE64B4" w14:textId="77777777" w:rsidR="00543B55" w:rsidRDefault="00543B55" w:rsidP="00543B55">
      <w:pPr>
        <w:pStyle w:val="FootnoteText"/>
      </w:pPr>
      <w:r>
        <w:rPr>
          <w:rStyle w:val="FootnoteReference"/>
        </w:rPr>
        <w:footnoteRef/>
      </w:r>
      <w:r>
        <w:t xml:space="preserve"> </w:t>
      </w:r>
      <w:r w:rsidRPr="00F637CC">
        <w:rPr>
          <w:sz w:val="18"/>
          <w:szCs w:val="18"/>
        </w:rPr>
        <w:t>Chris</w:t>
      </w:r>
      <w:r>
        <w:rPr>
          <w:sz w:val="18"/>
          <w:szCs w:val="18"/>
        </w:rPr>
        <w:t xml:space="preserve"> Brennan,</w:t>
      </w:r>
      <w:r w:rsidRPr="00F637CC">
        <w:rPr>
          <w:sz w:val="18"/>
          <w:szCs w:val="18"/>
        </w:rPr>
        <w:t xml:space="preserve"> ‘Introduction to Hellenistic Astrology (Part 2)</w:t>
      </w:r>
      <w:r>
        <w:rPr>
          <w:sz w:val="18"/>
          <w:szCs w:val="18"/>
        </w:rPr>
        <w:t>.</w:t>
      </w:r>
    </w:p>
  </w:footnote>
  <w:footnote w:id="16">
    <w:p w14:paraId="252A4C8C" w14:textId="77777777" w:rsidR="00543B55" w:rsidRDefault="00543B55" w:rsidP="00543B55">
      <w:pPr>
        <w:pStyle w:val="FootnoteText"/>
      </w:pPr>
      <w:r>
        <w:rPr>
          <w:rStyle w:val="FootnoteReference"/>
        </w:rPr>
        <w:footnoteRef/>
      </w:r>
      <w:r>
        <w:t xml:space="preserve"> </w:t>
      </w:r>
      <w:r w:rsidRPr="00186C17">
        <w:rPr>
          <w:sz w:val="18"/>
          <w:szCs w:val="18"/>
        </w:rPr>
        <w:t>Bernadette Brady, ‘Theories of Fate Among Present-Day Astrologers’</w:t>
      </w:r>
      <w:r>
        <w:rPr>
          <w:sz w:val="18"/>
          <w:szCs w:val="18"/>
        </w:rPr>
        <w:t xml:space="preserve">, Chapters 8 &amp; 9, pp. 219 – 282. </w:t>
      </w:r>
    </w:p>
  </w:footnote>
  <w:footnote w:id="17">
    <w:p w14:paraId="62C753B3" w14:textId="77777777" w:rsidR="00543B55" w:rsidRPr="008937C3" w:rsidRDefault="00543B55" w:rsidP="00543B55">
      <w:pPr>
        <w:spacing w:after="0"/>
      </w:pPr>
      <w:r>
        <w:rPr>
          <w:rStyle w:val="FootnoteReference"/>
        </w:rPr>
        <w:footnoteRef/>
      </w:r>
      <w:r>
        <w:t xml:space="preserve"> </w:t>
      </w:r>
      <w:r w:rsidRPr="001257E7">
        <w:rPr>
          <w:sz w:val="18"/>
          <w:szCs w:val="18"/>
        </w:rPr>
        <w:t>Isadore</w:t>
      </w:r>
      <w:r>
        <w:rPr>
          <w:sz w:val="18"/>
          <w:szCs w:val="18"/>
        </w:rPr>
        <w:t xml:space="preserve"> Singer</w:t>
      </w:r>
      <w:r w:rsidRPr="001257E7">
        <w:rPr>
          <w:sz w:val="18"/>
          <w:szCs w:val="18"/>
        </w:rPr>
        <w:t xml:space="preserve"> and Max Schloessinger, eds. </w:t>
      </w:r>
      <w:r w:rsidRPr="001257E7">
        <w:rPr>
          <w:i/>
          <w:iCs/>
          <w:sz w:val="18"/>
          <w:szCs w:val="18"/>
        </w:rPr>
        <w:t xml:space="preserve">The Jewish Encyclopedia, </w:t>
      </w:r>
      <w:r w:rsidRPr="001257E7">
        <w:rPr>
          <w:sz w:val="18"/>
          <w:szCs w:val="18"/>
        </w:rPr>
        <w:t>(entry:</w:t>
      </w:r>
      <w:r w:rsidRPr="001257E7">
        <w:rPr>
          <w:i/>
          <w:iCs/>
          <w:sz w:val="18"/>
          <w:szCs w:val="18"/>
        </w:rPr>
        <w:t xml:space="preserve"> </w:t>
      </w:r>
      <w:r w:rsidRPr="001257E7">
        <w:rPr>
          <w:sz w:val="18"/>
          <w:szCs w:val="18"/>
        </w:rPr>
        <w:t xml:space="preserve">Sahl ibn Bishr of Tabaristan (c. 786-845? CE)), </w:t>
      </w:r>
      <w:hyperlink r:id="rId5" w:history="1">
        <w:r w:rsidRPr="001257E7">
          <w:rPr>
            <w:rStyle w:val="Hyperlink"/>
            <w:sz w:val="18"/>
            <w:szCs w:val="18"/>
          </w:rPr>
          <w:t>http://jewishencyclopedia.com/articles/12993-sahl</w:t>
        </w:r>
      </w:hyperlink>
      <w:r w:rsidRPr="001257E7">
        <w:rPr>
          <w:sz w:val="18"/>
          <w:szCs w:val="18"/>
        </w:rPr>
        <w:t xml:space="preserve"> [accessed January 3, 2021].</w:t>
      </w:r>
      <w:r>
        <w:t xml:space="preserve"> </w:t>
      </w:r>
    </w:p>
  </w:footnote>
  <w:footnote w:id="18">
    <w:p w14:paraId="13E2E6C0" w14:textId="77777777" w:rsidR="00543B55" w:rsidRDefault="00543B55" w:rsidP="00543B55">
      <w:pPr>
        <w:spacing w:after="0"/>
      </w:pPr>
      <w:r>
        <w:rPr>
          <w:rStyle w:val="FootnoteReference"/>
        </w:rPr>
        <w:footnoteRef/>
      </w:r>
      <w:r>
        <w:t xml:space="preserve"> </w:t>
      </w:r>
      <w:r w:rsidRPr="005736F8">
        <w:rPr>
          <w:sz w:val="18"/>
          <w:szCs w:val="18"/>
        </w:rPr>
        <w:t>Sahl Ibn</w:t>
      </w:r>
      <w:r>
        <w:rPr>
          <w:sz w:val="18"/>
          <w:szCs w:val="18"/>
        </w:rPr>
        <w:t xml:space="preserve"> Bishr</w:t>
      </w:r>
      <w:r w:rsidRPr="005736F8">
        <w:rPr>
          <w:sz w:val="18"/>
          <w:szCs w:val="18"/>
        </w:rPr>
        <w:t xml:space="preserve">, </w:t>
      </w:r>
      <w:r w:rsidRPr="005736F8">
        <w:rPr>
          <w:i/>
          <w:iCs/>
          <w:sz w:val="18"/>
          <w:szCs w:val="18"/>
        </w:rPr>
        <w:t>The Introduction to the Science of the Judgements of the Stars</w:t>
      </w:r>
      <w:r w:rsidRPr="005736F8">
        <w:rPr>
          <w:sz w:val="18"/>
          <w:szCs w:val="18"/>
        </w:rPr>
        <w:t xml:space="preserve">, trans. </w:t>
      </w:r>
      <w:r>
        <w:rPr>
          <w:sz w:val="18"/>
          <w:szCs w:val="18"/>
        </w:rPr>
        <w:t>b</w:t>
      </w:r>
      <w:r w:rsidRPr="005736F8">
        <w:rPr>
          <w:sz w:val="18"/>
          <w:szCs w:val="18"/>
        </w:rPr>
        <w:t>y James Herschel Holden (Tempe, AZ: American Federation of Astrologers, 2008).</w:t>
      </w:r>
    </w:p>
  </w:footnote>
  <w:footnote w:id="19">
    <w:p w14:paraId="02BB1CBC" w14:textId="77777777" w:rsidR="00543B55" w:rsidRPr="00A24615" w:rsidRDefault="00543B55" w:rsidP="00543B55">
      <w:pPr>
        <w:pStyle w:val="FootnoteText"/>
        <w:rPr>
          <w:sz w:val="18"/>
          <w:szCs w:val="18"/>
        </w:rPr>
      </w:pPr>
      <w:r>
        <w:rPr>
          <w:rStyle w:val="FootnoteReference"/>
        </w:rPr>
        <w:footnoteRef/>
      </w:r>
      <w:r>
        <w:t xml:space="preserve"> </w:t>
      </w:r>
      <w:r w:rsidRPr="00A24615">
        <w:rPr>
          <w:sz w:val="18"/>
          <w:szCs w:val="18"/>
        </w:rPr>
        <w:t xml:space="preserve">Benjamin N. Dykes (ed.), </w:t>
      </w:r>
      <w:r w:rsidRPr="00A24615">
        <w:rPr>
          <w:i/>
          <w:iCs/>
          <w:sz w:val="18"/>
          <w:szCs w:val="18"/>
        </w:rPr>
        <w:t xml:space="preserve">The Astrology of Sahl B. Bishr, Volume 1: Principles, Elections, Questions, Nativities, </w:t>
      </w:r>
      <w:r w:rsidRPr="00A24615">
        <w:rPr>
          <w:sz w:val="18"/>
          <w:szCs w:val="18"/>
        </w:rPr>
        <w:t>trans. by Benjamin N. Dykes (Minneapolis, MN: The Cazimi Press, 2019), p.3.</w:t>
      </w:r>
    </w:p>
  </w:footnote>
  <w:footnote w:id="20">
    <w:p w14:paraId="5F4A08A0" w14:textId="77777777" w:rsidR="00543B55" w:rsidRPr="00A24615" w:rsidRDefault="00543B55" w:rsidP="00543B55">
      <w:pPr>
        <w:pStyle w:val="FootnoteText"/>
        <w:rPr>
          <w:sz w:val="18"/>
          <w:szCs w:val="18"/>
        </w:rPr>
      </w:pPr>
      <w:r w:rsidRPr="00A24615">
        <w:rPr>
          <w:rStyle w:val="FootnoteReference"/>
          <w:sz w:val="18"/>
          <w:szCs w:val="18"/>
        </w:rPr>
        <w:footnoteRef/>
      </w:r>
      <w:r w:rsidRPr="00A24615">
        <w:rPr>
          <w:sz w:val="18"/>
          <w:szCs w:val="18"/>
        </w:rPr>
        <w:t xml:space="preserve"> Benjamin N. Dykes, </w:t>
      </w:r>
      <w:r w:rsidRPr="00A24615">
        <w:rPr>
          <w:i/>
          <w:iCs/>
          <w:sz w:val="18"/>
          <w:szCs w:val="18"/>
        </w:rPr>
        <w:t xml:space="preserve">The Astrology of Sahl B. Bishr, Volume 1, </w:t>
      </w:r>
      <w:r w:rsidRPr="00A24615">
        <w:rPr>
          <w:sz w:val="18"/>
          <w:szCs w:val="18"/>
        </w:rPr>
        <w:t>p.3.</w:t>
      </w:r>
    </w:p>
  </w:footnote>
  <w:footnote w:id="21">
    <w:p w14:paraId="3639C209" w14:textId="77777777" w:rsidR="00543B55" w:rsidRPr="00A24615" w:rsidRDefault="00543B55" w:rsidP="00543B55">
      <w:pPr>
        <w:spacing w:after="0"/>
        <w:rPr>
          <w:sz w:val="18"/>
          <w:szCs w:val="18"/>
        </w:rPr>
      </w:pPr>
      <w:r w:rsidRPr="00A24615">
        <w:rPr>
          <w:rStyle w:val="FootnoteReference"/>
          <w:sz w:val="18"/>
          <w:szCs w:val="18"/>
        </w:rPr>
        <w:footnoteRef/>
      </w:r>
      <w:r w:rsidRPr="00A24615">
        <w:rPr>
          <w:sz w:val="18"/>
          <w:szCs w:val="18"/>
        </w:rPr>
        <w:t xml:space="preserve"> Benjamin N. Dykes (ed.), </w:t>
      </w:r>
      <w:r w:rsidRPr="00A24615">
        <w:rPr>
          <w:i/>
          <w:iCs/>
          <w:sz w:val="18"/>
          <w:szCs w:val="18"/>
        </w:rPr>
        <w:t xml:space="preserve">Works of Sahl and Masha'allah, </w:t>
      </w:r>
      <w:r w:rsidRPr="00A24615">
        <w:rPr>
          <w:sz w:val="18"/>
          <w:szCs w:val="18"/>
        </w:rPr>
        <w:t>trans. by Benjamin N. Dykes (Minneapolis, MN: The Cazimi Press, 2008). p. 6.</w:t>
      </w:r>
    </w:p>
  </w:footnote>
  <w:footnote w:id="22">
    <w:p w14:paraId="60D5B0EE" w14:textId="77777777" w:rsidR="00543B55" w:rsidRPr="00A24615" w:rsidRDefault="00543B55" w:rsidP="00543B55">
      <w:pPr>
        <w:pStyle w:val="FootnoteText"/>
        <w:rPr>
          <w:sz w:val="18"/>
          <w:szCs w:val="18"/>
        </w:rPr>
      </w:pPr>
      <w:r w:rsidRPr="00A24615">
        <w:rPr>
          <w:rStyle w:val="FootnoteReference"/>
          <w:sz w:val="18"/>
          <w:szCs w:val="18"/>
        </w:rPr>
        <w:footnoteRef/>
      </w:r>
      <w:r w:rsidRPr="00A24615">
        <w:rPr>
          <w:sz w:val="18"/>
          <w:szCs w:val="18"/>
        </w:rPr>
        <w:t xml:space="preserve"> Benjamin N. Dykes, </w:t>
      </w:r>
      <w:r w:rsidRPr="00A24615">
        <w:rPr>
          <w:i/>
          <w:iCs/>
          <w:sz w:val="18"/>
          <w:szCs w:val="18"/>
        </w:rPr>
        <w:t xml:space="preserve">The Astrology of Sahl B. Bishr, Volume 1, </w:t>
      </w:r>
      <w:r w:rsidRPr="00A24615">
        <w:rPr>
          <w:sz w:val="18"/>
          <w:szCs w:val="18"/>
        </w:rPr>
        <w:t>p.10.</w:t>
      </w:r>
    </w:p>
  </w:footnote>
  <w:footnote w:id="23">
    <w:p w14:paraId="00F17641" w14:textId="77777777" w:rsidR="00543B55" w:rsidRDefault="00543B55" w:rsidP="00543B55">
      <w:pPr>
        <w:pStyle w:val="FootnoteText"/>
      </w:pPr>
      <w:r w:rsidRPr="00A24615">
        <w:rPr>
          <w:rStyle w:val="FootnoteReference"/>
          <w:sz w:val="18"/>
          <w:szCs w:val="18"/>
        </w:rPr>
        <w:footnoteRef/>
      </w:r>
      <w:r w:rsidRPr="00A24615">
        <w:rPr>
          <w:sz w:val="18"/>
          <w:szCs w:val="18"/>
        </w:rPr>
        <w:t xml:space="preserve"> Benjamin N. Dykes, </w:t>
      </w:r>
      <w:r w:rsidRPr="00A24615">
        <w:rPr>
          <w:i/>
          <w:iCs/>
          <w:sz w:val="18"/>
          <w:szCs w:val="18"/>
        </w:rPr>
        <w:t xml:space="preserve">The Astrology of Sahl B. Bishr, Volume 1, </w:t>
      </w:r>
      <w:r w:rsidRPr="00A24615">
        <w:rPr>
          <w:sz w:val="18"/>
          <w:szCs w:val="18"/>
        </w:rPr>
        <w:t>p.22-23; 255-749.</w:t>
      </w:r>
    </w:p>
  </w:footnote>
  <w:footnote w:id="24">
    <w:p w14:paraId="4A523C48" w14:textId="77777777" w:rsidR="00543B55" w:rsidRPr="00A24615" w:rsidRDefault="00543B55" w:rsidP="00543B55">
      <w:pPr>
        <w:pStyle w:val="FootnoteText"/>
        <w:rPr>
          <w:sz w:val="18"/>
          <w:szCs w:val="18"/>
        </w:rPr>
      </w:pPr>
      <w:r>
        <w:rPr>
          <w:rStyle w:val="FootnoteReference"/>
        </w:rPr>
        <w:footnoteRef/>
      </w:r>
      <w:r>
        <w:t xml:space="preserve">  </w:t>
      </w:r>
      <w:r w:rsidRPr="00A24615">
        <w:rPr>
          <w:sz w:val="18"/>
          <w:szCs w:val="18"/>
        </w:rPr>
        <w:t xml:space="preserve">Benjamin N. Dykes, </w:t>
      </w:r>
      <w:r w:rsidRPr="00A24615">
        <w:rPr>
          <w:i/>
          <w:iCs/>
          <w:sz w:val="18"/>
          <w:szCs w:val="18"/>
        </w:rPr>
        <w:t xml:space="preserve">The Astrology of Sahl B. Bishr, Volume 1, </w:t>
      </w:r>
      <w:r w:rsidRPr="00A24615">
        <w:rPr>
          <w:sz w:val="18"/>
          <w:szCs w:val="18"/>
        </w:rPr>
        <w:t>p.13.</w:t>
      </w:r>
    </w:p>
  </w:footnote>
  <w:footnote w:id="25">
    <w:p w14:paraId="4FDF777D" w14:textId="77777777" w:rsidR="00543B55" w:rsidRPr="00A24615" w:rsidRDefault="00543B55" w:rsidP="00543B55">
      <w:pPr>
        <w:pStyle w:val="FootnoteText"/>
        <w:rPr>
          <w:sz w:val="18"/>
          <w:szCs w:val="18"/>
        </w:rPr>
      </w:pPr>
      <w:r w:rsidRPr="00A24615">
        <w:rPr>
          <w:rStyle w:val="FootnoteReference"/>
          <w:sz w:val="18"/>
          <w:szCs w:val="18"/>
        </w:rPr>
        <w:footnoteRef/>
      </w:r>
      <w:r w:rsidRPr="00A24615">
        <w:rPr>
          <w:sz w:val="18"/>
          <w:szCs w:val="18"/>
        </w:rPr>
        <w:t xml:space="preserve">  Benjamin N. Dykes, </w:t>
      </w:r>
      <w:r w:rsidRPr="00A24615">
        <w:rPr>
          <w:i/>
          <w:iCs/>
          <w:sz w:val="18"/>
          <w:szCs w:val="18"/>
        </w:rPr>
        <w:t xml:space="preserve">The Astrology of Sahl B. Bishr, Volume 1, </w:t>
      </w:r>
      <w:r w:rsidRPr="00A24615">
        <w:rPr>
          <w:sz w:val="18"/>
          <w:szCs w:val="18"/>
        </w:rPr>
        <w:t>p.76.</w:t>
      </w:r>
    </w:p>
  </w:footnote>
  <w:footnote w:id="26">
    <w:p w14:paraId="4AF7D9D7" w14:textId="77777777" w:rsidR="00543B55" w:rsidRPr="00A24615" w:rsidRDefault="00543B55" w:rsidP="00543B55">
      <w:pPr>
        <w:pStyle w:val="FootnoteText"/>
        <w:rPr>
          <w:sz w:val="18"/>
          <w:szCs w:val="18"/>
        </w:rPr>
      </w:pPr>
      <w:r w:rsidRPr="00A24615">
        <w:rPr>
          <w:rStyle w:val="FootnoteReference"/>
          <w:sz w:val="18"/>
          <w:szCs w:val="18"/>
        </w:rPr>
        <w:footnoteRef/>
      </w:r>
      <w:r w:rsidRPr="00A24615">
        <w:rPr>
          <w:sz w:val="18"/>
          <w:szCs w:val="18"/>
        </w:rPr>
        <w:t xml:space="preserve"> William Lilly, </w:t>
      </w:r>
      <w:r w:rsidRPr="00A24615">
        <w:rPr>
          <w:i/>
          <w:iCs/>
          <w:sz w:val="18"/>
          <w:szCs w:val="18"/>
        </w:rPr>
        <w:t xml:space="preserve">Christian Astrology, </w:t>
      </w:r>
      <w:r w:rsidRPr="00A24615">
        <w:rPr>
          <w:sz w:val="18"/>
          <w:szCs w:val="18"/>
        </w:rPr>
        <w:t xml:space="preserve">(New York: Cosimo Classics, 1647; 2011 edition). </w:t>
      </w:r>
    </w:p>
  </w:footnote>
  <w:footnote w:id="27">
    <w:p w14:paraId="216CE85F" w14:textId="77777777" w:rsidR="00543B55" w:rsidRPr="002846FC" w:rsidRDefault="00543B55" w:rsidP="00543B55">
      <w:pPr>
        <w:pStyle w:val="FootnoteText"/>
        <w:rPr>
          <w:sz w:val="18"/>
          <w:szCs w:val="18"/>
        </w:rPr>
      </w:pPr>
      <w:r>
        <w:rPr>
          <w:rStyle w:val="FootnoteReference"/>
        </w:rPr>
        <w:footnoteRef/>
      </w:r>
      <w:r>
        <w:t xml:space="preserve"> </w:t>
      </w:r>
      <w:r>
        <w:rPr>
          <w:sz w:val="18"/>
          <w:szCs w:val="18"/>
        </w:rPr>
        <w:t xml:space="preserve">Nicholas Campion, ‘Determinism in Ancient and Medieval Astrology’ in </w:t>
      </w:r>
      <w:r>
        <w:rPr>
          <w:i/>
          <w:iCs/>
          <w:sz w:val="18"/>
          <w:szCs w:val="18"/>
        </w:rPr>
        <w:t xml:space="preserve">The Dawn of Astrology: A Cultural History of Western Astrology, Vol. 1 </w:t>
      </w:r>
      <w:r>
        <w:rPr>
          <w:sz w:val="18"/>
          <w:szCs w:val="18"/>
        </w:rPr>
        <w:t>(London, UK: Continuum, 2008), p. 12.</w:t>
      </w:r>
    </w:p>
  </w:footnote>
  <w:footnote w:id="28">
    <w:p w14:paraId="6A1B4120" w14:textId="77777777" w:rsidR="00543B55" w:rsidRPr="00A24615" w:rsidRDefault="00543B55" w:rsidP="00543B55">
      <w:pPr>
        <w:autoSpaceDE w:val="0"/>
        <w:autoSpaceDN w:val="0"/>
        <w:adjustRightInd w:val="0"/>
        <w:spacing w:after="0" w:line="240" w:lineRule="auto"/>
        <w:ind w:left="142" w:hanging="142"/>
        <w:rPr>
          <w:rFonts w:ascii="CIDFont+F3" w:hAnsi="CIDFont+F3" w:cs="CIDFont+F3"/>
          <w:sz w:val="18"/>
          <w:szCs w:val="18"/>
        </w:rPr>
      </w:pPr>
      <w:r w:rsidRPr="00A24615">
        <w:rPr>
          <w:rStyle w:val="FootnoteReference"/>
          <w:sz w:val="18"/>
          <w:szCs w:val="18"/>
        </w:rPr>
        <w:footnoteRef/>
      </w:r>
      <w:r w:rsidRPr="00A24615">
        <w:rPr>
          <w:sz w:val="18"/>
          <w:szCs w:val="18"/>
        </w:rPr>
        <w:t xml:space="preserve"> </w:t>
      </w:r>
      <w:r w:rsidRPr="00A24615">
        <w:rPr>
          <w:rFonts w:ascii="CIDFont+F3" w:hAnsi="CIDFont+F3" w:cs="CIDFont+F3"/>
          <w:sz w:val="18"/>
          <w:szCs w:val="18"/>
        </w:rPr>
        <w:t>Nicholas Campion, ‘Prophecy, Cosmology and the New Age Movement: The Extent and Nature of Contemporary Belief in Astrology’, PhD thesis, Bath Spa University/University of the West of England, 2004. Chapter 6, New Age Astrology. P. 111.</w:t>
      </w:r>
    </w:p>
  </w:footnote>
  <w:footnote w:id="29">
    <w:p w14:paraId="329E66CE" w14:textId="77777777" w:rsidR="00543B55" w:rsidRDefault="00543B55" w:rsidP="00543B55">
      <w:pPr>
        <w:spacing w:after="0"/>
      </w:pPr>
      <w:r w:rsidRPr="00A24615">
        <w:rPr>
          <w:rStyle w:val="FootnoteReference"/>
          <w:sz w:val="18"/>
          <w:szCs w:val="18"/>
        </w:rPr>
        <w:footnoteRef/>
      </w:r>
      <w:r w:rsidRPr="00A24615">
        <w:rPr>
          <w:sz w:val="18"/>
          <w:szCs w:val="18"/>
        </w:rPr>
        <w:t xml:space="preserve"> Bessie Leo and others, </w:t>
      </w:r>
      <w:r w:rsidRPr="00A24615">
        <w:rPr>
          <w:i/>
          <w:iCs/>
          <w:sz w:val="18"/>
          <w:szCs w:val="18"/>
        </w:rPr>
        <w:t xml:space="preserve">The Life and Work of Alan Leo: Theosophist – Astrologer – Mason. </w:t>
      </w:r>
      <w:r w:rsidRPr="00A24615">
        <w:rPr>
          <w:sz w:val="18"/>
          <w:szCs w:val="18"/>
        </w:rPr>
        <w:t xml:space="preserve">(London: Modern Astrology Office, L.N. Fowler and Company, 1919), </w:t>
      </w:r>
      <w:hyperlink r:id="rId6" w:history="1">
        <w:r w:rsidRPr="00A24615">
          <w:rPr>
            <w:rStyle w:val="Hyperlink"/>
            <w:sz w:val="18"/>
            <w:szCs w:val="18"/>
          </w:rPr>
          <w:t>https://ia802608.us.archive.org/11/items/lifeworkofalanle00leob/lifeworkofalanle00leob.pdf</w:t>
        </w:r>
      </w:hyperlink>
      <w:r w:rsidRPr="00A24615">
        <w:rPr>
          <w:sz w:val="18"/>
          <w:szCs w:val="18"/>
        </w:rPr>
        <w:t xml:space="preserve"> [accessed December 28, 2020], p. 26.</w:t>
      </w:r>
    </w:p>
  </w:footnote>
  <w:footnote w:id="30">
    <w:p w14:paraId="01DAC22F" w14:textId="77777777" w:rsidR="00543B55" w:rsidRPr="006E6E95" w:rsidRDefault="00543B55" w:rsidP="00543B55">
      <w:pPr>
        <w:pStyle w:val="FootnoteText"/>
        <w:rPr>
          <w:sz w:val="18"/>
          <w:szCs w:val="18"/>
        </w:rPr>
      </w:pPr>
      <w:r>
        <w:rPr>
          <w:rStyle w:val="FootnoteReference"/>
        </w:rPr>
        <w:footnoteRef/>
      </w:r>
      <w:r>
        <w:t xml:space="preserve"> </w:t>
      </w:r>
      <w:r w:rsidRPr="006E6E95">
        <w:rPr>
          <w:sz w:val="18"/>
          <w:szCs w:val="18"/>
        </w:rPr>
        <w:t xml:space="preserve">Benson Bobrick, </w:t>
      </w:r>
      <w:r w:rsidRPr="006E6E95">
        <w:rPr>
          <w:i/>
          <w:iCs/>
          <w:sz w:val="18"/>
          <w:szCs w:val="18"/>
        </w:rPr>
        <w:t xml:space="preserve">The Fated Sky: Astrology in History </w:t>
      </w:r>
      <w:r w:rsidRPr="006E6E95">
        <w:rPr>
          <w:sz w:val="18"/>
          <w:szCs w:val="18"/>
        </w:rPr>
        <w:t>(New York, NY: Simon &amp; Schuster, 2005), p. 266.</w:t>
      </w:r>
    </w:p>
  </w:footnote>
  <w:footnote w:id="31">
    <w:p w14:paraId="40583448" w14:textId="77777777" w:rsidR="00543B55" w:rsidRPr="006E6E95" w:rsidRDefault="00543B55" w:rsidP="00543B55">
      <w:pPr>
        <w:pStyle w:val="FootnoteText"/>
        <w:rPr>
          <w:sz w:val="18"/>
          <w:szCs w:val="18"/>
        </w:rPr>
      </w:pPr>
      <w:r w:rsidRPr="006E6E95">
        <w:rPr>
          <w:rStyle w:val="FootnoteReference"/>
          <w:sz w:val="18"/>
          <w:szCs w:val="18"/>
        </w:rPr>
        <w:footnoteRef/>
      </w:r>
      <w:r w:rsidRPr="006E6E95">
        <w:rPr>
          <w:sz w:val="18"/>
          <w:szCs w:val="18"/>
        </w:rPr>
        <w:t xml:space="preserve"> Ellic Howe, </w:t>
      </w:r>
      <w:r w:rsidRPr="006E6E95">
        <w:rPr>
          <w:i/>
          <w:iCs/>
          <w:sz w:val="18"/>
          <w:szCs w:val="18"/>
        </w:rPr>
        <w:t xml:space="preserve">Astrology: A Recent History, </w:t>
      </w:r>
      <w:r w:rsidRPr="006E6E95">
        <w:rPr>
          <w:sz w:val="18"/>
          <w:szCs w:val="18"/>
        </w:rPr>
        <w:t xml:space="preserve">(New York, NY: Walker &amp; Co., 1967), quoted in Benson Bobrick, </w:t>
      </w:r>
      <w:r w:rsidRPr="006E6E95">
        <w:rPr>
          <w:i/>
          <w:iCs/>
          <w:sz w:val="18"/>
          <w:szCs w:val="18"/>
        </w:rPr>
        <w:t xml:space="preserve">The Fated Sky: Astrology in History </w:t>
      </w:r>
      <w:r w:rsidRPr="006E6E95">
        <w:rPr>
          <w:sz w:val="18"/>
          <w:szCs w:val="18"/>
        </w:rPr>
        <w:t>(New York, NY: Simon &amp; Schuster, 2005), p. 268.</w:t>
      </w:r>
    </w:p>
  </w:footnote>
  <w:footnote w:id="32">
    <w:p w14:paraId="12DA7246" w14:textId="77777777" w:rsidR="00543B55" w:rsidRPr="006E6E95" w:rsidRDefault="00543B55" w:rsidP="00543B55">
      <w:pPr>
        <w:pStyle w:val="FootnoteText"/>
        <w:rPr>
          <w:sz w:val="18"/>
          <w:szCs w:val="18"/>
        </w:rPr>
      </w:pPr>
      <w:r w:rsidRPr="006E6E95">
        <w:rPr>
          <w:rStyle w:val="FootnoteReference"/>
          <w:sz w:val="18"/>
          <w:szCs w:val="18"/>
        </w:rPr>
        <w:footnoteRef/>
      </w:r>
      <w:r w:rsidRPr="006E6E95">
        <w:rPr>
          <w:sz w:val="18"/>
          <w:szCs w:val="18"/>
        </w:rPr>
        <w:t xml:space="preserve"> Bessie Leo and others, </w:t>
      </w:r>
      <w:r w:rsidRPr="006E6E95">
        <w:rPr>
          <w:i/>
          <w:iCs/>
          <w:sz w:val="18"/>
          <w:szCs w:val="18"/>
        </w:rPr>
        <w:t xml:space="preserve">The Life and Work of Alan Leo, </w:t>
      </w:r>
      <w:r w:rsidRPr="006E6E95">
        <w:rPr>
          <w:sz w:val="18"/>
          <w:szCs w:val="18"/>
        </w:rPr>
        <w:t>p. 147.</w:t>
      </w:r>
    </w:p>
  </w:footnote>
  <w:footnote w:id="33">
    <w:p w14:paraId="615E8FD0" w14:textId="77777777" w:rsidR="00543B55" w:rsidRDefault="00543B55" w:rsidP="00543B55">
      <w:pPr>
        <w:pStyle w:val="FootnoteText"/>
      </w:pPr>
      <w:r w:rsidRPr="006E6E95">
        <w:rPr>
          <w:rStyle w:val="FootnoteReference"/>
          <w:sz w:val="18"/>
          <w:szCs w:val="18"/>
        </w:rPr>
        <w:footnoteRef/>
      </w:r>
      <w:r w:rsidRPr="006E6E95">
        <w:rPr>
          <w:sz w:val="18"/>
          <w:szCs w:val="18"/>
        </w:rPr>
        <w:t xml:space="preserve"> James Herschel Holden and Robert A. Hughes, </w:t>
      </w:r>
      <w:r w:rsidRPr="006E6E95">
        <w:rPr>
          <w:i/>
          <w:iCs/>
          <w:sz w:val="18"/>
          <w:szCs w:val="18"/>
        </w:rPr>
        <w:t xml:space="preserve">Astrological Pioneers of America. </w:t>
      </w:r>
      <w:r w:rsidRPr="006E6E95">
        <w:rPr>
          <w:sz w:val="18"/>
          <w:szCs w:val="18"/>
        </w:rPr>
        <w:t xml:space="preserve">(Tempe, AZ: American Federation of Astrologers, 1988), quoted in Benson Bobrick, </w:t>
      </w:r>
      <w:r w:rsidRPr="006E6E95">
        <w:rPr>
          <w:i/>
          <w:iCs/>
          <w:sz w:val="18"/>
          <w:szCs w:val="18"/>
        </w:rPr>
        <w:t xml:space="preserve">The Fated Sky: Astrology in History </w:t>
      </w:r>
      <w:r w:rsidRPr="006E6E95">
        <w:rPr>
          <w:sz w:val="18"/>
          <w:szCs w:val="18"/>
        </w:rPr>
        <w:t>(New York, NY: Simon &amp; Schuster, 2005), p. 269.</w:t>
      </w:r>
    </w:p>
  </w:footnote>
  <w:footnote w:id="34">
    <w:p w14:paraId="03C01B19" w14:textId="77777777" w:rsidR="00543B55" w:rsidRPr="00DB7B3A" w:rsidRDefault="00543B55" w:rsidP="00543B55">
      <w:pPr>
        <w:pStyle w:val="FootnoteText"/>
        <w:rPr>
          <w:sz w:val="18"/>
          <w:szCs w:val="18"/>
        </w:rPr>
      </w:pPr>
      <w:r>
        <w:rPr>
          <w:rStyle w:val="FootnoteReference"/>
        </w:rPr>
        <w:footnoteRef/>
      </w:r>
      <w:r>
        <w:t xml:space="preserve"> </w:t>
      </w:r>
      <w:r>
        <w:rPr>
          <w:sz w:val="18"/>
          <w:szCs w:val="18"/>
        </w:rPr>
        <w:t xml:space="preserve">Alan Leo, </w:t>
      </w:r>
      <w:r w:rsidRPr="006E6E95">
        <w:rPr>
          <w:i/>
          <w:iCs/>
          <w:sz w:val="18"/>
          <w:szCs w:val="18"/>
        </w:rPr>
        <w:t>The Progressed Horoscope (5</w:t>
      </w:r>
      <w:r w:rsidRPr="006E6E95">
        <w:rPr>
          <w:i/>
          <w:iCs/>
          <w:sz w:val="18"/>
          <w:szCs w:val="18"/>
          <w:vertAlign w:val="superscript"/>
        </w:rPr>
        <w:t>th</w:t>
      </w:r>
      <w:r w:rsidRPr="006E6E95">
        <w:rPr>
          <w:i/>
          <w:iCs/>
          <w:sz w:val="18"/>
          <w:szCs w:val="18"/>
        </w:rPr>
        <w:t xml:space="preserve"> Ed.). </w:t>
      </w:r>
      <w:r w:rsidRPr="006E6E95">
        <w:rPr>
          <w:sz w:val="18"/>
          <w:szCs w:val="18"/>
        </w:rPr>
        <w:t>(London: L.N. Fowler &amp; Co., 1936)</w:t>
      </w:r>
      <w:r>
        <w:rPr>
          <w:sz w:val="18"/>
          <w:szCs w:val="18"/>
        </w:rPr>
        <w:t xml:space="preserve">, p. 6. </w:t>
      </w:r>
      <w:r w:rsidRPr="006E6E95">
        <w:rPr>
          <w:sz w:val="18"/>
          <w:szCs w:val="18"/>
        </w:rPr>
        <w:t xml:space="preserve">  </w:t>
      </w:r>
    </w:p>
  </w:footnote>
  <w:footnote w:id="35">
    <w:p w14:paraId="7BDC3D35" w14:textId="77777777" w:rsidR="00543B55" w:rsidRDefault="00543B55" w:rsidP="00543B55">
      <w:pPr>
        <w:pStyle w:val="FootnoteText"/>
      </w:pPr>
      <w:r>
        <w:rPr>
          <w:rStyle w:val="FootnoteReference"/>
        </w:rPr>
        <w:footnoteRef/>
      </w:r>
      <w:r>
        <w:t xml:space="preserve"> </w:t>
      </w:r>
      <w:r>
        <w:rPr>
          <w:sz w:val="18"/>
          <w:szCs w:val="18"/>
        </w:rPr>
        <w:t xml:space="preserve">Alan Leo, </w:t>
      </w:r>
      <w:r w:rsidRPr="006E6E95">
        <w:rPr>
          <w:i/>
          <w:iCs/>
          <w:sz w:val="18"/>
          <w:szCs w:val="18"/>
        </w:rPr>
        <w:t>The Progressed Horoscope (5</w:t>
      </w:r>
      <w:r w:rsidRPr="006E6E95">
        <w:rPr>
          <w:i/>
          <w:iCs/>
          <w:sz w:val="18"/>
          <w:szCs w:val="18"/>
          <w:vertAlign w:val="superscript"/>
        </w:rPr>
        <w:t>th</w:t>
      </w:r>
      <w:r w:rsidRPr="006E6E95">
        <w:rPr>
          <w:i/>
          <w:iCs/>
          <w:sz w:val="18"/>
          <w:szCs w:val="18"/>
        </w:rPr>
        <w:t xml:space="preserve"> Ed.). </w:t>
      </w:r>
      <w:r w:rsidRPr="006E6E95">
        <w:rPr>
          <w:sz w:val="18"/>
          <w:szCs w:val="18"/>
        </w:rPr>
        <w:t>(London: L.N. Fowler &amp; Co., 1936)</w:t>
      </w:r>
      <w:r>
        <w:rPr>
          <w:sz w:val="18"/>
          <w:szCs w:val="18"/>
        </w:rPr>
        <w:t>, p. 11.</w:t>
      </w:r>
    </w:p>
  </w:footnote>
  <w:footnote w:id="36">
    <w:p w14:paraId="4B25241F" w14:textId="77777777" w:rsidR="00543B55" w:rsidRPr="00C13A23" w:rsidRDefault="00543B55" w:rsidP="00543B55">
      <w:pPr>
        <w:pStyle w:val="FootnoteText"/>
        <w:rPr>
          <w:sz w:val="18"/>
          <w:szCs w:val="18"/>
        </w:rPr>
      </w:pPr>
      <w:r>
        <w:rPr>
          <w:rStyle w:val="FootnoteReference"/>
        </w:rPr>
        <w:footnoteRef/>
      </w:r>
      <w:r>
        <w:t xml:space="preserve"> </w:t>
      </w:r>
      <w:r w:rsidRPr="00C13A23">
        <w:rPr>
          <w:rFonts w:ascii="CIDFont+F3" w:hAnsi="CIDFont+F3" w:cs="CIDFont+F3"/>
          <w:sz w:val="18"/>
          <w:szCs w:val="18"/>
        </w:rPr>
        <w:t>Alan</w:t>
      </w:r>
      <w:r>
        <w:rPr>
          <w:rFonts w:ascii="CIDFont+F3" w:hAnsi="CIDFont+F3" w:cs="CIDFont+F3"/>
          <w:sz w:val="18"/>
          <w:szCs w:val="18"/>
        </w:rPr>
        <w:t xml:space="preserve"> Leo,</w:t>
      </w:r>
      <w:r w:rsidRPr="00C13A23">
        <w:rPr>
          <w:rFonts w:ascii="CIDFont+F3" w:hAnsi="CIDFont+F3" w:cs="CIDFont+F3"/>
          <w:sz w:val="18"/>
          <w:szCs w:val="18"/>
        </w:rPr>
        <w:t xml:space="preserve"> ‘The Editor’s Observatory’, </w:t>
      </w:r>
      <w:r w:rsidRPr="00C13A23">
        <w:rPr>
          <w:rFonts w:ascii="CIDFont+F7" w:hAnsi="CIDFont+F7" w:cs="CIDFont+F7"/>
          <w:i/>
          <w:iCs/>
          <w:sz w:val="18"/>
          <w:szCs w:val="18"/>
        </w:rPr>
        <w:t>Modern Astrology</w:t>
      </w:r>
      <w:r w:rsidRPr="00C13A23">
        <w:rPr>
          <w:rFonts w:ascii="CIDFont+F3" w:hAnsi="CIDFont+F3" w:cs="CIDFont+F3"/>
          <w:sz w:val="18"/>
          <w:szCs w:val="18"/>
        </w:rPr>
        <w:t xml:space="preserve">, New Series, 8/3 (1911): 89–96 (p. 95), cited in Campion, Nicholas, </w:t>
      </w:r>
      <w:r w:rsidRPr="00C13A23">
        <w:rPr>
          <w:rFonts w:ascii="CIDFont+F7" w:hAnsi="CIDFont+F7" w:cs="CIDFont+F7"/>
          <w:sz w:val="18"/>
          <w:szCs w:val="18"/>
        </w:rPr>
        <w:t>Astrology and Popular Religion in the</w:t>
      </w:r>
      <w:r w:rsidRPr="00C13A23">
        <w:rPr>
          <w:rFonts w:ascii="CIDFont+F3" w:hAnsi="CIDFont+F3" w:cs="CIDFont+F3"/>
          <w:sz w:val="18"/>
          <w:szCs w:val="18"/>
        </w:rPr>
        <w:t xml:space="preserve"> </w:t>
      </w:r>
      <w:r w:rsidRPr="00C13A23">
        <w:rPr>
          <w:rFonts w:ascii="CIDFont+F7" w:hAnsi="CIDFont+F7" w:cs="CIDFont+F7"/>
          <w:sz w:val="18"/>
          <w:szCs w:val="18"/>
        </w:rPr>
        <w:t xml:space="preserve">Modern West: Prophecy, Cosmology and the New Age Movement </w:t>
      </w:r>
      <w:r w:rsidRPr="00C13A23">
        <w:rPr>
          <w:rFonts w:ascii="CIDFont+F3" w:hAnsi="CIDFont+F3" w:cs="CIDFont+F3"/>
          <w:sz w:val="18"/>
          <w:szCs w:val="18"/>
        </w:rPr>
        <w:t>(Abingdon: Ashgate, 2012).</w:t>
      </w:r>
    </w:p>
  </w:footnote>
  <w:footnote w:id="37">
    <w:p w14:paraId="6AE79B7E" w14:textId="77777777" w:rsidR="00543B55" w:rsidRPr="006E6E95" w:rsidRDefault="00543B55" w:rsidP="00543B55">
      <w:pPr>
        <w:pStyle w:val="FootnoteText"/>
        <w:rPr>
          <w:sz w:val="18"/>
          <w:szCs w:val="18"/>
        </w:rPr>
      </w:pPr>
      <w:r>
        <w:rPr>
          <w:rStyle w:val="FootnoteReference"/>
        </w:rPr>
        <w:footnoteRef/>
      </w:r>
      <w:r>
        <w:t xml:space="preserve"> </w:t>
      </w:r>
      <w:r w:rsidRPr="00FA4899">
        <w:rPr>
          <w:sz w:val="18"/>
          <w:szCs w:val="18"/>
        </w:rPr>
        <w:t>Alan</w:t>
      </w:r>
      <w:r>
        <w:rPr>
          <w:sz w:val="18"/>
          <w:szCs w:val="18"/>
        </w:rPr>
        <w:t xml:space="preserve"> Leo,</w:t>
      </w:r>
      <w:r w:rsidRPr="00FA4899">
        <w:rPr>
          <w:sz w:val="18"/>
          <w:szCs w:val="18"/>
        </w:rPr>
        <w:t xml:space="preserve"> </w:t>
      </w:r>
      <w:r w:rsidRPr="006E6E95">
        <w:rPr>
          <w:i/>
          <w:iCs/>
          <w:sz w:val="18"/>
          <w:szCs w:val="18"/>
        </w:rPr>
        <w:t xml:space="preserve">The Art of Synthesis, </w:t>
      </w:r>
      <w:r w:rsidRPr="006E6E95">
        <w:rPr>
          <w:sz w:val="18"/>
          <w:szCs w:val="18"/>
        </w:rPr>
        <w:t>p.89.</w:t>
      </w:r>
    </w:p>
  </w:footnote>
  <w:footnote w:id="38">
    <w:p w14:paraId="52450FA2" w14:textId="77777777" w:rsidR="00543B55" w:rsidRPr="006E6E95" w:rsidRDefault="00543B55" w:rsidP="00543B55">
      <w:pPr>
        <w:pStyle w:val="FootnoteText"/>
        <w:rPr>
          <w:sz w:val="18"/>
          <w:szCs w:val="18"/>
        </w:rPr>
      </w:pPr>
      <w:r w:rsidRPr="006E6E95">
        <w:rPr>
          <w:rStyle w:val="FootnoteReference"/>
          <w:sz w:val="18"/>
          <w:szCs w:val="18"/>
        </w:rPr>
        <w:footnoteRef/>
      </w:r>
      <w:r w:rsidRPr="006E6E95">
        <w:rPr>
          <w:sz w:val="18"/>
          <w:szCs w:val="18"/>
        </w:rPr>
        <w:t xml:space="preserve"> Alan Leo, </w:t>
      </w:r>
      <w:r w:rsidRPr="006E6E95">
        <w:rPr>
          <w:i/>
          <w:iCs/>
          <w:sz w:val="18"/>
          <w:szCs w:val="18"/>
        </w:rPr>
        <w:t>The Progressed Horoscope (5</w:t>
      </w:r>
      <w:r w:rsidRPr="006E6E95">
        <w:rPr>
          <w:i/>
          <w:iCs/>
          <w:sz w:val="18"/>
          <w:szCs w:val="18"/>
          <w:vertAlign w:val="superscript"/>
        </w:rPr>
        <w:t>th</w:t>
      </w:r>
      <w:r w:rsidRPr="006E6E95">
        <w:rPr>
          <w:i/>
          <w:iCs/>
          <w:sz w:val="18"/>
          <w:szCs w:val="18"/>
        </w:rPr>
        <w:t xml:space="preserve"> Ed.). </w:t>
      </w:r>
      <w:r w:rsidRPr="006E6E95">
        <w:rPr>
          <w:sz w:val="18"/>
          <w:szCs w:val="18"/>
        </w:rPr>
        <w:t>(London: L.N. Fowler &amp; Co., 1936)</w:t>
      </w:r>
    </w:p>
  </w:footnote>
  <w:footnote w:id="39">
    <w:p w14:paraId="3E759231" w14:textId="77777777" w:rsidR="00543B55" w:rsidRDefault="00543B55" w:rsidP="00543B55">
      <w:pPr>
        <w:pStyle w:val="FootnoteText"/>
      </w:pPr>
      <w:r w:rsidRPr="006E6E95">
        <w:rPr>
          <w:rStyle w:val="FootnoteReference"/>
          <w:sz w:val="18"/>
          <w:szCs w:val="18"/>
        </w:rPr>
        <w:footnoteRef/>
      </w:r>
      <w:r w:rsidRPr="006E6E95">
        <w:rPr>
          <w:sz w:val="18"/>
          <w:szCs w:val="18"/>
        </w:rPr>
        <w:t xml:space="preserve"> Alan Leo, </w:t>
      </w:r>
      <w:r w:rsidRPr="006E6E95">
        <w:rPr>
          <w:i/>
          <w:iCs/>
          <w:sz w:val="18"/>
          <w:szCs w:val="18"/>
        </w:rPr>
        <w:t xml:space="preserve">The Art of Synthesis, </w:t>
      </w:r>
      <w:r w:rsidRPr="006E6E95">
        <w:rPr>
          <w:sz w:val="18"/>
          <w:szCs w:val="18"/>
        </w:rPr>
        <w:t>p.91.</w:t>
      </w:r>
    </w:p>
  </w:footnote>
  <w:footnote w:id="40">
    <w:p w14:paraId="3F76418F" w14:textId="77777777" w:rsidR="00543B55" w:rsidRDefault="00543B55" w:rsidP="00543B55">
      <w:pPr>
        <w:pStyle w:val="FootnoteText"/>
      </w:pPr>
      <w:r>
        <w:rPr>
          <w:rStyle w:val="FootnoteReference"/>
        </w:rPr>
        <w:footnoteRef/>
      </w:r>
      <w:r>
        <w:t xml:space="preserve"> </w:t>
      </w:r>
      <w:r w:rsidRPr="00FA4899">
        <w:rPr>
          <w:sz w:val="18"/>
          <w:szCs w:val="18"/>
        </w:rPr>
        <w:t>Alan</w:t>
      </w:r>
      <w:r>
        <w:rPr>
          <w:sz w:val="18"/>
          <w:szCs w:val="18"/>
        </w:rPr>
        <w:t xml:space="preserve"> Leo,</w:t>
      </w:r>
      <w:r w:rsidRPr="00FA4899">
        <w:rPr>
          <w:sz w:val="18"/>
          <w:szCs w:val="18"/>
        </w:rPr>
        <w:t xml:space="preserve"> </w:t>
      </w:r>
      <w:r w:rsidRPr="00FA4899">
        <w:rPr>
          <w:i/>
          <w:iCs/>
          <w:sz w:val="18"/>
          <w:szCs w:val="18"/>
        </w:rPr>
        <w:t>The Art of Synthesis</w:t>
      </w:r>
      <w:r>
        <w:rPr>
          <w:i/>
          <w:iCs/>
          <w:sz w:val="18"/>
          <w:szCs w:val="18"/>
        </w:rPr>
        <w:t xml:space="preserve">, </w:t>
      </w:r>
      <w:r>
        <w:rPr>
          <w:sz w:val="18"/>
          <w:szCs w:val="18"/>
        </w:rPr>
        <w:t>p.93.</w:t>
      </w:r>
    </w:p>
  </w:footnote>
  <w:footnote w:id="41">
    <w:p w14:paraId="36BDEA09" w14:textId="77777777" w:rsidR="00543B55" w:rsidRPr="006E6E95" w:rsidRDefault="00543B55" w:rsidP="00543B55">
      <w:pPr>
        <w:pStyle w:val="FootnoteText"/>
        <w:rPr>
          <w:sz w:val="18"/>
          <w:szCs w:val="18"/>
        </w:rPr>
      </w:pPr>
      <w:r>
        <w:rPr>
          <w:rStyle w:val="FootnoteReference"/>
        </w:rPr>
        <w:footnoteRef/>
      </w:r>
      <w:r>
        <w:t xml:space="preserve"> </w:t>
      </w:r>
      <w:r w:rsidRPr="00FC4841">
        <w:rPr>
          <w:sz w:val="18"/>
          <w:szCs w:val="18"/>
        </w:rPr>
        <w:t>Daryn</w:t>
      </w:r>
      <w:r>
        <w:rPr>
          <w:sz w:val="18"/>
          <w:szCs w:val="18"/>
        </w:rPr>
        <w:t xml:space="preserve"> Lehoux</w:t>
      </w:r>
      <w:r w:rsidRPr="00FC4841">
        <w:rPr>
          <w:sz w:val="18"/>
          <w:szCs w:val="18"/>
        </w:rPr>
        <w:t>, ‘Tomorrow’s News Today: Astrology, Fate, and the Way Out’</w:t>
      </w:r>
      <w:r>
        <w:rPr>
          <w:sz w:val="18"/>
          <w:szCs w:val="18"/>
        </w:rPr>
        <w:t>, p. 119.</w:t>
      </w:r>
    </w:p>
  </w:footnote>
  <w:footnote w:id="42">
    <w:p w14:paraId="2EC82201" w14:textId="77777777" w:rsidR="00543B55" w:rsidRDefault="00543B55" w:rsidP="00543B55">
      <w:pPr>
        <w:pStyle w:val="FootnoteText"/>
      </w:pPr>
      <w:r>
        <w:rPr>
          <w:rStyle w:val="FootnoteReference"/>
        </w:rPr>
        <w:footnoteRef/>
      </w:r>
      <w:r>
        <w:t xml:space="preserve"> </w:t>
      </w:r>
      <w:r w:rsidRPr="00A24615">
        <w:rPr>
          <w:sz w:val="18"/>
          <w:szCs w:val="18"/>
        </w:rPr>
        <w:t xml:space="preserve">Benjamin N. Dykes, </w:t>
      </w:r>
      <w:r w:rsidRPr="00A24615">
        <w:rPr>
          <w:i/>
          <w:iCs/>
          <w:sz w:val="18"/>
          <w:szCs w:val="18"/>
        </w:rPr>
        <w:t xml:space="preserve">The Astrology of Sahl B. Bishr, Volume 1, </w:t>
      </w:r>
      <w:r w:rsidRPr="00A24615">
        <w:rPr>
          <w:sz w:val="18"/>
          <w:szCs w:val="18"/>
        </w:rPr>
        <w:t>p.</w:t>
      </w:r>
      <w:r>
        <w:rPr>
          <w:sz w:val="18"/>
          <w:szCs w:val="18"/>
        </w:rPr>
        <w:t>24.</w:t>
      </w:r>
    </w:p>
  </w:footnote>
  <w:footnote w:id="43">
    <w:p w14:paraId="4ECD45D2" w14:textId="77777777" w:rsidR="00543B55" w:rsidRDefault="00543B55" w:rsidP="00543B55">
      <w:pPr>
        <w:pStyle w:val="FootnoteText"/>
      </w:pPr>
      <w:r>
        <w:rPr>
          <w:rStyle w:val="FootnoteReference"/>
        </w:rPr>
        <w:footnoteRef/>
      </w:r>
      <w:r>
        <w:t xml:space="preserve"> </w:t>
      </w:r>
      <w:r w:rsidRPr="00A24615">
        <w:rPr>
          <w:sz w:val="18"/>
          <w:szCs w:val="18"/>
        </w:rPr>
        <w:t xml:space="preserve">Benjamin N. Dykes, </w:t>
      </w:r>
      <w:r w:rsidRPr="00A24615">
        <w:rPr>
          <w:i/>
          <w:iCs/>
          <w:sz w:val="18"/>
          <w:szCs w:val="18"/>
        </w:rPr>
        <w:t xml:space="preserve">The Astrology of Sahl B. Bishr, Volume 1, </w:t>
      </w:r>
      <w:r w:rsidRPr="00A24615">
        <w:rPr>
          <w:sz w:val="18"/>
          <w:szCs w:val="18"/>
        </w:rPr>
        <w:t>p.</w:t>
      </w:r>
      <w:r>
        <w:rPr>
          <w:sz w:val="18"/>
          <w:szCs w:val="18"/>
        </w:rPr>
        <w:t>356.</w:t>
      </w:r>
    </w:p>
  </w:footnote>
  <w:footnote w:id="44">
    <w:p w14:paraId="33FC71BD" w14:textId="77777777" w:rsidR="00543B55" w:rsidRPr="00075000" w:rsidRDefault="00543B55" w:rsidP="00543B55">
      <w:pPr>
        <w:pStyle w:val="FootnoteText"/>
        <w:rPr>
          <w:sz w:val="18"/>
          <w:szCs w:val="18"/>
        </w:rPr>
      </w:pPr>
      <w:r>
        <w:rPr>
          <w:rStyle w:val="FootnoteReference"/>
        </w:rPr>
        <w:footnoteRef/>
      </w:r>
      <w:r>
        <w:t xml:space="preserve"> </w:t>
      </w:r>
      <w:r w:rsidRPr="00A24615">
        <w:rPr>
          <w:sz w:val="18"/>
          <w:szCs w:val="18"/>
        </w:rPr>
        <w:t xml:space="preserve">Benjamin N. Dykes, </w:t>
      </w:r>
      <w:r w:rsidRPr="00A24615">
        <w:rPr>
          <w:i/>
          <w:iCs/>
          <w:sz w:val="18"/>
          <w:szCs w:val="18"/>
        </w:rPr>
        <w:t xml:space="preserve">The Astrology of Sahl B. Bishr, Volume 1, </w:t>
      </w:r>
      <w:r w:rsidRPr="00A24615">
        <w:rPr>
          <w:sz w:val="18"/>
          <w:szCs w:val="18"/>
        </w:rPr>
        <w:t>p.</w:t>
      </w:r>
      <w:r>
        <w:rPr>
          <w:sz w:val="18"/>
          <w:szCs w:val="18"/>
        </w:rPr>
        <w:t>676.</w:t>
      </w:r>
    </w:p>
  </w:footnote>
  <w:footnote w:id="45">
    <w:p w14:paraId="76A44170" w14:textId="77777777" w:rsidR="00543B55" w:rsidRDefault="00543B55" w:rsidP="00543B55">
      <w:pPr>
        <w:pStyle w:val="FootnoteText"/>
      </w:pPr>
      <w:r>
        <w:rPr>
          <w:rStyle w:val="FootnoteReference"/>
        </w:rPr>
        <w:footnoteRef/>
      </w:r>
      <w:r>
        <w:t xml:space="preserve"> </w:t>
      </w:r>
      <w:r w:rsidRPr="00A24615">
        <w:rPr>
          <w:sz w:val="18"/>
          <w:szCs w:val="18"/>
        </w:rPr>
        <w:t xml:space="preserve">Benjamin N. Dykes, </w:t>
      </w:r>
      <w:r w:rsidRPr="00A24615">
        <w:rPr>
          <w:i/>
          <w:iCs/>
          <w:sz w:val="18"/>
          <w:szCs w:val="18"/>
        </w:rPr>
        <w:t xml:space="preserve">The Astrology of Sahl B. Bishr, Volume 1, </w:t>
      </w:r>
      <w:r w:rsidRPr="00A24615">
        <w:rPr>
          <w:sz w:val="18"/>
          <w:szCs w:val="18"/>
        </w:rPr>
        <w:t>p.</w:t>
      </w:r>
      <w:r>
        <w:rPr>
          <w:sz w:val="18"/>
          <w:szCs w:val="18"/>
        </w:rPr>
        <w:t>731.</w:t>
      </w:r>
    </w:p>
  </w:footnote>
  <w:footnote w:id="46">
    <w:p w14:paraId="166F6777" w14:textId="77777777" w:rsidR="00543B55" w:rsidRDefault="00543B55" w:rsidP="00543B55">
      <w:pPr>
        <w:pStyle w:val="FootnoteText"/>
        <w:ind w:left="142" w:hanging="142"/>
      </w:pPr>
      <w:r>
        <w:rPr>
          <w:rStyle w:val="FootnoteReference"/>
        </w:rPr>
        <w:footnoteRef/>
      </w:r>
      <w:r>
        <w:t xml:space="preserve"> </w:t>
      </w:r>
      <w:r w:rsidRPr="003E5CB7">
        <w:rPr>
          <w:sz w:val="18"/>
          <w:szCs w:val="18"/>
        </w:rPr>
        <w:t xml:space="preserve">Nicholas, ‘Islam: Faith and Reason,’ in </w:t>
      </w:r>
      <w:r w:rsidRPr="003E5CB7">
        <w:rPr>
          <w:i/>
          <w:iCs/>
          <w:sz w:val="18"/>
          <w:szCs w:val="18"/>
        </w:rPr>
        <w:t xml:space="preserve">Astrology and Cosmology in the Worlds Religions. </w:t>
      </w:r>
      <w:r w:rsidRPr="003E5CB7">
        <w:rPr>
          <w:sz w:val="18"/>
          <w:szCs w:val="18"/>
        </w:rPr>
        <w:t>(New York, NY and London: New York University Press, 2012),</w:t>
      </w:r>
      <w:r>
        <w:t xml:space="preserve"> </w:t>
      </w:r>
      <w:hyperlink r:id="rId7" w:history="1">
        <w:r w:rsidRPr="00687464">
          <w:rPr>
            <w:rStyle w:val="Hyperlink"/>
            <w:sz w:val="18"/>
            <w:szCs w:val="18"/>
          </w:rPr>
          <w:t>https://www.jstor.org/stable/j.ctt9qg5q5.18</w:t>
        </w:r>
      </w:hyperlink>
      <w:r w:rsidRPr="00687464">
        <w:rPr>
          <w:sz w:val="18"/>
          <w:szCs w:val="18"/>
        </w:rPr>
        <w:t xml:space="preserve">  [accessed December 28, 2020]</w:t>
      </w:r>
      <w:r>
        <w:rPr>
          <w:sz w:val="18"/>
          <w:szCs w:val="18"/>
        </w:rPr>
        <w:t xml:space="preserve">, p. 175. </w:t>
      </w:r>
    </w:p>
  </w:footnote>
  <w:footnote w:id="47">
    <w:p w14:paraId="4AE10AC9" w14:textId="77777777" w:rsidR="00543B55" w:rsidRPr="00576A4E" w:rsidRDefault="00543B55" w:rsidP="00543B55">
      <w:pPr>
        <w:pStyle w:val="FootnoteText"/>
      </w:pPr>
      <w:r>
        <w:rPr>
          <w:rStyle w:val="FootnoteReference"/>
        </w:rPr>
        <w:footnoteRef/>
      </w:r>
      <w:r>
        <w:t xml:space="preserve"> </w:t>
      </w:r>
      <w:r w:rsidRPr="006E6E95">
        <w:rPr>
          <w:sz w:val="18"/>
          <w:szCs w:val="18"/>
        </w:rPr>
        <w:t xml:space="preserve">Alan Leo, </w:t>
      </w:r>
      <w:r w:rsidRPr="006E6E95">
        <w:rPr>
          <w:i/>
          <w:iCs/>
          <w:sz w:val="18"/>
          <w:szCs w:val="18"/>
        </w:rPr>
        <w:t>The Progressed Horoscope</w:t>
      </w:r>
      <w:r>
        <w:rPr>
          <w:i/>
          <w:iCs/>
          <w:sz w:val="18"/>
          <w:szCs w:val="18"/>
        </w:rPr>
        <w:t xml:space="preserve">, </w:t>
      </w:r>
      <w:r>
        <w:rPr>
          <w:sz w:val="18"/>
          <w:szCs w:val="18"/>
        </w:rPr>
        <w:t>p. 13. (</w:t>
      </w:r>
      <w:r>
        <w:rPr>
          <w:i/>
          <w:iCs/>
          <w:sz w:val="18"/>
          <w:szCs w:val="18"/>
        </w:rPr>
        <w:t xml:space="preserve">italics </w:t>
      </w:r>
      <w:r>
        <w:rPr>
          <w:sz w:val="18"/>
          <w:szCs w:val="18"/>
        </w:rPr>
        <w:t>in original)</w:t>
      </w:r>
    </w:p>
  </w:footnote>
  <w:footnote w:id="48">
    <w:p w14:paraId="36679098" w14:textId="77777777" w:rsidR="00543B55" w:rsidRPr="00685D9C" w:rsidRDefault="00543B55" w:rsidP="00543B55">
      <w:pPr>
        <w:pStyle w:val="FootnoteText"/>
      </w:pPr>
      <w:r>
        <w:rPr>
          <w:rStyle w:val="FootnoteReference"/>
        </w:rPr>
        <w:footnoteRef/>
      </w:r>
      <w:r>
        <w:t xml:space="preserve"> </w:t>
      </w:r>
      <w:r w:rsidRPr="00A24615">
        <w:rPr>
          <w:sz w:val="18"/>
          <w:szCs w:val="18"/>
        </w:rPr>
        <w:t xml:space="preserve">Bessie Leo and others, </w:t>
      </w:r>
      <w:r w:rsidRPr="00A24615">
        <w:rPr>
          <w:i/>
          <w:iCs/>
          <w:sz w:val="18"/>
          <w:szCs w:val="18"/>
        </w:rPr>
        <w:t>The Life and Work of Alan Leo</w:t>
      </w:r>
      <w:r>
        <w:rPr>
          <w:i/>
          <w:iCs/>
          <w:sz w:val="18"/>
          <w:szCs w:val="18"/>
        </w:rPr>
        <w:t xml:space="preserve">, </w:t>
      </w:r>
      <w:r>
        <w:rPr>
          <w:sz w:val="18"/>
          <w:szCs w:val="18"/>
        </w:rPr>
        <w:t>p. 80.</w:t>
      </w:r>
    </w:p>
  </w:footnote>
  <w:footnote w:id="49">
    <w:p w14:paraId="3E22ED50" w14:textId="77777777" w:rsidR="00543B55" w:rsidRDefault="00543B55" w:rsidP="00543B55">
      <w:pPr>
        <w:pStyle w:val="FootnoteText"/>
      </w:pPr>
      <w:r>
        <w:rPr>
          <w:rStyle w:val="FootnoteReference"/>
        </w:rPr>
        <w:footnoteRef/>
      </w:r>
      <w:r>
        <w:t xml:space="preserve"> </w:t>
      </w:r>
      <w:r w:rsidRPr="00A24615">
        <w:rPr>
          <w:sz w:val="18"/>
          <w:szCs w:val="18"/>
        </w:rPr>
        <w:t xml:space="preserve">Bessie Leo and others, </w:t>
      </w:r>
      <w:r w:rsidRPr="00A24615">
        <w:rPr>
          <w:i/>
          <w:iCs/>
          <w:sz w:val="18"/>
          <w:szCs w:val="18"/>
        </w:rPr>
        <w:t>The Life and Work of Alan Leo</w:t>
      </w:r>
      <w:r>
        <w:rPr>
          <w:i/>
          <w:iCs/>
          <w:sz w:val="18"/>
          <w:szCs w:val="18"/>
        </w:rPr>
        <w:t xml:space="preserve">, </w:t>
      </w:r>
      <w:r>
        <w:rPr>
          <w:sz w:val="18"/>
          <w:szCs w:val="18"/>
        </w:rPr>
        <w:t>p. 80.</w:t>
      </w:r>
    </w:p>
  </w:footnote>
  <w:footnote w:id="50">
    <w:p w14:paraId="5CF6E496" w14:textId="77777777" w:rsidR="00543B55" w:rsidRPr="00B837F1" w:rsidRDefault="00543B55" w:rsidP="00543B55">
      <w:pPr>
        <w:pStyle w:val="FootnoteText"/>
        <w:rPr>
          <w:sz w:val="18"/>
          <w:szCs w:val="18"/>
        </w:rPr>
      </w:pPr>
      <w:r>
        <w:rPr>
          <w:rStyle w:val="FootnoteReference"/>
        </w:rPr>
        <w:footnoteRef/>
      </w:r>
      <w:r>
        <w:t xml:space="preserve"> </w:t>
      </w:r>
      <w:r w:rsidRPr="00B837F1">
        <w:rPr>
          <w:sz w:val="18"/>
          <w:szCs w:val="18"/>
        </w:rPr>
        <w:t>Brennan, Chris. ‘Introduction to Hellenistic Astrology (Part 2)</w:t>
      </w:r>
      <w:r>
        <w:rPr>
          <w:sz w:val="18"/>
          <w:szCs w:val="18"/>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251CB" w14:textId="77777777" w:rsidR="00FF5BA0" w:rsidRPr="00FF5BA0" w:rsidRDefault="00FF5BA0">
    <w:pPr>
      <w:pStyle w:val="Header"/>
      <w:rPr>
        <w:color w:val="8496B0"/>
        <w:sz w:val="20"/>
      </w:rPr>
    </w:pPr>
    <w:r w:rsidRPr="00422C36">
      <w:rPr>
        <w:color w:val="8496B0"/>
        <w:sz w:val="20"/>
      </w:rPr>
      <w:t>John Murray 2008616</w:t>
    </w:r>
    <w:r w:rsidRPr="00422C36">
      <w:rPr>
        <w:color w:val="8496B0"/>
        <w:sz w:val="20"/>
      </w:rPr>
      <w:tab/>
    </w:r>
    <w:r w:rsidRPr="00422C36">
      <w:rPr>
        <w:color w:val="8496B0"/>
        <w:sz w:val="20"/>
      </w:rPr>
      <w:tab/>
      <w:t xml:space="preserve"> </w:t>
    </w:r>
    <w:r w:rsidRPr="00FF5BA0">
      <w:rPr>
        <w:color w:val="8496B0"/>
        <w:sz w:val="20"/>
        <w:szCs w:val="20"/>
      </w:rPr>
      <w:t xml:space="preserve">Page </w:t>
    </w:r>
    <w:r w:rsidRPr="00FF5BA0">
      <w:rPr>
        <w:color w:val="8496B0"/>
        <w:sz w:val="20"/>
        <w:szCs w:val="20"/>
      </w:rPr>
      <w:fldChar w:fldCharType="begin"/>
    </w:r>
    <w:r w:rsidRPr="00FF5BA0">
      <w:rPr>
        <w:color w:val="8496B0"/>
        <w:sz w:val="20"/>
        <w:szCs w:val="20"/>
      </w:rPr>
      <w:instrText xml:space="preserve"> PAGE   \* MERGEFORMAT </w:instrText>
    </w:r>
    <w:r w:rsidRPr="00FF5BA0">
      <w:rPr>
        <w:color w:val="8496B0"/>
        <w:sz w:val="20"/>
        <w:szCs w:val="20"/>
      </w:rPr>
      <w:fldChar w:fldCharType="separate"/>
    </w:r>
    <w:r>
      <w:rPr>
        <w:color w:val="8496B0"/>
        <w:sz w:val="20"/>
        <w:szCs w:val="20"/>
      </w:rPr>
      <w:t>1</w:t>
    </w:r>
    <w:r w:rsidRPr="00FF5BA0">
      <w:rPr>
        <w:color w:val="8496B0"/>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A377B" w14:textId="28EC2241" w:rsidR="00E5698B" w:rsidRPr="00E5698B" w:rsidRDefault="00E5698B" w:rsidP="00E5698B">
    <w:pPr>
      <w:pStyle w:val="Header"/>
      <w:tabs>
        <w:tab w:val="clear" w:pos="4680"/>
        <w:tab w:val="clear" w:pos="9360"/>
      </w:tabs>
      <w:rPr>
        <w:color w:val="8496B0" w:themeColor="text2" w:themeTint="99"/>
        <w:sz w:val="20"/>
        <w:szCs w:val="20"/>
      </w:rPr>
    </w:pPr>
    <w:r>
      <w:rPr>
        <w:color w:val="8496B0" w:themeColor="text2" w:themeTint="99"/>
        <w:sz w:val="20"/>
        <w:szCs w:val="20"/>
      </w:rPr>
      <w:t>John Murray 2008616</w:t>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sidRPr="00E5698B">
      <w:rPr>
        <w:color w:val="8496B0" w:themeColor="text2" w:themeTint="99"/>
        <w:sz w:val="20"/>
        <w:szCs w:val="20"/>
      </w:rPr>
      <w:t xml:space="preserve">Page </w:t>
    </w:r>
    <w:r w:rsidRPr="00E5698B">
      <w:rPr>
        <w:color w:val="8496B0" w:themeColor="text2" w:themeTint="99"/>
        <w:sz w:val="20"/>
        <w:szCs w:val="20"/>
      </w:rPr>
      <w:fldChar w:fldCharType="begin"/>
    </w:r>
    <w:r w:rsidRPr="00E5698B">
      <w:rPr>
        <w:color w:val="8496B0" w:themeColor="text2" w:themeTint="99"/>
        <w:sz w:val="20"/>
        <w:szCs w:val="20"/>
      </w:rPr>
      <w:instrText xml:space="preserve"> PAGE   \* MERGEFORMAT </w:instrText>
    </w:r>
    <w:r w:rsidRPr="00E5698B">
      <w:rPr>
        <w:color w:val="8496B0" w:themeColor="text2" w:themeTint="99"/>
        <w:sz w:val="20"/>
        <w:szCs w:val="20"/>
      </w:rPr>
      <w:fldChar w:fldCharType="separate"/>
    </w:r>
    <w:r w:rsidRPr="00E5698B">
      <w:rPr>
        <w:noProof/>
        <w:color w:val="8496B0" w:themeColor="text2" w:themeTint="99"/>
        <w:sz w:val="20"/>
        <w:szCs w:val="20"/>
      </w:rPr>
      <w:t>2</w:t>
    </w:r>
    <w:r w:rsidRPr="00E5698B">
      <w:rPr>
        <w:color w:val="8496B0" w:themeColor="text2" w:themeTint="99"/>
        <w:sz w:val="20"/>
        <w:szCs w:val="20"/>
      </w:rPr>
      <w:fldChar w:fldCharType="end"/>
    </w:r>
  </w:p>
  <w:p w14:paraId="48FA7302" w14:textId="77777777" w:rsidR="00E5698B" w:rsidRDefault="00E56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3882AE4"/>
    <w:multiLevelType w:val="hybridMultilevel"/>
    <w:tmpl w:val="2DB4986E"/>
    <w:lvl w:ilvl="0" w:tplc="6AE2ED92">
      <w:numFmt w:val="bullet"/>
      <w:lvlText w:val=""/>
      <w:lvlJc w:val="left"/>
      <w:pPr>
        <w:ind w:left="720" w:hanging="360"/>
      </w:pPr>
      <w:rPr>
        <w:rFonts w:ascii="Symbol" w:eastAsiaTheme="minorHAnsi" w:hAnsi="Symbol" w:cstheme="minorBid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9"/>
  </w:num>
  <w:num w:numId="4">
    <w:abstractNumId w:val="6"/>
  </w:num>
  <w:num w:numId="5">
    <w:abstractNumId w:val="2"/>
  </w:num>
  <w:num w:numId="6">
    <w:abstractNumId w:val="4"/>
  </w:num>
  <w:num w:numId="7">
    <w:abstractNumId w:val="13"/>
  </w:num>
  <w:num w:numId="8">
    <w:abstractNumId w:val="22"/>
  </w:num>
  <w:num w:numId="9">
    <w:abstractNumId w:val="24"/>
  </w:num>
  <w:num w:numId="10">
    <w:abstractNumId w:val="5"/>
  </w:num>
  <w:num w:numId="11">
    <w:abstractNumId w:val="20"/>
  </w:num>
  <w:num w:numId="12">
    <w:abstractNumId w:val="23"/>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478"/>
    <w:rsid w:val="00001C3B"/>
    <w:rsid w:val="00013545"/>
    <w:rsid w:val="00022345"/>
    <w:rsid w:val="000235BC"/>
    <w:rsid w:val="00024E6B"/>
    <w:rsid w:val="00026363"/>
    <w:rsid w:val="000275E2"/>
    <w:rsid w:val="000314FB"/>
    <w:rsid w:val="00043549"/>
    <w:rsid w:val="0004614B"/>
    <w:rsid w:val="000461ED"/>
    <w:rsid w:val="00046A16"/>
    <w:rsid w:val="00047074"/>
    <w:rsid w:val="000572EC"/>
    <w:rsid w:val="00070929"/>
    <w:rsid w:val="00076A0B"/>
    <w:rsid w:val="000832E1"/>
    <w:rsid w:val="000854DF"/>
    <w:rsid w:val="0009176B"/>
    <w:rsid w:val="0009720B"/>
    <w:rsid w:val="000A6D49"/>
    <w:rsid w:val="000C0233"/>
    <w:rsid w:val="000D0425"/>
    <w:rsid w:val="000E3682"/>
    <w:rsid w:val="000E3751"/>
    <w:rsid w:val="000E6A3A"/>
    <w:rsid w:val="000E76C6"/>
    <w:rsid w:val="000F1DE6"/>
    <w:rsid w:val="0010199D"/>
    <w:rsid w:val="001070F2"/>
    <w:rsid w:val="00111283"/>
    <w:rsid w:val="0011161A"/>
    <w:rsid w:val="001127D1"/>
    <w:rsid w:val="00115E3D"/>
    <w:rsid w:val="001168D9"/>
    <w:rsid w:val="001257E7"/>
    <w:rsid w:val="0014037F"/>
    <w:rsid w:val="001415F6"/>
    <w:rsid w:val="00144DE8"/>
    <w:rsid w:val="0015762A"/>
    <w:rsid w:val="00165047"/>
    <w:rsid w:val="00171628"/>
    <w:rsid w:val="00172497"/>
    <w:rsid w:val="00181E5C"/>
    <w:rsid w:val="001861C0"/>
    <w:rsid w:val="00186213"/>
    <w:rsid w:val="00195223"/>
    <w:rsid w:val="00195F98"/>
    <w:rsid w:val="001A370C"/>
    <w:rsid w:val="001B16BC"/>
    <w:rsid w:val="001B52EF"/>
    <w:rsid w:val="001C0B52"/>
    <w:rsid w:val="001C4B2D"/>
    <w:rsid w:val="001E0E06"/>
    <w:rsid w:val="001E4D7B"/>
    <w:rsid w:val="001F1263"/>
    <w:rsid w:val="001F4CE1"/>
    <w:rsid w:val="002132DC"/>
    <w:rsid w:val="00216211"/>
    <w:rsid w:val="00222984"/>
    <w:rsid w:val="0022446F"/>
    <w:rsid w:val="00224B95"/>
    <w:rsid w:val="00230F35"/>
    <w:rsid w:val="0024052F"/>
    <w:rsid w:val="0024612C"/>
    <w:rsid w:val="0025530E"/>
    <w:rsid w:val="00255ADF"/>
    <w:rsid w:val="00264501"/>
    <w:rsid w:val="0026460A"/>
    <w:rsid w:val="002668DC"/>
    <w:rsid w:val="002715FA"/>
    <w:rsid w:val="00274146"/>
    <w:rsid w:val="00274CA2"/>
    <w:rsid w:val="00276002"/>
    <w:rsid w:val="00277421"/>
    <w:rsid w:val="00280FCE"/>
    <w:rsid w:val="00290783"/>
    <w:rsid w:val="0029097F"/>
    <w:rsid w:val="002A4954"/>
    <w:rsid w:val="002C1630"/>
    <w:rsid w:val="002C22E4"/>
    <w:rsid w:val="002C34DE"/>
    <w:rsid w:val="002C55E9"/>
    <w:rsid w:val="002C6EE2"/>
    <w:rsid w:val="002D0158"/>
    <w:rsid w:val="002D21E1"/>
    <w:rsid w:val="002D2A04"/>
    <w:rsid w:val="002E2BA0"/>
    <w:rsid w:val="002E67CE"/>
    <w:rsid w:val="002F1475"/>
    <w:rsid w:val="002F467C"/>
    <w:rsid w:val="002F4E18"/>
    <w:rsid w:val="00305185"/>
    <w:rsid w:val="003077EA"/>
    <w:rsid w:val="00307B22"/>
    <w:rsid w:val="00310302"/>
    <w:rsid w:val="00322A43"/>
    <w:rsid w:val="00326631"/>
    <w:rsid w:val="003327F2"/>
    <w:rsid w:val="0033345B"/>
    <w:rsid w:val="00337A70"/>
    <w:rsid w:val="00341D2F"/>
    <w:rsid w:val="00344FDC"/>
    <w:rsid w:val="00351F4B"/>
    <w:rsid w:val="00355DD3"/>
    <w:rsid w:val="00376B94"/>
    <w:rsid w:val="0038342D"/>
    <w:rsid w:val="00391D8F"/>
    <w:rsid w:val="00395B98"/>
    <w:rsid w:val="003B0B37"/>
    <w:rsid w:val="003B2D31"/>
    <w:rsid w:val="003B4551"/>
    <w:rsid w:val="003C08CA"/>
    <w:rsid w:val="003C3F4F"/>
    <w:rsid w:val="003C4E73"/>
    <w:rsid w:val="003C587F"/>
    <w:rsid w:val="003C5D52"/>
    <w:rsid w:val="003C7F6F"/>
    <w:rsid w:val="003D6255"/>
    <w:rsid w:val="003D76BA"/>
    <w:rsid w:val="003E08F3"/>
    <w:rsid w:val="003E2C32"/>
    <w:rsid w:val="003E6CB9"/>
    <w:rsid w:val="003F0AD2"/>
    <w:rsid w:val="003F54E2"/>
    <w:rsid w:val="003F737B"/>
    <w:rsid w:val="004020ED"/>
    <w:rsid w:val="0040732D"/>
    <w:rsid w:val="004164D8"/>
    <w:rsid w:val="00416AC1"/>
    <w:rsid w:val="004227D4"/>
    <w:rsid w:val="00422C36"/>
    <w:rsid w:val="004250DD"/>
    <w:rsid w:val="00431A1B"/>
    <w:rsid w:val="00437559"/>
    <w:rsid w:val="0043758C"/>
    <w:rsid w:val="0044129B"/>
    <w:rsid w:val="00442027"/>
    <w:rsid w:val="00447497"/>
    <w:rsid w:val="00454B69"/>
    <w:rsid w:val="004573BD"/>
    <w:rsid w:val="00460A5C"/>
    <w:rsid w:val="004627BA"/>
    <w:rsid w:val="004724D6"/>
    <w:rsid w:val="00475C78"/>
    <w:rsid w:val="00482F93"/>
    <w:rsid w:val="004A024B"/>
    <w:rsid w:val="004B73BA"/>
    <w:rsid w:val="004C79CE"/>
    <w:rsid w:val="004E712E"/>
    <w:rsid w:val="004E7B20"/>
    <w:rsid w:val="00500DDF"/>
    <w:rsid w:val="00510500"/>
    <w:rsid w:val="0051661F"/>
    <w:rsid w:val="00521E0F"/>
    <w:rsid w:val="00530A76"/>
    <w:rsid w:val="00531109"/>
    <w:rsid w:val="00537B4C"/>
    <w:rsid w:val="00541BC5"/>
    <w:rsid w:val="005429EF"/>
    <w:rsid w:val="00543B55"/>
    <w:rsid w:val="00557229"/>
    <w:rsid w:val="005627D4"/>
    <w:rsid w:val="00567401"/>
    <w:rsid w:val="005769CE"/>
    <w:rsid w:val="0058726A"/>
    <w:rsid w:val="00590E9A"/>
    <w:rsid w:val="005942E9"/>
    <w:rsid w:val="005A72A4"/>
    <w:rsid w:val="005B0519"/>
    <w:rsid w:val="005B19F9"/>
    <w:rsid w:val="005B60A0"/>
    <w:rsid w:val="005B7290"/>
    <w:rsid w:val="005C6560"/>
    <w:rsid w:val="005E35BA"/>
    <w:rsid w:val="005F24DF"/>
    <w:rsid w:val="00610318"/>
    <w:rsid w:val="0062723F"/>
    <w:rsid w:val="00632937"/>
    <w:rsid w:val="006367FD"/>
    <w:rsid w:val="0064328B"/>
    <w:rsid w:val="0064350C"/>
    <w:rsid w:val="0065654E"/>
    <w:rsid w:val="00662A40"/>
    <w:rsid w:val="00665C65"/>
    <w:rsid w:val="0067677B"/>
    <w:rsid w:val="006805EC"/>
    <w:rsid w:val="00680F07"/>
    <w:rsid w:val="0068315B"/>
    <w:rsid w:val="00685EB5"/>
    <w:rsid w:val="00691819"/>
    <w:rsid w:val="00693C4D"/>
    <w:rsid w:val="006A205D"/>
    <w:rsid w:val="006A49E5"/>
    <w:rsid w:val="006A4A30"/>
    <w:rsid w:val="006A62C9"/>
    <w:rsid w:val="006A65E9"/>
    <w:rsid w:val="006B31BE"/>
    <w:rsid w:val="006B6D4D"/>
    <w:rsid w:val="006C0A3A"/>
    <w:rsid w:val="006C5E96"/>
    <w:rsid w:val="006D5C6B"/>
    <w:rsid w:val="006E4F24"/>
    <w:rsid w:val="006E6C34"/>
    <w:rsid w:val="006E776D"/>
    <w:rsid w:val="00725DF0"/>
    <w:rsid w:val="00730908"/>
    <w:rsid w:val="0073310A"/>
    <w:rsid w:val="00751BE2"/>
    <w:rsid w:val="00762134"/>
    <w:rsid w:val="00763291"/>
    <w:rsid w:val="00765417"/>
    <w:rsid w:val="00770733"/>
    <w:rsid w:val="00771D10"/>
    <w:rsid w:val="00773D0E"/>
    <w:rsid w:val="007808EC"/>
    <w:rsid w:val="007812C9"/>
    <w:rsid w:val="00790E2F"/>
    <w:rsid w:val="007B721A"/>
    <w:rsid w:val="007C098A"/>
    <w:rsid w:val="007C6F33"/>
    <w:rsid w:val="007D030F"/>
    <w:rsid w:val="007D7715"/>
    <w:rsid w:val="007D7FA0"/>
    <w:rsid w:val="007E5E77"/>
    <w:rsid w:val="007F4566"/>
    <w:rsid w:val="007F6CDE"/>
    <w:rsid w:val="008007F6"/>
    <w:rsid w:val="00807DBF"/>
    <w:rsid w:val="00807F02"/>
    <w:rsid w:val="00823895"/>
    <w:rsid w:val="0083442E"/>
    <w:rsid w:val="00840B95"/>
    <w:rsid w:val="0084272E"/>
    <w:rsid w:val="00843DE9"/>
    <w:rsid w:val="00855DE0"/>
    <w:rsid w:val="00860711"/>
    <w:rsid w:val="00864E6A"/>
    <w:rsid w:val="0088477B"/>
    <w:rsid w:val="008937C3"/>
    <w:rsid w:val="0089447F"/>
    <w:rsid w:val="00895642"/>
    <w:rsid w:val="008A4DCC"/>
    <w:rsid w:val="008B3A97"/>
    <w:rsid w:val="008B761E"/>
    <w:rsid w:val="008D03F0"/>
    <w:rsid w:val="008D674F"/>
    <w:rsid w:val="008E4124"/>
    <w:rsid w:val="008E525C"/>
    <w:rsid w:val="008F0A40"/>
    <w:rsid w:val="008F57E6"/>
    <w:rsid w:val="00901157"/>
    <w:rsid w:val="00906D18"/>
    <w:rsid w:val="00910657"/>
    <w:rsid w:val="0091183C"/>
    <w:rsid w:val="00912502"/>
    <w:rsid w:val="00914769"/>
    <w:rsid w:val="009165AB"/>
    <w:rsid w:val="0092147C"/>
    <w:rsid w:val="009249A6"/>
    <w:rsid w:val="00925CCB"/>
    <w:rsid w:val="00930B75"/>
    <w:rsid w:val="00946416"/>
    <w:rsid w:val="00951890"/>
    <w:rsid w:val="00963B31"/>
    <w:rsid w:val="00965CEA"/>
    <w:rsid w:val="00970AD6"/>
    <w:rsid w:val="00970FF9"/>
    <w:rsid w:val="009715CE"/>
    <w:rsid w:val="00971764"/>
    <w:rsid w:val="00973B44"/>
    <w:rsid w:val="00975FCD"/>
    <w:rsid w:val="009801D3"/>
    <w:rsid w:val="00980C9B"/>
    <w:rsid w:val="00993D77"/>
    <w:rsid w:val="009A3D0A"/>
    <w:rsid w:val="009B2D10"/>
    <w:rsid w:val="009B557D"/>
    <w:rsid w:val="009B65EF"/>
    <w:rsid w:val="009C01A3"/>
    <w:rsid w:val="009C1A08"/>
    <w:rsid w:val="009C396A"/>
    <w:rsid w:val="009C797F"/>
    <w:rsid w:val="009E0151"/>
    <w:rsid w:val="009E3553"/>
    <w:rsid w:val="009E4B64"/>
    <w:rsid w:val="009F2623"/>
    <w:rsid w:val="009F55D6"/>
    <w:rsid w:val="00A00F9C"/>
    <w:rsid w:val="00A02C62"/>
    <w:rsid w:val="00A06B94"/>
    <w:rsid w:val="00A1510C"/>
    <w:rsid w:val="00A171D1"/>
    <w:rsid w:val="00A17307"/>
    <w:rsid w:val="00A2073F"/>
    <w:rsid w:val="00A218B8"/>
    <w:rsid w:val="00A227B5"/>
    <w:rsid w:val="00A303FE"/>
    <w:rsid w:val="00A33966"/>
    <w:rsid w:val="00A35622"/>
    <w:rsid w:val="00A41032"/>
    <w:rsid w:val="00A41AF9"/>
    <w:rsid w:val="00A45F84"/>
    <w:rsid w:val="00A507E4"/>
    <w:rsid w:val="00A531C5"/>
    <w:rsid w:val="00A54F9A"/>
    <w:rsid w:val="00A62E68"/>
    <w:rsid w:val="00A64187"/>
    <w:rsid w:val="00A67B4D"/>
    <w:rsid w:val="00A71985"/>
    <w:rsid w:val="00A73EC8"/>
    <w:rsid w:val="00A745B6"/>
    <w:rsid w:val="00A90AD9"/>
    <w:rsid w:val="00A912C1"/>
    <w:rsid w:val="00A972E4"/>
    <w:rsid w:val="00A9744A"/>
    <w:rsid w:val="00AB38D7"/>
    <w:rsid w:val="00AC36E3"/>
    <w:rsid w:val="00AC6213"/>
    <w:rsid w:val="00AD3E41"/>
    <w:rsid w:val="00AD5D5A"/>
    <w:rsid w:val="00AE3217"/>
    <w:rsid w:val="00B00F39"/>
    <w:rsid w:val="00B11E29"/>
    <w:rsid w:val="00B15495"/>
    <w:rsid w:val="00B34964"/>
    <w:rsid w:val="00B36749"/>
    <w:rsid w:val="00B36F4A"/>
    <w:rsid w:val="00B4225D"/>
    <w:rsid w:val="00B42501"/>
    <w:rsid w:val="00B45FEF"/>
    <w:rsid w:val="00B462B1"/>
    <w:rsid w:val="00B506A4"/>
    <w:rsid w:val="00B56E7B"/>
    <w:rsid w:val="00B619BD"/>
    <w:rsid w:val="00B67214"/>
    <w:rsid w:val="00B72F46"/>
    <w:rsid w:val="00B81517"/>
    <w:rsid w:val="00B81E5D"/>
    <w:rsid w:val="00B90188"/>
    <w:rsid w:val="00B96983"/>
    <w:rsid w:val="00B9724B"/>
    <w:rsid w:val="00BC17F1"/>
    <w:rsid w:val="00BE5631"/>
    <w:rsid w:val="00BE7B7A"/>
    <w:rsid w:val="00BF1842"/>
    <w:rsid w:val="00BF22DC"/>
    <w:rsid w:val="00BF2917"/>
    <w:rsid w:val="00BF3D29"/>
    <w:rsid w:val="00BF6291"/>
    <w:rsid w:val="00C063BC"/>
    <w:rsid w:val="00C1131F"/>
    <w:rsid w:val="00C129C7"/>
    <w:rsid w:val="00C17684"/>
    <w:rsid w:val="00C213C3"/>
    <w:rsid w:val="00C22A88"/>
    <w:rsid w:val="00C250AF"/>
    <w:rsid w:val="00C40282"/>
    <w:rsid w:val="00C65E7F"/>
    <w:rsid w:val="00C72F84"/>
    <w:rsid w:val="00C7699B"/>
    <w:rsid w:val="00C90302"/>
    <w:rsid w:val="00C915C3"/>
    <w:rsid w:val="00C93CD4"/>
    <w:rsid w:val="00CA354C"/>
    <w:rsid w:val="00CB3AA7"/>
    <w:rsid w:val="00CB5E37"/>
    <w:rsid w:val="00CB61B6"/>
    <w:rsid w:val="00CC00CF"/>
    <w:rsid w:val="00CC0D35"/>
    <w:rsid w:val="00CC2E51"/>
    <w:rsid w:val="00CC52A3"/>
    <w:rsid w:val="00CD0136"/>
    <w:rsid w:val="00CE0A05"/>
    <w:rsid w:val="00CE3B79"/>
    <w:rsid w:val="00CF1985"/>
    <w:rsid w:val="00CF2731"/>
    <w:rsid w:val="00D00BDC"/>
    <w:rsid w:val="00D0169B"/>
    <w:rsid w:val="00D0754F"/>
    <w:rsid w:val="00D110C4"/>
    <w:rsid w:val="00D16240"/>
    <w:rsid w:val="00D21B9B"/>
    <w:rsid w:val="00D328AB"/>
    <w:rsid w:val="00D429CC"/>
    <w:rsid w:val="00D459DC"/>
    <w:rsid w:val="00D46C4F"/>
    <w:rsid w:val="00D51959"/>
    <w:rsid w:val="00D52C23"/>
    <w:rsid w:val="00D5466C"/>
    <w:rsid w:val="00D54DAD"/>
    <w:rsid w:val="00D55073"/>
    <w:rsid w:val="00D56EFA"/>
    <w:rsid w:val="00D67BF8"/>
    <w:rsid w:val="00D9348F"/>
    <w:rsid w:val="00DA3217"/>
    <w:rsid w:val="00DA3E0F"/>
    <w:rsid w:val="00DA5DB6"/>
    <w:rsid w:val="00DB185F"/>
    <w:rsid w:val="00DB2E2F"/>
    <w:rsid w:val="00DB3FEC"/>
    <w:rsid w:val="00DB43BB"/>
    <w:rsid w:val="00DD363B"/>
    <w:rsid w:val="00DE2C59"/>
    <w:rsid w:val="00DE54B1"/>
    <w:rsid w:val="00DF01BE"/>
    <w:rsid w:val="00E040ED"/>
    <w:rsid w:val="00E122FA"/>
    <w:rsid w:val="00E14D2E"/>
    <w:rsid w:val="00E30E0C"/>
    <w:rsid w:val="00E3766D"/>
    <w:rsid w:val="00E40868"/>
    <w:rsid w:val="00E4523E"/>
    <w:rsid w:val="00E502BA"/>
    <w:rsid w:val="00E51347"/>
    <w:rsid w:val="00E5698B"/>
    <w:rsid w:val="00E57529"/>
    <w:rsid w:val="00E60E9F"/>
    <w:rsid w:val="00E6445A"/>
    <w:rsid w:val="00E67719"/>
    <w:rsid w:val="00E70330"/>
    <w:rsid w:val="00E77825"/>
    <w:rsid w:val="00E84F5D"/>
    <w:rsid w:val="00EB0E1D"/>
    <w:rsid w:val="00EB47D5"/>
    <w:rsid w:val="00EC0F38"/>
    <w:rsid w:val="00EC3956"/>
    <w:rsid w:val="00EC7546"/>
    <w:rsid w:val="00ED4478"/>
    <w:rsid w:val="00EE1BAF"/>
    <w:rsid w:val="00EE66C1"/>
    <w:rsid w:val="00EE670B"/>
    <w:rsid w:val="00EF11FE"/>
    <w:rsid w:val="00EF7A71"/>
    <w:rsid w:val="00EF7C62"/>
    <w:rsid w:val="00F068EC"/>
    <w:rsid w:val="00F1380F"/>
    <w:rsid w:val="00F14869"/>
    <w:rsid w:val="00F151F3"/>
    <w:rsid w:val="00F1661E"/>
    <w:rsid w:val="00F2453C"/>
    <w:rsid w:val="00F346BE"/>
    <w:rsid w:val="00F37C63"/>
    <w:rsid w:val="00F5356C"/>
    <w:rsid w:val="00F629C3"/>
    <w:rsid w:val="00F636AB"/>
    <w:rsid w:val="00F63B04"/>
    <w:rsid w:val="00F65FFF"/>
    <w:rsid w:val="00F723FA"/>
    <w:rsid w:val="00F73533"/>
    <w:rsid w:val="00F75EB5"/>
    <w:rsid w:val="00F95636"/>
    <w:rsid w:val="00FA07E9"/>
    <w:rsid w:val="00FA1316"/>
    <w:rsid w:val="00FA2A4C"/>
    <w:rsid w:val="00FB1165"/>
    <w:rsid w:val="00FC765A"/>
    <w:rsid w:val="00FC7F56"/>
    <w:rsid w:val="00FD42A1"/>
    <w:rsid w:val="00FF1125"/>
    <w:rsid w:val="00FF5097"/>
    <w:rsid w:val="00FF5BA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7728E"/>
  <w15:chartTrackingRefBased/>
  <w15:docId w15:val="{73106599-2F2C-496F-8A92-CB6CC180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C36"/>
  </w:style>
  <w:style w:type="paragraph" w:styleId="Heading1">
    <w:name w:val="heading 1"/>
    <w:basedOn w:val="Normal"/>
    <w:next w:val="Normal"/>
    <w:link w:val="Heading1Char"/>
    <w:qFormat/>
    <w:rsid w:val="00422C36"/>
    <w:pPr>
      <w:keepNext/>
      <w:spacing w:before="240" w:after="60" w:line="240" w:lineRule="auto"/>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qFormat/>
    <w:rsid w:val="00422C36"/>
    <w:pPr>
      <w:keepNext/>
      <w:spacing w:before="240" w:after="60" w:line="240" w:lineRule="auto"/>
      <w:outlineLvl w:val="1"/>
    </w:pPr>
    <w:rPr>
      <w:rFonts w:ascii="Arial" w:eastAsia="SimSun" w:hAnsi="Arial" w:cs="Arial"/>
      <w:b/>
      <w:bCs/>
      <w:i/>
      <w:iCs/>
      <w:sz w:val="28"/>
      <w:szCs w:val="28"/>
      <w:lang w:val="en-GB" w:eastAsia="zh-CN"/>
    </w:rPr>
  </w:style>
  <w:style w:type="paragraph" w:styleId="Heading3">
    <w:name w:val="heading 3"/>
    <w:basedOn w:val="Normal"/>
    <w:link w:val="Heading3Char"/>
    <w:qFormat/>
    <w:rsid w:val="00422C36"/>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22C36"/>
    <w:pPr>
      <w:spacing w:after="0" w:line="240" w:lineRule="auto"/>
    </w:pPr>
    <w:rPr>
      <w:sz w:val="20"/>
      <w:szCs w:val="20"/>
    </w:rPr>
  </w:style>
  <w:style w:type="character" w:customStyle="1" w:styleId="FootnoteTextChar">
    <w:name w:val="Footnote Text Char"/>
    <w:basedOn w:val="DefaultParagraphFont"/>
    <w:link w:val="FootnoteText"/>
    <w:uiPriority w:val="99"/>
    <w:rsid w:val="00ED4478"/>
    <w:rPr>
      <w:sz w:val="20"/>
      <w:szCs w:val="20"/>
    </w:rPr>
  </w:style>
  <w:style w:type="character" w:styleId="FootnoteReference">
    <w:name w:val="footnote reference"/>
    <w:basedOn w:val="DefaultParagraphFont"/>
    <w:uiPriority w:val="99"/>
    <w:unhideWhenUsed/>
    <w:rsid w:val="00ED4478"/>
    <w:rPr>
      <w:vertAlign w:val="superscript"/>
    </w:rPr>
  </w:style>
  <w:style w:type="character" w:styleId="Hyperlink">
    <w:name w:val="Hyperlink"/>
    <w:basedOn w:val="DefaultParagraphFont"/>
    <w:uiPriority w:val="99"/>
    <w:unhideWhenUsed/>
    <w:rsid w:val="00422C36"/>
    <w:rPr>
      <w:color w:val="0563C1" w:themeColor="hyperlink"/>
      <w:u w:val="single"/>
    </w:rPr>
  </w:style>
  <w:style w:type="character" w:styleId="UnresolvedMention">
    <w:name w:val="Unresolved Mention"/>
    <w:basedOn w:val="DefaultParagraphFont"/>
    <w:uiPriority w:val="99"/>
    <w:semiHidden/>
    <w:unhideWhenUsed/>
    <w:rsid w:val="00946416"/>
    <w:rPr>
      <w:color w:val="605E5C"/>
      <w:shd w:val="clear" w:color="auto" w:fill="E1DFDD"/>
    </w:rPr>
  </w:style>
  <w:style w:type="paragraph" w:styleId="Header">
    <w:name w:val="header"/>
    <w:basedOn w:val="Normal"/>
    <w:link w:val="HeaderChar"/>
    <w:uiPriority w:val="99"/>
    <w:unhideWhenUsed/>
    <w:rsid w:val="00422C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29C3"/>
  </w:style>
  <w:style w:type="paragraph" w:styleId="Footer">
    <w:name w:val="footer"/>
    <w:basedOn w:val="Normal"/>
    <w:link w:val="FooterChar"/>
    <w:uiPriority w:val="99"/>
    <w:unhideWhenUsed/>
    <w:rsid w:val="00422C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9C3"/>
  </w:style>
  <w:style w:type="paragraph" w:customStyle="1" w:styleId="Default">
    <w:name w:val="Default"/>
    <w:rsid w:val="00E60E9F"/>
    <w:pPr>
      <w:autoSpaceDE w:val="0"/>
      <w:autoSpaceDN w:val="0"/>
      <w:adjustRightInd w:val="0"/>
      <w:spacing w:after="0" w:line="240" w:lineRule="auto"/>
    </w:pPr>
    <w:rPr>
      <w:rFonts w:ascii="Code" w:hAnsi="Code" w:cs="Code"/>
      <w:color w:val="000000"/>
      <w:sz w:val="24"/>
      <w:szCs w:val="24"/>
    </w:rPr>
  </w:style>
  <w:style w:type="paragraph" w:styleId="BalloonText">
    <w:name w:val="Balloon Text"/>
    <w:basedOn w:val="Normal"/>
    <w:link w:val="BalloonTextChar"/>
    <w:uiPriority w:val="99"/>
    <w:unhideWhenUsed/>
    <w:rsid w:val="00422C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sid w:val="004164D8"/>
    <w:rPr>
      <w:rFonts w:ascii="Segoe UI" w:hAnsi="Segoe UI" w:cs="Segoe UI"/>
      <w:sz w:val="18"/>
      <w:szCs w:val="18"/>
    </w:rPr>
  </w:style>
  <w:style w:type="character" w:customStyle="1" w:styleId="Heading1Char">
    <w:name w:val="Heading 1 Char"/>
    <w:basedOn w:val="DefaultParagraphFont"/>
    <w:link w:val="Heading1"/>
    <w:rsid w:val="00422C36"/>
    <w:rPr>
      <w:rFonts w:ascii="Arial" w:eastAsia="SimSun" w:hAnsi="Arial" w:cs="Arial"/>
      <w:b/>
      <w:bCs/>
      <w:kern w:val="32"/>
      <w:sz w:val="32"/>
      <w:szCs w:val="32"/>
      <w:lang w:val="en-GB" w:eastAsia="zh-CN"/>
    </w:rPr>
  </w:style>
  <w:style w:type="character" w:customStyle="1" w:styleId="Heading2Char">
    <w:name w:val="Heading 2 Char"/>
    <w:basedOn w:val="DefaultParagraphFont"/>
    <w:link w:val="Heading2"/>
    <w:rsid w:val="00422C36"/>
    <w:rPr>
      <w:rFonts w:ascii="Arial" w:eastAsia="SimSun" w:hAnsi="Arial" w:cs="Arial"/>
      <w:b/>
      <w:bCs/>
      <w:i/>
      <w:iCs/>
      <w:sz w:val="28"/>
      <w:szCs w:val="28"/>
      <w:lang w:val="en-GB" w:eastAsia="zh-CN"/>
    </w:rPr>
  </w:style>
  <w:style w:type="character" w:customStyle="1" w:styleId="Heading3Char">
    <w:name w:val="Heading 3 Char"/>
    <w:basedOn w:val="DefaultParagraphFont"/>
    <w:link w:val="Heading3"/>
    <w:rsid w:val="00422C36"/>
    <w:rPr>
      <w:rFonts w:ascii="Tahoma" w:eastAsia="SimSun" w:hAnsi="Tahoma" w:cs="Tahoma"/>
      <w:b/>
      <w:bCs/>
      <w:sz w:val="20"/>
      <w:szCs w:val="20"/>
      <w:lang w:val="en-GB" w:eastAsia="zh-CN"/>
    </w:rPr>
  </w:style>
  <w:style w:type="paragraph" w:styleId="NormalWeb">
    <w:name w:val="Normal (Web)"/>
    <w:basedOn w:val="Normal"/>
    <w:rsid w:val="00422C36"/>
    <w:pPr>
      <w:spacing w:before="100" w:beforeAutospacing="1" w:after="100" w:afterAutospacing="1" w:line="240" w:lineRule="auto"/>
    </w:pPr>
    <w:rPr>
      <w:rFonts w:ascii="Georgia" w:eastAsia="SimSun" w:hAnsi="Georgia" w:cs="Times New Roman"/>
      <w:color w:val="000000"/>
      <w:sz w:val="21"/>
      <w:szCs w:val="21"/>
      <w:lang w:val="en-GB" w:eastAsia="zh-CN"/>
    </w:rPr>
  </w:style>
  <w:style w:type="character" w:styleId="CommentReference">
    <w:name w:val="annotation reference"/>
    <w:rsid w:val="00422C36"/>
    <w:rPr>
      <w:sz w:val="16"/>
      <w:szCs w:val="16"/>
    </w:rPr>
  </w:style>
  <w:style w:type="paragraph" w:styleId="CommentText">
    <w:name w:val="annotation text"/>
    <w:basedOn w:val="Normal"/>
    <w:link w:val="CommentTextChar"/>
    <w:rsid w:val="00422C36"/>
    <w:pPr>
      <w:spacing w:after="0" w:line="240" w:lineRule="auto"/>
    </w:pPr>
    <w:rPr>
      <w:rFonts w:ascii="Times New Roman" w:eastAsia="SimSun" w:hAnsi="Times New Roman" w:cs="Times New Roman"/>
      <w:sz w:val="20"/>
      <w:szCs w:val="20"/>
      <w:lang w:val="x-none" w:eastAsia="zh-CN"/>
    </w:rPr>
  </w:style>
  <w:style w:type="character" w:customStyle="1" w:styleId="CommentTextChar">
    <w:name w:val="Comment Text Char"/>
    <w:basedOn w:val="DefaultParagraphFont"/>
    <w:link w:val="CommentText"/>
    <w:rsid w:val="00422C36"/>
    <w:rPr>
      <w:rFonts w:ascii="Times New Roman" w:eastAsia="SimSun" w:hAnsi="Times New Roman" w:cs="Times New Roman"/>
      <w:sz w:val="20"/>
      <w:szCs w:val="20"/>
      <w:lang w:val="x-none" w:eastAsia="zh-CN"/>
    </w:rPr>
  </w:style>
  <w:style w:type="paragraph" w:styleId="CommentSubject">
    <w:name w:val="annotation subject"/>
    <w:basedOn w:val="CommentText"/>
    <w:next w:val="CommentText"/>
    <w:link w:val="CommentSubjectChar"/>
    <w:rsid w:val="00422C36"/>
    <w:rPr>
      <w:b/>
      <w:bCs/>
    </w:rPr>
  </w:style>
  <w:style w:type="character" w:customStyle="1" w:styleId="CommentSubjectChar">
    <w:name w:val="Comment Subject Char"/>
    <w:basedOn w:val="CommentTextChar"/>
    <w:link w:val="CommentSubject"/>
    <w:rsid w:val="00422C36"/>
    <w:rPr>
      <w:rFonts w:ascii="Times New Roman" w:eastAsia="SimSun" w:hAnsi="Times New Roman" w:cs="Times New Roman"/>
      <w:b/>
      <w:bCs/>
      <w:sz w:val="20"/>
      <w:szCs w:val="20"/>
      <w:lang w:val="x-none" w:eastAsia="zh-CN"/>
    </w:rPr>
  </w:style>
  <w:style w:type="table" w:styleId="TableGrid">
    <w:name w:val="Table Grid"/>
    <w:basedOn w:val="TableNormal"/>
    <w:rsid w:val="00422C36"/>
    <w:pPr>
      <w:spacing w:after="0" w:line="240" w:lineRule="auto"/>
    </w:pPr>
    <w:rPr>
      <w:rFonts w:ascii="Times New Roman" w:eastAsia="SimSun" w:hAnsi="Times New Roman" w:cs="Times New Roman"/>
      <w:sz w:val="20"/>
      <w:szCs w:val="20"/>
      <w:lang w:eastAsia="en-C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22C36"/>
    <w:pPr>
      <w:spacing w:after="0" w:line="240" w:lineRule="auto"/>
    </w:pPr>
  </w:style>
  <w:style w:type="paragraph" w:styleId="EndnoteText">
    <w:name w:val="endnote text"/>
    <w:basedOn w:val="Normal"/>
    <w:link w:val="EndnoteTextChar"/>
    <w:uiPriority w:val="99"/>
    <w:semiHidden/>
    <w:unhideWhenUsed/>
    <w:rsid w:val="001257E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257E7"/>
    <w:rPr>
      <w:sz w:val="20"/>
      <w:szCs w:val="20"/>
    </w:rPr>
  </w:style>
  <w:style w:type="character" w:styleId="EndnoteReference">
    <w:name w:val="endnote reference"/>
    <w:basedOn w:val="DefaultParagraphFont"/>
    <w:uiPriority w:val="99"/>
    <w:semiHidden/>
    <w:unhideWhenUsed/>
    <w:rsid w:val="001257E7"/>
    <w:rPr>
      <w:vertAlign w:val="superscript"/>
    </w:rPr>
  </w:style>
  <w:style w:type="paragraph" w:styleId="ListParagraph">
    <w:name w:val="List Paragraph"/>
    <w:basedOn w:val="Normal"/>
    <w:uiPriority w:val="34"/>
    <w:qFormat/>
    <w:rsid w:val="00543B55"/>
    <w:pPr>
      <w:ind w:left="720"/>
      <w:contextualSpacing/>
    </w:pPr>
  </w:style>
  <w:style w:type="paragraph" w:styleId="Caption">
    <w:name w:val="caption"/>
    <w:basedOn w:val="Normal"/>
    <w:next w:val="Normal"/>
    <w:uiPriority w:val="35"/>
    <w:unhideWhenUsed/>
    <w:qFormat/>
    <w:rsid w:val="00543B5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a801203.us.archive.org/26/items/artofsynthesis00leoa/artofsynthesis00leoa.pdf" TargetMode="External"/><Relationship Id="rId18" Type="http://schemas.openxmlformats.org/officeDocument/2006/relationships/hyperlink" Target="https://www.jstor.org/stable/j.ctt9qg5q5.1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stro.com/astrology/tma_article190314_e.htm"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loebclassics-com.ezproxy.uwtsd.ac.uk/view/plato-philosopher_timaeus/1929/pb_LCL234.47.xml?result=1&amp;rskey=sDwO2u"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ur01.safelinks.protection.outlook.com/?url=https%3A%2F%2Fia800204.us.archive.org%2F33%2Fitems%2Fin.ernet.dli.2015.128064%2F2015.128064.The-Progressed-Horoscope.pdf&amp;data=04%7C01%7C%7Cad89b947debf49e7fb4a08d8ab596836%7C4e0f11f9046e45059cb8db2152311e21%7C0%7C0%7C637447747807781388%7CUnknown%7CTWFpbGZsb3d8eyJWIjoiMC4wLjAwMDAiLCJQIjoiV2luMzIiLCJBTiI6Ik1haWwiLCJXVCI6Mn0%3D%7C1000&amp;sdata=CL8UJrH5nxR8QLFsdFF9BvYrOyMbD0CuyXqUowW%2FYmY%3D&amp;reserved=0" TargetMode="External"/><Relationship Id="rId20" Type="http://schemas.openxmlformats.org/officeDocument/2006/relationships/hyperlink" Target="https://www.jstor.org/stable/10.1525/rep.2006.95.1.1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eur01.safelinks.protection.outlook.com/?url=https%3A%2F%2Farchive.org%2Fdetails%2Fsaturnreaperbein00leoa%2Fpage%2Fn5%2Fmode%2F2up&amp;data=04%7C01%7C%7Cad89b947debf49e7fb4a08d8ab596836%7C4e0f11f9046e45059cb8db2152311e21%7C0%7C0%7C637447747807801388%7CUnknown%7CTWFpbGZsb3d8eyJWIjoiMC4wLjAwMDAiLCJQIjoiV2luMzIiLCJBTiI6Ik1haWwiLCJXVCI6Mn0%3D%7C1000&amp;sdata=1GGiiv5VBVEeMU19%2BwNB27sRPdtydP2PetmPoxu4tdU%3D&amp;reserved=0" TargetMode="External"/><Relationship Id="rId23" Type="http://schemas.openxmlformats.org/officeDocument/2006/relationships/hyperlink" Target="http://jewishencyclopedia.com/articles/12993-sahl" TargetMode="External"/><Relationship Id="rId10" Type="http://schemas.openxmlformats.org/officeDocument/2006/relationships/footer" Target="footer1.xml"/><Relationship Id="rId19" Type="http://schemas.openxmlformats.org/officeDocument/2006/relationships/hyperlink" Target="https://www.jstor.org/stable/j.ctt9qg5q5.18"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eur01.safelinks.protection.outlook.com/?url=https%3A%2F%2Farchive.org%2Fdetails%2Fin.ernet.dli.2015.170445&amp;data=04%7C01%7C%7Cad89b947debf49e7fb4a08d8ab596836%7C4e0f11f9046e45059cb8db2152311e21%7C0%7C0%7C637447747807791388%7CUnknown%7CTWFpbGZsb3d8eyJWIjoiMC4wLjAwMDAiLCJQIjoiV2luMzIiLCJBTiI6Ik1haWwiLCJXVCI6Mn0%3D%7C1000&amp;sdata=iU%2BzUNUz6qHfrxgT9c6tSKbuJMjiHEV5mjdNGXvW4AQ%3D&amp;reserved=0" TargetMode="External"/><Relationship Id="rId22" Type="http://schemas.openxmlformats.org/officeDocument/2006/relationships/hyperlink" Target="https://ia802608.us.archive.org/11/items/lifeworkofalanle00leob/lifeworkofalanle00leob.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0.1525/rep.2006.95.1.105" TargetMode="External"/><Relationship Id="rId7" Type="http://schemas.openxmlformats.org/officeDocument/2006/relationships/hyperlink" Target="https://www.jstor.org/stable/j.ctt9qg5q5.18" TargetMode="External"/><Relationship Id="rId2" Type="http://schemas.openxmlformats.org/officeDocument/2006/relationships/hyperlink" Target="https://ia801203.us.archive.org/26/items/artofsynthesis00leoa/artofsynthesis00leoa.pdf" TargetMode="External"/><Relationship Id="rId1" Type="http://schemas.openxmlformats.org/officeDocument/2006/relationships/hyperlink" Target="https://www-loebclassics-com.ezproxy.uwtsd.ac.uk/view/plato-philosopher_timaeus/1929/pb_LCL234.47.xml?result=1&amp;rskey=sDwO2u" TargetMode="External"/><Relationship Id="rId6" Type="http://schemas.openxmlformats.org/officeDocument/2006/relationships/hyperlink" Target="https://ia802608.us.archive.org/11/items/lifeworkofalanle00leob/lifeworkofalanle00leob.pdf" TargetMode="External"/><Relationship Id="rId5" Type="http://schemas.openxmlformats.org/officeDocument/2006/relationships/hyperlink" Target="http://jewishencyclopedia.com/articles/12993-sahl" TargetMode="External"/><Relationship Id="rId4" Type="http://schemas.openxmlformats.org/officeDocument/2006/relationships/hyperlink" Target="https://www.astro.com/astrology/tma_article190314_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3CD0A33-041E-48A1-86EE-F6782B702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4651</Words>
  <Characters>26511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Compare &amp; Contrast Essay</vt:lpstr>
    </vt:vector>
  </TitlesOfParts>
  <Company/>
  <LinksUpToDate>false</LinksUpToDate>
  <CharactersWithSpaces>31100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&amp; Contrast Essay</dc:title>
  <dc:subject/>
  <dc:creator>John Murray</dc:creator>
  <cp:keywords>JSTOR</cp:keywords>
  <dc:description/>
  <cp:lastModifiedBy>John Murray</cp:lastModifiedBy>
  <cp:revision>4</cp:revision>
  <cp:lastPrinted>2020-11-06T13:42:00Z</cp:lastPrinted>
  <dcterms:created xsi:type="dcterms:W3CDTF">2021-01-08T23:18:00Z</dcterms:created>
  <dcterms:modified xsi:type="dcterms:W3CDTF">2021-01-08T23:19:00Z</dcterms:modified>
</cp:coreProperties>
</file>