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5CA55" w14:textId="53A42606" w:rsidR="004D27D0" w:rsidRDefault="001B1EE3">
      <w:r>
        <w:t xml:space="preserve">    </w:t>
      </w:r>
    </w:p>
    <w:p w14:paraId="32E3204E" w14:textId="77777777" w:rsidR="001B1EE3" w:rsidRDefault="001B1EE3"/>
    <w:p w14:paraId="29CC286F" w14:textId="0E6FC51E" w:rsidR="001B1EE3" w:rsidRDefault="001B1EE3"/>
    <w:p w14:paraId="34447C20" w14:textId="77777777" w:rsidR="001B1EE3" w:rsidRDefault="001B1EE3"/>
    <w:p w14:paraId="51D528D7" w14:textId="450FF837" w:rsidR="00B14EA7" w:rsidRPr="00FB1095" w:rsidRDefault="009015E6" w:rsidP="00FB1095">
      <w:pPr>
        <w:jc w:val="center"/>
        <w:rPr>
          <w:b/>
          <w:bCs/>
          <w:sz w:val="28"/>
          <w:szCs w:val="28"/>
        </w:rPr>
      </w:pPr>
      <w:r>
        <w:rPr>
          <w:b/>
          <w:bCs/>
          <w:sz w:val="28"/>
          <w:szCs w:val="28"/>
        </w:rPr>
        <w:t xml:space="preserve">Title: </w:t>
      </w:r>
      <w:r w:rsidR="00071A89" w:rsidRPr="00071A89">
        <w:rPr>
          <w:b/>
          <w:bCs/>
          <w:sz w:val="28"/>
          <w:szCs w:val="28"/>
        </w:rPr>
        <w:t>Critical Evaluation of Key Entrepreneurial Traits and Motivations in the Hospitality Industry</w:t>
      </w:r>
    </w:p>
    <w:p w14:paraId="42B340A2" w14:textId="77777777" w:rsidR="001B1EE3" w:rsidRDefault="001B1EE3"/>
    <w:p w14:paraId="501F68B2" w14:textId="506B8B9E" w:rsidR="001B1EE3" w:rsidRPr="00B80429" w:rsidRDefault="00FB1095" w:rsidP="00FB1095">
      <w:pPr>
        <w:jc w:val="center"/>
        <w:rPr>
          <w:rFonts w:ascii="Arial" w:hAnsi="Arial" w:cs="Arial"/>
        </w:rPr>
      </w:pPr>
      <w:r>
        <w:rPr>
          <w:rFonts w:ascii="Arial" w:hAnsi="Arial" w:cs="Arial"/>
        </w:rPr>
        <w:t xml:space="preserve">Student </w:t>
      </w:r>
      <w:r w:rsidR="001B1EE3" w:rsidRPr="00B80429">
        <w:rPr>
          <w:rFonts w:ascii="Arial" w:hAnsi="Arial" w:cs="Arial"/>
        </w:rPr>
        <w:t>Name</w:t>
      </w:r>
      <w:r w:rsidR="005A0097">
        <w:rPr>
          <w:rFonts w:ascii="Arial" w:hAnsi="Arial" w:cs="Arial"/>
        </w:rPr>
        <w:t xml:space="preserve">: </w:t>
      </w:r>
      <w:r w:rsidR="00B80429" w:rsidRPr="00B80429">
        <w:rPr>
          <w:rFonts w:ascii="Arial" w:hAnsi="Arial" w:cs="Arial"/>
        </w:rPr>
        <w:t>Rekha Begum</w:t>
      </w:r>
    </w:p>
    <w:p w14:paraId="600041B0" w14:textId="12775E2E" w:rsidR="001B1EE3" w:rsidRPr="00B80429" w:rsidRDefault="001B1EE3" w:rsidP="00FB1095">
      <w:pPr>
        <w:jc w:val="center"/>
        <w:rPr>
          <w:rFonts w:ascii="Arial" w:hAnsi="Arial" w:cs="Arial"/>
        </w:rPr>
      </w:pPr>
      <w:r w:rsidRPr="00B80429">
        <w:rPr>
          <w:rFonts w:ascii="Arial" w:hAnsi="Arial" w:cs="Arial"/>
        </w:rPr>
        <w:t>Student ID number</w:t>
      </w:r>
      <w:r w:rsidR="005A0097">
        <w:rPr>
          <w:rFonts w:ascii="Arial" w:hAnsi="Arial" w:cs="Arial"/>
        </w:rPr>
        <w:t xml:space="preserve">: </w:t>
      </w:r>
      <w:r w:rsidR="00B80429" w:rsidRPr="00B80429">
        <w:rPr>
          <w:rFonts w:ascii="Arial" w:hAnsi="Arial" w:cs="Arial"/>
        </w:rPr>
        <w:t>2125644</w:t>
      </w:r>
    </w:p>
    <w:p w14:paraId="04E4F2A7" w14:textId="2723FBA9" w:rsidR="001B1EE3" w:rsidRPr="00B80429" w:rsidRDefault="001B1EE3" w:rsidP="00FB1095">
      <w:pPr>
        <w:jc w:val="center"/>
        <w:rPr>
          <w:rFonts w:ascii="Arial" w:hAnsi="Arial" w:cs="Arial"/>
        </w:rPr>
      </w:pPr>
      <w:r w:rsidRPr="00B80429">
        <w:rPr>
          <w:rFonts w:ascii="Arial" w:hAnsi="Arial" w:cs="Arial"/>
        </w:rPr>
        <w:t>Module Title</w:t>
      </w:r>
      <w:r w:rsidR="005A0097">
        <w:rPr>
          <w:rFonts w:ascii="Arial" w:hAnsi="Arial" w:cs="Arial"/>
        </w:rPr>
        <w:t>:</w:t>
      </w:r>
      <w:r w:rsidRPr="00B80429">
        <w:rPr>
          <w:rFonts w:ascii="Arial" w:hAnsi="Arial" w:cs="Arial"/>
        </w:rPr>
        <w:t xml:space="preserve"> BMIH5001 Entrepreneurship</w:t>
      </w:r>
    </w:p>
    <w:p w14:paraId="75675D22" w14:textId="7033D020" w:rsidR="009015E6" w:rsidRPr="00B80429" w:rsidRDefault="001B1EE3" w:rsidP="00FB1095">
      <w:pPr>
        <w:jc w:val="center"/>
        <w:rPr>
          <w:rFonts w:ascii="Arial" w:hAnsi="Arial" w:cs="Arial"/>
        </w:rPr>
      </w:pPr>
      <w:r w:rsidRPr="00B80429">
        <w:rPr>
          <w:rFonts w:ascii="Arial" w:hAnsi="Arial" w:cs="Arial"/>
        </w:rPr>
        <w:t>Lecturer’s name</w:t>
      </w:r>
      <w:r w:rsidR="005A0097">
        <w:rPr>
          <w:rFonts w:ascii="Arial" w:hAnsi="Arial" w:cs="Arial"/>
        </w:rPr>
        <w:t xml:space="preserve">: </w:t>
      </w:r>
      <w:r w:rsidR="00B80429" w:rsidRPr="00B80429">
        <w:rPr>
          <w:rFonts w:ascii="Arial" w:hAnsi="Arial" w:cs="Arial"/>
        </w:rPr>
        <w:t xml:space="preserve"> Christopher </w:t>
      </w:r>
      <w:r w:rsidR="00FB1095" w:rsidRPr="00B80429">
        <w:rPr>
          <w:rFonts w:ascii="Arial" w:hAnsi="Arial" w:cs="Arial"/>
        </w:rPr>
        <w:t>Wilkin</w:t>
      </w:r>
    </w:p>
    <w:p w14:paraId="484EAF95" w14:textId="77777777" w:rsidR="009015E6" w:rsidRPr="00B80429" w:rsidRDefault="009015E6">
      <w:pPr>
        <w:spacing w:line="276" w:lineRule="auto"/>
        <w:jc w:val="left"/>
        <w:rPr>
          <w:rFonts w:ascii="Arial" w:hAnsi="Arial" w:cs="Arial"/>
        </w:rPr>
      </w:pPr>
      <w:r w:rsidRPr="00B80429">
        <w:rPr>
          <w:rFonts w:ascii="Arial" w:hAnsi="Arial" w:cs="Arial"/>
        </w:rPr>
        <w:br w:type="page"/>
      </w:r>
    </w:p>
    <w:p w14:paraId="7EC62985" w14:textId="77777777" w:rsidR="001B1EE3" w:rsidRDefault="001B1EE3" w:rsidP="00B14EA7"/>
    <w:sdt>
      <w:sdtPr>
        <w:rPr>
          <w:rFonts w:ascii="Times New Roman" w:eastAsiaTheme="minorHAnsi" w:hAnsi="Times New Roman" w:cstheme="minorBidi"/>
          <w:color w:val="auto"/>
          <w:kern w:val="2"/>
          <w:sz w:val="24"/>
          <w:szCs w:val="22"/>
          <w:lang w:val="en-GB"/>
          <w14:ligatures w14:val="standardContextual"/>
        </w:rPr>
        <w:id w:val="-1355264608"/>
        <w:docPartObj>
          <w:docPartGallery w:val="Table of Contents"/>
          <w:docPartUnique/>
        </w:docPartObj>
      </w:sdtPr>
      <w:sdtEndPr>
        <w:rPr>
          <w:b/>
          <w:bCs/>
          <w:noProof/>
        </w:rPr>
      </w:sdtEndPr>
      <w:sdtContent>
        <w:p w14:paraId="70945F55" w14:textId="07B61A6A" w:rsidR="001B1EE3" w:rsidRDefault="001B1EE3">
          <w:pPr>
            <w:pStyle w:val="TOCHeading"/>
          </w:pPr>
          <w:r>
            <w:t>Table of Contents</w:t>
          </w:r>
        </w:p>
        <w:p w14:paraId="2B6C9D2B" w14:textId="19D72C03" w:rsidR="009A2121" w:rsidRPr="009A2121" w:rsidRDefault="001B1EE3">
          <w:pPr>
            <w:pStyle w:val="TOC1"/>
            <w:tabs>
              <w:tab w:val="right" w:leader="dot" w:pos="9350"/>
            </w:tabs>
            <w:rPr>
              <w:rFonts w:ascii="Arial" w:eastAsiaTheme="minorEastAsia" w:hAnsi="Arial" w:cs="Arial"/>
              <w:noProof/>
              <w:szCs w:val="24"/>
              <w:lang w:eastAsia="en-GB"/>
            </w:rPr>
          </w:pPr>
          <w:r w:rsidRPr="009A2121">
            <w:rPr>
              <w:rFonts w:ascii="Arial" w:hAnsi="Arial" w:cs="Arial"/>
            </w:rPr>
            <w:fldChar w:fldCharType="begin"/>
          </w:r>
          <w:r w:rsidRPr="009A2121">
            <w:rPr>
              <w:rFonts w:ascii="Arial" w:hAnsi="Arial" w:cs="Arial"/>
            </w:rPr>
            <w:instrText xml:space="preserve"> TOC \o "1-3" \h \z \u </w:instrText>
          </w:r>
          <w:r w:rsidRPr="009A2121">
            <w:rPr>
              <w:rFonts w:ascii="Arial" w:hAnsi="Arial" w:cs="Arial"/>
            </w:rPr>
            <w:fldChar w:fldCharType="separate"/>
          </w:r>
          <w:hyperlink w:anchor="_Toc191402784" w:history="1">
            <w:r w:rsidR="009A2121" w:rsidRPr="009A2121">
              <w:rPr>
                <w:rStyle w:val="Hyperlink"/>
                <w:rFonts w:ascii="Arial" w:hAnsi="Arial" w:cs="Arial"/>
                <w:noProof/>
              </w:rPr>
              <w:t>Introduction</w:t>
            </w:r>
            <w:r w:rsidR="009A2121" w:rsidRPr="009A2121">
              <w:rPr>
                <w:rFonts w:ascii="Arial" w:hAnsi="Arial" w:cs="Arial"/>
                <w:noProof/>
                <w:webHidden/>
              </w:rPr>
              <w:tab/>
            </w:r>
            <w:r w:rsidR="009A2121" w:rsidRPr="009A2121">
              <w:rPr>
                <w:rFonts w:ascii="Arial" w:hAnsi="Arial" w:cs="Arial"/>
                <w:noProof/>
                <w:webHidden/>
              </w:rPr>
              <w:fldChar w:fldCharType="begin"/>
            </w:r>
            <w:r w:rsidR="009A2121" w:rsidRPr="009A2121">
              <w:rPr>
                <w:rFonts w:ascii="Arial" w:hAnsi="Arial" w:cs="Arial"/>
                <w:noProof/>
                <w:webHidden/>
              </w:rPr>
              <w:instrText xml:space="preserve"> PAGEREF _Toc191402784 \h </w:instrText>
            </w:r>
            <w:r w:rsidR="009A2121" w:rsidRPr="009A2121">
              <w:rPr>
                <w:rFonts w:ascii="Arial" w:hAnsi="Arial" w:cs="Arial"/>
                <w:noProof/>
                <w:webHidden/>
              </w:rPr>
            </w:r>
            <w:r w:rsidR="009A2121" w:rsidRPr="009A2121">
              <w:rPr>
                <w:rFonts w:ascii="Arial" w:hAnsi="Arial" w:cs="Arial"/>
                <w:noProof/>
                <w:webHidden/>
              </w:rPr>
              <w:fldChar w:fldCharType="separate"/>
            </w:r>
            <w:r w:rsidR="009A2121" w:rsidRPr="009A2121">
              <w:rPr>
                <w:rFonts w:ascii="Arial" w:hAnsi="Arial" w:cs="Arial"/>
                <w:noProof/>
                <w:webHidden/>
              </w:rPr>
              <w:t>2</w:t>
            </w:r>
            <w:r w:rsidR="009A2121" w:rsidRPr="009A2121">
              <w:rPr>
                <w:rFonts w:ascii="Arial" w:hAnsi="Arial" w:cs="Arial"/>
                <w:noProof/>
                <w:webHidden/>
              </w:rPr>
              <w:fldChar w:fldCharType="end"/>
            </w:r>
          </w:hyperlink>
        </w:p>
        <w:p w14:paraId="00D63FB6" w14:textId="4956A420" w:rsidR="009A2121" w:rsidRPr="009A2121" w:rsidRDefault="009A2121">
          <w:pPr>
            <w:pStyle w:val="TOC1"/>
            <w:tabs>
              <w:tab w:val="right" w:leader="dot" w:pos="9350"/>
            </w:tabs>
            <w:rPr>
              <w:rFonts w:ascii="Arial" w:eastAsiaTheme="minorEastAsia" w:hAnsi="Arial" w:cs="Arial"/>
              <w:noProof/>
              <w:szCs w:val="24"/>
              <w:lang w:eastAsia="en-GB"/>
            </w:rPr>
          </w:pPr>
          <w:hyperlink w:anchor="_Toc191402785" w:history="1">
            <w:r w:rsidRPr="009A2121">
              <w:rPr>
                <w:rStyle w:val="Hyperlink"/>
                <w:rFonts w:ascii="Arial" w:hAnsi="Arial" w:cs="Arial"/>
                <w:noProof/>
              </w:rPr>
              <w:t>Main Body</w:t>
            </w:r>
            <w:r w:rsidRPr="009A2121">
              <w:rPr>
                <w:rFonts w:ascii="Arial" w:hAnsi="Arial" w:cs="Arial"/>
                <w:noProof/>
                <w:webHidden/>
              </w:rPr>
              <w:tab/>
            </w:r>
            <w:r w:rsidRPr="009A2121">
              <w:rPr>
                <w:rFonts w:ascii="Arial" w:hAnsi="Arial" w:cs="Arial"/>
                <w:noProof/>
                <w:webHidden/>
              </w:rPr>
              <w:fldChar w:fldCharType="begin"/>
            </w:r>
            <w:r w:rsidRPr="009A2121">
              <w:rPr>
                <w:rFonts w:ascii="Arial" w:hAnsi="Arial" w:cs="Arial"/>
                <w:noProof/>
                <w:webHidden/>
              </w:rPr>
              <w:instrText xml:space="preserve"> PAGEREF _Toc191402785 \h </w:instrText>
            </w:r>
            <w:r w:rsidRPr="009A2121">
              <w:rPr>
                <w:rFonts w:ascii="Arial" w:hAnsi="Arial" w:cs="Arial"/>
                <w:noProof/>
                <w:webHidden/>
              </w:rPr>
            </w:r>
            <w:r w:rsidRPr="009A2121">
              <w:rPr>
                <w:rFonts w:ascii="Arial" w:hAnsi="Arial" w:cs="Arial"/>
                <w:noProof/>
                <w:webHidden/>
              </w:rPr>
              <w:fldChar w:fldCharType="separate"/>
            </w:r>
            <w:r w:rsidRPr="009A2121">
              <w:rPr>
                <w:rFonts w:ascii="Arial" w:hAnsi="Arial" w:cs="Arial"/>
                <w:noProof/>
                <w:webHidden/>
              </w:rPr>
              <w:t>3</w:t>
            </w:r>
            <w:r w:rsidRPr="009A2121">
              <w:rPr>
                <w:rFonts w:ascii="Arial" w:hAnsi="Arial" w:cs="Arial"/>
                <w:noProof/>
                <w:webHidden/>
              </w:rPr>
              <w:fldChar w:fldCharType="end"/>
            </w:r>
          </w:hyperlink>
        </w:p>
        <w:p w14:paraId="3656C85D" w14:textId="1562B14E" w:rsidR="009A2121" w:rsidRPr="009A2121" w:rsidRDefault="009A2121">
          <w:pPr>
            <w:pStyle w:val="TOC1"/>
            <w:tabs>
              <w:tab w:val="right" w:leader="dot" w:pos="9350"/>
            </w:tabs>
            <w:rPr>
              <w:rFonts w:ascii="Arial" w:eastAsiaTheme="minorEastAsia" w:hAnsi="Arial" w:cs="Arial"/>
              <w:noProof/>
              <w:szCs w:val="24"/>
              <w:lang w:eastAsia="en-GB"/>
            </w:rPr>
          </w:pPr>
          <w:hyperlink w:anchor="_Toc191402786" w:history="1">
            <w:r w:rsidRPr="009A2121">
              <w:rPr>
                <w:rStyle w:val="Hyperlink"/>
                <w:rFonts w:ascii="Arial" w:hAnsi="Arial" w:cs="Arial"/>
                <w:noProof/>
              </w:rPr>
              <w:t>Conclusion</w:t>
            </w:r>
            <w:r w:rsidRPr="009A2121">
              <w:rPr>
                <w:rFonts w:ascii="Arial" w:hAnsi="Arial" w:cs="Arial"/>
                <w:noProof/>
                <w:webHidden/>
              </w:rPr>
              <w:tab/>
            </w:r>
            <w:r w:rsidRPr="009A2121">
              <w:rPr>
                <w:rFonts w:ascii="Arial" w:hAnsi="Arial" w:cs="Arial"/>
                <w:noProof/>
                <w:webHidden/>
              </w:rPr>
              <w:fldChar w:fldCharType="begin"/>
            </w:r>
            <w:r w:rsidRPr="009A2121">
              <w:rPr>
                <w:rFonts w:ascii="Arial" w:hAnsi="Arial" w:cs="Arial"/>
                <w:noProof/>
                <w:webHidden/>
              </w:rPr>
              <w:instrText xml:space="preserve"> PAGEREF _Toc191402786 \h </w:instrText>
            </w:r>
            <w:r w:rsidRPr="009A2121">
              <w:rPr>
                <w:rFonts w:ascii="Arial" w:hAnsi="Arial" w:cs="Arial"/>
                <w:noProof/>
                <w:webHidden/>
              </w:rPr>
            </w:r>
            <w:r w:rsidRPr="009A2121">
              <w:rPr>
                <w:rFonts w:ascii="Arial" w:hAnsi="Arial" w:cs="Arial"/>
                <w:noProof/>
                <w:webHidden/>
              </w:rPr>
              <w:fldChar w:fldCharType="separate"/>
            </w:r>
            <w:r w:rsidRPr="009A2121">
              <w:rPr>
                <w:rFonts w:ascii="Arial" w:hAnsi="Arial" w:cs="Arial"/>
                <w:noProof/>
                <w:webHidden/>
              </w:rPr>
              <w:t>9</w:t>
            </w:r>
            <w:r w:rsidRPr="009A2121">
              <w:rPr>
                <w:rFonts w:ascii="Arial" w:hAnsi="Arial" w:cs="Arial"/>
                <w:noProof/>
                <w:webHidden/>
              </w:rPr>
              <w:fldChar w:fldCharType="end"/>
            </w:r>
          </w:hyperlink>
        </w:p>
        <w:p w14:paraId="3A5167CF" w14:textId="2D781A11" w:rsidR="009A2121" w:rsidRPr="009A2121" w:rsidRDefault="009A2121">
          <w:pPr>
            <w:pStyle w:val="TOC1"/>
            <w:tabs>
              <w:tab w:val="right" w:leader="dot" w:pos="9350"/>
            </w:tabs>
            <w:rPr>
              <w:rFonts w:ascii="Arial" w:eastAsiaTheme="minorEastAsia" w:hAnsi="Arial" w:cs="Arial"/>
              <w:noProof/>
              <w:szCs w:val="24"/>
              <w:lang w:eastAsia="en-GB"/>
            </w:rPr>
          </w:pPr>
          <w:hyperlink w:anchor="_Toc191402787" w:history="1">
            <w:r w:rsidRPr="009A2121">
              <w:rPr>
                <w:rStyle w:val="Hyperlink"/>
                <w:rFonts w:ascii="Arial" w:hAnsi="Arial" w:cs="Arial"/>
                <w:noProof/>
              </w:rPr>
              <w:t>Reference List</w:t>
            </w:r>
            <w:r w:rsidRPr="009A2121">
              <w:rPr>
                <w:rFonts w:ascii="Arial" w:hAnsi="Arial" w:cs="Arial"/>
                <w:noProof/>
                <w:webHidden/>
              </w:rPr>
              <w:tab/>
            </w:r>
            <w:r w:rsidRPr="009A2121">
              <w:rPr>
                <w:rFonts w:ascii="Arial" w:hAnsi="Arial" w:cs="Arial"/>
                <w:noProof/>
                <w:webHidden/>
              </w:rPr>
              <w:fldChar w:fldCharType="begin"/>
            </w:r>
            <w:r w:rsidRPr="009A2121">
              <w:rPr>
                <w:rFonts w:ascii="Arial" w:hAnsi="Arial" w:cs="Arial"/>
                <w:noProof/>
                <w:webHidden/>
              </w:rPr>
              <w:instrText xml:space="preserve"> PAGEREF _Toc191402787 \h </w:instrText>
            </w:r>
            <w:r w:rsidRPr="009A2121">
              <w:rPr>
                <w:rFonts w:ascii="Arial" w:hAnsi="Arial" w:cs="Arial"/>
                <w:noProof/>
                <w:webHidden/>
              </w:rPr>
            </w:r>
            <w:r w:rsidRPr="009A2121">
              <w:rPr>
                <w:rFonts w:ascii="Arial" w:hAnsi="Arial" w:cs="Arial"/>
                <w:noProof/>
                <w:webHidden/>
              </w:rPr>
              <w:fldChar w:fldCharType="separate"/>
            </w:r>
            <w:r w:rsidRPr="009A2121">
              <w:rPr>
                <w:rFonts w:ascii="Arial" w:hAnsi="Arial" w:cs="Arial"/>
                <w:noProof/>
                <w:webHidden/>
              </w:rPr>
              <w:t>10</w:t>
            </w:r>
            <w:r w:rsidRPr="009A2121">
              <w:rPr>
                <w:rFonts w:ascii="Arial" w:hAnsi="Arial" w:cs="Arial"/>
                <w:noProof/>
                <w:webHidden/>
              </w:rPr>
              <w:fldChar w:fldCharType="end"/>
            </w:r>
          </w:hyperlink>
        </w:p>
        <w:p w14:paraId="071A39CB" w14:textId="60085533" w:rsidR="001B1EE3" w:rsidRDefault="001B1EE3">
          <w:r w:rsidRPr="009A2121">
            <w:rPr>
              <w:rFonts w:ascii="Arial" w:hAnsi="Arial" w:cs="Arial"/>
              <w:b/>
              <w:bCs/>
              <w:noProof/>
            </w:rPr>
            <w:fldChar w:fldCharType="end"/>
          </w:r>
        </w:p>
      </w:sdtContent>
    </w:sdt>
    <w:p w14:paraId="2B937CB3" w14:textId="28D57417" w:rsidR="001B1EE3" w:rsidRDefault="001B1EE3">
      <w:pPr>
        <w:spacing w:line="276" w:lineRule="auto"/>
        <w:jc w:val="left"/>
      </w:pPr>
      <w:r>
        <w:br w:type="page"/>
      </w:r>
    </w:p>
    <w:p w14:paraId="0614B7CB" w14:textId="77777777" w:rsidR="001B1EE3" w:rsidRPr="0074458B" w:rsidRDefault="001B1EE3" w:rsidP="001B1EE3">
      <w:pPr>
        <w:pStyle w:val="Heading1"/>
        <w:rPr>
          <w:color w:val="000000" w:themeColor="text1"/>
        </w:rPr>
      </w:pPr>
      <w:bookmarkStart w:id="0" w:name="_Toc191402784"/>
      <w:r w:rsidRPr="0074458B">
        <w:rPr>
          <w:color w:val="000000" w:themeColor="text1"/>
        </w:rPr>
        <w:lastRenderedPageBreak/>
        <w:t>Introduction</w:t>
      </w:r>
      <w:bookmarkEnd w:id="0"/>
    </w:p>
    <w:p w14:paraId="7A061665" w14:textId="51F2099B" w:rsidR="001B1EE3" w:rsidRPr="00B80429" w:rsidRDefault="001B1EE3" w:rsidP="001B1EE3">
      <w:pPr>
        <w:rPr>
          <w:rFonts w:ascii="Arial" w:hAnsi="Arial" w:cs="Arial"/>
          <w:color w:val="000000" w:themeColor="text1"/>
        </w:rPr>
      </w:pPr>
      <w:r w:rsidRPr="00B80429">
        <w:rPr>
          <w:rFonts w:ascii="Arial" w:hAnsi="Arial" w:cs="Arial"/>
          <w:color w:val="000000" w:themeColor="text1"/>
        </w:rPr>
        <w:t>Entrepreneurship acts as a prime stimulator of innovation and growth of the global hospitality industry, being one of the key factors that characterise the competitive environment and promote the emergence of breakthrough business models</w:t>
      </w:r>
      <w:r w:rsidR="00B14EA7" w:rsidRPr="00B80429">
        <w:rPr>
          <w:rFonts w:ascii="Arial" w:hAnsi="Arial" w:cs="Arial"/>
          <w:color w:val="000000" w:themeColor="text1"/>
        </w:rPr>
        <w:t xml:space="preserve"> (Ismail, 2022)</w:t>
      </w:r>
      <w:r w:rsidRPr="00B80429">
        <w:rPr>
          <w:rFonts w:ascii="Arial" w:hAnsi="Arial" w:cs="Arial"/>
          <w:color w:val="000000" w:themeColor="text1"/>
        </w:rPr>
        <w:t>. This essay attempts to critically study some entrepreneurial attributes, motivations and traits that are associated with success in entrepreneurship with special references to the implementation in the hospitality sector. Based on the established theories and models, the paper focuses on showing how these attributes contributed to the highs of other entrepreneurs.</w:t>
      </w:r>
    </w:p>
    <w:p w14:paraId="56735A37" w14:textId="09839208" w:rsidR="001B1EE3" w:rsidRPr="00B80429" w:rsidRDefault="001B1EE3" w:rsidP="001B1EE3">
      <w:pPr>
        <w:rPr>
          <w:rFonts w:ascii="Arial" w:hAnsi="Arial" w:cs="Arial"/>
          <w:color w:val="000000" w:themeColor="text1"/>
        </w:rPr>
      </w:pPr>
      <w:r w:rsidRPr="00B80429">
        <w:rPr>
          <w:rFonts w:ascii="Arial" w:hAnsi="Arial" w:cs="Arial"/>
          <w:color w:val="000000" w:themeColor="text1"/>
        </w:rPr>
        <w:t>In this case, four major entrepreneurial traits and motivations that will be analysed include innovation and creativity, risk-taking, resilience and perseverance, and opportunity recognition, which are all viewed under the study of some proper academic frames. These traits will be integrated to illustrate the practical significance of the traits through real-world examples of successful entrepreneurs from all demographic and geographic areas in the hospitality industry.</w:t>
      </w:r>
    </w:p>
    <w:p w14:paraId="1FD35419" w14:textId="408523D0" w:rsidR="001B1EE3" w:rsidRPr="00B80429" w:rsidRDefault="001B1EE3" w:rsidP="001B1EE3">
      <w:pPr>
        <w:rPr>
          <w:rFonts w:ascii="Arial" w:hAnsi="Arial" w:cs="Arial"/>
          <w:color w:val="000000" w:themeColor="text1"/>
        </w:rPr>
      </w:pPr>
      <w:r w:rsidRPr="00B80429">
        <w:rPr>
          <w:rFonts w:ascii="Arial" w:hAnsi="Arial" w:cs="Arial"/>
          <w:color w:val="000000" w:themeColor="text1"/>
        </w:rPr>
        <w:t>Additionally, the essay will compare and contrast these attributes of an entrepreneur and assess their combined effect and importance in driving sustained business success.</w:t>
      </w:r>
    </w:p>
    <w:p w14:paraId="4EBBB2A9" w14:textId="77777777" w:rsidR="001B1EE3" w:rsidRPr="0074458B" w:rsidRDefault="001B1EE3">
      <w:pPr>
        <w:spacing w:line="276" w:lineRule="auto"/>
        <w:jc w:val="left"/>
        <w:rPr>
          <w:color w:val="000000" w:themeColor="text1"/>
        </w:rPr>
      </w:pPr>
      <w:r w:rsidRPr="0074458B">
        <w:rPr>
          <w:color w:val="000000" w:themeColor="text1"/>
        </w:rPr>
        <w:br w:type="page"/>
      </w:r>
    </w:p>
    <w:p w14:paraId="6D390BC3" w14:textId="74E89556" w:rsidR="001B1EE3" w:rsidRPr="0074458B" w:rsidRDefault="001B1EE3" w:rsidP="001B1EE3">
      <w:pPr>
        <w:pStyle w:val="Heading1"/>
        <w:rPr>
          <w:color w:val="000000" w:themeColor="text1"/>
        </w:rPr>
      </w:pPr>
      <w:bookmarkStart w:id="1" w:name="_Toc191402785"/>
      <w:r w:rsidRPr="0074458B">
        <w:rPr>
          <w:color w:val="000000" w:themeColor="text1"/>
        </w:rPr>
        <w:lastRenderedPageBreak/>
        <w:t>Main Body</w:t>
      </w:r>
      <w:bookmarkEnd w:id="1"/>
    </w:p>
    <w:p w14:paraId="546319D9" w14:textId="77777777" w:rsidR="005632A3" w:rsidRPr="0074458B" w:rsidRDefault="005632A3" w:rsidP="005632A3">
      <w:pPr>
        <w:rPr>
          <w:b/>
          <w:bCs/>
          <w:color w:val="000000" w:themeColor="text1"/>
        </w:rPr>
      </w:pPr>
      <w:r w:rsidRPr="0074458B">
        <w:rPr>
          <w:b/>
          <w:bCs/>
          <w:color w:val="000000" w:themeColor="text1"/>
        </w:rPr>
        <w:t>Trait/Motivation 1: Innovation and Creativity</w:t>
      </w:r>
    </w:p>
    <w:p w14:paraId="47B70C38" w14:textId="6BEA109A" w:rsidR="005632A3" w:rsidRPr="00B80429" w:rsidRDefault="005632A3" w:rsidP="005632A3">
      <w:pPr>
        <w:rPr>
          <w:rFonts w:ascii="Arial" w:hAnsi="Arial" w:cs="Arial"/>
          <w:color w:val="000000" w:themeColor="text1"/>
        </w:rPr>
      </w:pPr>
      <w:r w:rsidRPr="00B80429">
        <w:rPr>
          <w:rFonts w:ascii="Arial" w:hAnsi="Arial" w:cs="Arial"/>
          <w:color w:val="000000" w:themeColor="text1"/>
        </w:rPr>
        <w:t>Fundamental traits among successful entrepreneurs in the hospitality industry are innovation and creativity. These attributes allow entrepreneurs to introduce new concepts, create unique products, and gain competitive advantages in a market ever more saturated. Typically, innovation is defined as the process of introducing new ideas, methods and products into production to create value (Schumpeter, 1934). However, creativity is the ability to generate original ideas and solutions which can act as a precursor to innovation (Drucker, 1985). Together, these traits help entrepreneurs to react quickly to changing consumer preferences, set them apart from other competitors and keep them updated with the fast-paced changing business environment.</w:t>
      </w:r>
    </w:p>
    <w:p w14:paraId="7EA81959" w14:textId="0061D44C" w:rsidR="005632A3" w:rsidRPr="00B80429" w:rsidRDefault="005632A3" w:rsidP="005632A3">
      <w:pPr>
        <w:rPr>
          <w:rFonts w:ascii="Arial" w:hAnsi="Arial" w:cs="Arial"/>
          <w:color w:val="000000" w:themeColor="text1"/>
        </w:rPr>
      </w:pPr>
      <w:r w:rsidRPr="00B80429">
        <w:rPr>
          <w:rFonts w:ascii="Arial" w:hAnsi="Arial" w:cs="Arial"/>
          <w:color w:val="000000" w:themeColor="text1"/>
        </w:rPr>
        <w:t>The seminal framework from Schumpeter’s Theory of Innovation (1934) describing the role of entrepreneurship innovation is great. According to Schumpeter, entrepreneurs are agents of ‘creative destruction’, a newly constructed means to create economic development by destroying the current market with new products and services. In essence, this theory is based on the presumption that entrepreneurial success is whatever it takes to break away from the traditional ways and become a pioneer in a new approach. For instance, hospitality in the context of innovation and creativity is married to product differentiation, service enhancement, as well as the crafting of memorable customer experiences (Fritsch, 2017).</w:t>
      </w:r>
    </w:p>
    <w:p w14:paraId="11E163BF" w14:textId="4E32E39D" w:rsidR="005632A3" w:rsidRPr="00B80429" w:rsidRDefault="005632A3" w:rsidP="005632A3">
      <w:pPr>
        <w:rPr>
          <w:rFonts w:ascii="Arial" w:hAnsi="Arial" w:cs="Arial"/>
          <w:color w:val="000000" w:themeColor="text1"/>
        </w:rPr>
      </w:pPr>
      <w:r w:rsidRPr="00B80429">
        <w:rPr>
          <w:rFonts w:ascii="Arial" w:hAnsi="Arial" w:cs="Arial"/>
          <w:color w:val="000000" w:themeColor="text1"/>
        </w:rPr>
        <w:t>Ferran Adrià is a good example of this trait: the celebrated Spanish chef who has been associated with El Bulli, a restaurant known as the first trailblazers in molecular gastronomy (The Best Chef, 2023). By combining scientific techniques with culinary artistry, Adrià revolutionised haute cuisine by introducing dishes that upset the traditional food norms. His ingenuity not only paved the way for new terminology in fine dining but also made El Bulli a global consummate culinary destination to name a few. Adrià’s success underlines the role of innovation as a tool for the rise of hospitality business to global recognition.</w:t>
      </w:r>
    </w:p>
    <w:p w14:paraId="70C83214" w14:textId="087B6946" w:rsidR="005632A3" w:rsidRPr="00B80429" w:rsidRDefault="005632A3" w:rsidP="005632A3">
      <w:pPr>
        <w:rPr>
          <w:rFonts w:ascii="Arial" w:hAnsi="Arial" w:cs="Arial"/>
          <w:color w:val="000000" w:themeColor="text1"/>
        </w:rPr>
      </w:pPr>
      <w:r w:rsidRPr="00B80429">
        <w:rPr>
          <w:rFonts w:ascii="Arial" w:hAnsi="Arial" w:cs="Arial"/>
          <w:color w:val="000000" w:themeColor="text1"/>
        </w:rPr>
        <w:lastRenderedPageBreak/>
        <w:t>While the pursuit of innovation and creativity isn’t always possible, the road can be quite in need of public works projects. Too much novelty may establish an operational complexity, incur costs, and alienate existing customers. For example, Adrià’s experimental cuisine hauled the restaurant in the 21st century under financial difficulties and unsustainable business practices, it was closed down in 2011 (The Best Chef, 2023). The importance of business for innovation while maintaining financial soundness is a lesson well highlighted on this page.</w:t>
      </w:r>
    </w:p>
    <w:p w14:paraId="1A865A21" w14:textId="21290102" w:rsidR="005632A3" w:rsidRPr="00B80429" w:rsidRDefault="005632A3" w:rsidP="005632A3">
      <w:pPr>
        <w:rPr>
          <w:rFonts w:ascii="Arial" w:hAnsi="Arial" w:cs="Arial"/>
          <w:color w:val="000000" w:themeColor="text1"/>
        </w:rPr>
      </w:pPr>
      <w:r w:rsidRPr="00B80429">
        <w:rPr>
          <w:rFonts w:ascii="Arial" w:hAnsi="Arial" w:cs="Arial"/>
          <w:color w:val="000000" w:themeColor="text1"/>
        </w:rPr>
        <w:t>Innovation is usually associated with risk-taking and resilience. Adrià’s entrepreneurial approach was to admit uncertainty, for it was taking a risk. It was also resiliency to the criticism and the financial pressures. Therefore, though innovation and creativity are strong forces behind entrepreneurial success, they are most effective as collaborators with calculated risk-taking and substantive endurance.</w:t>
      </w:r>
    </w:p>
    <w:p w14:paraId="489686A0" w14:textId="77777777" w:rsidR="00656BA8" w:rsidRPr="0074458B" w:rsidRDefault="00656BA8" w:rsidP="00656BA8">
      <w:pPr>
        <w:rPr>
          <w:b/>
          <w:bCs/>
          <w:color w:val="000000" w:themeColor="text1"/>
        </w:rPr>
      </w:pPr>
      <w:r w:rsidRPr="0074458B">
        <w:rPr>
          <w:b/>
          <w:bCs/>
          <w:color w:val="000000" w:themeColor="text1"/>
        </w:rPr>
        <w:t>Trait/Motivation 2: Risk-taking Propensity</w:t>
      </w:r>
    </w:p>
    <w:p w14:paraId="09F01C29" w14:textId="67C3BBEC" w:rsidR="00656BA8" w:rsidRPr="00B80429" w:rsidRDefault="00656BA8" w:rsidP="00656BA8">
      <w:pPr>
        <w:rPr>
          <w:rFonts w:ascii="Arial" w:hAnsi="Arial" w:cs="Arial"/>
          <w:color w:val="000000" w:themeColor="text1"/>
        </w:rPr>
      </w:pPr>
      <w:r w:rsidRPr="00B80429">
        <w:rPr>
          <w:rFonts w:ascii="Arial" w:hAnsi="Arial" w:cs="Arial"/>
          <w:color w:val="000000" w:themeColor="text1"/>
        </w:rPr>
        <w:t>Entrepreneurs show a defining trait of risk-taking propensity which serves well in the hospitality field because they need significant initial investment alongside variable customer behaviour. People who operate businesses dedicate funds to ambiguous prospects that lead to achievement. Entrepreneurs who take risks confidently will undertake unproven market strategies innovative development ventures and cross-market expansions although a chance for failure exists</w:t>
      </w:r>
      <w:r w:rsidR="00FE678E" w:rsidRPr="00B80429">
        <w:rPr>
          <w:rFonts w:ascii="Arial" w:hAnsi="Arial" w:cs="Arial"/>
          <w:color w:val="000000" w:themeColor="text1"/>
        </w:rPr>
        <w:t xml:space="preserve"> (Thornton, 2020)</w:t>
      </w:r>
      <w:r w:rsidRPr="00B80429">
        <w:rPr>
          <w:rFonts w:ascii="Arial" w:hAnsi="Arial" w:cs="Arial"/>
          <w:color w:val="000000" w:themeColor="text1"/>
        </w:rPr>
        <w:t>.</w:t>
      </w:r>
    </w:p>
    <w:p w14:paraId="3626A04D" w14:textId="3A222C0E" w:rsidR="00656BA8" w:rsidRPr="00B80429" w:rsidRDefault="00656BA8" w:rsidP="00656BA8">
      <w:pPr>
        <w:rPr>
          <w:rFonts w:ascii="Arial" w:hAnsi="Arial" w:cs="Arial"/>
          <w:color w:val="000000" w:themeColor="text1"/>
        </w:rPr>
      </w:pPr>
      <w:r w:rsidRPr="00B80429">
        <w:rPr>
          <w:rFonts w:ascii="Arial" w:hAnsi="Arial" w:cs="Arial"/>
          <w:color w:val="000000" w:themeColor="text1"/>
        </w:rPr>
        <w:t>Being aware of this character trait from the start allows one to recogni</w:t>
      </w:r>
      <w:r w:rsidR="00071A89" w:rsidRPr="00B80429">
        <w:rPr>
          <w:rFonts w:ascii="Arial" w:hAnsi="Arial" w:cs="Arial"/>
          <w:color w:val="000000" w:themeColor="text1"/>
        </w:rPr>
        <w:t>s</w:t>
      </w:r>
      <w:r w:rsidRPr="00B80429">
        <w:rPr>
          <w:rFonts w:ascii="Arial" w:hAnsi="Arial" w:cs="Arial"/>
          <w:color w:val="000000" w:themeColor="text1"/>
        </w:rPr>
        <w:t xml:space="preserve">e entrepreneurs as risk-taking individuals versus employees who receive stable </w:t>
      </w:r>
      <w:proofErr w:type="spellStart"/>
      <w:r w:rsidR="00764302" w:rsidRPr="00B80429">
        <w:rPr>
          <w:rFonts w:ascii="Arial" w:hAnsi="Arial" w:cs="Arial"/>
          <w:color w:val="000000" w:themeColor="text1"/>
        </w:rPr>
        <w:t>paychecks</w:t>
      </w:r>
      <w:proofErr w:type="spellEnd"/>
      <w:r w:rsidRPr="00B80429">
        <w:rPr>
          <w:rFonts w:ascii="Arial" w:hAnsi="Arial" w:cs="Arial"/>
          <w:color w:val="000000" w:themeColor="text1"/>
        </w:rPr>
        <w:t>. Under conditions of market uncertainty entrepreneurs undertake financial risks from market condition changes. Experts developed the understanding by making a distinction between measurable risks and uncertain situations</w:t>
      </w:r>
      <w:r w:rsidR="00887530" w:rsidRPr="00B80429">
        <w:rPr>
          <w:rFonts w:ascii="Arial" w:hAnsi="Arial" w:cs="Arial"/>
          <w:color w:val="000000" w:themeColor="text1"/>
        </w:rPr>
        <w:t xml:space="preserve"> (McMullen and Shepherd, 2016)</w:t>
      </w:r>
      <w:r w:rsidRPr="00B80429">
        <w:rPr>
          <w:rFonts w:ascii="Arial" w:hAnsi="Arial" w:cs="Arial"/>
          <w:color w:val="000000" w:themeColor="text1"/>
        </w:rPr>
        <w:t>. The ability of entrepreneurs to make proper decisions under uncertain conditions results in reward recognition because experience and instinct guide their risk evaluation process</w:t>
      </w:r>
      <w:r w:rsidR="00887530" w:rsidRPr="00B80429">
        <w:rPr>
          <w:rFonts w:ascii="Arial" w:hAnsi="Arial" w:cs="Arial"/>
          <w:color w:val="000000" w:themeColor="text1"/>
        </w:rPr>
        <w:t>.</w:t>
      </w:r>
    </w:p>
    <w:p w14:paraId="79479E94" w14:textId="2E3EED0A" w:rsidR="00656BA8" w:rsidRPr="00B80429" w:rsidRDefault="00656BA8" w:rsidP="00656BA8">
      <w:pPr>
        <w:rPr>
          <w:rFonts w:ascii="Arial" w:hAnsi="Arial" w:cs="Arial"/>
          <w:color w:val="000000" w:themeColor="text1"/>
        </w:rPr>
      </w:pPr>
      <w:r w:rsidRPr="00B80429">
        <w:rPr>
          <w:rFonts w:ascii="Arial" w:hAnsi="Arial" w:cs="Arial"/>
          <w:color w:val="000000" w:themeColor="text1"/>
        </w:rPr>
        <w:t xml:space="preserve">Sir Richard Branson represents the epitome of risk-taking as he built his entrepreneurial career. Virgin Hotels was created by Branson who developed this new hospitality business during a time when he had no previous experience working within the hotel </w:t>
      </w:r>
      <w:r w:rsidRPr="00B80429">
        <w:rPr>
          <w:rFonts w:ascii="Arial" w:hAnsi="Arial" w:cs="Arial"/>
          <w:color w:val="000000" w:themeColor="text1"/>
        </w:rPr>
        <w:lastRenderedPageBreak/>
        <w:t>industry. He introduced Virgin Hotels to the market in 2010 by building a disruptive hotel model which focused on guest convenience by removing check-in centres and introducing multi-purpose "chambers"</w:t>
      </w:r>
      <w:r w:rsidR="00887530" w:rsidRPr="00B80429">
        <w:rPr>
          <w:rFonts w:ascii="Arial" w:hAnsi="Arial" w:cs="Arial"/>
          <w:color w:val="000000" w:themeColor="text1"/>
        </w:rPr>
        <w:t xml:space="preserve"> (David, 2024).</w:t>
      </w:r>
      <w:r w:rsidRPr="00B80429">
        <w:rPr>
          <w:rFonts w:ascii="Arial" w:hAnsi="Arial" w:cs="Arial"/>
          <w:color w:val="000000" w:themeColor="text1"/>
        </w:rPr>
        <w:t xml:space="preserve"> When an individual decides to enter hospitality they must accept considerable financial dangers because economic downturns and operations issues frequently affect this business domain. Because of his aggressive risk-taking Virgin Hotels obtained its individual market position which led to its substantial success in key cities like New York and Chicago.</w:t>
      </w:r>
    </w:p>
    <w:p w14:paraId="28215572" w14:textId="5B2B4826" w:rsidR="00656BA8" w:rsidRPr="00B80429" w:rsidRDefault="00656BA8" w:rsidP="00656BA8">
      <w:pPr>
        <w:rPr>
          <w:rFonts w:ascii="Arial" w:hAnsi="Arial" w:cs="Arial"/>
          <w:color w:val="000000" w:themeColor="text1"/>
        </w:rPr>
      </w:pPr>
      <w:r w:rsidRPr="00B80429">
        <w:rPr>
          <w:rFonts w:ascii="Arial" w:hAnsi="Arial" w:cs="Arial"/>
          <w:color w:val="000000" w:themeColor="text1"/>
        </w:rPr>
        <w:t>Taking risks generates innovations and helps organi</w:t>
      </w:r>
      <w:r w:rsidR="00071A89" w:rsidRPr="00B80429">
        <w:rPr>
          <w:rFonts w:ascii="Arial" w:hAnsi="Arial" w:cs="Arial"/>
          <w:color w:val="000000" w:themeColor="text1"/>
        </w:rPr>
        <w:t>s</w:t>
      </w:r>
      <w:r w:rsidRPr="00B80429">
        <w:rPr>
          <w:rFonts w:ascii="Arial" w:hAnsi="Arial" w:cs="Arial"/>
          <w:color w:val="000000" w:themeColor="text1"/>
        </w:rPr>
        <w:t>ations grow but risks also exist within any entrepreneurial gamble. The entrepreneurial background of Branson includes successful achievements alongside failed business efforts such as Virgin Cola and Virgin Brides which did not match consumer expectations</w:t>
      </w:r>
      <w:r w:rsidR="00620F2C" w:rsidRPr="00B80429">
        <w:rPr>
          <w:rFonts w:ascii="Arial" w:hAnsi="Arial" w:cs="Arial"/>
          <w:color w:val="000000" w:themeColor="text1"/>
        </w:rPr>
        <w:t xml:space="preserve"> (Topham, 2014)</w:t>
      </w:r>
      <w:r w:rsidRPr="00B80429">
        <w:rPr>
          <w:rFonts w:ascii="Arial" w:hAnsi="Arial" w:cs="Arial"/>
          <w:color w:val="000000" w:themeColor="text1"/>
        </w:rPr>
        <w:t>. The unsuccessful outcomes demonstrate exactly where danger steps in between planned risk ventures and dangerous Betting.</w:t>
      </w:r>
    </w:p>
    <w:p w14:paraId="4D012E72" w14:textId="66F483DE" w:rsidR="00764302" w:rsidRPr="0074458B" w:rsidRDefault="00656BA8" w:rsidP="00656BA8">
      <w:pPr>
        <w:rPr>
          <w:color w:val="000000" w:themeColor="text1"/>
        </w:rPr>
      </w:pPr>
      <w:r w:rsidRPr="00B80429">
        <w:rPr>
          <w:rFonts w:ascii="Arial" w:hAnsi="Arial" w:cs="Arial"/>
          <w:color w:val="000000" w:themeColor="text1"/>
        </w:rPr>
        <w:t>The process of risk-taking shares connections with both innovation and creativity because entrepreneurs who introduce new concepts must accept unforeseen aspects. Business operations experience destabili</w:t>
      </w:r>
      <w:r w:rsidR="00071A89" w:rsidRPr="00B80429">
        <w:rPr>
          <w:rFonts w:ascii="Arial" w:hAnsi="Arial" w:cs="Arial"/>
          <w:color w:val="000000" w:themeColor="text1"/>
        </w:rPr>
        <w:t>s</w:t>
      </w:r>
      <w:r w:rsidRPr="00B80429">
        <w:rPr>
          <w:rFonts w:ascii="Arial" w:hAnsi="Arial" w:cs="Arial"/>
          <w:color w:val="000000" w:themeColor="text1"/>
        </w:rPr>
        <w:t>ation when entrepreneurs take unpredictable risks which demands strategic decision-making to stabili</w:t>
      </w:r>
      <w:r w:rsidR="00071A89" w:rsidRPr="00B80429">
        <w:rPr>
          <w:rFonts w:ascii="Arial" w:hAnsi="Arial" w:cs="Arial"/>
          <w:color w:val="000000" w:themeColor="text1"/>
        </w:rPr>
        <w:t>s</w:t>
      </w:r>
      <w:r w:rsidRPr="00B80429">
        <w:rPr>
          <w:rFonts w:ascii="Arial" w:hAnsi="Arial" w:cs="Arial"/>
          <w:color w:val="000000" w:themeColor="text1"/>
        </w:rPr>
        <w:t>e the situation</w:t>
      </w:r>
      <w:r w:rsidR="00887530" w:rsidRPr="00B80429">
        <w:rPr>
          <w:rFonts w:ascii="Arial" w:hAnsi="Arial" w:cs="Arial"/>
          <w:color w:val="000000" w:themeColor="text1"/>
        </w:rPr>
        <w:t xml:space="preserve"> (Busenitz and Barney, 2017)</w:t>
      </w:r>
      <w:r w:rsidRPr="00B80429">
        <w:rPr>
          <w:rFonts w:ascii="Arial" w:hAnsi="Arial" w:cs="Arial"/>
          <w:color w:val="000000" w:themeColor="text1"/>
        </w:rPr>
        <w:t>. Entrepreneurs should assess risks using market research and developing backup plans to make certain their ambitious projects depend on accurate assessments. Entrepreneurial success depends heavily on risk-taking though its impact becomes optimal when combined with strategic anticipation along with flexible adaptability.</w:t>
      </w:r>
    </w:p>
    <w:p w14:paraId="0BF5791F" w14:textId="77777777" w:rsidR="00764302" w:rsidRPr="00B80429" w:rsidRDefault="00764302" w:rsidP="00764302">
      <w:pPr>
        <w:rPr>
          <w:rFonts w:ascii="Arial" w:hAnsi="Arial" w:cs="Arial"/>
          <w:b/>
          <w:bCs/>
          <w:color w:val="000000" w:themeColor="text1"/>
        </w:rPr>
      </w:pPr>
      <w:r w:rsidRPr="00B80429">
        <w:rPr>
          <w:rFonts w:ascii="Arial" w:hAnsi="Arial" w:cs="Arial"/>
          <w:b/>
          <w:bCs/>
          <w:color w:val="000000" w:themeColor="text1"/>
        </w:rPr>
        <w:t>Trait/Motivation 3: Resilience and Perseverance</w:t>
      </w:r>
    </w:p>
    <w:p w14:paraId="6A7167FE" w14:textId="00C77ECA" w:rsidR="00764302" w:rsidRPr="00B80429" w:rsidRDefault="00764302" w:rsidP="00764302">
      <w:pPr>
        <w:rPr>
          <w:rFonts w:ascii="Arial" w:hAnsi="Arial" w:cs="Arial"/>
          <w:color w:val="000000" w:themeColor="text1"/>
        </w:rPr>
      </w:pPr>
      <w:r w:rsidRPr="00B80429">
        <w:rPr>
          <w:rFonts w:ascii="Arial" w:hAnsi="Arial" w:cs="Arial"/>
          <w:color w:val="000000" w:themeColor="text1"/>
        </w:rPr>
        <w:t xml:space="preserve">The hospitality industry is especially characterised by economic downturns, operational challenges and changing consumer preferences, making resilience and perseverance must have entrepreneurial traits. </w:t>
      </w:r>
      <w:r w:rsidR="00620F2C" w:rsidRPr="00B80429">
        <w:rPr>
          <w:rFonts w:ascii="Arial" w:hAnsi="Arial" w:cs="Arial"/>
          <w:color w:val="000000" w:themeColor="text1"/>
        </w:rPr>
        <w:t>The capacity</w:t>
      </w:r>
      <w:r w:rsidRPr="00B80429">
        <w:rPr>
          <w:rFonts w:ascii="Arial" w:hAnsi="Arial" w:cs="Arial"/>
          <w:color w:val="000000" w:themeColor="text1"/>
        </w:rPr>
        <w:t xml:space="preserve"> to recover from adversity is known as resilience while perseverance is </w:t>
      </w:r>
      <w:r w:rsidR="00620F2C" w:rsidRPr="00B80429">
        <w:rPr>
          <w:rFonts w:ascii="Arial" w:hAnsi="Arial" w:cs="Arial"/>
          <w:color w:val="000000" w:themeColor="text1"/>
        </w:rPr>
        <w:t xml:space="preserve">an </w:t>
      </w:r>
      <w:r w:rsidRPr="00B80429">
        <w:rPr>
          <w:rFonts w:ascii="Arial" w:hAnsi="Arial" w:cs="Arial"/>
          <w:color w:val="000000" w:themeColor="text1"/>
        </w:rPr>
        <w:t>effort that continues beyond obstacles</w:t>
      </w:r>
      <w:r w:rsidR="00AC0520" w:rsidRPr="00B80429">
        <w:rPr>
          <w:rFonts w:ascii="Arial" w:hAnsi="Arial" w:cs="Arial"/>
          <w:color w:val="000000" w:themeColor="text1"/>
        </w:rPr>
        <w:t xml:space="preserve"> (Griffin, 2020)</w:t>
      </w:r>
      <w:r w:rsidRPr="00B80429">
        <w:rPr>
          <w:rFonts w:ascii="Arial" w:hAnsi="Arial" w:cs="Arial"/>
          <w:color w:val="000000" w:themeColor="text1"/>
        </w:rPr>
        <w:t xml:space="preserve">. Combined, these qualities allow entrepreneurs to travel through tough times and concentrate on </w:t>
      </w:r>
      <w:r w:rsidR="00620F2C" w:rsidRPr="00B80429">
        <w:rPr>
          <w:rFonts w:ascii="Arial" w:hAnsi="Arial" w:cs="Arial"/>
          <w:color w:val="000000" w:themeColor="text1"/>
        </w:rPr>
        <w:t>long-term</w:t>
      </w:r>
      <w:r w:rsidRPr="00B80429">
        <w:rPr>
          <w:rFonts w:ascii="Arial" w:hAnsi="Arial" w:cs="Arial"/>
          <w:color w:val="000000" w:themeColor="text1"/>
        </w:rPr>
        <w:t xml:space="preserve"> objectives within a shaky business condition.</w:t>
      </w:r>
    </w:p>
    <w:p w14:paraId="1BAF5F3B" w14:textId="24324207" w:rsidR="00764302" w:rsidRPr="00B80429" w:rsidRDefault="00764302" w:rsidP="00764302">
      <w:pPr>
        <w:rPr>
          <w:rFonts w:ascii="Arial" w:hAnsi="Arial" w:cs="Arial"/>
          <w:color w:val="000000" w:themeColor="text1"/>
        </w:rPr>
      </w:pPr>
      <w:r w:rsidRPr="00B80429">
        <w:rPr>
          <w:rFonts w:ascii="Arial" w:hAnsi="Arial" w:cs="Arial"/>
          <w:color w:val="000000" w:themeColor="text1"/>
        </w:rPr>
        <w:lastRenderedPageBreak/>
        <w:t>The model of the Psychological Capital (</w:t>
      </w:r>
      <w:proofErr w:type="spellStart"/>
      <w:r w:rsidRPr="00B80429">
        <w:rPr>
          <w:rFonts w:ascii="Arial" w:hAnsi="Arial" w:cs="Arial"/>
          <w:color w:val="000000" w:themeColor="text1"/>
        </w:rPr>
        <w:t>PsyCap</w:t>
      </w:r>
      <w:proofErr w:type="spellEnd"/>
      <w:r w:rsidRPr="00B80429">
        <w:rPr>
          <w:rFonts w:ascii="Arial" w:hAnsi="Arial" w:cs="Arial"/>
          <w:color w:val="000000" w:themeColor="text1"/>
        </w:rPr>
        <w:t>) proposed by Luthans et al.</w:t>
      </w:r>
      <w:r w:rsidR="00620F2C" w:rsidRPr="00B80429">
        <w:rPr>
          <w:rFonts w:ascii="Arial" w:hAnsi="Arial" w:cs="Arial"/>
          <w:color w:val="000000" w:themeColor="text1"/>
        </w:rPr>
        <w:t xml:space="preserve"> (2017)</w:t>
      </w:r>
      <w:r w:rsidRPr="00B80429">
        <w:rPr>
          <w:rFonts w:ascii="Arial" w:hAnsi="Arial" w:cs="Arial"/>
          <w:color w:val="000000" w:themeColor="text1"/>
        </w:rPr>
        <w:t xml:space="preserve"> can serve as a theoretical framework for resilience in entrepreneurship. The dimension of </w:t>
      </w:r>
      <w:proofErr w:type="spellStart"/>
      <w:r w:rsidRPr="00B80429">
        <w:rPr>
          <w:rFonts w:ascii="Arial" w:hAnsi="Arial" w:cs="Arial"/>
          <w:color w:val="000000" w:themeColor="text1"/>
        </w:rPr>
        <w:t>PsyCap</w:t>
      </w:r>
      <w:proofErr w:type="spellEnd"/>
      <w:r w:rsidRPr="00B80429">
        <w:rPr>
          <w:rFonts w:ascii="Arial" w:hAnsi="Arial" w:cs="Arial"/>
          <w:color w:val="000000" w:themeColor="text1"/>
        </w:rPr>
        <w:t xml:space="preserve"> consists of 4 components: hope, self-efficacy, optimism and resilience. In this sense, resilience is the characteristic of an entrepreneur who can withstand setbacks, change how the world works around them, and still come out of it stronger. High </w:t>
      </w:r>
      <w:proofErr w:type="spellStart"/>
      <w:r w:rsidRPr="00B80429">
        <w:rPr>
          <w:rFonts w:ascii="Arial" w:hAnsi="Arial" w:cs="Arial"/>
          <w:color w:val="000000" w:themeColor="text1"/>
        </w:rPr>
        <w:t>PsyCap</w:t>
      </w:r>
      <w:proofErr w:type="spellEnd"/>
      <w:r w:rsidRPr="00B80429">
        <w:rPr>
          <w:rFonts w:ascii="Arial" w:hAnsi="Arial" w:cs="Arial"/>
          <w:color w:val="000000" w:themeColor="text1"/>
        </w:rPr>
        <w:t xml:space="preserve"> entrepreneurs would be more prone to continue and succeed in adversity, regarding challenges as a chance </w:t>
      </w:r>
      <w:r w:rsidR="00071A89" w:rsidRPr="00B80429">
        <w:rPr>
          <w:rFonts w:ascii="Arial" w:hAnsi="Arial" w:cs="Arial"/>
          <w:color w:val="000000" w:themeColor="text1"/>
        </w:rPr>
        <w:t>to create</w:t>
      </w:r>
      <w:r w:rsidRPr="00B80429">
        <w:rPr>
          <w:rFonts w:ascii="Arial" w:hAnsi="Arial" w:cs="Arial"/>
          <w:color w:val="000000" w:themeColor="text1"/>
        </w:rPr>
        <w:t xml:space="preserve"> growth as a substitute for ineliminable barriers</w:t>
      </w:r>
      <w:r w:rsidR="00620F2C" w:rsidRPr="00B80429">
        <w:rPr>
          <w:rFonts w:ascii="Arial" w:hAnsi="Arial" w:cs="Arial"/>
          <w:color w:val="000000" w:themeColor="text1"/>
        </w:rPr>
        <w:t xml:space="preserve"> (Luthans and Youssef-Morgan, 2017)</w:t>
      </w:r>
      <w:r w:rsidRPr="00B80429">
        <w:rPr>
          <w:rFonts w:ascii="Arial" w:hAnsi="Arial" w:cs="Arial"/>
          <w:color w:val="000000" w:themeColor="text1"/>
        </w:rPr>
        <w:t>.</w:t>
      </w:r>
    </w:p>
    <w:p w14:paraId="1B3DD88B" w14:textId="5D7EF3EB" w:rsidR="00764302" w:rsidRPr="00B80429" w:rsidRDefault="00764302" w:rsidP="00764302">
      <w:pPr>
        <w:rPr>
          <w:rFonts w:ascii="Arial" w:hAnsi="Arial" w:cs="Arial"/>
          <w:color w:val="000000" w:themeColor="text1"/>
        </w:rPr>
      </w:pPr>
      <w:r w:rsidRPr="00B80429">
        <w:rPr>
          <w:rFonts w:ascii="Arial" w:hAnsi="Arial" w:cs="Arial"/>
          <w:color w:val="000000" w:themeColor="text1"/>
        </w:rPr>
        <w:t>Conrad Hilton, founder of Hilton Hotels, is a notable example of a resilient and passionate person who has survived many challenging phases in life. However</w:t>
      </w:r>
      <w:r w:rsidR="000744F5" w:rsidRPr="00B80429">
        <w:rPr>
          <w:rFonts w:ascii="Arial" w:hAnsi="Arial" w:cs="Arial"/>
          <w:color w:val="000000" w:themeColor="text1"/>
        </w:rPr>
        <w:t>,</w:t>
      </w:r>
      <w:r w:rsidRPr="00B80429">
        <w:rPr>
          <w:rFonts w:ascii="Arial" w:hAnsi="Arial" w:cs="Arial"/>
          <w:color w:val="000000" w:themeColor="text1"/>
        </w:rPr>
        <w:t xml:space="preserve"> Hilton’s entrepreneurial journey was characterised by great adversity: The Great Depression in the 1930s drove many competitors to bankruptcy</w:t>
      </w:r>
      <w:r w:rsidR="00AC0520" w:rsidRPr="00B80429">
        <w:rPr>
          <w:rFonts w:ascii="Arial" w:hAnsi="Arial" w:cs="Arial"/>
          <w:color w:val="000000" w:themeColor="text1"/>
        </w:rPr>
        <w:t xml:space="preserve"> (Richardson, 2013)</w:t>
      </w:r>
      <w:r w:rsidRPr="00B80429">
        <w:rPr>
          <w:rFonts w:ascii="Arial" w:hAnsi="Arial" w:cs="Arial"/>
          <w:color w:val="000000" w:themeColor="text1"/>
        </w:rPr>
        <w:t>. Though economically very tough times, Hilton dropped through and continues holding his buildings, renegotiating his debts and pursuing new grounds. He simply persevered to the point where he grew the Hilton brand into one of the biggest of their kind across the world</w:t>
      </w:r>
      <w:r w:rsidR="00AC0520" w:rsidRPr="00B80429">
        <w:rPr>
          <w:rFonts w:ascii="Arial" w:hAnsi="Arial" w:cs="Arial"/>
          <w:color w:val="000000" w:themeColor="text1"/>
        </w:rPr>
        <w:t xml:space="preserve"> (Julie, 2020)</w:t>
      </w:r>
      <w:r w:rsidRPr="00B80429">
        <w:rPr>
          <w:rFonts w:ascii="Arial" w:hAnsi="Arial" w:cs="Arial"/>
          <w:color w:val="000000" w:themeColor="text1"/>
        </w:rPr>
        <w:t>. Thus, Hilton’s resilience coupled with his ability to survive economic instability demonstrate that resilience is vital for the success of business within the hospitality sector.</w:t>
      </w:r>
    </w:p>
    <w:p w14:paraId="25D25539" w14:textId="055B9526" w:rsidR="00764302" w:rsidRPr="00B80429" w:rsidRDefault="00764302" w:rsidP="00764302">
      <w:pPr>
        <w:rPr>
          <w:rFonts w:ascii="Arial" w:hAnsi="Arial" w:cs="Arial"/>
          <w:color w:val="000000" w:themeColor="text1"/>
        </w:rPr>
      </w:pPr>
      <w:r w:rsidRPr="00B80429">
        <w:rPr>
          <w:rFonts w:ascii="Arial" w:hAnsi="Arial" w:cs="Arial"/>
          <w:color w:val="000000" w:themeColor="text1"/>
        </w:rPr>
        <w:t>Yet, there are constraints to resilience and perseverance. Surprisingly these traits can sustain entrepreneurs during crises, but prolonged stress and over-exertion can lead to burnout that will result in poor decision-making and innovation. Additionally, perseverance may sometimes lead to escalation of commitment: entrepreneurs keep failing, instead of switching courses.</w:t>
      </w:r>
    </w:p>
    <w:p w14:paraId="111C3CEF" w14:textId="6FAA4EB0" w:rsidR="00764302" w:rsidRPr="00B80429" w:rsidRDefault="00764302" w:rsidP="00764302">
      <w:pPr>
        <w:rPr>
          <w:rFonts w:ascii="Arial" w:hAnsi="Arial" w:cs="Arial"/>
          <w:color w:val="000000" w:themeColor="text1"/>
        </w:rPr>
      </w:pPr>
      <w:r w:rsidRPr="00B80429">
        <w:rPr>
          <w:rFonts w:ascii="Arial" w:hAnsi="Arial" w:cs="Arial"/>
          <w:color w:val="000000" w:themeColor="text1"/>
        </w:rPr>
        <w:t>Resilience is usually complementary to opportunity recognition and leadership. Hilton was not only an entrepreneur who had to endure adversity, he also capitalised on expansion opportunities and displayed strong leadership while things were uncertain. Thus, it is when resilience and perseverance are paired with strategy and foresight to adapt and change that persistence is most effective in viable, sustainable directions</w:t>
      </w:r>
      <w:r w:rsidR="00A71112" w:rsidRPr="00B80429">
        <w:rPr>
          <w:rFonts w:ascii="Arial" w:hAnsi="Arial" w:cs="Arial"/>
          <w:color w:val="000000" w:themeColor="text1"/>
        </w:rPr>
        <w:t xml:space="preserve"> (Bagheri, 2017)</w:t>
      </w:r>
      <w:r w:rsidRPr="00B80429">
        <w:rPr>
          <w:rFonts w:ascii="Arial" w:hAnsi="Arial" w:cs="Arial"/>
          <w:color w:val="000000" w:themeColor="text1"/>
        </w:rPr>
        <w:t>.</w:t>
      </w:r>
    </w:p>
    <w:p w14:paraId="01376223" w14:textId="77777777" w:rsidR="00B80429" w:rsidRDefault="00B80429" w:rsidP="00CF43D3">
      <w:pPr>
        <w:rPr>
          <w:b/>
          <w:bCs/>
          <w:color w:val="000000" w:themeColor="text1"/>
        </w:rPr>
      </w:pPr>
    </w:p>
    <w:p w14:paraId="67C9982C" w14:textId="3CA0D5D0" w:rsidR="00CF43D3" w:rsidRPr="0074458B" w:rsidRDefault="00CF43D3" w:rsidP="00CF43D3">
      <w:pPr>
        <w:rPr>
          <w:b/>
          <w:bCs/>
          <w:color w:val="000000" w:themeColor="text1"/>
        </w:rPr>
      </w:pPr>
      <w:r w:rsidRPr="0074458B">
        <w:rPr>
          <w:b/>
          <w:bCs/>
          <w:color w:val="000000" w:themeColor="text1"/>
        </w:rPr>
        <w:lastRenderedPageBreak/>
        <w:t>Trait/Motivation 4: Opportunity Recognition</w:t>
      </w:r>
    </w:p>
    <w:p w14:paraId="114E9520" w14:textId="1D884FB1" w:rsidR="00CF43D3" w:rsidRPr="00B80429" w:rsidRDefault="00CF43D3" w:rsidP="00CF43D3">
      <w:pPr>
        <w:rPr>
          <w:rFonts w:ascii="Arial" w:hAnsi="Arial" w:cs="Arial"/>
          <w:color w:val="000000" w:themeColor="text1"/>
        </w:rPr>
      </w:pPr>
      <w:r w:rsidRPr="00B80429">
        <w:rPr>
          <w:rFonts w:ascii="Arial" w:hAnsi="Arial" w:cs="Arial"/>
          <w:color w:val="000000" w:themeColor="text1"/>
        </w:rPr>
        <w:t>One of the most common entrepreneurial traits is opportunity recognition, which is the propensity to recognise gaps in the market and the vision new business. Entrepreneurs who excel in this area are very aware, hence aware of the needs of the customer or the trends that are emerging and that no one has noticed before</w:t>
      </w:r>
      <w:r w:rsidR="00A71112" w:rsidRPr="00B80429">
        <w:rPr>
          <w:rFonts w:ascii="Arial" w:hAnsi="Arial" w:cs="Arial"/>
          <w:color w:val="000000" w:themeColor="text1"/>
        </w:rPr>
        <w:t xml:space="preserve"> (Foss and Klein, 2021)</w:t>
      </w:r>
      <w:r w:rsidRPr="00B80429">
        <w:rPr>
          <w:rFonts w:ascii="Arial" w:hAnsi="Arial" w:cs="Arial"/>
          <w:color w:val="000000" w:themeColor="text1"/>
        </w:rPr>
        <w:t>. In the hospitality industry, in particular, this capability is of particular importance because of both the ever-changing customer preferences and because the timely identification of market access can provide a significant edge in the fight for future profits.</w:t>
      </w:r>
    </w:p>
    <w:p w14:paraId="505B6736" w14:textId="006727EC" w:rsidR="00CF43D3" w:rsidRPr="00B80429" w:rsidRDefault="00CF43D3" w:rsidP="00CF43D3">
      <w:pPr>
        <w:rPr>
          <w:rFonts w:ascii="Arial" w:hAnsi="Arial" w:cs="Arial"/>
          <w:color w:val="000000" w:themeColor="text1"/>
        </w:rPr>
      </w:pPr>
      <w:r w:rsidRPr="00B80429">
        <w:rPr>
          <w:rFonts w:ascii="Arial" w:hAnsi="Arial" w:cs="Arial"/>
          <w:color w:val="000000" w:themeColor="text1"/>
        </w:rPr>
        <w:t>Opportunity recognition is an issue a theoretical foundation of which can be grounded in Kirzners Theory of Entrepreneurial Alertness</w:t>
      </w:r>
      <w:r w:rsidR="00A71112" w:rsidRPr="00B80429">
        <w:rPr>
          <w:rFonts w:ascii="Arial" w:hAnsi="Arial" w:cs="Arial"/>
          <w:color w:val="000000" w:themeColor="text1"/>
        </w:rPr>
        <w:t xml:space="preserve"> (Foss and Klein, 2021)</w:t>
      </w:r>
      <w:r w:rsidRPr="00B80429">
        <w:rPr>
          <w:rFonts w:ascii="Arial" w:hAnsi="Arial" w:cs="Arial"/>
          <w:color w:val="000000" w:themeColor="text1"/>
        </w:rPr>
        <w:t>. According to Kirzner, the entrepreneurs are people who have a special alertness to market imperfection. Entrepreneurs do not have to create entirely new markets, rather they thrive off realising what opportunities lie within existing markets. It means that they are capable of capitalising on inefficiencies or unmet demand and with it, position their businesses for growth.</w:t>
      </w:r>
    </w:p>
    <w:p w14:paraId="7804350C" w14:textId="2DC08A15" w:rsidR="00CF43D3" w:rsidRPr="00B80429" w:rsidRDefault="00CF43D3" w:rsidP="00CF43D3">
      <w:pPr>
        <w:rPr>
          <w:rFonts w:ascii="Arial" w:hAnsi="Arial" w:cs="Arial"/>
          <w:color w:val="000000" w:themeColor="text1"/>
        </w:rPr>
      </w:pPr>
      <w:r w:rsidRPr="00B80429">
        <w:rPr>
          <w:rFonts w:ascii="Arial" w:hAnsi="Arial" w:cs="Arial"/>
          <w:color w:val="000000" w:themeColor="text1"/>
        </w:rPr>
        <w:t>Therefore, Howard Schultz, former CEO of Starbucks, is a prominent example of opportunity recognition. The Success story of Schultz was to identify an untapped market in the premium coffee experiences in the American market</w:t>
      </w:r>
      <w:r w:rsidR="00A71112" w:rsidRPr="00B80429">
        <w:rPr>
          <w:rFonts w:ascii="Arial" w:hAnsi="Arial" w:cs="Arial"/>
          <w:color w:val="000000" w:themeColor="text1"/>
        </w:rPr>
        <w:t xml:space="preserve"> (WSJ, 2022)</w:t>
      </w:r>
      <w:r w:rsidRPr="00B80429">
        <w:rPr>
          <w:rFonts w:ascii="Arial" w:hAnsi="Arial" w:cs="Arial"/>
          <w:color w:val="000000" w:themeColor="text1"/>
        </w:rPr>
        <w:t>. Schultz viewed café culture in Italy and noticed that American consumers did not have the same equivalent environment where such high-quality coffee was served in a social and relaxing atmosphere. At that time, Schultz became the owner of Starbucks where he made it from a small coffee retailer into a prominent brand that is globally recognised brand to change one’s taste and how the business is going.</w:t>
      </w:r>
    </w:p>
    <w:p w14:paraId="7F706AB7" w14:textId="0997CAFD" w:rsidR="00CF43D3" w:rsidRPr="00B80429" w:rsidRDefault="00CF43D3" w:rsidP="00CF43D3">
      <w:pPr>
        <w:rPr>
          <w:rFonts w:ascii="Arial" w:hAnsi="Arial" w:cs="Arial"/>
          <w:color w:val="000000" w:themeColor="text1"/>
        </w:rPr>
      </w:pPr>
      <w:r w:rsidRPr="00B80429">
        <w:rPr>
          <w:rFonts w:ascii="Arial" w:hAnsi="Arial" w:cs="Arial"/>
          <w:color w:val="000000" w:themeColor="text1"/>
        </w:rPr>
        <w:t>Opportunity recognition though can be formidable, as it comes with a high degree of risk. First, market signals may be misinterpreted by entrepreneurs and they might overinvest in products or services that don’t connect with the consumers. For one, Starbucks’ wildly overexpanding in a market until it began to get oversaturated and shut down is a lesson in how not to misjudge demand.</w:t>
      </w:r>
    </w:p>
    <w:p w14:paraId="035A4C68" w14:textId="48C8582C" w:rsidR="00764302" w:rsidRPr="00B80429" w:rsidRDefault="00CF43D3" w:rsidP="00CF43D3">
      <w:pPr>
        <w:rPr>
          <w:rFonts w:ascii="Arial" w:hAnsi="Arial" w:cs="Arial"/>
          <w:color w:val="000000" w:themeColor="text1"/>
        </w:rPr>
      </w:pPr>
      <w:r w:rsidRPr="00B80429">
        <w:rPr>
          <w:rFonts w:ascii="Arial" w:hAnsi="Arial" w:cs="Arial"/>
          <w:color w:val="000000" w:themeColor="text1"/>
        </w:rPr>
        <w:lastRenderedPageBreak/>
        <w:t>Often opportunity recognition is linked to creativity and risk management</w:t>
      </w:r>
      <w:r w:rsidR="00A71112" w:rsidRPr="00B80429">
        <w:rPr>
          <w:rFonts w:ascii="Arial" w:hAnsi="Arial" w:cs="Arial"/>
          <w:color w:val="000000" w:themeColor="text1"/>
        </w:rPr>
        <w:t xml:space="preserve"> (Fritsch, 2017)</w:t>
      </w:r>
      <w:r w:rsidRPr="00B80429">
        <w:rPr>
          <w:rFonts w:ascii="Arial" w:hAnsi="Arial" w:cs="Arial"/>
          <w:color w:val="000000" w:themeColor="text1"/>
        </w:rPr>
        <w:t>. Creative vision is always required to identify the market gap, and calculated risk-taking is needed to capitalise on that gap. Thus, entrepreneurs must maintain a certain alertness without losing their objectivity, in respect to perceived opportunities, which have to be checked against market realities and long-term strategic objectives.</w:t>
      </w:r>
    </w:p>
    <w:p w14:paraId="59203882" w14:textId="23722ECE" w:rsidR="00FE678E" w:rsidRPr="0074458B" w:rsidRDefault="00FE678E" w:rsidP="00FE678E">
      <w:pPr>
        <w:rPr>
          <w:b/>
          <w:bCs/>
          <w:color w:val="000000" w:themeColor="text1"/>
        </w:rPr>
      </w:pPr>
      <w:r w:rsidRPr="0074458B">
        <w:rPr>
          <w:b/>
          <w:bCs/>
          <w:color w:val="000000" w:themeColor="text1"/>
        </w:rPr>
        <w:t>Comparative Critical Analysis</w:t>
      </w:r>
    </w:p>
    <w:p w14:paraId="4E5AF37C" w14:textId="0C51A008" w:rsidR="00FE678E" w:rsidRPr="00B80429" w:rsidRDefault="00FE678E" w:rsidP="00FE678E">
      <w:pPr>
        <w:rPr>
          <w:rFonts w:ascii="Arial" w:hAnsi="Arial" w:cs="Arial"/>
          <w:color w:val="000000" w:themeColor="text1"/>
        </w:rPr>
      </w:pPr>
      <w:r w:rsidRPr="00B80429">
        <w:rPr>
          <w:rFonts w:ascii="Arial" w:hAnsi="Arial" w:cs="Arial"/>
          <w:color w:val="000000" w:themeColor="text1"/>
        </w:rPr>
        <w:t>An entrepreneurial trait of innovation, risk-taking, resilience and opportunity recognition are tightly interwoven and very often use of a combination of the same proves to be more effective than a single skill set</w:t>
      </w:r>
      <w:r w:rsidR="00A71112" w:rsidRPr="00B80429">
        <w:rPr>
          <w:rFonts w:ascii="Arial" w:hAnsi="Arial" w:cs="Arial"/>
          <w:color w:val="000000" w:themeColor="text1"/>
        </w:rPr>
        <w:t xml:space="preserve"> (Busenitz and Barney, 2017)</w:t>
      </w:r>
      <w:r w:rsidRPr="00B80429">
        <w:rPr>
          <w:rFonts w:ascii="Arial" w:hAnsi="Arial" w:cs="Arial"/>
          <w:color w:val="000000" w:themeColor="text1"/>
        </w:rPr>
        <w:t>. One of the weak points of the hospitality sector is placing too much focus on one trait, leaving the entrepreneurs prone to failure.</w:t>
      </w:r>
    </w:p>
    <w:p w14:paraId="18DD0A35" w14:textId="2C68818A" w:rsidR="00FE678E" w:rsidRPr="00B80429" w:rsidRDefault="00FE678E" w:rsidP="00FE678E">
      <w:pPr>
        <w:rPr>
          <w:rFonts w:ascii="Arial" w:hAnsi="Arial" w:cs="Arial"/>
          <w:color w:val="000000" w:themeColor="text1"/>
        </w:rPr>
      </w:pPr>
      <w:r w:rsidRPr="00B80429">
        <w:rPr>
          <w:rFonts w:ascii="Arial" w:hAnsi="Arial" w:cs="Arial"/>
          <w:color w:val="000000" w:themeColor="text1"/>
        </w:rPr>
        <w:t>The overlap in innovation and opportunity recognition occurs in many cases because innovative ideas come out of filling market gaps</w:t>
      </w:r>
      <w:r w:rsidR="00B14EA7" w:rsidRPr="00B80429">
        <w:rPr>
          <w:rFonts w:ascii="Arial" w:hAnsi="Arial" w:cs="Arial"/>
          <w:color w:val="000000" w:themeColor="text1"/>
        </w:rPr>
        <w:t xml:space="preserve"> (Griffin, 2020)</w:t>
      </w:r>
      <w:r w:rsidRPr="00B80429">
        <w:rPr>
          <w:rFonts w:ascii="Arial" w:hAnsi="Arial" w:cs="Arial"/>
          <w:color w:val="000000" w:themeColor="text1"/>
        </w:rPr>
        <w:t>. On the one hand, Ferran Adrià’s molecular gastronomy demonstrated great creativity but was impossible to sustain at the level of a commercial business</w:t>
      </w:r>
      <w:r w:rsidR="00B14EA7" w:rsidRPr="00B80429">
        <w:rPr>
          <w:rFonts w:ascii="Arial" w:hAnsi="Arial" w:cs="Arial"/>
          <w:color w:val="000000" w:themeColor="text1"/>
        </w:rPr>
        <w:t xml:space="preserve"> (The Best Chef, 2023)</w:t>
      </w:r>
      <w:r w:rsidRPr="00B80429">
        <w:rPr>
          <w:rFonts w:ascii="Arial" w:hAnsi="Arial" w:cs="Arial"/>
          <w:color w:val="000000" w:themeColor="text1"/>
        </w:rPr>
        <w:t>. On the other hand, Howard Schultz’s Starbucks concept worked because of blending creativity and market demand, which shows that innovation cannot work without a market match.</w:t>
      </w:r>
    </w:p>
    <w:p w14:paraId="3A31F25F" w14:textId="279AEB2A" w:rsidR="00764302" w:rsidRDefault="00FE678E" w:rsidP="00FE678E">
      <w:pPr>
        <w:rPr>
          <w:rFonts w:ascii="Arial" w:hAnsi="Arial" w:cs="Arial"/>
          <w:color w:val="000000" w:themeColor="text1"/>
        </w:rPr>
      </w:pPr>
      <w:r w:rsidRPr="00B80429">
        <w:rPr>
          <w:rFonts w:ascii="Arial" w:hAnsi="Arial" w:cs="Arial"/>
          <w:color w:val="000000" w:themeColor="text1"/>
        </w:rPr>
        <w:t>But as a risk-taking enabler, it speeds growth when it is done in the right way, however, without strategic evaluation, it can lead to business failure. Richard Branson’s ventures highlight both the rewards and dangers of bold decisions. Conrad Hilton’s example of resilience in crises is very important but it requires the balance of adaptability, opportunity recognition and resilience</w:t>
      </w:r>
      <w:r w:rsidR="00B14EA7" w:rsidRPr="00B80429">
        <w:rPr>
          <w:rFonts w:ascii="Arial" w:hAnsi="Arial" w:cs="Arial"/>
          <w:color w:val="000000" w:themeColor="text1"/>
        </w:rPr>
        <w:t xml:space="preserve"> (Richardson, 2013)</w:t>
      </w:r>
      <w:r w:rsidRPr="00B80429">
        <w:rPr>
          <w:rFonts w:ascii="Arial" w:hAnsi="Arial" w:cs="Arial"/>
          <w:color w:val="000000" w:themeColor="text1"/>
        </w:rPr>
        <w:t>. In the end, these three traits need to be synthesized for true sustainable success.</w:t>
      </w:r>
    </w:p>
    <w:p w14:paraId="5B86E569" w14:textId="77777777" w:rsidR="00B80429" w:rsidRDefault="00B80429" w:rsidP="00FE678E">
      <w:pPr>
        <w:rPr>
          <w:rFonts w:ascii="Arial" w:hAnsi="Arial" w:cs="Arial"/>
          <w:color w:val="000000" w:themeColor="text1"/>
        </w:rPr>
      </w:pPr>
    </w:p>
    <w:p w14:paraId="02AA77D8" w14:textId="77777777" w:rsidR="00B80429" w:rsidRPr="00B80429" w:rsidRDefault="00B80429" w:rsidP="00FE678E">
      <w:pPr>
        <w:rPr>
          <w:rFonts w:ascii="Arial" w:hAnsi="Arial" w:cs="Arial"/>
          <w:color w:val="000000" w:themeColor="text1"/>
        </w:rPr>
      </w:pPr>
    </w:p>
    <w:p w14:paraId="652EA2F1" w14:textId="77777777" w:rsidR="00FE678E" w:rsidRPr="0074458B" w:rsidRDefault="00FE678E" w:rsidP="00FE678E">
      <w:pPr>
        <w:pStyle w:val="Heading1"/>
        <w:rPr>
          <w:color w:val="000000" w:themeColor="text1"/>
        </w:rPr>
      </w:pPr>
      <w:bookmarkStart w:id="2" w:name="_Toc191402786"/>
      <w:r w:rsidRPr="0074458B">
        <w:rPr>
          <w:color w:val="000000" w:themeColor="text1"/>
        </w:rPr>
        <w:lastRenderedPageBreak/>
        <w:t>Conclusion</w:t>
      </w:r>
      <w:bookmarkEnd w:id="2"/>
    </w:p>
    <w:p w14:paraId="15A3AA90" w14:textId="5EDE1050" w:rsidR="00764302" w:rsidRPr="00B80429" w:rsidRDefault="00B14EA7" w:rsidP="00764302">
      <w:pPr>
        <w:rPr>
          <w:rFonts w:ascii="Arial" w:hAnsi="Arial" w:cs="Arial"/>
          <w:color w:val="000000" w:themeColor="text1"/>
        </w:rPr>
      </w:pPr>
      <w:r w:rsidRPr="00B80429">
        <w:rPr>
          <w:rFonts w:ascii="Arial" w:hAnsi="Arial" w:cs="Arial"/>
          <w:color w:val="000000" w:themeColor="text1"/>
        </w:rPr>
        <w:t xml:space="preserve">The evaluation of innovation, </w:t>
      </w:r>
      <w:r w:rsidR="00071A89" w:rsidRPr="00B80429">
        <w:rPr>
          <w:rFonts w:ascii="Arial" w:hAnsi="Arial" w:cs="Arial"/>
          <w:color w:val="000000" w:themeColor="text1"/>
        </w:rPr>
        <w:t>risk-taking</w:t>
      </w:r>
      <w:r w:rsidRPr="00B80429">
        <w:rPr>
          <w:rFonts w:ascii="Arial" w:hAnsi="Arial" w:cs="Arial"/>
          <w:color w:val="000000" w:themeColor="text1"/>
        </w:rPr>
        <w:t>, resilience and opportunity recognition signals their collective importance in entrepreneurial success in the hospitality industry. The traits, however, are very specific in their roles; but no single characteristic ensures success when isolated. The ability to possess these particular traits simultaneously is necessary for sustainable entrepreneurship, which means to be adaptive promptly to the challenges and market shifts. In this competitive sector, future entrepreneurs will have to be creative, resilient, calculated in risk management and alert in the market to excel.</w:t>
      </w:r>
    </w:p>
    <w:p w14:paraId="42D31960" w14:textId="77777777" w:rsidR="00764302" w:rsidRDefault="00764302" w:rsidP="00764302"/>
    <w:p w14:paraId="37814128" w14:textId="77777777" w:rsidR="00764302" w:rsidRDefault="00764302" w:rsidP="00764302"/>
    <w:p w14:paraId="420E4FC0" w14:textId="77777777" w:rsidR="00764302" w:rsidRDefault="00764302" w:rsidP="00656BA8"/>
    <w:p w14:paraId="3771BB3E" w14:textId="3CA499FE" w:rsidR="005632A3" w:rsidRDefault="005632A3" w:rsidP="00FE678E">
      <w:r>
        <w:br w:type="page"/>
      </w:r>
    </w:p>
    <w:p w14:paraId="3CB982BD" w14:textId="197734FE" w:rsidR="001B1EE3" w:rsidRDefault="005632A3" w:rsidP="005632A3">
      <w:pPr>
        <w:pStyle w:val="Heading1"/>
      </w:pPr>
      <w:bookmarkStart w:id="3" w:name="_Toc191402787"/>
      <w:r>
        <w:lastRenderedPageBreak/>
        <w:t>Reference List</w:t>
      </w:r>
      <w:bookmarkEnd w:id="3"/>
    </w:p>
    <w:p w14:paraId="07888819" w14:textId="77777777" w:rsidR="0074458B" w:rsidRPr="00B14EA7" w:rsidRDefault="0074458B" w:rsidP="00B14EA7">
      <w:pPr>
        <w:rPr>
          <w:lang w:val="en-US"/>
        </w:rPr>
      </w:pPr>
      <w:r w:rsidRPr="00B14EA7">
        <w:rPr>
          <w:lang w:val="en-US"/>
        </w:rPr>
        <w:t xml:space="preserve">Bagheri, A. (2017). The impact of entrepreneurial leadership on innovation work behavior and opportunity recognition in high-technology SMEs. </w:t>
      </w:r>
      <w:r w:rsidRPr="00B14EA7">
        <w:rPr>
          <w:i/>
          <w:iCs/>
          <w:lang w:val="en-US"/>
        </w:rPr>
        <w:t>The Journal of High Technology Management Research</w:t>
      </w:r>
      <w:r w:rsidRPr="00B14EA7">
        <w:rPr>
          <w:lang w:val="en-US"/>
        </w:rPr>
        <w:t>, [online] 28(2), pp.159–166.</w:t>
      </w:r>
    </w:p>
    <w:p w14:paraId="1BD9D192" w14:textId="77777777" w:rsidR="0074458B" w:rsidRPr="00B14EA7" w:rsidRDefault="0074458B" w:rsidP="00B14EA7">
      <w:pPr>
        <w:rPr>
          <w:lang w:val="en-US"/>
        </w:rPr>
      </w:pPr>
      <w:r w:rsidRPr="00B14EA7">
        <w:rPr>
          <w:lang w:val="en-US"/>
        </w:rPr>
        <w:t>Busenitz, L.W. and Barney, J.B. (2017). Differences between Entrepreneurs and Managers in Large organi</w:t>
      </w:r>
      <w:r>
        <w:rPr>
          <w:lang w:val="en-US"/>
        </w:rPr>
        <w:t>s</w:t>
      </w:r>
      <w:r w:rsidRPr="00B14EA7">
        <w:rPr>
          <w:lang w:val="en-US"/>
        </w:rPr>
        <w:t xml:space="preserve">ations: Biases and Heuristics in Strategic decision-making. </w:t>
      </w:r>
      <w:r w:rsidRPr="00B14EA7">
        <w:rPr>
          <w:i/>
          <w:iCs/>
          <w:lang w:val="en-US"/>
        </w:rPr>
        <w:t>Journal of Business Venturing</w:t>
      </w:r>
      <w:r w:rsidRPr="00B14EA7">
        <w:rPr>
          <w:lang w:val="en-US"/>
        </w:rPr>
        <w:t xml:space="preserve">, 12(1), pp.9–30. </w:t>
      </w:r>
    </w:p>
    <w:p w14:paraId="0E498125" w14:textId="77777777" w:rsidR="0074458B" w:rsidRPr="00B14EA7" w:rsidRDefault="0074458B" w:rsidP="00B14EA7">
      <w:pPr>
        <w:rPr>
          <w:lang w:val="en-US"/>
        </w:rPr>
      </w:pPr>
      <w:r w:rsidRPr="00B14EA7">
        <w:rPr>
          <w:lang w:val="en-US"/>
        </w:rPr>
        <w:t xml:space="preserve">David (2024). </w:t>
      </w:r>
      <w:r w:rsidRPr="00B14EA7">
        <w:rPr>
          <w:i/>
          <w:iCs/>
          <w:lang w:val="en-US"/>
        </w:rPr>
        <w:t>Virgin Territory: How Virgin Hotels fits into Richard Branson’s travel universe - HOTELSMag.com</w:t>
      </w:r>
      <w:r w:rsidRPr="00B14EA7">
        <w:rPr>
          <w:lang w:val="en-US"/>
        </w:rPr>
        <w:t xml:space="preserve">. [online] HOTELSMag.com. Available at: </w:t>
      </w:r>
      <w:hyperlink r:id="rId7" w:history="1">
        <w:r w:rsidRPr="00B14EA7">
          <w:rPr>
            <w:rStyle w:val="Hyperlink"/>
            <w:lang w:val="en-US"/>
          </w:rPr>
          <w:t>https://hotelsmag.com/news/virgin-territory-how-virgin-hotels-fits-into-richard-bransons-travel-universe</w:t>
        </w:r>
      </w:hyperlink>
      <w:r>
        <w:rPr>
          <w:lang w:val="en-US"/>
        </w:rPr>
        <w:t xml:space="preserve"> </w:t>
      </w:r>
      <w:r w:rsidRPr="00B14EA7">
        <w:rPr>
          <w:lang w:val="en-US"/>
        </w:rPr>
        <w:t>/ [Accessed 15 Feb. 2025].</w:t>
      </w:r>
    </w:p>
    <w:p w14:paraId="34EC1746" w14:textId="77777777" w:rsidR="0074458B" w:rsidRPr="00B14EA7" w:rsidRDefault="0074458B" w:rsidP="00B14EA7">
      <w:pPr>
        <w:rPr>
          <w:lang w:val="en-US"/>
        </w:rPr>
      </w:pPr>
      <w:r w:rsidRPr="00B14EA7">
        <w:rPr>
          <w:lang w:val="en-US"/>
        </w:rPr>
        <w:t xml:space="preserve">Drucker, P.F. (1985). Innovation and Entrepreneurship: Practice and Principles. </w:t>
      </w:r>
      <w:r w:rsidRPr="00B14EA7">
        <w:rPr>
          <w:i/>
          <w:iCs/>
          <w:lang w:val="en-US"/>
        </w:rPr>
        <w:t>Public Productivity Review</w:t>
      </w:r>
      <w:r w:rsidRPr="00B14EA7">
        <w:rPr>
          <w:lang w:val="en-US"/>
        </w:rPr>
        <w:t>, 10(1), p.105.</w:t>
      </w:r>
    </w:p>
    <w:p w14:paraId="6045A00F" w14:textId="77777777" w:rsidR="0074458B" w:rsidRPr="00B14EA7" w:rsidRDefault="0074458B" w:rsidP="00B14EA7">
      <w:pPr>
        <w:rPr>
          <w:lang w:val="en-US"/>
        </w:rPr>
      </w:pPr>
      <w:r w:rsidRPr="00B14EA7">
        <w:rPr>
          <w:lang w:val="en-US"/>
        </w:rPr>
        <w:t xml:space="preserve">Foss, N.J. and Klein, P.G. (2021). Entrepreneurial Alertness and Opportunity Discovery: Origins, Attributes, Critique. </w:t>
      </w:r>
      <w:r w:rsidRPr="00B14EA7">
        <w:rPr>
          <w:i/>
          <w:iCs/>
          <w:lang w:val="en-US"/>
        </w:rPr>
        <w:t>Historical Foundations of Entrepreneurship Research</w:t>
      </w:r>
      <w:r w:rsidRPr="00B14EA7">
        <w:rPr>
          <w:lang w:val="en-US"/>
        </w:rPr>
        <w:t xml:space="preserve">. </w:t>
      </w:r>
    </w:p>
    <w:p w14:paraId="6A1A522A" w14:textId="77777777" w:rsidR="0074458B" w:rsidRPr="00B14EA7" w:rsidRDefault="0074458B" w:rsidP="00B14EA7">
      <w:pPr>
        <w:rPr>
          <w:lang w:val="en-US"/>
        </w:rPr>
      </w:pPr>
      <w:r w:rsidRPr="00B14EA7">
        <w:rPr>
          <w:lang w:val="en-US"/>
        </w:rPr>
        <w:t xml:space="preserve">Fritsch, M. (2017). The theory of economic development – An inquiry into profits, capital, credit, interest, and the business cycle. </w:t>
      </w:r>
      <w:r w:rsidRPr="00B14EA7">
        <w:rPr>
          <w:i/>
          <w:iCs/>
          <w:lang w:val="en-US"/>
        </w:rPr>
        <w:t>Regional Studies</w:t>
      </w:r>
      <w:r w:rsidRPr="00B14EA7">
        <w:rPr>
          <w:lang w:val="en-US"/>
        </w:rPr>
        <w:t>, 51(4), pp.654–655.</w:t>
      </w:r>
    </w:p>
    <w:p w14:paraId="0ECEF29F" w14:textId="77777777" w:rsidR="0074458B" w:rsidRPr="00B14EA7" w:rsidRDefault="0074458B" w:rsidP="00B14EA7">
      <w:pPr>
        <w:rPr>
          <w:lang w:val="en-US"/>
        </w:rPr>
      </w:pPr>
      <w:r w:rsidRPr="00B14EA7">
        <w:rPr>
          <w:lang w:val="en-US"/>
        </w:rPr>
        <w:t xml:space="preserve">Griffin, W.C. (2020). Perceptions of Hospitality Industry Professionals and Hospitality Faculty on Industry-Academia Collaborations. </w:t>
      </w:r>
      <w:r w:rsidRPr="00B14EA7">
        <w:rPr>
          <w:i/>
          <w:iCs/>
          <w:lang w:val="en-US"/>
        </w:rPr>
        <w:t>Journal of Hospitality &amp; Tourism Education</w:t>
      </w:r>
      <w:r w:rsidRPr="00B14EA7">
        <w:rPr>
          <w:lang w:val="en-US"/>
        </w:rPr>
        <w:t xml:space="preserve">, pp.1–12. </w:t>
      </w:r>
    </w:p>
    <w:p w14:paraId="343E7DAD" w14:textId="77777777" w:rsidR="0074458B" w:rsidRPr="00B14EA7" w:rsidRDefault="0074458B" w:rsidP="00B14EA7">
      <w:pPr>
        <w:rPr>
          <w:lang w:val="en-US"/>
        </w:rPr>
      </w:pPr>
      <w:r w:rsidRPr="00B14EA7">
        <w:rPr>
          <w:lang w:val="en-US"/>
        </w:rPr>
        <w:t xml:space="preserve">Ismail, I.J. (2022). Entrepreneurial Start-up Motivations and Growth of Small and Medium Enterprises in Tanzania: The Role of Entrepreneur’s Personality Traits. </w:t>
      </w:r>
      <w:r w:rsidRPr="00B14EA7">
        <w:rPr>
          <w:i/>
          <w:iCs/>
          <w:lang w:val="en-US"/>
        </w:rPr>
        <w:t>FIIB Business Review</w:t>
      </w:r>
      <w:r w:rsidRPr="00B14EA7">
        <w:rPr>
          <w:lang w:val="en-US"/>
        </w:rPr>
        <w:t xml:space="preserve">, 11(1), p.231971452110685. </w:t>
      </w:r>
    </w:p>
    <w:p w14:paraId="5C682D5D" w14:textId="77777777" w:rsidR="0074458B" w:rsidRPr="00B14EA7" w:rsidRDefault="0074458B" w:rsidP="00B14EA7">
      <w:pPr>
        <w:rPr>
          <w:lang w:val="en-US"/>
        </w:rPr>
      </w:pPr>
      <w:r w:rsidRPr="00B14EA7">
        <w:rPr>
          <w:lang w:val="en-US"/>
        </w:rPr>
        <w:t xml:space="preserve">Julie (2020). </w:t>
      </w:r>
      <w:r w:rsidRPr="00B14EA7">
        <w:rPr>
          <w:i/>
          <w:iCs/>
          <w:lang w:val="en-US"/>
        </w:rPr>
        <w:t>Determination in adversity: the story of Conrad Hilton - Glion Insider Magazine</w:t>
      </w:r>
      <w:r w:rsidRPr="00B14EA7">
        <w:rPr>
          <w:lang w:val="en-US"/>
        </w:rPr>
        <w:t xml:space="preserve">. [online] Glion Website. Available at: </w:t>
      </w:r>
      <w:hyperlink r:id="rId8" w:history="1">
        <w:r w:rsidRPr="00B14EA7">
          <w:rPr>
            <w:rStyle w:val="Hyperlink"/>
            <w:lang w:val="en-US"/>
          </w:rPr>
          <w:t>https://www.glion.edu/magazine/determination-in-adversity-the-story-of-conrad-hilton</w:t>
        </w:r>
      </w:hyperlink>
      <w:r>
        <w:rPr>
          <w:lang w:val="en-US"/>
        </w:rPr>
        <w:t xml:space="preserve"> </w:t>
      </w:r>
      <w:r w:rsidRPr="00B14EA7">
        <w:rPr>
          <w:lang w:val="en-US"/>
        </w:rPr>
        <w:t xml:space="preserve"> [Accessed 15 Feb. 2025].</w:t>
      </w:r>
    </w:p>
    <w:p w14:paraId="23A1289F" w14:textId="77777777" w:rsidR="0074458B" w:rsidRPr="00B14EA7" w:rsidRDefault="0074458B" w:rsidP="00B14EA7">
      <w:pPr>
        <w:rPr>
          <w:lang w:val="en-US"/>
        </w:rPr>
      </w:pPr>
      <w:r w:rsidRPr="00B14EA7">
        <w:rPr>
          <w:lang w:val="en-US"/>
        </w:rPr>
        <w:lastRenderedPageBreak/>
        <w:t xml:space="preserve">Luthans, F. and Youssef-Morgan, C.M. (2017). Psychological Capital: An Evidence-Based Positive Approach. </w:t>
      </w:r>
      <w:r w:rsidRPr="00B14EA7">
        <w:rPr>
          <w:i/>
          <w:iCs/>
          <w:lang w:val="en-US"/>
        </w:rPr>
        <w:t>Annual Review of Organi</w:t>
      </w:r>
      <w:r>
        <w:rPr>
          <w:i/>
          <w:iCs/>
          <w:lang w:val="en-US"/>
        </w:rPr>
        <w:t>s</w:t>
      </w:r>
      <w:r w:rsidRPr="00B14EA7">
        <w:rPr>
          <w:i/>
          <w:iCs/>
          <w:lang w:val="en-US"/>
        </w:rPr>
        <w:t>ational Psychology and Organi</w:t>
      </w:r>
      <w:r>
        <w:rPr>
          <w:i/>
          <w:iCs/>
          <w:lang w:val="en-US"/>
        </w:rPr>
        <w:t>s</w:t>
      </w:r>
      <w:r w:rsidRPr="00B14EA7">
        <w:rPr>
          <w:i/>
          <w:iCs/>
          <w:lang w:val="en-US"/>
        </w:rPr>
        <w:t>ational Behavior</w:t>
      </w:r>
      <w:r w:rsidRPr="00B14EA7">
        <w:rPr>
          <w:lang w:val="en-US"/>
        </w:rPr>
        <w:t>, 4(1), pp.339–366.</w:t>
      </w:r>
    </w:p>
    <w:p w14:paraId="78A01B73" w14:textId="77777777" w:rsidR="0074458B" w:rsidRPr="00B14EA7" w:rsidRDefault="0074458B" w:rsidP="00B14EA7">
      <w:pPr>
        <w:rPr>
          <w:lang w:val="en-US"/>
        </w:rPr>
      </w:pPr>
      <w:r w:rsidRPr="00B14EA7">
        <w:rPr>
          <w:lang w:val="en-US"/>
        </w:rPr>
        <w:t xml:space="preserve">McMullen, J.S. and Shepherd, D.A. (2016). Entrepreneurial action and the role of uncertainty in the theory of the entrepreneur. </w:t>
      </w:r>
      <w:r w:rsidRPr="00B14EA7">
        <w:rPr>
          <w:i/>
          <w:iCs/>
          <w:lang w:val="en-US"/>
        </w:rPr>
        <w:t>Academy of Management Review</w:t>
      </w:r>
      <w:r w:rsidRPr="00B14EA7">
        <w:rPr>
          <w:lang w:val="en-US"/>
        </w:rPr>
        <w:t>, 31(1), pp.132–152.</w:t>
      </w:r>
    </w:p>
    <w:p w14:paraId="3149F3C1" w14:textId="77777777" w:rsidR="0074458B" w:rsidRPr="00B14EA7" w:rsidRDefault="0074458B" w:rsidP="00B14EA7">
      <w:pPr>
        <w:rPr>
          <w:lang w:val="en-US"/>
        </w:rPr>
      </w:pPr>
      <w:r w:rsidRPr="00B14EA7">
        <w:rPr>
          <w:lang w:val="en-US"/>
        </w:rPr>
        <w:t xml:space="preserve">Richardson, G. (2013). </w:t>
      </w:r>
      <w:r w:rsidRPr="00B14EA7">
        <w:rPr>
          <w:i/>
          <w:iCs/>
          <w:lang w:val="en-US"/>
        </w:rPr>
        <w:t>The Great Depression</w:t>
      </w:r>
      <w:r w:rsidRPr="00B14EA7">
        <w:rPr>
          <w:lang w:val="en-US"/>
        </w:rPr>
        <w:t xml:space="preserve">. [online] Federal Reserve History. Available at: </w:t>
      </w:r>
      <w:hyperlink r:id="rId9" w:history="1">
        <w:r w:rsidRPr="00B14EA7">
          <w:rPr>
            <w:rStyle w:val="Hyperlink"/>
            <w:lang w:val="en-US"/>
          </w:rPr>
          <w:t>https://www.federalreservehistory.org/essays/great-depression</w:t>
        </w:r>
      </w:hyperlink>
      <w:r>
        <w:rPr>
          <w:lang w:val="en-US"/>
        </w:rPr>
        <w:t xml:space="preserve"> </w:t>
      </w:r>
      <w:r w:rsidRPr="00B14EA7">
        <w:rPr>
          <w:lang w:val="en-US"/>
        </w:rPr>
        <w:t xml:space="preserve"> [Accessed 15 Feb. 2025].</w:t>
      </w:r>
    </w:p>
    <w:p w14:paraId="7D18F905" w14:textId="77777777" w:rsidR="0074458B" w:rsidRPr="001C77F8" w:rsidRDefault="0074458B" w:rsidP="001C77F8">
      <w:pPr>
        <w:rPr>
          <w:lang w:val="en-US"/>
        </w:rPr>
      </w:pPr>
      <w:r w:rsidRPr="001C77F8">
        <w:rPr>
          <w:lang w:val="en-US"/>
        </w:rPr>
        <w:t xml:space="preserve">Schumpeter, J.A. (1934) </w:t>
      </w:r>
      <w:r w:rsidRPr="001C77F8">
        <w:rPr>
          <w:i/>
          <w:iCs/>
          <w:lang w:val="en-US"/>
        </w:rPr>
        <w:t>The Theory of Economic Development: An Inquiry into Profits, Capital, Credit, Interest, and the Business Cycle</w:t>
      </w:r>
      <w:r w:rsidRPr="001C77F8">
        <w:rPr>
          <w:lang w:val="en-US"/>
        </w:rPr>
        <w:t>. Cambridge, MA: Harvard University Press.</w:t>
      </w:r>
    </w:p>
    <w:p w14:paraId="421620B7" w14:textId="77777777" w:rsidR="0074458B" w:rsidRPr="00B14EA7" w:rsidRDefault="0074458B" w:rsidP="00B14EA7">
      <w:pPr>
        <w:rPr>
          <w:lang w:val="en-US"/>
        </w:rPr>
      </w:pPr>
      <w:r w:rsidRPr="00B14EA7">
        <w:rPr>
          <w:lang w:val="en-US"/>
        </w:rPr>
        <w:t xml:space="preserve">The Best Chef (2023). </w:t>
      </w:r>
      <w:r w:rsidRPr="00B14EA7">
        <w:rPr>
          <w:i/>
          <w:iCs/>
          <w:lang w:val="en-US"/>
        </w:rPr>
        <w:t>Ferran Adrià - The Best Chef</w:t>
      </w:r>
      <w:r w:rsidRPr="00B14EA7">
        <w:rPr>
          <w:lang w:val="en-US"/>
        </w:rPr>
        <w:t xml:space="preserve">. [online] The Best Chef. Available at: </w:t>
      </w:r>
      <w:hyperlink r:id="rId10" w:history="1">
        <w:r w:rsidRPr="00B14EA7">
          <w:rPr>
            <w:rStyle w:val="Hyperlink"/>
            <w:lang w:val="en-US"/>
          </w:rPr>
          <w:t>https://thebestchefawards.com/2023/11/27/ferran-adria</w:t>
        </w:r>
      </w:hyperlink>
      <w:r>
        <w:rPr>
          <w:lang w:val="en-US"/>
        </w:rPr>
        <w:t xml:space="preserve"> </w:t>
      </w:r>
      <w:r w:rsidRPr="00B14EA7">
        <w:rPr>
          <w:lang w:val="en-US"/>
        </w:rPr>
        <w:t xml:space="preserve"> [Accessed 15 Feb. 2025].</w:t>
      </w:r>
    </w:p>
    <w:p w14:paraId="65F1D589" w14:textId="77777777" w:rsidR="0074458B" w:rsidRPr="00B14EA7" w:rsidRDefault="0074458B" w:rsidP="00B14EA7">
      <w:pPr>
        <w:rPr>
          <w:lang w:val="en-US"/>
        </w:rPr>
      </w:pPr>
      <w:r w:rsidRPr="00B14EA7">
        <w:rPr>
          <w:lang w:val="en-US"/>
        </w:rPr>
        <w:t xml:space="preserve">Thornton, M. (2020). Turning the Word Upside Down: How Cantillon Redefined the Entrepreneur. </w:t>
      </w:r>
      <w:r w:rsidRPr="00B14EA7">
        <w:rPr>
          <w:i/>
          <w:iCs/>
          <w:lang w:val="en-US"/>
        </w:rPr>
        <w:t>Special Entrepreneurship Double Issue</w:t>
      </w:r>
      <w:r w:rsidRPr="00B14EA7">
        <w:rPr>
          <w:lang w:val="en-US"/>
        </w:rPr>
        <w:t xml:space="preserve">, 23(3-4), pp.265–280. </w:t>
      </w:r>
    </w:p>
    <w:p w14:paraId="0999C66F" w14:textId="77777777" w:rsidR="0074458B" w:rsidRPr="00B14EA7" w:rsidRDefault="0074458B" w:rsidP="00B14EA7">
      <w:pPr>
        <w:rPr>
          <w:lang w:val="en-US"/>
        </w:rPr>
      </w:pPr>
      <w:r w:rsidRPr="00B14EA7">
        <w:rPr>
          <w:lang w:val="en-US"/>
        </w:rPr>
        <w:t xml:space="preserve">Topham, G. (2014). Sir Richard Branson’s setbacks: from Virgin Cola to Virgin Brides. </w:t>
      </w:r>
      <w:r w:rsidRPr="00B14EA7">
        <w:rPr>
          <w:i/>
          <w:iCs/>
          <w:lang w:val="en-US"/>
        </w:rPr>
        <w:t>The Guardian</w:t>
      </w:r>
      <w:r w:rsidRPr="00B14EA7">
        <w:rPr>
          <w:lang w:val="en-US"/>
        </w:rPr>
        <w:t xml:space="preserve">. [online] 6 Oct. Available at: </w:t>
      </w:r>
      <w:hyperlink r:id="rId11" w:history="1">
        <w:r w:rsidRPr="00B14EA7">
          <w:rPr>
            <w:rStyle w:val="Hyperlink"/>
            <w:lang w:val="en-US"/>
          </w:rPr>
          <w:t>https://www.theguardian.com/business/2014/oct/06/sir-richard-branson-failures-vigin-cola-brides</w:t>
        </w:r>
      </w:hyperlink>
      <w:r>
        <w:rPr>
          <w:lang w:val="en-US"/>
        </w:rPr>
        <w:t xml:space="preserve"> </w:t>
      </w:r>
      <w:r w:rsidRPr="00B14EA7">
        <w:rPr>
          <w:lang w:val="en-US"/>
        </w:rPr>
        <w:t xml:space="preserve"> [Accessed 15 Feb. 2025].</w:t>
      </w:r>
    </w:p>
    <w:p w14:paraId="6B5E45BF" w14:textId="77777777" w:rsidR="0074458B" w:rsidRPr="00B14EA7" w:rsidRDefault="0074458B" w:rsidP="00B14EA7">
      <w:pPr>
        <w:rPr>
          <w:lang w:val="en-US"/>
        </w:rPr>
      </w:pPr>
      <w:r w:rsidRPr="00B14EA7">
        <w:rPr>
          <w:lang w:val="en-US"/>
        </w:rPr>
        <w:t xml:space="preserve">WSJ (2022). </w:t>
      </w:r>
      <w:r w:rsidRPr="00B14EA7">
        <w:rPr>
          <w:i/>
          <w:iCs/>
          <w:lang w:val="en-US"/>
        </w:rPr>
        <w:t>Starbucks’s Howard Schultz: From Coffee Entrepreneur to Three-Time CEO</w:t>
      </w:r>
      <w:r w:rsidRPr="00B14EA7">
        <w:rPr>
          <w:lang w:val="en-US"/>
        </w:rPr>
        <w:t xml:space="preserve">. [online] WSJ. Available at: </w:t>
      </w:r>
      <w:hyperlink r:id="rId12" w:history="1">
        <w:r w:rsidRPr="00B14EA7">
          <w:rPr>
            <w:rStyle w:val="Hyperlink"/>
            <w:lang w:val="en-US"/>
          </w:rPr>
          <w:t>https://www.wsj.com/story/starbuckss-howard-schultz-from-coffee-entrepreneur-to-three-time-ceo-439768fc</w:t>
        </w:r>
      </w:hyperlink>
      <w:r>
        <w:rPr>
          <w:lang w:val="en-US"/>
        </w:rPr>
        <w:t xml:space="preserve"> </w:t>
      </w:r>
      <w:r w:rsidRPr="00B14EA7">
        <w:rPr>
          <w:lang w:val="en-US"/>
        </w:rPr>
        <w:t xml:space="preserve"> [Accessed 15 Feb. 2025].</w:t>
      </w:r>
    </w:p>
    <w:p w14:paraId="078050EF" w14:textId="77777777" w:rsidR="005632A3" w:rsidRPr="005632A3" w:rsidRDefault="005632A3" w:rsidP="005632A3"/>
    <w:sectPr w:rsidR="005632A3" w:rsidRPr="005632A3" w:rsidSect="001B1EE3">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E7264" w14:textId="77777777" w:rsidR="00977D7B" w:rsidRDefault="00977D7B" w:rsidP="001B1EE3">
      <w:pPr>
        <w:spacing w:after="0" w:line="240" w:lineRule="auto"/>
      </w:pPr>
      <w:r>
        <w:separator/>
      </w:r>
    </w:p>
  </w:endnote>
  <w:endnote w:type="continuationSeparator" w:id="0">
    <w:p w14:paraId="3B05EADE" w14:textId="77777777" w:rsidR="00977D7B" w:rsidRDefault="00977D7B" w:rsidP="001B1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65238"/>
      <w:docPartObj>
        <w:docPartGallery w:val="Page Numbers (Bottom of Page)"/>
        <w:docPartUnique/>
      </w:docPartObj>
    </w:sdtPr>
    <w:sdtEndPr>
      <w:rPr>
        <w:noProof/>
      </w:rPr>
    </w:sdtEndPr>
    <w:sdtContent>
      <w:p w14:paraId="074DE106" w14:textId="44DD804E" w:rsidR="001B1EE3" w:rsidRDefault="001B1EE3">
        <w:pPr>
          <w:pStyle w:val="Footer"/>
          <w:jc w:val="center"/>
        </w:pPr>
        <w:r>
          <w:fldChar w:fldCharType="begin"/>
        </w:r>
        <w:r>
          <w:instrText xml:space="preserve"> PAGE   \* MERGEFORMAT </w:instrText>
        </w:r>
        <w:r>
          <w:fldChar w:fldCharType="separate"/>
        </w:r>
        <w:r w:rsidR="004668E5">
          <w:rPr>
            <w:noProof/>
          </w:rPr>
          <w:t>10</w:t>
        </w:r>
        <w:r>
          <w:rPr>
            <w:noProof/>
          </w:rPr>
          <w:fldChar w:fldCharType="end"/>
        </w:r>
      </w:p>
    </w:sdtContent>
  </w:sdt>
  <w:p w14:paraId="4095E677" w14:textId="77777777" w:rsidR="001B1EE3" w:rsidRDefault="001B1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18D31" w14:textId="77777777" w:rsidR="00977D7B" w:rsidRDefault="00977D7B" w:rsidP="001B1EE3">
      <w:pPr>
        <w:spacing w:after="0" w:line="240" w:lineRule="auto"/>
      </w:pPr>
      <w:r>
        <w:separator/>
      </w:r>
    </w:p>
  </w:footnote>
  <w:footnote w:type="continuationSeparator" w:id="0">
    <w:p w14:paraId="32A2BAA6" w14:textId="77777777" w:rsidR="00977D7B" w:rsidRDefault="00977D7B" w:rsidP="001B1E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EE3"/>
    <w:rsid w:val="00071A89"/>
    <w:rsid w:val="000744F5"/>
    <w:rsid w:val="00126344"/>
    <w:rsid w:val="001B1EE3"/>
    <w:rsid w:val="001C77F8"/>
    <w:rsid w:val="004668E5"/>
    <w:rsid w:val="004D27D0"/>
    <w:rsid w:val="004E5C67"/>
    <w:rsid w:val="0054001D"/>
    <w:rsid w:val="005632A3"/>
    <w:rsid w:val="00584294"/>
    <w:rsid w:val="005A0097"/>
    <w:rsid w:val="005C1DA5"/>
    <w:rsid w:val="00620F2C"/>
    <w:rsid w:val="0064201E"/>
    <w:rsid w:val="00656BA8"/>
    <w:rsid w:val="00713D40"/>
    <w:rsid w:val="0074458B"/>
    <w:rsid w:val="0076269C"/>
    <w:rsid w:val="00764302"/>
    <w:rsid w:val="00887530"/>
    <w:rsid w:val="009015E6"/>
    <w:rsid w:val="009448B1"/>
    <w:rsid w:val="00977D7B"/>
    <w:rsid w:val="009A2121"/>
    <w:rsid w:val="00A71112"/>
    <w:rsid w:val="00AC0520"/>
    <w:rsid w:val="00AC486A"/>
    <w:rsid w:val="00B14EA7"/>
    <w:rsid w:val="00B678DC"/>
    <w:rsid w:val="00B80429"/>
    <w:rsid w:val="00CF43D3"/>
    <w:rsid w:val="00D94F42"/>
    <w:rsid w:val="00FB1095"/>
    <w:rsid w:val="00FE6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31F865"/>
  <w15:chartTrackingRefBased/>
  <w15:docId w15:val="{AF7B37D4-4116-427E-88BD-F0FD14722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EE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B1EE3"/>
    <w:pPr>
      <w:keepNext/>
      <w:keepLines/>
      <w:spacing w:before="360" w:after="80"/>
      <w:jc w:val="left"/>
      <w:outlineLvl w:val="0"/>
    </w:pPr>
    <w:rPr>
      <w:rFonts w:eastAsiaTheme="majorEastAsia" w:cstheme="majorBidi"/>
      <w:b/>
      <w:color w:val="365F91" w:themeColor="accent1" w:themeShade="BF"/>
      <w:sz w:val="32"/>
      <w:szCs w:val="40"/>
    </w:rPr>
  </w:style>
  <w:style w:type="paragraph" w:styleId="Heading2">
    <w:name w:val="heading 2"/>
    <w:basedOn w:val="Normal"/>
    <w:next w:val="Normal"/>
    <w:link w:val="Heading2Char"/>
    <w:uiPriority w:val="9"/>
    <w:semiHidden/>
    <w:unhideWhenUsed/>
    <w:qFormat/>
    <w:rsid w:val="001B1EE3"/>
    <w:pPr>
      <w:keepNext/>
      <w:keepLines/>
      <w:spacing w:before="160" w:after="80"/>
      <w:jc w:val="left"/>
      <w:outlineLvl w:val="1"/>
    </w:pPr>
    <w:rPr>
      <w:rFonts w:eastAsiaTheme="majorEastAsia" w:cstheme="majorBidi"/>
      <w:b/>
      <w:color w:val="365F91" w:themeColor="accent1" w:themeShade="BF"/>
      <w:sz w:val="28"/>
      <w:szCs w:val="32"/>
    </w:rPr>
  </w:style>
  <w:style w:type="paragraph" w:styleId="Heading3">
    <w:name w:val="heading 3"/>
    <w:basedOn w:val="Normal"/>
    <w:next w:val="Normal"/>
    <w:link w:val="Heading3Char"/>
    <w:uiPriority w:val="9"/>
    <w:semiHidden/>
    <w:unhideWhenUsed/>
    <w:qFormat/>
    <w:rsid w:val="001B1EE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B1EE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B1EE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B1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EE3"/>
    <w:rPr>
      <w:rFonts w:ascii="Times New Roman" w:eastAsiaTheme="majorEastAsia" w:hAnsi="Times New Roman" w:cstheme="majorBidi"/>
      <w:b/>
      <w:color w:val="365F91" w:themeColor="accent1" w:themeShade="BF"/>
      <w:sz w:val="32"/>
      <w:szCs w:val="40"/>
      <w:lang w:val="en-GB"/>
    </w:rPr>
  </w:style>
  <w:style w:type="character" w:customStyle="1" w:styleId="Heading2Char">
    <w:name w:val="Heading 2 Char"/>
    <w:basedOn w:val="DefaultParagraphFont"/>
    <w:link w:val="Heading2"/>
    <w:uiPriority w:val="9"/>
    <w:semiHidden/>
    <w:rsid w:val="001B1EE3"/>
    <w:rPr>
      <w:rFonts w:ascii="Times New Roman" w:eastAsiaTheme="majorEastAsia" w:hAnsi="Times New Roman" w:cstheme="majorBidi"/>
      <w:b/>
      <w:color w:val="365F91" w:themeColor="accent1" w:themeShade="BF"/>
      <w:sz w:val="28"/>
      <w:szCs w:val="32"/>
      <w:lang w:val="en-GB"/>
    </w:rPr>
  </w:style>
  <w:style w:type="character" w:customStyle="1" w:styleId="Heading3Char">
    <w:name w:val="Heading 3 Char"/>
    <w:basedOn w:val="DefaultParagraphFont"/>
    <w:link w:val="Heading3"/>
    <w:uiPriority w:val="9"/>
    <w:semiHidden/>
    <w:rsid w:val="001B1EE3"/>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1B1EE3"/>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1B1EE3"/>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1B1EE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B1EE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B1EE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B1EE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B1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EE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B1EE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EE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B1E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1EE3"/>
    <w:rPr>
      <w:i/>
      <w:iCs/>
      <w:color w:val="404040" w:themeColor="text1" w:themeTint="BF"/>
      <w:lang w:val="en-GB"/>
    </w:rPr>
  </w:style>
  <w:style w:type="paragraph" w:styleId="ListParagraph">
    <w:name w:val="List Paragraph"/>
    <w:basedOn w:val="Normal"/>
    <w:uiPriority w:val="34"/>
    <w:qFormat/>
    <w:rsid w:val="001B1EE3"/>
    <w:pPr>
      <w:ind w:left="720"/>
      <w:contextualSpacing/>
    </w:pPr>
  </w:style>
  <w:style w:type="character" w:styleId="IntenseEmphasis">
    <w:name w:val="Intense Emphasis"/>
    <w:basedOn w:val="DefaultParagraphFont"/>
    <w:uiPriority w:val="21"/>
    <w:qFormat/>
    <w:rsid w:val="001B1EE3"/>
    <w:rPr>
      <w:i/>
      <w:iCs/>
      <w:color w:val="365F91" w:themeColor="accent1" w:themeShade="BF"/>
    </w:rPr>
  </w:style>
  <w:style w:type="paragraph" w:styleId="IntenseQuote">
    <w:name w:val="Intense Quote"/>
    <w:basedOn w:val="Normal"/>
    <w:next w:val="Normal"/>
    <w:link w:val="IntenseQuoteChar"/>
    <w:uiPriority w:val="30"/>
    <w:qFormat/>
    <w:rsid w:val="001B1EE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B1EE3"/>
    <w:rPr>
      <w:i/>
      <w:iCs/>
      <w:color w:val="365F91" w:themeColor="accent1" w:themeShade="BF"/>
      <w:lang w:val="en-GB"/>
    </w:rPr>
  </w:style>
  <w:style w:type="character" w:styleId="IntenseReference">
    <w:name w:val="Intense Reference"/>
    <w:basedOn w:val="DefaultParagraphFont"/>
    <w:uiPriority w:val="32"/>
    <w:qFormat/>
    <w:rsid w:val="001B1EE3"/>
    <w:rPr>
      <w:b/>
      <w:bCs/>
      <w:smallCaps/>
      <w:color w:val="365F91" w:themeColor="accent1" w:themeShade="BF"/>
      <w:spacing w:val="5"/>
    </w:rPr>
  </w:style>
  <w:style w:type="paragraph" w:styleId="TOCHeading">
    <w:name w:val="TOC Heading"/>
    <w:basedOn w:val="Heading1"/>
    <w:next w:val="Normal"/>
    <w:uiPriority w:val="39"/>
    <w:unhideWhenUsed/>
    <w:qFormat/>
    <w:rsid w:val="001B1EE3"/>
    <w:pPr>
      <w:spacing w:before="240" w:after="0" w:line="259" w:lineRule="auto"/>
      <w:outlineLvl w:val="9"/>
    </w:pPr>
    <w:rPr>
      <w:rFonts w:asciiTheme="majorHAnsi" w:hAnsiTheme="majorHAnsi"/>
      <w:b w:val="0"/>
      <w:kern w:val="0"/>
      <w:szCs w:val="32"/>
      <w:lang w:val="en-US"/>
      <w14:ligatures w14:val="none"/>
    </w:rPr>
  </w:style>
  <w:style w:type="paragraph" w:styleId="Header">
    <w:name w:val="header"/>
    <w:basedOn w:val="Normal"/>
    <w:link w:val="HeaderChar"/>
    <w:uiPriority w:val="99"/>
    <w:unhideWhenUsed/>
    <w:rsid w:val="001B1E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1EE3"/>
    <w:rPr>
      <w:rFonts w:ascii="Times New Roman" w:hAnsi="Times New Roman"/>
      <w:sz w:val="24"/>
      <w:lang w:val="en-GB"/>
    </w:rPr>
  </w:style>
  <w:style w:type="paragraph" w:styleId="Footer">
    <w:name w:val="footer"/>
    <w:basedOn w:val="Normal"/>
    <w:link w:val="FooterChar"/>
    <w:uiPriority w:val="99"/>
    <w:unhideWhenUsed/>
    <w:rsid w:val="001B1E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EE3"/>
    <w:rPr>
      <w:rFonts w:ascii="Times New Roman" w:hAnsi="Times New Roman"/>
      <w:sz w:val="24"/>
      <w:lang w:val="en-GB"/>
    </w:rPr>
  </w:style>
  <w:style w:type="paragraph" w:styleId="TOC1">
    <w:name w:val="toc 1"/>
    <w:basedOn w:val="Normal"/>
    <w:next w:val="Normal"/>
    <w:autoRedefine/>
    <w:uiPriority w:val="39"/>
    <w:unhideWhenUsed/>
    <w:rsid w:val="00887530"/>
    <w:pPr>
      <w:spacing w:after="100"/>
    </w:pPr>
  </w:style>
  <w:style w:type="character" w:styleId="Hyperlink">
    <w:name w:val="Hyperlink"/>
    <w:basedOn w:val="DefaultParagraphFont"/>
    <w:uiPriority w:val="99"/>
    <w:unhideWhenUsed/>
    <w:rsid w:val="00887530"/>
    <w:rPr>
      <w:color w:val="0000FF" w:themeColor="hyperlink"/>
      <w:u w:val="single"/>
    </w:rPr>
  </w:style>
  <w:style w:type="character" w:customStyle="1" w:styleId="UnresolvedMention1">
    <w:name w:val="Unresolved Mention1"/>
    <w:basedOn w:val="DefaultParagraphFont"/>
    <w:uiPriority w:val="99"/>
    <w:semiHidden/>
    <w:unhideWhenUsed/>
    <w:rsid w:val="00B14E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569039">
      <w:bodyDiv w:val="1"/>
      <w:marLeft w:val="0"/>
      <w:marRight w:val="0"/>
      <w:marTop w:val="0"/>
      <w:marBottom w:val="0"/>
      <w:divBdr>
        <w:top w:val="none" w:sz="0" w:space="0" w:color="auto"/>
        <w:left w:val="none" w:sz="0" w:space="0" w:color="auto"/>
        <w:bottom w:val="none" w:sz="0" w:space="0" w:color="auto"/>
        <w:right w:val="none" w:sz="0" w:space="0" w:color="auto"/>
      </w:divBdr>
      <w:divsChild>
        <w:div w:id="257830276">
          <w:marLeft w:val="0"/>
          <w:marRight w:val="0"/>
          <w:marTop w:val="0"/>
          <w:marBottom w:val="0"/>
          <w:divBdr>
            <w:top w:val="none" w:sz="0" w:space="0" w:color="auto"/>
            <w:left w:val="none" w:sz="0" w:space="0" w:color="auto"/>
            <w:bottom w:val="none" w:sz="0" w:space="0" w:color="auto"/>
            <w:right w:val="none" w:sz="0" w:space="0" w:color="auto"/>
          </w:divBdr>
        </w:div>
      </w:divsChild>
    </w:div>
    <w:div w:id="718744030">
      <w:bodyDiv w:val="1"/>
      <w:marLeft w:val="0"/>
      <w:marRight w:val="0"/>
      <w:marTop w:val="0"/>
      <w:marBottom w:val="0"/>
      <w:divBdr>
        <w:top w:val="none" w:sz="0" w:space="0" w:color="auto"/>
        <w:left w:val="none" w:sz="0" w:space="0" w:color="auto"/>
        <w:bottom w:val="none" w:sz="0" w:space="0" w:color="auto"/>
        <w:right w:val="none" w:sz="0" w:space="0" w:color="auto"/>
      </w:divBdr>
      <w:divsChild>
        <w:div w:id="1147668064">
          <w:marLeft w:val="0"/>
          <w:marRight w:val="0"/>
          <w:marTop w:val="0"/>
          <w:marBottom w:val="0"/>
          <w:divBdr>
            <w:top w:val="none" w:sz="0" w:space="0" w:color="auto"/>
            <w:left w:val="none" w:sz="0" w:space="0" w:color="auto"/>
            <w:bottom w:val="none" w:sz="0" w:space="0" w:color="auto"/>
            <w:right w:val="none" w:sz="0" w:space="0" w:color="auto"/>
          </w:divBdr>
        </w:div>
      </w:divsChild>
    </w:div>
    <w:div w:id="1506748588">
      <w:bodyDiv w:val="1"/>
      <w:marLeft w:val="0"/>
      <w:marRight w:val="0"/>
      <w:marTop w:val="0"/>
      <w:marBottom w:val="0"/>
      <w:divBdr>
        <w:top w:val="none" w:sz="0" w:space="0" w:color="auto"/>
        <w:left w:val="none" w:sz="0" w:space="0" w:color="auto"/>
        <w:bottom w:val="none" w:sz="0" w:space="0" w:color="auto"/>
        <w:right w:val="none" w:sz="0" w:space="0" w:color="auto"/>
      </w:divBdr>
    </w:div>
    <w:div w:id="200921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ion.edu/magazine/determination-in-adversity-the-story-of-conrad-hilt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otelsmag.com/news/virgin-territory-how-virgin-hotels-fits-into-richard-bransons-travel-universe" TargetMode="External"/><Relationship Id="rId12" Type="http://schemas.openxmlformats.org/officeDocument/2006/relationships/hyperlink" Target="https://www.wsj.com/story/starbuckss-howard-schultz-from-coffee-entrepreneur-to-three-time-ceo-439768f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business/2014/oct/06/sir-richard-branson-failures-vigin-cola-brid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hebestchefawards.com/2023/11/27/ferran-adria" TargetMode="External"/><Relationship Id="rId4" Type="http://schemas.openxmlformats.org/officeDocument/2006/relationships/webSettings" Target="webSettings.xml"/><Relationship Id="rId9" Type="http://schemas.openxmlformats.org/officeDocument/2006/relationships/hyperlink" Target="https://www.federalreservehistory.org/essays/great-depres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34545-ADA8-4BDF-957F-98AC92579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2911</Words>
  <Characters>16595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 Begum</cp:lastModifiedBy>
  <cp:revision>5</cp:revision>
  <dcterms:created xsi:type="dcterms:W3CDTF">2025-02-25T19:03:00Z</dcterms:created>
  <dcterms:modified xsi:type="dcterms:W3CDTF">2025-02-25T19:06:00Z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63a7d4f9-31bc-4ba7-bb70-fc76da67a5bb</vt:lpwstr>
  </property>
</Properties>
</file>