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6C30B3" w14:textId="2FD24CD9" w:rsidR="00725942" w:rsidRPr="001C3450" w:rsidRDefault="00C23A10" w:rsidP="001C3450">
      <w:pPr>
        <w:spacing w:line="360" w:lineRule="auto"/>
        <w:jc w:val="center"/>
        <w:rPr>
          <w:rFonts w:ascii="Arial" w:hAnsi="Arial" w:cs="Arial"/>
        </w:rPr>
      </w:pPr>
      <w:r w:rsidRPr="001C3450">
        <w:rPr>
          <w:rFonts w:ascii="Arial" w:hAnsi="Arial" w:cs="Arial"/>
        </w:rPr>
        <w:fldChar w:fldCharType="begin"/>
      </w:r>
      <w:r w:rsidRPr="001C3450">
        <w:rPr>
          <w:rFonts w:ascii="Arial" w:hAnsi="Arial" w:cs="Arial"/>
        </w:rPr>
        <w:instrText xml:space="preserve"> INCLUDEPICTURE "https://universitytranscriptions.co.uk/wp-content/uploads/University-of-Wales-Trinity-Saint-David.png" \* MERGEFORMATINET </w:instrText>
      </w:r>
      <w:r w:rsidRPr="001C3450">
        <w:rPr>
          <w:rFonts w:ascii="Arial" w:hAnsi="Arial" w:cs="Arial"/>
        </w:rPr>
        <w:fldChar w:fldCharType="separate"/>
      </w:r>
      <w:r w:rsidRPr="001C3450">
        <w:rPr>
          <w:rFonts w:ascii="Arial" w:hAnsi="Arial" w:cs="Arial"/>
          <w:noProof/>
        </w:rPr>
        <w:drawing>
          <wp:inline distT="0" distB="0" distL="0" distR="0" wp14:anchorId="701C5E98" wp14:editId="160D776A">
            <wp:extent cx="3947311" cy="1573502"/>
            <wp:effectExtent l="0" t="0" r="2540" b="0"/>
            <wp:docPr id="1984983882"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0692" cy="1594781"/>
                    </a:xfrm>
                    <a:prstGeom prst="rect">
                      <a:avLst/>
                    </a:prstGeom>
                    <a:noFill/>
                    <a:ln>
                      <a:noFill/>
                    </a:ln>
                  </pic:spPr>
                </pic:pic>
              </a:graphicData>
            </a:graphic>
          </wp:inline>
        </w:drawing>
      </w:r>
      <w:r w:rsidRPr="001C3450">
        <w:rPr>
          <w:rFonts w:ascii="Arial" w:hAnsi="Arial" w:cs="Arial"/>
        </w:rPr>
        <w:fldChar w:fldCharType="end"/>
      </w:r>
    </w:p>
    <w:p w14:paraId="3F61EB39" w14:textId="77777777" w:rsidR="00C23A10" w:rsidRPr="001C3450" w:rsidRDefault="00C23A10" w:rsidP="001C3450">
      <w:pPr>
        <w:spacing w:line="360" w:lineRule="auto"/>
        <w:jc w:val="both"/>
        <w:rPr>
          <w:rFonts w:ascii="Arial" w:hAnsi="Arial" w:cs="Arial"/>
        </w:rPr>
      </w:pPr>
    </w:p>
    <w:p w14:paraId="3D46FAFD" w14:textId="77777777" w:rsidR="006C1461" w:rsidRDefault="006C1461" w:rsidP="001C3450">
      <w:pPr>
        <w:spacing w:line="360" w:lineRule="auto"/>
        <w:jc w:val="center"/>
        <w:rPr>
          <w:rFonts w:ascii="Arial" w:hAnsi="Arial" w:cs="Arial"/>
          <w:b/>
          <w:bCs/>
          <w:sz w:val="28"/>
          <w:szCs w:val="28"/>
        </w:rPr>
      </w:pPr>
      <w:r w:rsidRPr="001C3450">
        <w:rPr>
          <w:rFonts w:ascii="Arial" w:hAnsi="Arial" w:cs="Arial"/>
          <w:b/>
          <w:bCs/>
          <w:sz w:val="28"/>
          <w:szCs w:val="28"/>
        </w:rPr>
        <w:t>Programme: BA (Hons) Leadership and Management Skills for the Workplace</w:t>
      </w:r>
    </w:p>
    <w:p w14:paraId="3AFE9B9E" w14:textId="77777777" w:rsidR="001C3450" w:rsidRPr="001C3450" w:rsidRDefault="001C3450" w:rsidP="001C3450">
      <w:pPr>
        <w:spacing w:line="360" w:lineRule="auto"/>
        <w:jc w:val="center"/>
        <w:rPr>
          <w:rFonts w:ascii="Arial" w:hAnsi="Arial" w:cs="Arial"/>
          <w:b/>
          <w:bCs/>
          <w:sz w:val="28"/>
          <w:szCs w:val="28"/>
        </w:rPr>
      </w:pPr>
    </w:p>
    <w:p w14:paraId="67179E10" w14:textId="77777777" w:rsidR="006C1461" w:rsidRDefault="006C1461" w:rsidP="001C3450">
      <w:pPr>
        <w:spacing w:line="360" w:lineRule="auto"/>
        <w:jc w:val="center"/>
        <w:rPr>
          <w:rFonts w:ascii="Arial" w:hAnsi="Arial" w:cs="Arial"/>
          <w:b/>
          <w:bCs/>
          <w:sz w:val="28"/>
          <w:szCs w:val="28"/>
        </w:rPr>
      </w:pPr>
      <w:r w:rsidRPr="001C3450">
        <w:rPr>
          <w:rFonts w:ascii="Arial" w:hAnsi="Arial" w:cs="Arial"/>
          <w:b/>
          <w:bCs/>
          <w:sz w:val="28"/>
          <w:szCs w:val="28"/>
        </w:rPr>
        <w:t>Module: Strategic Management for Business</w:t>
      </w:r>
    </w:p>
    <w:p w14:paraId="53260F0C" w14:textId="77777777" w:rsidR="001C3450" w:rsidRPr="001C3450" w:rsidRDefault="001C3450" w:rsidP="001C3450">
      <w:pPr>
        <w:spacing w:line="360" w:lineRule="auto"/>
        <w:jc w:val="center"/>
        <w:rPr>
          <w:rFonts w:ascii="Arial" w:hAnsi="Arial" w:cs="Arial"/>
          <w:b/>
          <w:bCs/>
          <w:sz w:val="28"/>
          <w:szCs w:val="28"/>
        </w:rPr>
      </w:pPr>
    </w:p>
    <w:p w14:paraId="1017CA12" w14:textId="722CE427" w:rsidR="006C1461" w:rsidRDefault="006C1461" w:rsidP="001C3450">
      <w:pPr>
        <w:spacing w:line="360" w:lineRule="auto"/>
        <w:jc w:val="center"/>
        <w:rPr>
          <w:rFonts w:ascii="Arial" w:hAnsi="Arial" w:cs="Arial"/>
          <w:b/>
          <w:bCs/>
          <w:sz w:val="28"/>
          <w:szCs w:val="28"/>
        </w:rPr>
      </w:pPr>
      <w:r w:rsidRPr="001C3450">
        <w:rPr>
          <w:rFonts w:ascii="Arial" w:hAnsi="Arial" w:cs="Arial"/>
          <w:b/>
          <w:bCs/>
          <w:sz w:val="28"/>
          <w:szCs w:val="28"/>
        </w:rPr>
        <w:t>Module code: LCLM 6001</w:t>
      </w:r>
    </w:p>
    <w:p w14:paraId="2F13AA4C" w14:textId="77777777" w:rsidR="001C3450" w:rsidRPr="001C3450" w:rsidRDefault="001C3450" w:rsidP="001C3450">
      <w:pPr>
        <w:spacing w:line="360" w:lineRule="auto"/>
        <w:jc w:val="center"/>
        <w:rPr>
          <w:rFonts w:ascii="Arial" w:hAnsi="Arial" w:cs="Arial"/>
          <w:b/>
          <w:bCs/>
          <w:sz w:val="28"/>
          <w:szCs w:val="28"/>
        </w:rPr>
      </w:pPr>
    </w:p>
    <w:p w14:paraId="7FD26307" w14:textId="17C379D9" w:rsidR="006C1461" w:rsidRDefault="006C1461" w:rsidP="001C3450">
      <w:pPr>
        <w:spacing w:line="360" w:lineRule="auto"/>
        <w:jc w:val="center"/>
        <w:rPr>
          <w:rFonts w:ascii="Arial" w:hAnsi="Arial" w:cs="Arial"/>
          <w:b/>
          <w:bCs/>
          <w:sz w:val="28"/>
          <w:szCs w:val="28"/>
        </w:rPr>
      </w:pPr>
      <w:r w:rsidRPr="001C3450">
        <w:rPr>
          <w:rFonts w:ascii="Arial" w:hAnsi="Arial" w:cs="Arial"/>
          <w:b/>
          <w:bCs/>
          <w:sz w:val="28"/>
          <w:szCs w:val="28"/>
        </w:rPr>
        <w:t>Module leaders</w:t>
      </w:r>
      <w:r w:rsidR="00366AE4" w:rsidRPr="001C3450">
        <w:rPr>
          <w:rFonts w:ascii="Arial" w:hAnsi="Arial" w:cs="Arial"/>
          <w:b/>
          <w:bCs/>
          <w:sz w:val="28"/>
          <w:szCs w:val="28"/>
        </w:rPr>
        <w:t>:</w:t>
      </w:r>
      <w:r w:rsidRPr="001C3450">
        <w:rPr>
          <w:rFonts w:ascii="Arial" w:hAnsi="Arial" w:cs="Arial"/>
          <w:b/>
          <w:bCs/>
          <w:sz w:val="28"/>
          <w:szCs w:val="28"/>
        </w:rPr>
        <w:t xml:space="preserve"> Yohan Mendis/ Dr Faizu Edu</w:t>
      </w:r>
    </w:p>
    <w:p w14:paraId="588BA2E3" w14:textId="77777777" w:rsidR="001C3450" w:rsidRPr="001C3450" w:rsidRDefault="001C3450" w:rsidP="001C3450">
      <w:pPr>
        <w:spacing w:line="360" w:lineRule="auto"/>
        <w:jc w:val="center"/>
        <w:rPr>
          <w:rFonts w:ascii="Arial" w:hAnsi="Arial" w:cs="Arial"/>
          <w:b/>
          <w:bCs/>
          <w:sz w:val="28"/>
          <w:szCs w:val="28"/>
        </w:rPr>
      </w:pPr>
    </w:p>
    <w:p w14:paraId="04672948" w14:textId="2392ED13" w:rsidR="00C23A10" w:rsidRDefault="006C1461" w:rsidP="001C3450">
      <w:pPr>
        <w:spacing w:line="360" w:lineRule="auto"/>
        <w:jc w:val="center"/>
        <w:rPr>
          <w:rFonts w:ascii="Arial" w:hAnsi="Arial" w:cs="Arial"/>
          <w:b/>
          <w:bCs/>
          <w:sz w:val="28"/>
          <w:szCs w:val="28"/>
        </w:rPr>
      </w:pPr>
      <w:r w:rsidRPr="001C3450">
        <w:rPr>
          <w:rFonts w:ascii="Arial" w:hAnsi="Arial" w:cs="Arial"/>
          <w:b/>
          <w:bCs/>
          <w:sz w:val="28"/>
          <w:szCs w:val="28"/>
        </w:rPr>
        <w:t>Assignment Title: Individual Report (Vodafone)</w:t>
      </w:r>
    </w:p>
    <w:p w14:paraId="69A2E1C4" w14:textId="77777777" w:rsidR="001C3450" w:rsidRPr="001C3450" w:rsidRDefault="001C3450" w:rsidP="001C3450">
      <w:pPr>
        <w:spacing w:line="360" w:lineRule="auto"/>
        <w:jc w:val="center"/>
        <w:rPr>
          <w:rFonts w:ascii="Arial" w:hAnsi="Arial" w:cs="Arial"/>
          <w:b/>
          <w:bCs/>
          <w:sz w:val="28"/>
          <w:szCs w:val="28"/>
        </w:rPr>
      </w:pPr>
    </w:p>
    <w:p w14:paraId="7DEEB195" w14:textId="17C4F238" w:rsidR="00665A83" w:rsidRDefault="00665A83" w:rsidP="001C3450">
      <w:pPr>
        <w:spacing w:line="360" w:lineRule="auto"/>
        <w:jc w:val="center"/>
        <w:rPr>
          <w:rFonts w:ascii="Arial" w:hAnsi="Arial" w:cs="Arial"/>
          <w:b/>
          <w:bCs/>
          <w:sz w:val="28"/>
          <w:szCs w:val="28"/>
        </w:rPr>
      </w:pPr>
      <w:r w:rsidRPr="001C3450">
        <w:rPr>
          <w:rFonts w:ascii="Arial" w:hAnsi="Arial" w:cs="Arial"/>
          <w:b/>
          <w:bCs/>
          <w:sz w:val="28"/>
          <w:szCs w:val="28"/>
        </w:rPr>
        <w:t>Student Name: Camelia Cenusa</w:t>
      </w:r>
    </w:p>
    <w:p w14:paraId="5058F8F5" w14:textId="77777777" w:rsidR="001C3450" w:rsidRPr="001C3450" w:rsidRDefault="001C3450" w:rsidP="001C3450">
      <w:pPr>
        <w:spacing w:line="360" w:lineRule="auto"/>
        <w:jc w:val="center"/>
        <w:rPr>
          <w:rFonts w:ascii="Arial" w:hAnsi="Arial" w:cs="Arial"/>
          <w:b/>
          <w:bCs/>
          <w:sz w:val="28"/>
          <w:szCs w:val="28"/>
        </w:rPr>
      </w:pPr>
    </w:p>
    <w:p w14:paraId="32FE7647" w14:textId="0BEEBB2B" w:rsidR="00665A83" w:rsidRDefault="00665A83" w:rsidP="001C3450">
      <w:pPr>
        <w:spacing w:line="360" w:lineRule="auto"/>
        <w:jc w:val="center"/>
        <w:rPr>
          <w:rFonts w:ascii="Arial" w:hAnsi="Arial" w:cs="Arial"/>
          <w:b/>
          <w:bCs/>
          <w:sz w:val="28"/>
          <w:szCs w:val="28"/>
        </w:rPr>
      </w:pPr>
      <w:r w:rsidRPr="001C3450">
        <w:rPr>
          <w:rFonts w:ascii="Arial" w:hAnsi="Arial" w:cs="Arial"/>
          <w:b/>
          <w:bCs/>
          <w:sz w:val="28"/>
          <w:szCs w:val="28"/>
        </w:rPr>
        <w:t>Student ID:</w:t>
      </w:r>
      <w:r w:rsidR="00FC2D7D" w:rsidRPr="001C3450">
        <w:rPr>
          <w:rFonts w:ascii="Arial" w:hAnsi="Arial" w:cs="Arial"/>
          <w:b/>
          <w:bCs/>
          <w:sz w:val="28"/>
          <w:szCs w:val="28"/>
        </w:rPr>
        <w:t xml:space="preserve"> 2334848</w:t>
      </w:r>
    </w:p>
    <w:p w14:paraId="25502ED5" w14:textId="77777777" w:rsidR="001C3450" w:rsidRPr="001C3450" w:rsidRDefault="001C3450" w:rsidP="001C3450">
      <w:pPr>
        <w:spacing w:line="360" w:lineRule="auto"/>
        <w:jc w:val="center"/>
        <w:rPr>
          <w:rFonts w:ascii="Arial" w:hAnsi="Arial" w:cs="Arial"/>
          <w:b/>
          <w:bCs/>
          <w:sz w:val="28"/>
          <w:szCs w:val="28"/>
        </w:rPr>
      </w:pPr>
    </w:p>
    <w:p w14:paraId="08C0380A" w14:textId="53B4D7C7" w:rsidR="00665A83" w:rsidRPr="001C3450" w:rsidRDefault="00665A83" w:rsidP="001C3450">
      <w:pPr>
        <w:spacing w:line="360" w:lineRule="auto"/>
        <w:jc w:val="center"/>
        <w:rPr>
          <w:rFonts w:ascii="Arial" w:hAnsi="Arial" w:cs="Arial"/>
          <w:b/>
          <w:bCs/>
          <w:sz w:val="28"/>
          <w:szCs w:val="28"/>
        </w:rPr>
      </w:pPr>
      <w:r w:rsidRPr="001C3450">
        <w:rPr>
          <w:rFonts w:ascii="Arial" w:hAnsi="Arial" w:cs="Arial"/>
          <w:b/>
          <w:bCs/>
          <w:sz w:val="28"/>
          <w:szCs w:val="28"/>
        </w:rPr>
        <w:t xml:space="preserve">Word Count: </w:t>
      </w:r>
      <w:r w:rsidR="00742AC1" w:rsidRPr="001C3450">
        <w:rPr>
          <w:rFonts w:ascii="Arial" w:hAnsi="Arial" w:cs="Arial"/>
          <w:b/>
          <w:bCs/>
          <w:sz w:val="28"/>
          <w:szCs w:val="28"/>
        </w:rPr>
        <w:t>3,155</w:t>
      </w:r>
    </w:p>
    <w:p w14:paraId="40E2A6FA" w14:textId="77777777" w:rsidR="00725942" w:rsidRPr="001C3450" w:rsidRDefault="00725942" w:rsidP="001C3450">
      <w:pPr>
        <w:spacing w:line="360" w:lineRule="auto"/>
        <w:jc w:val="both"/>
        <w:rPr>
          <w:rFonts w:ascii="Arial" w:hAnsi="Arial" w:cs="Arial"/>
        </w:rPr>
      </w:pPr>
    </w:p>
    <w:p w14:paraId="171710D1" w14:textId="77777777" w:rsidR="00725942" w:rsidRPr="001C3450" w:rsidRDefault="00725942" w:rsidP="001C3450">
      <w:pPr>
        <w:spacing w:line="360" w:lineRule="auto"/>
        <w:jc w:val="both"/>
        <w:rPr>
          <w:rFonts w:ascii="Arial" w:hAnsi="Arial" w:cs="Arial"/>
        </w:rPr>
      </w:pPr>
    </w:p>
    <w:p w14:paraId="1BCEF611" w14:textId="77777777" w:rsidR="00725942" w:rsidRPr="001C3450" w:rsidRDefault="00725942" w:rsidP="001C3450">
      <w:pPr>
        <w:spacing w:line="360" w:lineRule="auto"/>
        <w:jc w:val="both"/>
        <w:rPr>
          <w:rFonts w:ascii="Arial" w:hAnsi="Arial" w:cs="Arial"/>
        </w:rPr>
      </w:pPr>
    </w:p>
    <w:p w14:paraId="5E26E157" w14:textId="77777777" w:rsidR="00725942" w:rsidRPr="001C3450" w:rsidRDefault="00725942" w:rsidP="001C3450">
      <w:pPr>
        <w:spacing w:line="360" w:lineRule="auto"/>
        <w:jc w:val="both"/>
        <w:rPr>
          <w:rFonts w:ascii="Arial" w:hAnsi="Arial" w:cs="Arial"/>
        </w:rPr>
      </w:pPr>
    </w:p>
    <w:p w14:paraId="4AC9C7DD" w14:textId="77777777" w:rsidR="00725942" w:rsidRPr="001C3450" w:rsidRDefault="00725942" w:rsidP="001C3450">
      <w:pPr>
        <w:spacing w:line="360" w:lineRule="auto"/>
        <w:jc w:val="both"/>
        <w:rPr>
          <w:rFonts w:ascii="Arial" w:hAnsi="Arial" w:cs="Arial"/>
        </w:rPr>
      </w:pPr>
    </w:p>
    <w:p w14:paraId="74D08C9B" w14:textId="77777777" w:rsidR="00725942" w:rsidRDefault="00725942" w:rsidP="001C3450">
      <w:pPr>
        <w:spacing w:line="360" w:lineRule="auto"/>
        <w:jc w:val="both"/>
        <w:rPr>
          <w:rFonts w:ascii="Arial" w:hAnsi="Arial" w:cs="Arial"/>
        </w:rPr>
      </w:pPr>
    </w:p>
    <w:p w14:paraId="6B36E4CD" w14:textId="77777777" w:rsidR="001C3450" w:rsidRPr="001C3450" w:rsidRDefault="001C3450" w:rsidP="001C3450">
      <w:pPr>
        <w:spacing w:line="360" w:lineRule="auto"/>
        <w:jc w:val="both"/>
        <w:rPr>
          <w:rFonts w:ascii="Arial" w:hAnsi="Arial" w:cs="Arial"/>
        </w:rPr>
      </w:pPr>
    </w:p>
    <w:p w14:paraId="7C0DA52D" w14:textId="77777777" w:rsidR="00725942" w:rsidRPr="001C3450" w:rsidRDefault="00725942" w:rsidP="001C3450">
      <w:pPr>
        <w:spacing w:line="360" w:lineRule="auto"/>
        <w:jc w:val="both"/>
        <w:rPr>
          <w:rFonts w:ascii="Arial" w:hAnsi="Arial" w:cs="Arial"/>
        </w:rPr>
      </w:pPr>
    </w:p>
    <w:p w14:paraId="05D19ABD" w14:textId="7FAF1D8D" w:rsidR="009B300F" w:rsidRPr="001C3450" w:rsidRDefault="0051642F" w:rsidP="001C3450">
      <w:pPr>
        <w:spacing w:line="360" w:lineRule="auto"/>
        <w:jc w:val="both"/>
        <w:rPr>
          <w:rFonts w:ascii="Arial" w:hAnsi="Arial" w:cs="Arial"/>
          <w:b/>
          <w:bCs/>
        </w:rPr>
      </w:pPr>
      <w:r w:rsidRPr="001C3450">
        <w:rPr>
          <w:rFonts w:ascii="Arial" w:hAnsi="Arial" w:cs="Arial"/>
          <w:b/>
          <w:bCs/>
        </w:rPr>
        <w:lastRenderedPageBreak/>
        <w:t>Executive Summary</w:t>
      </w:r>
    </w:p>
    <w:p w14:paraId="1B3C9EA7" w14:textId="085B81C2" w:rsidR="0051642F" w:rsidRPr="001C3450" w:rsidRDefault="00C564CE" w:rsidP="001C3450">
      <w:pPr>
        <w:spacing w:line="360" w:lineRule="auto"/>
        <w:jc w:val="both"/>
        <w:rPr>
          <w:rFonts w:ascii="Arial" w:hAnsi="Arial" w:cs="Arial"/>
        </w:rPr>
      </w:pPr>
      <w:r w:rsidRPr="001C3450">
        <w:rPr>
          <w:rFonts w:ascii="Arial" w:hAnsi="Arial" w:cs="Arial"/>
        </w:rPr>
        <w:t>Vodafone Group is currently undergoing important changes related to its strategy of simplifying its business portfolio, controlling costs and creating Vodafone Three, the largest mobile operator in the UK (Vodafone Group Plc, 2025b). The paper presents an assessment of Vodafone's market position using SWOT, PESTEL, and Porter's Five Forces, followed by a proposal for a growth strategy involving diversification into digital services underpinned by differentiation through new technological capabilities. The proposal is justified in terms of Ansoff Matrix and Porter’s Generic Strategies (Grant, 2021; Zupic et al., 2025), and is evaluated with respect to its feasibility, acceptability, and suitability. A stakeholder engagement plan based on Mendelow's matrix (Chiwala et al., 2025) as well as a detailed implementation plan with measurable performance indicators is offered to ensure the success of the strategy.</w:t>
      </w:r>
    </w:p>
    <w:p w14:paraId="742778D1" w14:textId="77777777" w:rsidR="004466E4" w:rsidRPr="001C3450" w:rsidRDefault="004466E4" w:rsidP="001C3450">
      <w:pPr>
        <w:spacing w:line="360" w:lineRule="auto"/>
        <w:jc w:val="both"/>
        <w:rPr>
          <w:rFonts w:ascii="Arial" w:hAnsi="Arial" w:cs="Arial"/>
        </w:rPr>
      </w:pPr>
    </w:p>
    <w:p w14:paraId="6A5D6338" w14:textId="77777777" w:rsidR="004466E4" w:rsidRPr="001C3450" w:rsidRDefault="004466E4" w:rsidP="001C3450">
      <w:pPr>
        <w:spacing w:line="360" w:lineRule="auto"/>
        <w:jc w:val="both"/>
        <w:rPr>
          <w:rFonts w:ascii="Arial" w:hAnsi="Arial" w:cs="Arial"/>
        </w:rPr>
      </w:pPr>
    </w:p>
    <w:p w14:paraId="5464E739" w14:textId="77777777" w:rsidR="000C5EB9" w:rsidRPr="001C3450" w:rsidRDefault="000C5EB9" w:rsidP="001C3450">
      <w:pPr>
        <w:spacing w:line="360" w:lineRule="auto"/>
        <w:jc w:val="both"/>
        <w:rPr>
          <w:rFonts w:ascii="Arial" w:hAnsi="Arial" w:cs="Arial"/>
        </w:rPr>
      </w:pPr>
    </w:p>
    <w:p w14:paraId="3BC55C8A" w14:textId="77777777" w:rsidR="000C5EB9" w:rsidRPr="001C3450" w:rsidRDefault="000C5EB9" w:rsidP="001C3450">
      <w:pPr>
        <w:spacing w:line="360" w:lineRule="auto"/>
        <w:jc w:val="both"/>
        <w:rPr>
          <w:rFonts w:ascii="Arial" w:hAnsi="Arial" w:cs="Arial"/>
        </w:rPr>
      </w:pPr>
    </w:p>
    <w:p w14:paraId="38371E86" w14:textId="77777777" w:rsidR="000C5EB9" w:rsidRPr="001C3450" w:rsidRDefault="000C5EB9" w:rsidP="001C3450">
      <w:pPr>
        <w:spacing w:line="360" w:lineRule="auto"/>
        <w:jc w:val="both"/>
        <w:rPr>
          <w:rFonts w:ascii="Arial" w:hAnsi="Arial" w:cs="Arial"/>
        </w:rPr>
      </w:pPr>
    </w:p>
    <w:p w14:paraId="10E03818" w14:textId="77777777" w:rsidR="000C5EB9" w:rsidRPr="001C3450" w:rsidRDefault="000C5EB9" w:rsidP="001C3450">
      <w:pPr>
        <w:spacing w:line="360" w:lineRule="auto"/>
        <w:jc w:val="both"/>
        <w:rPr>
          <w:rFonts w:ascii="Arial" w:hAnsi="Arial" w:cs="Arial"/>
        </w:rPr>
      </w:pPr>
    </w:p>
    <w:p w14:paraId="6D471CDA" w14:textId="77777777" w:rsidR="000C5EB9" w:rsidRDefault="000C5EB9" w:rsidP="001C3450">
      <w:pPr>
        <w:spacing w:line="360" w:lineRule="auto"/>
        <w:jc w:val="both"/>
        <w:rPr>
          <w:rFonts w:ascii="Arial" w:hAnsi="Arial" w:cs="Arial"/>
        </w:rPr>
      </w:pPr>
    </w:p>
    <w:p w14:paraId="54E23BFF" w14:textId="77777777" w:rsidR="00112C7F" w:rsidRDefault="00112C7F" w:rsidP="001C3450">
      <w:pPr>
        <w:spacing w:line="360" w:lineRule="auto"/>
        <w:jc w:val="both"/>
        <w:rPr>
          <w:rFonts w:ascii="Arial" w:hAnsi="Arial" w:cs="Arial"/>
        </w:rPr>
      </w:pPr>
    </w:p>
    <w:p w14:paraId="40DC6143" w14:textId="77777777" w:rsidR="00112C7F" w:rsidRDefault="00112C7F" w:rsidP="001C3450">
      <w:pPr>
        <w:spacing w:line="360" w:lineRule="auto"/>
        <w:jc w:val="both"/>
        <w:rPr>
          <w:rFonts w:ascii="Arial" w:hAnsi="Arial" w:cs="Arial"/>
        </w:rPr>
      </w:pPr>
    </w:p>
    <w:p w14:paraId="5532B24A" w14:textId="77777777" w:rsidR="00112C7F" w:rsidRDefault="00112C7F" w:rsidP="001C3450">
      <w:pPr>
        <w:spacing w:line="360" w:lineRule="auto"/>
        <w:jc w:val="both"/>
        <w:rPr>
          <w:rFonts w:ascii="Arial" w:hAnsi="Arial" w:cs="Arial"/>
        </w:rPr>
      </w:pPr>
    </w:p>
    <w:p w14:paraId="2480F10A" w14:textId="77777777" w:rsidR="00112C7F" w:rsidRDefault="00112C7F" w:rsidP="001C3450">
      <w:pPr>
        <w:spacing w:line="360" w:lineRule="auto"/>
        <w:jc w:val="both"/>
        <w:rPr>
          <w:rFonts w:ascii="Arial" w:hAnsi="Arial" w:cs="Arial"/>
        </w:rPr>
      </w:pPr>
    </w:p>
    <w:p w14:paraId="383FFDF4" w14:textId="77777777" w:rsidR="00112C7F" w:rsidRDefault="00112C7F" w:rsidP="001C3450">
      <w:pPr>
        <w:spacing w:line="360" w:lineRule="auto"/>
        <w:jc w:val="both"/>
        <w:rPr>
          <w:rFonts w:ascii="Arial" w:hAnsi="Arial" w:cs="Arial"/>
        </w:rPr>
      </w:pPr>
    </w:p>
    <w:p w14:paraId="7A09BE8F" w14:textId="77777777" w:rsidR="00112C7F" w:rsidRDefault="00112C7F" w:rsidP="001C3450">
      <w:pPr>
        <w:spacing w:line="360" w:lineRule="auto"/>
        <w:jc w:val="both"/>
        <w:rPr>
          <w:rFonts w:ascii="Arial" w:hAnsi="Arial" w:cs="Arial"/>
        </w:rPr>
      </w:pPr>
    </w:p>
    <w:p w14:paraId="54F4EF05" w14:textId="77777777" w:rsidR="00112C7F" w:rsidRDefault="00112C7F" w:rsidP="001C3450">
      <w:pPr>
        <w:spacing w:line="360" w:lineRule="auto"/>
        <w:jc w:val="both"/>
        <w:rPr>
          <w:rFonts w:ascii="Arial" w:hAnsi="Arial" w:cs="Arial"/>
        </w:rPr>
      </w:pPr>
    </w:p>
    <w:p w14:paraId="51692E58" w14:textId="77777777" w:rsidR="00112C7F" w:rsidRDefault="00112C7F" w:rsidP="001C3450">
      <w:pPr>
        <w:spacing w:line="360" w:lineRule="auto"/>
        <w:jc w:val="both"/>
        <w:rPr>
          <w:rFonts w:ascii="Arial" w:hAnsi="Arial" w:cs="Arial"/>
        </w:rPr>
      </w:pPr>
    </w:p>
    <w:p w14:paraId="3654106E" w14:textId="77777777" w:rsidR="00112C7F" w:rsidRDefault="00112C7F" w:rsidP="001C3450">
      <w:pPr>
        <w:spacing w:line="360" w:lineRule="auto"/>
        <w:jc w:val="both"/>
        <w:rPr>
          <w:rFonts w:ascii="Arial" w:hAnsi="Arial" w:cs="Arial"/>
        </w:rPr>
      </w:pPr>
    </w:p>
    <w:p w14:paraId="78199171" w14:textId="77777777" w:rsidR="00112C7F" w:rsidRDefault="00112C7F" w:rsidP="001C3450">
      <w:pPr>
        <w:spacing w:line="360" w:lineRule="auto"/>
        <w:jc w:val="both"/>
        <w:rPr>
          <w:rFonts w:ascii="Arial" w:hAnsi="Arial" w:cs="Arial"/>
        </w:rPr>
      </w:pPr>
    </w:p>
    <w:p w14:paraId="412B9FD0" w14:textId="77777777" w:rsidR="00112C7F" w:rsidRPr="001C3450" w:rsidRDefault="00112C7F" w:rsidP="001C3450">
      <w:pPr>
        <w:spacing w:line="360" w:lineRule="auto"/>
        <w:jc w:val="both"/>
        <w:rPr>
          <w:rFonts w:ascii="Arial" w:hAnsi="Arial" w:cs="Arial"/>
        </w:rPr>
      </w:pPr>
    </w:p>
    <w:p w14:paraId="6DEA6B99" w14:textId="77777777" w:rsidR="000C5EB9" w:rsidRPr="001C3450" w:rsidRDefault="000C5EB9" w:rsidP="001C3450">
      <w:pPr>
        <w:spacing w:line="360" w:lineRule="auto"/>
        <w:jc w:val="both"/>
        <w:rPr>
          <w:rFonts w:ascii="Arial" w:hAnsi="Arial" w:cs="Arial"/>
        </w:rPr>
      </w:pPr>
    </w:p>
    <w:sdt>
      <w:sdtPr>
        <w:rPr>
          <w:rFonts w:ascii="Arial" w:eastAsiaTheme="minorHAnsi" w:hAnsi="Arial" w:cs="Arial"/>
          <w:b w:val="0"/>
          <w:bCs w:val="0"/>
          <w:color w:val="auto"/>
          <w:kern w:val="2"/>
          <w:sz w:val="24"/>
          <w:szCs w:val="24"/>
          <w:lang w:val="en-GB"/>
          <w14:ligatures w14:val="standardContextual"/>
        </w:rPr>
        <w:id w:val="-2006886402"/>
        <w:docPartObj>
          <w:docPartGallery w:val="Table of Contents"/>
          <w:docPartUnique/>
        </w:docPartObj>
      </w:sdtPr>
      <w:sdtEndPr>
        <w:rPr>
          <w:noProof/>
        </w:rPr>
      </w:sdtEndPr>
      <w:sdtContent>
        <w:p w14:paraId="00D1D690" w14:textId="7D9B26EC" w:rsidR="000C5EB9" w:rsidRPr="00972467" w:rsidRDefault="000C5EB9" w:rsidP="001C3450">
          <w:pPr>
            <w:pStyle w:val="TOCHeading"/>
            <w:spacing w:line="360" w:lineRule="auto"/>
            <w:jc w:val="both"/>
            <w:rPr>
              <w:rFonts w:ascii="Arial" w:hAnsi="Arial" w:cs="Arial"/>
              <w:sz w:val="32"/>
              <w:szCs w:val="32"/>
            </w:rPr>
          </w:pPr>
          <w:r w:rsidRPr="00972467">
            <w:rPr>
              <w:rFonts w:ascii="Arial" w:hAnsi="Arial" w:cs="Arial"/>
              <w:sz w:val="32"/>
              <w:szCs w:val="32"/>
            </w:rPr>
            <w:t>Table of Contents</w:t>
          </w:r>
        </w:p>
        <w:p w14:paraId="1798ACC1" w14:textId="07D21224" w:rsidR="000C5EB9" w:rsidRPr="001C3450" w:rsidRDefault="000C5EB9" w:rsidP="001C3450">
          <w:pPr>
            <w:pStyle w:val="TOC1"/>
            <w:tabs>
              <w:tab w:val="right" w:leader="dot" w:pos="9016"/>
            </w:tabs>
            <w:spacing w:line="360" w:lineRule="auto"/>
            <w:jc w:val="both"/>
            <w:rPr>
              <w:rFonts w:ascii="Arial" w:hAnsi="Arial" w:cs="Arial"/>
              <w:noProof/>
              <w:sz w:val="24"/>
              <w:szCs w:val="24"/>
            </w:rPr>
          </w:pPr>
          <w:r w:rsidRPr="001C3450">
            <w:rPr>
              <w:rFonts w:ascii="Arial" w:hAnsi="Arial" w:cs="Arial"/>
              <w:b w:val="0"/>
              <w:bCs w:val="0"/>
              <w:sz w:val="24"/>
              <w:szCs w:val="24"/>
            </w:rPr>
            <w:fldChar w:fldCharType="begin"/>
          </w:r>
          <w:r w:rsidRPr="001C3450">
            <w:rPr>
              <w:rFonts w:ascii="Arial" w:hAnsi="Arial" w:cs="Arial"/>
              <w:sz w:val="24"/>
              <w:szCs w:val="24"/>
            </w:rPr>
            <w:instrText xml:space="preserve"> TOC \o "1-3" \h \z \u </w:instrText>
          </w:r>
          <w:r w:rsidRPr="001C3450">
            <w:rPr>
              <w:rFonts w:ascii="Arial" w:hAnsi="Arial" w:cs="Arial"/>
              <w:b w:val="0"/>
              <w:bCs w:val="0"/>
              <w:sz w:val="24"/>
              <w:szCs w:val="24"/>
            </w:rPr>
            <w:fldChar w:fldCharType="separate"/>
          </w:r>
          <w:hyperlink w:anchor="_Toc236906267" w:history="1">
            <w:r w:rsidRPr="001C3450">
              <w:rPr>
                <w:rStyle w:val="Hyperlink"/>
                <w:rFonts w:ascii="Arial" w:hAnsi="Arial" w:cs="Arial"/>
                <w:noProof/>
                <w:sz w:val="24"/>
                <w:szCs w:val="24"/>
              </w:rPr>
              <w:t>1. Introduction to Vodafone</w:t>
            </w:r>
            <w:r w:rsidRPr="001C3450">
              <w:rPr>
                <w:rFonts w:ascii="Arial" w:hAnsi="Arial" w:cs="Arial"/>
                <w:noProof/>
                <w:webHidden/>
                <w:sz w:val="24"/>
                <w:szCs w:val="24"/>
              </w:rPr>
              <w:tab/>
            </w:r>
            <w:r w:rsidRPr="001C3450">
              <w:rPr>
                <w:rFonts w:ascii="Arial" w:hAnsi="Arial" w:cs="Arial"/>
                <w:noProof/>
                <w:webHidden/>
                <w:sz w:val="24"/>
                <w:szCs w:val="24"/>
              </w:rPr>
              <w:fldChar w:fldCharType="begin"/>
            </w:r>
            <w:r w:rsidRPr="001C3450">
              <w:rPr>
                <w:rFonts w:ascii="Arial" w:hAnsi="Arial" w:cs="Arial"/>
                <w:noProof/>
                <w:webHidden/>
                <w:sz w:val="24"/>
                <w:szCs w:val="24"/>
              </w:rPr>
              <w:instrText xml:space="preserve"> PAGEREF _Toc236906267 \h </w:instrText>
            </w:r>
            <w:r w:rsidRPr="001C3450">
              <w:rPr>
                <w:rFonts w:ascii="Arial" w:hAnsi="Arial" w:cs="Arial"/>
                <w:noProof/>
                <w:webHidden/>
                <w:sz w:val="24"/>
                <w:szCs w:val="24"/>
              </w:rPr>
            </w:r>
            <w:r w:rsidRPr="001C3450">
              <w:rPr>
                <w:rFonts w:ascii="Arial" w:hAnsi="Arial" w:cs="Arial"/>
                <w:noProof/>
                <w:webHidden/>
                <w:sz w:val="24"/>
                <w:szCs w:val="24"/>
              </w:rPr>
              <w:fldChar w:fldCharType="separate"/>
            </w:r>
            <w:r w:rsidR="000F5993">
              <w:rPr>
                <w:rFonts w:ascii="Arial" w:hAnsi="Arial" w:cs="Arial"/>
                <w:noProof/>
                <w:webHidden/>
                <w:sz w:val="24"/>
                <w:szCs w:val="24"/>
              </w:rPr>
              <w:t>4</w:t>
            </w:r>
            <w:r w:rsidRPr="001C3450">
              <w:rPr>
                <w:rFonts w:ascii="Arial" w:hAnsi="Arial" w:cs="Arial"/>
                <w:noProof/>
                <w:webHidden/>
                <w:sz w:val="24"/>
                <w:szCs w:val="24"/>
              </w:rPr>
              <w:fldChar w:fldCharType="end"/>
            </w:r>
          </w:hyperlink>
        </w:p>
        <w:p w14:paraId="57282BB3" w14:textId="701595E0"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68" w:history="1">
            <w:r w:rsidR="000C5EB9" w:rsidRPr="001C3450">
              <w:rPr>
                <w:rStyle w:val="Hyperlink"/>
                <w:rFonts w:ascii="Arial" w:hAnsi="Arial" w:cs="Arial"/>
                <w:noProof/>
                <w:sz w:val="24"/>
                <w:szCs w:val="24"/>
              </w:rPr>
              <w:t>2. Evaluation of Current Market Situation</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_Toc236906268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4</w:t>
            </w:r>
            <w:r w:rsidR="000C5EB9" w:rsidRPr="001C3450">
              <w:rPr>
                <w:rFonts w:ascii="Arial" w:hAnsi="Arial" w:cs="Arial"/>
                <w:noProof/>
                <w:webHidden/>
                <w:sz w:val="24"/>
                <w:szCs w:val="24"/>
              </w:rPr>
              <w:fldChar w:fldCharType="end"/>
            </w:r>
          </w:hyperlink>
        </w:p>
        <w:p w14:paraId="3B2145B9" w14:textId="35A04F53" w:rsidR="000C5EB9" w:rsidRPr="001C3450" w:rsidRDefault="00000000" w:rsidP="001C3450">
          <w:pPr>
            <w:pStyle w:val="TOC2"/>
            <w:tabs>
              <w:tab w:val="right" w:leader="dot" w:pos="9016"/>
            </w:tabs>
            <w:spacing w:line="360" w:lineRule="auto"/>
            <w:jc w:val="both"/>
            <w:rPr>
              <w:rFonts w:ascii="Arial" w:hAnsi="Arial" w:cs="Arial"/>
              <w:noProof/>
              <w:sz w:val="24"/>
              <w:szCs w:val="24"/>
            </w:rPr>
          </w:pPr>
          <w:hyperlink w:anchor="_Toc236906269" w:history="1">
            <w:r w:rsidR="000C5EB9" w:rsidRPr="001C3450">
              <w:rPr>
                <w:rStyle w:val="Hyperlink"/>
                <w:rFonts w:ascii="Arial" w:hAnsi="Arial" w:cs="Arial"/>
                <w:b/>
                <w:bCs/>
                <w:noProof/>
                <w:sz w:val="24"/>
                <w:szCs w:val="24"/>
              </w:rPr>
              <w:t>2.1 PESTLE Analysis</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_Toc236906269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4</w:t>
            </w:r>
            <w:r w:rsidR="000C5EB9" w:rsidRPr="001C3450">
              <w:rPr>
                <w:rFonts w:ascii="Arial" w:hAnsi="Arial" w:cs="Arial"/>
                <w:noProof/>
                <w:webHidden/>
                <w:sz w:val="24"/>
                <w:szCs w:val="24"/>
              </w:rPr>
              <w:fldChar w:fldCharType="end"/>
            </w:r>
          </w:hyperlink>
        </w:p>
        <w:p w14:paraId="067C9FEE" w14:textId="60991121" w:rsidR="000C5EB9" w:rsidRPr="001C3450" w:rsidRDefault="00000000" w:rsidP="001C3450">
          <w:pPr>
            <w:pStyle w:val="TOC2"/>
            <w:tabs>
              <w:tab w:val="right" w:leader="dot" w:pos="9016"/>
            </w:tabs>
            <w:spacing w:line="360" w:lineRule="auto"/>
            <w:jc w:val="both"/>
            <w:rPr>
              <w:rFonts w:ascii="Arial" w:hAnsi="Arial" w:cs="Arial"/>
              <w:noProof/>
              <w:sz w:val="24"/>
              <w:szCs w:val="24"/>
            </w:rPr>
          </w:pPr>
          <w:hyperlink w:anchor="_Toc236906270" w:history="1">
            <w:r w:rsidR="000C5EB9" w:rsidRPr="001C3450">
              <w:rPr>
                <w:rStyle w:val="Hyperlink"/>
                <w:rFonts w:ascii="Arial" w:hAnsi="Arial" w:cs="Arial"/>
                <w:b/>
                <w:bCs/>
                <w:noProof/>
                <w:sz w:val="24"/>
                <w:szCs w:val="24"/>
              </w:rPr>
              <w:t>2.2 Porter's Five Forces</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_Toc236906270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6</w:t>
            </w:r>
            <w:r w:rsidR="000C5EB9" w:rsidRPr="001C3450">
              <w:rPr>
                <w:rFonts w:ascii="Arial" w:hAnsi="Arial" w:cs="Arial"/>
                <w:noProof/>
                <w:webHidden/>
                <w:sz w:val="24"/>
                <w:szCs w:val="24"/>
              </w:rPr>
              <w:fldChar w:fldCharType="end"/>
            </w:r>
          </w:hyperlink>
        </w:p>
        <w:p w14:paraId="76101924" w14:textId="6E8B08D8" w:rsidR="000C5EB9" w:rsidRPr="001C3450" w:rsidRDefault="00000000" w:rsidP="001C3450">
          <w:pPr>
            <w:pStyle w:val="TOC2"/>
            <w:tabs>
              <w:tab w:val="right" w:leader="dot" w:pos="9016"/>
            </w:tabs>
            <w:spacing w:line="360" w:lineRule="auto"/>
            <w:jc w:val="both"/>
            <w:rPr>
              <w:rFonts w:ascii="Arial" w:hAnsi="Arial" w:cs="Arial"/>
              <w:noProof/>
              <w:sz w:val="24"/>
              <w:szCs w:val="24"/>
            </w:rPr>
          </w:pPr>
          <w:hyperlink w:anchor="_Toc236906271" w:history="1">
            <w:r w:rsidR="000C5EB9" w:rsidRPr="001C3450">
              <w:rPr>
                <w:rStyle w:val="Hyperlink"/>
                <w:rFonts w:ascii="Arial" w:hAnsi="Arial" w:cs="Arial"/>
                <w:b/>
                <w:bCs/>
                <w:noProof/>
                <w:sz w:val="24"/>
                <w:szCs w:val="24"/>
              </w:rPr>
              <w:t>2.3 SWOT Analysis</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_Toc236906271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8</w:t>
            </w:r>
            <w:r w:rsidR="000C5EB9" w:rsidRPr="001C3450">
              <w:rPr>
                <w:rFonts w:ascii="Arial" w:hAnsi="Arial" w:cs="Arial"/>
                <w:noProof/>
                <w:webHidden/>
                <w:sz w:val="24"/>
                <w:szCs w:val="24"/>
              </w:rPr>
              <w:fldChar w:fldCharType="end"/>
            </w:r>
          </w:hyperlink>
        </w:p>
        <w:p w14:paraId="62A1764F" w14:textId="74AC9DED"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72" w:history="1">
            <w:r w:rsidR="000C5EB9" w:rsidRPr="001C3450">
              <w:rPr>
                <w:rStyle w:val="Hyperlink"/>
                <w:rFonts w:ascii="Arial" w:hAnsi="Arial" w:cs="Arial"/>
                <w:noProof/>
                <w:sz w:val="24"/>
                <w:szCs w:val="24"/>
              </w:rPr>
              <w:t>3. Strategic Growth Options and Proposed Strategy</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_Toc236906272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9</w:t>
            </w:r>
            <w:r w:rsidR="000C5EB9" w:rsidRPr="001C3450">
              <w:rPr>
                <w:rFonts w:ascii="Arial" w:hAnsi="Arial" w:cs="Arial"/>
                <w:noProof/>
                <w:webHidden/>
                <w:sz w:val="24"/>
                <w:szCs w:val="24"/>
              </w:rPr>
              <w:fldChar w:fldCharType="end"/>
            </w:r>
          </w:hyperlink>
        </w:p>
        <w:p w14:paraId="674494AE" w14:textId="2773150E"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73" w:history="1">
            <w:r w:rsidR="000C5EB9" w:rsidRPr="001C3450">
              <w:rPr>
                <w:rStyle w:val="Hyperlink"/>
                <w:rFonts w:ascii="Arial" w:hAnsi="Arial" w:cs="Arial"/>
                <w:noProof/>
                <w:sz w:val="24"/>
                <w:szCs w:val="24"/>
              </w:rPr>
              <w:t>4. Strategy Evaluation</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_Toc236906273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10</w:t>
            </w:r>
            <w:r w:rsidR="000C5EB9" w:rsidRPr="001C3450">
              <w:rPr>
                <w:rFonts w:ascii="Arial" w:hAnsi="Arial" w:cs="Arial"/>
                <w:noProof/>
                <w:webHidden/>
                <w:sz w:val="24"/>
                <w:szCs w:val="24"/>
              </w:rPr>
              <w:fldChar w:fldCharType="end"/>
            </w:r>
          </w:hyperlink>
        </w:p>
        <w:p w14:paraId="4D08CB33" w14:textId="584A6D41"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74" w:history="1">
            <w:r w:rsidR="000C5EB9" w:rsidRPr="001C3450">
              <w:rPr>
                <w:rStyle w:val="Hyperlink"/>
                <w:rFonts w:ascii="Arial" w:hAnsi="Arial" w:cs="Arial"/>
                <w:noProof/>
                <w:sz w:val="24"/>
                <w:szCs w:val="24"/>
              </w:rPr>
              <w:t>5. Stakeholder Analysis</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_Toc236906274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12</w:t>
            </w:r>
            <w:r w:rsidR="000C5EB9" w:rsidRPr="001C3450">
              <w:rPr>
                <w:rFonts w:ascii="Arial" w:hAnsi="Arial" w:cs="Arial"/>
                <w:noProof/>
                <w:webHidden/>
                <w:sz w:val="24"/>
                <w:szCs w:val="24"/>
              </w:rPr>
              <w:fldChar w:fldCharType="end"/>
            </w:r>
          </w:hyperlink>
        </w:p>
        <w:p w14:paraId="65684442" w14:textId="1F0C9FC4"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75" w:history="1">
            <w:r w:rsidR="000C5EB9" w:rsidRPr="001C3450">
              <w:rPr>
                <w:rStyle w:val="Hyperlink"/>
                <w:rFonts w:ascii="Arial" w:hAnsi="Arial" w:cs="Arial"/>
                <w:noProof/>
                <w:sz w:val="24"/>
                <w:szCs w:val="24"/>
              </w:rPr>
              <w:t>6. Implementation and Monitoring</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_Toc236906275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13</w:t>
            </w:r>
            <w:r w:rsidR="000C5EB9" w:rsidRPr="001C3450">
              <w:rPr>
                <w:rFonts w:ascii="Arial" w:hAnsi="Arial" w:cs="Arial"/>
                <w:noProof/>
                <w:webHidden/>
                <w:sz w:val="24"/>
                <w:szCs w:val="24"/>
              </w:rPr>
              <w:fldChar w:fldCharType="end"/>
            </w:r>
          </w:hyperlink>
        </w:p>
        <w:p w14:paraId="6C0F84EC" w14:textId="5C347AEE"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76" w:history="1">
            <w:r w:rsidR="000C5EB9" w:rsidRPr="001C3450">
              <w:rPr>
                <w:rStyle w:val="Hyperlink"/>
                <w:rFonts w:ascii="Arial" w:hAnsi="Arial" w:cs="Arial"/>
                <w:noProof/>
                <w:sz w:val="24"/>
                <w:szCs w:val="24"/>
              </w:rPr>
              <w:t>7. Conclusion</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_Toc236906276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14</w:t>
            </w:r>
            <w:r w:rsidR="000C5EB9" w:rsidRPr="001C3450">
              <w:rPr>
                <w:rFonts w:ascii="Arial" w:hAnsi="Arial" w:cs="Arial"/>
                <w:noProof/>
                <w:webHidden/>
                <w:sz w:val="24"/>
                <w:szCs w:val="24"/>
              </w:rPr>
              <w:fldChar w:fldCharType="end"/>
            </w:r>
          </w:hyperlink>
        </w:p>
        <w:p w14:paraId="2A6B2F9F" w14:textId="254AAC3B" w:rsidR="000C5EB9" w:rsidRPr="001C3450" w:rsidRDefault="00000000" w:rsidP="001C3450">
          <w:pPr>
            <w:pStyle w:val="TOC1"/>
            <w:tabs>
              <w:tab w:val="right" w:leader="dot" w:pos="9016"/>
            </w:tabs>
            <w:spacing w:line="360" w:lineRule="auto"/>
            <w:jc w:val="both"/>
            <w:rPr>
              <w:rFonts w:ascii="Arial" w:hAnsi="Arial" w:cs="Arial"/>
              <w:noProof/>
              <w:sz w:val="24"/>
              <w:szCs w:val="24"/>
            </w:rPr>
          </w:pPr>
          <w:hyperlink w:anchor="_Toc236906277" w:history="1">
            <w:r w:rsidR="000C5EB9" w:rsidRPr="001C3450">
              <w:rPr>
                <w:rStyle w:val="Hyperlink"/>
                <w:rFonts w:ascii="Arial" w:hAnsi="Arial" w:cs="Arial"/>
                <w:noProof/>
                <w:sz w:val="24"/>
                <w:szCs w:val="24"/>
              </w:rPr>
              <w:t>8. Reference List</w:t>
            </w:r>
            <w:r w:rsidR="000C5EB9" w:rsidRPr="001C3450">
              <w:rPr>
                <w:rFonts w:ascii="Arial" w:hAnsi="Arial" w:cs="Arial"/>
                <w:noProof/>
                <w:webHidden/>
                <w:sz w:val="24"/>
                <w:szCs w:val="24"/>
              </w:rPr>
              <w:tab/>
            </w:r>
            <w:r w:rsidR="000C5EB9" w:rsidRPr="001C3450">
              <w:rPr>
                <w:rFonts w:ascii="Arial" w:hAnsi="Arial" w:cs="Arial"/>
                <w:noProof/>
                <w:webHidden/>
                <w:sz w:val="24"/>
                <w:szCs w:val="24"/>
              </w:rPr>
              <w:fldChar w:fldCharType="begin"/>
            </w:r>
            <w:r w:rsidR="000C5EB9" w:rsidRPr="001C3450">
              <w:rPr>
                <w:rFonts w:ascii="Arial" w:hAnsi="Arial" w:cs="Arial"/>
                <w:noProof/>
                <w:webHidden/>
                <w:sz w:val="24"/>
                <w:szCs w:val="24"/>
              </w:rPr>
              <w:instrText xml:space="preserve"> PAGEREF _Toc236906277 \h </w:instrText>
            </w:r>
            <w:r w:rsidR="000C5EB9" w:rsidRPr="001C3450">
              <w:rPr>
                <w:rFonts w:ascii="Arial" w:hAnsi="Arial" w:cs="Arial"/>
                <w:noProof/>
                <w:webHidden/>
                <w:sz w:val="24"/>
                <w:szCs w:val="24"/>
              </w:rPr>
            </w:r>
            <w:r w:rsidR="000C5EB9" w:rsidRPr="001C3450">
              <w:rPr>
                <w:rFonts w:ascii="Arial" w:hAnsi="Arial" w:cs="Arial"/>
                <w:noProof/>
                <w:webHidden/>
                <w:sz w:val="24"/>
                <w:szCs w:val="24"/>
              </w:rPr>
              <w:fldChar w:fldCharType="separate"/>
            </w:r>
            <w:r w:rsidR="000F5993">
              <w:rPr>
                <w:rFonts w:ascii="Arial" w:hAnsi="Arial" w:cs="Arial"/>
                <w:noProof/>
                <w:webHidden/>
                <w:sz w:val="24"/>
                <w:szCs w:val="24"/>
              </w:rPr>
              <w:t>16</w:t>
            </w:r>
            <w:r w:rsidR="000C5EB9" w:rsidRPr="001C3450">
              <w:rPr>
                <w:rFonts w:ascii="Arial" w:hAnsi="Arial" w:cs="Arial"/>
                <w:noProof/>
                <w:webHidden/>
                <w:sz w:val="24"/>
                <w:szCs w:val="24"/>
              </w:rPr>
              <w:fldChar w:fldCharType="end"/>
            </w:r>
          </w:hyperlink>
        </w:p>
        <w:p w14:paraId="0D2100B2" w14:textId="70F4E251" w:rsidR="000C5EB9" w:rsidRPr="001C3450" w:rsidRDefault="000C5EB9" w:rsidP="001C3450">
          <w:pPr>
            <w:spacing w:line="360" w:lineRule="auto"/>
            <w:jc w:val="both"/>
            <w:rPr>
              <w:rFonts w:ascii="Arial" w:hAnsi="Arial" w:cs="Arial"/>
            </w:rPr>
          </w:pPr>
          <w:r w:rsidRPr="001C3450">
            <w:rPr>
              <w:rFonts w:ascii="Arial" w:hAnsi="Arial" w:cs="Arial"/>
              <w:b/>
              <w:bCs/>
              <w:noProof/>
            </w:rPr>
            <w:fldChar w:fldCharType="end"/>
          </w:r>
        </w:p>
      </w:sdtContent>
    </w:sdt>
    <w:p w14:paraId="4FB46420" w14:textId="77777777" w:rsidR="000C5EB9" w:rsidRPr="001C3450" w:rsidRDefault="000C5EB9" w:rsidP="001C3450">
      <w:pPr>
        <w:spacing w:line="360" w:lineRule="auto"/>
        <w:jc w:val="both"/>
        <w:rPr>
          <w:rFonts w:ascii="Arial" w:hAnsi="Arial" w:cs="Arial"/>
        </w:rPr>
      </w:pPr>
    </w:p>
    <w:p w14:paraId="24F185CA" w14:textId="77777777" w:rsidR="000F5993" w:rsidRPr="001C3450" w:rsidRDefault="000F5993" w:rsidP="001C3450">
      <w:pPr>
        <w:spacing w:line="360" w:lineRule="auto"/>
        <w:jc w:val="both"/>
        <w:rPr>
          <w:rFonts w:ascii="Arial" w:hAnsi="Arial" w:cs="Arial"/>
        </w:rPr>
      </w:pPr>
    </w:p>
    <w:p w14:paraId="7331BFDA" w14:textId="77777777" w:rsidR="00581685" w:rsidRPr="001C3450" w:rsidRDefault="00581685" w:rsidP="001C3450">
      <w:pPr>
        <w:spacing w:line="360" w:lineRule="auto"/>
        <w:jc w:val="both"/>
        <w:rPr>
          <w:rFonts w:ascii="Arial" w:hAnsi="Arial" w:cs="Arial"/>
        </w:rPr>
      </w:pPr>
    </w:p>
    <w:p w14:paraId="55275207" w14:textId="77777777" w:rsidR="00A717F0" w:rsidRDefault="00A717F0" w:rsidP="001C3450">
      <w:pPr>
        <w:spacing w:line="360" w:lineRule="auto"/>
        <w:jc w:val="both"/>
        <w:rPr>
          <w:rFonts w:ascii="Arial" w:hAnsi="Arial" w:cs="Arial"/>
        </w:rPr>
      </w:pPr>
    </w:p>
    <w:p w14:paraId="020819C7" w14:textId="77777777" w:rsidR="00112C7F" w:rsidRDefault="00112C7F" w:rsidP="001C3450">
      <w:pPr>
        <w:spacing w:line="360" w:lineRule="auto"/>
        <w:jc w:val="both"/>
        <w:rPr>
          <w:rFonts w:ascii="Arial" w:hAnsi="Arial" w:cs="Arial"/>
        </w:rPr>
      </w:pPr>
    </w:p>
    <w:p w14:paraId="02483376" w14:textId="77777777" w:rsidR="00112C7F" w:rsidRDefault="00112C7F" w:rsidP="001C3450">
      <w:pPr>
        <w:spacing w:line="360" w:lineRule="auto"/>
        <w:jc w:val="both"/>
        <w:rPr>
          <w:rFonts w:ascii="Arial" w:hAnsi="Arial" w:cs="Arial"/>
        </w:rPr>
      </w:pPr>
    </w:p>
    <w:p w14:paraId="6844DE4F" w14:textId="77777777" w:rsidR="00112C7F" w:rsidRDefault="00112C7F" w:rsidP="001C3450">
      <w:pPr>
        <w:spacing w:line="360" w:lineRule="auto"/>
        <w:jc w:val="both"/>
        <w:rPr>
          <w:rFonts w:ascii="Arial" w:hAnsi="Arial" w:cs="Arial"/>
        </w:rPr>
      </w:pPr>
    </w:p>
    <w:p w14:paraId="2579BA3C" w14:textId="77777777" w:rsidR="00112C7F" w:rsidRDefault="00112C7F" w:rsidP="001C3450">
      <w:pPr>
        <w:spacing w:line="360" w:lineRule="auto"/>
        <w:jc w:val="both"/>
        <w:rPr>
          <w:rFonts w:ascii="Arial" w:hAnsi="Arial" w:cs="Arial"/>
        </w:rPr>
      </w:pPr>
    </w:p>
    <w:p w14:paraId="7E30FCE1" w14:textId="77777777" w:rsidR="00112C7F" w:rsidRDefault="00112C7F" w:rsidP="001C3450">
      <w:pPr>
        <w:spacing w:line="360" w:lineRule="auto"/>
        <w:jc w:val="both"/>
        <w:rPr>
          <w:rFonts w:ascii="Arial" w:hAnsi="Arial" w:cs="Arial"/>
        </w:rPr>
      </w:pPr>
    </w:p>
    <w:p w14:paraId="2E4E4F09" w14:textId="77777777" w:rsidR="00112C7F" w:rsidRDefault="00112C7F" w:rsidP="001C3450">
      <w:pPr>
        <w:spacing w:line="360" w:lineRule="auto"/>
        <w:jc w:val="both"/>
        <w:rPr>
          <w:rFonts w:ascii="Arial" w:hAnsi="Arial" w:cs="Arial"/>
        </w:rPr>
      </w:pPr>
    </w:p>
    <w:p w14:paraId="55D7DD3C" w14:textId="77777777" w:rsidR="00112C7F" w:rsidRDefault="00112C7F" w:rsidP="001C3450">
      <w:pPr>
        <w:spacing w:line="360" w:lineRule="auto"/>
        <w:jc w:val="both"/>
        <w:rPr>
          <w:rFonts w:ascii="Arial" w:hAnsi="Arial" w:cs="Arial"/>
        </w:rPr>
      </w:pPr>
    </w:p>
    <w:p w14:paraId="0DFB2013" w14:textId="77777777" w:rsidR="00112C7F" w:rsidRDefault="00112C7F" w:rsidP="001C3450">
      <w:pPr>
        <w:spacing w:line="360" w:lineRule="auto"/>
        <w:jc w:val="both"/>
        <w:rPr>
          <w:rFonts w:ascii="Arial" w:hAnsi="Arial" w:cs="Arial"/>
        </w:rPr>
      </w:pPr>
    </w:p>
    <w:p w14:paraId="560CA90F" w14:textId="77777777" w:rsidR="00112C7F" w:rsidRPr="001C3450" w:rsidRDefault="00112C7F" w:rsidP="001C3450">
      <w:pPr>
        <w:spacing w:line="360" w:lineRule="auto"/>
        <w:jc w:val="both"/>
        <w:rPr>
          <w:rFonts w:ascii="Arial" w:hAnsi="Arial" w:cs="Arial"/>
        </w:rPr>
      </w:pPr>
    </w:p>
    <w:p w14:paraId="11E343B3" w14:textId="4DABCFC3" w:rsidR="00A717F0" w:rsidRPr="001C3450" w:rsidRDefault="00657BCD" w:rsidP="001C3450">
      <w:pPr>
        <w:pStyle w:val="Heading1"/>
        <w:spacing w:line="360" w:lineRule="auto"/>
        <w:jc w:val="both"/>
        <w:rPr>
          <w:rFonts w:ascii="Arial" w:hAnsi="Arial" w:cs="Arial"/>
          <w:b/>
          <w:bCs/>
          <w:sz w:val="24"/>
          <w:szCs w:val="24"/>
        </w:rPr>
      </w:pPr>
      <w:bookmarkStart w:id="0" w:name="_Toc236906267"/>
      <w:r w:rsidRPr="001C3450">
        <w:rPr>
          <w:rFonts w:ascii="Arial" w:hAnsi="Arial" w:cs="Arial"/>
          <w:b/>
          <w:bCs/>
          <w:sz w:val="24"/>
          <w:szCs w:val="24"/>
        </w:rPr>
        <w:lastRenderedPageBreak/>
        <w:t>1. Introduction to Vodafone</w:t>
      </w:r>
      <w:bookmarkEnd w:id="0"/>
    </w:p>
    <w:p w14:paraId="32ACE261" w14:textId="77777777" w:rsidR="00901C09" w:rsidRPr="001C3450" w:rsidRDefault="00901C09" w:rsidP="001C3450">
      <w:pPr>
        <w:spacing w:line="360" w:lineRule="auto"/>
        <w:jc w:val="both"/>
        <w:rPr>
          <w:rFonts w:ascii="Arial" w:hAnsi="Arial" w:cs="Arial"/>
        </w:rPr>
      </w:pPr>
      <w:r w:rsidRPr="001C3450">
        <w:rPr>
          <w:rFonts w:ascii="Arial" w:hAnsi="Arial" w:cs="Arial"/>
        </w:rPr>
        <w:t xml:space="preserve">Vodafone Group Plc is a multinational telecom company based in the United Kingdom that operates in Europe and Africa and has a new focus on </w:t>
      </w:r>
      <w:r w:rsidRPr="005B4AB9">
        <w:rPr>
          <w:rFonts w:ascii="Arial" w:hAnsi="Arial" w:cs="Arial"/>
          <w:i/>
          <w:iCs/>
        </w:rPr>
        <w:t>Customers, Simplicity and Growth</w:t>
      </w:r>
      <w:r w:rsidRPr="001C3450">
        <w:rPr>
          <w:rFonts w:ascii="Arial" w:hAnsi="Arial" w:cs="Arial"/>
        </w:rPr>
        <w:t xml:space="preserve"> (Vodafone Group Plc, 2025a). After divesting its businesses in Spain and Italy, the Group has redirected its funds to markets that will provide long term growth and achieved total revenue of €37.4 billion in FY25, with an organic service revenue growth of 5.1% (Vodafone Group Plc, 2025b). The UK is at the heart of Vodafone's strategy as it newly merged with Three UK and created </w:t>
      </w:r>
      <w:r w:rsidRPr="005B4AB9">
        <w:rPr>
          <w:rFonts w:ascii="Arial" w:hAnsi="Arial" w:cs="Arial"/>
          <w:i/>
          <w:iCs/>
        </w:rPr>
        <w:t>VodafoneThree</w:t>
      </w:r>
      <w:r w:rsidRPr="001C3450">
        <w:rPr>
          <w:rFonts w:ascii="Arial" w:hAnsi="Arial" w:cs="Arial"/>
        </w:rPr>
        <w:t xml:space="preserve"> with more than 28.8 million clients and committed £11 billion for 5G investment over the next decade (CMA, 2024). </w:t>
      </w:r>
    </w:p>
    <w:p w14:paraId="2D757C54" w14:textId="77777777" w:rsidR="00901C09" w:rsidRPr="001C3450" w:rsidRDefault="00901C09" w:rsidP="001C3450">
      <w:pPr>
        <w:spacing w:line="360" w:lineRule="auto"/>
        <w:jc w:val="both"/>
        <w:rPr>
          <w:rFonts w:ascii="Arial" w:hAnsi="Arial" w:cs="Arial"/>
        </w:rPr>
      </w:pPr>
    </w:p>
    <w:p w14:paraId="00660CC3" w14:textId="0F2F7B3C" w:rsidR="00657BCD" w:rsidRPr="001C3450" w:rsidRDefault="00901C09" w:rsidP="001C3450">
      <w:pPr>
        <w:spacing w:line="360" w:lineRule="auto"/>
        <w:jc w:val="both"/>
        <w:rPr>
          <w:rFonts w:ascii="Arial" w:hAnsi="Arial" w:cs="Arial"/>
        </w:rPr>
      </w:pPr>
      <w:r w:rsidRPr="001C3450">
        <w:rPr>
          <w:rFonts w:ascii="Arial" w:hAnsi="Arial" w:cs="Arial"/>
        </w:rPr>
        <w:t>Vodafone’s mission rests on the idea that digital growth must be inclusive and the governance of the company incorporates the EGS principles into making strategic decisions (Vodafone Group Plc, 2025a). The corporate values stress trust, simplicity and controlled growth of the business and being linked to increasing customer satisfaction and lowest complaints in the UK (Vodafone Group Plc, 2025b). The synergy of these aspects makes a solid background to develop Vodafone’s UK growth strategy.</w:t>
      </w:r>
    </w:p>
    <w:p w14:paraId="671F893A" w14:textId="77777777" w:rsidR="00CD507C" w:rsidRPr="001C3450" w:rsidRDefault="00CD507C" w:rsidP="001C3450">
      <w:pPr>
        <w:spacing w:line="360" w:lineRule="auto"/>
        <w:jc w:val="both"/>
        <w:rPr>
          <w:rFonts w:ascii="Arial" w:hAnsi="Arial" w:cs="Arial"/>
        </w:rPr>
      </w:pPr>
    </w:p>
    <w:p w14:paraId="20403773" w14:textId="7F5DE625" w:rsidR="00CD507C" w:rsidRPr="001C3450" w:rsidRDefault="00A71475" w:rsidP="001C3450">
      <w:pPr>
        <w:pStyle w:val="Heading1"/>
        <w:spacing w:line="360" w:lineRule="auto"/>
        <w:jc w:val="both"/>
        <w:rPr>
          <w:rFonts w:ascii="Arial" w:hAnsi="Arial" w:cs="Arial"/>
          <w:b/>
          <w:bCs/>
          <w:sz w:val="24"/>
          <w:szCs w:val="24"/>
        </w:rPr>
      </w:pPr>
      <w:bookmarkStart w:id="1" w:name="_Toc236906268"/>
      <w:r w:rsidRPr="001C3450">
        <w:rPr>
          <w:rFonts w:ascii="Arial" w:hAnsi="Arial" w:cs="Arial"/>
          <w:b/>
          <w:bCs/>
          <w:sz w:val="24"/>
          <w:szCs w:val="24"/>
        </w:rPr>
        <w:t>2. Evaluation of Current Market Situation</w:t>
      </w:r>
      <w:bookmarkEnd w:id="1"/>
    </w:p>
    <w:p w14:paraId="1FCC37F3" w14:textId="5830CA5E" w:rsidR="00A71475" w:rsidRPr="001C3450" w:rsidRDefault="00A71475" w:rsidP="001C3450">
      <w:pPr>
        <w:pStyle w:val="Heading2"/>
        <w:spacing w:line="360" w:lineRule="auto"/>
        <w:jc w:val="both"/>
        <w:rPr>
          <w:rFonts w:ascii="Arial" w:hAnsi="Arial" w:cs="Arial"/>
          <w:b/>
          <w:bCs/>
          <w:sz w:val="24"/>
          <w:szCs w:val="24"/>
        </w:rPr>
      </w:pPr>
      <w:bookmarkStart w:id="2" w:name="_Toc236906269"/>
      <w:r w:rsidRPr="001C3450">
        <w:rPr>
          <w:rFonts w:ascii="Arial" w:hAnsi="Arial" w:cs="Arial"/>
          <w:b/>
          <w:bCs/>
          <w:sz w:val="24"/>
          <w:szCs w:val="24"/>
        </w:rPr>
        <w:t>2.1 PESTLE Analysis</w:t>
      </w:r>
      <w:bookmarkEnd w:id="2"/>
    </w:p>
    <w:p w14:paraId="6EDDA82E" w14:textId="77777777" w:rsidR="0036315B" w:rsidRDefault="00883EF2" w:rsidP="001C3450">
      <w:pPr>
        <w:spacing w:line="360" w:lineRule="auto"/>
        <w:jc w:val="both"/>
        <w:rPr>
          <w:rFonts w:ascii="Arial" w:hAnsi="Arial" w:cs="Arial"/>
        </w:rPr>
      </w:pPr>
      <w:r w:rsidRPr="001C3450">
        <w:rPr>
          <w:rFonts w:ascii="Arial" w:hAnsi="Arial" w:cs="Arial"/>
        </w:rPr>
        <w:t xml:space="preserve">The Competition and Markets Authority's lengthy review of the Vodafone-Three merger has changed the political landscape of the telecoms sector in the United Kingdom by permitting the merger to go through only if the involved parties promised to invest in network infrastructure, limit some pricing for a period of three years, and retain the wholesale conditions for mobile virtual networks. </w:t>
      </w:r>
      <w:r w:rsidR="0036315B">
        <w:rPr>
          <w:rFonts w:ascii="Arial" w:hAnsi="Arial" w:cs="Arial"/>
        </w:rPr>
        <w:t>The figure below illustrated the PESTLE analysis for Vodafone.</w:t>
      </w:r>
    </w:p>
    <w:p w14:paraId="6D332BAF" w14:textId="77777777" w:rsidR="0036315B" w:rsidRDefault="0036315B" w:rsidP="001C3450">
      <w:pPr>
        <w:spacing w:line="360" w:lineRule="auto"/>
        <w:jc w:val="both"/>
        <w:rPr>
          <w:rFonts w:ascii="Arial" w:hAnsi="Arial" w:cs="Arial"/>
        </w:rPr>
      </w:pPr>
    </w:p>
    <w:p w14:paraId="70869ECF" w14:textId="4889E56C" w:rsidR="00A71475" w:rsidRPr="001C3450" w:rsidRDefault="0036315B" w:rsidP="001C3450">
      <w:pPr>
        <w:spacing w:line="360" w:lineRule="auto"/>
        <w:jc w:val="both"/>
        <w:rPr>
          <w:rFonts w:ascii="Arial" w:hAnsi="Arial" w:cs="Arial"/>
        </w:rPr>
      </w:pPr>
      <w:r>
        <w:rPr>
          <w:rFonts w:ascii="Arial" w:hAnsi="Arial" w:cs="Arial"/>
        </w:rPr>
        <w:t>P</w:t>
      </w:r>
      <w:r w:rsidR="00883EF2" w:rsidRPr="001C3450">
        <w:rPr>
          <w:rFonts w:ascii="Arial" w:hAnsi="Arial" w:cs="Arial"/>
        </w:rPr>
        <w:t xml:space="preserve">olitical and regulatory risk continues defining the UK telecoms industry. In terms of economic trends, mobile products and services will generate around €1.1 trillion in terms of economic value in Europe in 2025, indicating the significance of the sector for the economy (GSMA, 2025). For its part, pressure from the rising cost of living </w:t>
      </w:r>
      <w:r w:rsidR="00883EF2" w:rsidRPr="001C3450">
        <w:rPr>
          <w:rFonts w:ascii="Arial" w:hAnsi="Arial" w:cs="Arial"/>
        </w:rPr>
        <w:lastRenderedPageBreak/>
        <w:t>compelled Vodafone to raise the prices of its contracts and provide services that are connected with inflation, thus balancing between making money and the danger of losing customers (Vodafone Group Plc, 2025b).</w:t>
      </w:r>
    </w:p>
    <w:p w14:paraId="4070D8E6" w14:textId="77777777" w:rsidR="001C39BB" w:rsidRPr="001C3450" w:rsidRDefault="001C39BB" w:rsidP="001C3450">
      <w:pPr>
        <w:spacing w:line="360" w:lineRule="auto"/>
        <w:jc w:val="both"/>
        <w:rPr>
          <w:rFonts w:ascii="Arial" w:hAnsi="Arial" w:cs="Arial"/>
        </w:rPr>
      </w:pPr>
    </w:p>
    <w:p w14:paraId="121BF117" w14:textId="26785AD4" w:rsidR="001C39BB" w:rsidRDefault="00A05BA2" w:rsidP="001C3450">
      <w:pPr>
        <w:spacing w:line="360" w:lineRule="auto"/>
        <w:jc w:val="both"/>
        <w:rPr>
          <w:rFonts w:ascii="Arial" w:hAnsi="Arial" w:cs="Arial"/>
        </w:rPr>
      </w:pPr>
      <w:r w:rsidRPr="001C3450">
        <w:rPr>
          <w:rFonts w:ascii="Arial" w:hAnsi="Arial" w:cs="Arial"/>
        </w:rPr>
        <w:t>On a social note, customer expectations are evolving towards a certain streamlined digital experience, to which Vodafone UK is responding admirably by registering record low churn and highest customer satisfaction level simultaneous with continued increase in subs in instants of broadband and mobile contracts signed (Vodafone Group Plc, 2025b). On the technological front, UK is undergoing major rollout of 5G Standalone technology: Ofcom's Connected Nations report reveals that coverage of 5G technology by the single operator is at least 94%-97% around the premises, although the average exclusions among the separate networks are quite lower at 47%-65% (Ofcom, 2025). The technological disparity contains both an opportunity as a competitive advantage and a risk of execution for VodafoneThree, which is obliged to cover 99% of the population under the 5G Standalone by 2030 (CMA, 2024). Environmentally, sustainability disclosure is becoming more tied to company's achievement in telecommunications sector, where studies prove that ESG approaches may develop positive perception of investors irrespective of the results achieved in short-term financial perspective (Buallay and Al Marri, 2022). Legally, CMA/Ofcom joint oversight regime stipulates a number of compliance obligations to the company including annual reporting on the network investment plan (CMA, 2024).</w:t>
      </w:r>
    </w:p>
    <w:p w14:paraId="2489E4AD" w14:textId="77777777" w:rsidR="00500401" w:rsidRDefault="00500401" w:rsidP="001C3450">
      <w:pPr>
        <w:spacing w:line="360" w:lineRule="auto"/>
        <w:jc w:val="both"/>
        <w:rPr>
          <w:rFonts w:ascii="Arial" w:hAnsi="Arial" w:cs="Arial"/>
        </w:rPr>
      </w:pPr>
    </w:p>
    <w:p w14:paraId="4F8A4E07" w14:textId="5D928C35" w:rsidR="00500401" w:rsidRDefault="0036315B" w:rsidP="001C3450">
      <w:pPr>
        <w:spacing w:line="360" w:lineRule="auto"/>
        <w:jc w:val="both"/>
        <w:rPr>
          <w:rFonts w:ascii="Arial" w:hAnsi="Arial" w:cs="Arial"/>
        </w:rPr>
      </w:pPr>
      <w:r>
        <w:rPr>
          <w:rFonts w:ascii="Arial" w:hAnsi="Arial" w:cs="Arial"/>
          <w:noProof/>
        </w:rPr>
        <w:lastRenderedPageBreak/>
        <w:drawing>
          <wp:inline distT="0" distB="0" distL="0" distR="0" wp14:anchorId="5A19C55D" wp14:editId="66CE1CBA">
            <wp:extent cx="5731510" cy="6311265"/>
            <wp:effectExtent l="0" t="0" r="0" b="635"/>
            <wp:docPr id="336808140" name="Picture 1" descr="A colorful rectangular box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808140" name="Picture 1" descr="A colorful rectangular boxes with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6311265"/>
                    </a:xfrm>
                    <a:prstGeom prst="rect">
                      <a:avLst/>
                    </a:prstGeom>
                  </pic:spPr>
                </pic:pic>
              </a:graphicData>
            </a:graphic>
          </wp:inline>
        </w:drawing>
      </w:r>
    </w:p>
    <w:p w14:paraId="29CE58DF" w14:textId="68220D83" w:rsidR="00500401" w:rsidRPr="0036315B" w:rsidRDefault="00500401" w:rsidP="0036315B">
      <w:pPr>
        <w:spacing w:line="360" w:lineRule="auto"/>
        <w:jc w:val="center"/>
        <w:rPr>
          <w:rFonts w:ascii="Arial" w:hAnsi="Arial" w:cs="Arial"/>
          <w:b/>
          <w:bCs/>
        </w:rPr>
      </w:pPr>
      <w:r w:rsidRPr="0036315B">
        <w:rPr>
          <w:rFonts w:ascii="Arial" w:hAnsi="Arial" w:cs="Arial"/>
          <w:b/>
          <w:bCs/>
        </w:rPr>
        <w:t>Figure 1: PESTLE Analysis</w:t>
      </w:r>
      <w:r w:rsidR="0036315B" w:rsidRPr="0036315B">
        <w:rPr>
          <w:rFonts w:ascii="Arial" w:hAnsi="Arial" w:cs="Arial"/>
          <w:b/>
          <w:bCs/>
        </w:rPr>
        <w:t xml:space="preserve"> (Source: self-created).</w:t>
      </w:r>
    </w:p>
    <w:p w14:paraId="49EC247F" w14:textId="77777777" w:rsidR="00E8244B" w:rsidRPr="001C3450" w:rsidRDefault="00E8244B" w:rsidP="001C3450">
      <w:pPr>
        <w:spacing w:line="360" w:lineRule="auto"/>
        <w:jc w:val="both"/>
        <w:rPr>
          <w:rFonts w:ascii="Arial" w:hAnsi="Arial" w:cs="Arial"/>
        </w:rPr>
      </w:pPr>
    </w:p>
    <w:p w14:paraId="6C99BB77" w14:textId="5F22092F" w:rsidR="00E8244B" w:rsidRPr="001C3450" w:rsidRDefault="00334157" w:rsidP="001C3450">
      <w:pPr>
        <w:pStyle w:val="Heading2"/>
        <w:spacing w:line="360" w:lineRule="auto"/>
        <w:jc w:val="both"/>
        <w:rPr>
          <w:rFonts w:ascii="Arial" w:hAnsi="Arial" w:cs="Arial"/>
          <w:b/>
          <w:bCs/>
          <w:sz w:val="24"/>
          <w:szCs w:val="24"/>
        </w:rPr>
      </w:pPr>
      <w:bookmarkStart w:id="3" w:name="_Toc236906270"/>
      <w:r w:rsidRPr="001C3450">
        <w:rPr>
          <w:rFonts w:ascii="Arial" w:hAnsi="Arial" w:cs="Arial"/>
          <w:b/>
          <w:bCs/>
          <w:sz w:val="24"/>
          <w:szCs w:val="24"/>
        </w:rPr>
        <w:t xml:space="preserve">2.2 </w:t>
      </w:r>
      <w:r w:rsidR="00843ABB" w:rsidRPr="001C3450">
        <w:rPr>
          <w:rFonts w:ascii="Arial" w:hAnsi="Arial" w:cs="Arial"/>
          <w:b/>
          <w:bCs/>
          <w:sz w:val="24"/>
          <w:szCs w:val="24"/>
        </w:rPr>
        <w:t>Porter's Five Forces</w:t>
      </w:r>
      <w:bookmarkEnd w:id="3"/>
    </w:p>
    <w:p w14:paraId="710CABBE" w14:textId="6FDD2841" w:rsidR="00843ABB" w:rsidRPr="001C3450" w:rsidRDefault="000E2EEE" w:rsidP="001C3450">
      <w:pPr>
        <w:spacing w:line="360" w:lineRule="auto"/>
        <w:jc w:val="both"/>
        <w:rPr>
          <w:rFonts w:ascii="Arial" w:hAnsi="Arial" w:cs="Arial"/>
        </w:rPr>
      </w:pPr>
      <w:r w:rsidRPr="001C3450">
        <w:rPr>
          <w:rFonts w:ascii="Arial" w:hAnsi="Arial" w:cs="Arial"/>
        </w:rPr>
        <w:t xml:space="preserve">Even though the </w:t>
      </w:r>
      <w:r w:rsidR="005B4AB9" w:rsidRPr="001C3450">
        <w:rPr>
          <w:rFonts w:ascii="Arial" w:hAnsi="Arial" w:cs="Arial"/>
        </w:rPr>
        <w:t>number</w:t>
      </w:r>
      <w:r w:rsidRPr="001C3450">
        <w:rPr>
          <w:rFonts w:ascii="Arial" w:hAnsi="Arial" w:cs="Arial"/>
        </w:rPr>
        <w:t xml:space="preserve"> of main companies in the UK mobile market went down to three, Vodafone-Three, BT/EE and Virgin Media O2, the competition among the companies has got more aggressive. In the EU mobile </w:t>
      </w:r>
      <w:r w:rsidR="005B4AB9" w:rsidRPr="001C3450">
        <w:rPr>
          <w:rFonts w:ascii="Arial" w:hAnsi="Arial" w:cs="Arial"/>
        </w:rPr>
        <w:t>market,</w:t>
      </w:r>
      <w:r w:rsidRPr="001C3450">
        <w:rPr>
          <w:rFonts w:ascii="Arial" w:hAnsi="Arial" w:cs="Arial"/>
        </w:rPr>
        <w:t xml:space="preserve"> it was discovered that with less than four companies on the market, the amount of investments goes significantly up. As a result, </w:t>
      </w:r>
      <w:r w:rsidRPr="005B4AB9">
        <w:rPr>
          <w:rFonts w:ascii="Arial" w:hAnsi="Arial" w:cs="Arial"/>
          <w:i/>
          <w:iCs/>
        </w:rPr>
        <w:t>VodafoneThree</w:t>
      </w:r>
      <w:r w:rsidRPr="001C3450">
        <w:rPr>
          <w:rFonts w:ascii="Arial" w:hAnsi="Arial" w:cs="Arial"/>
        </w:rPr>
        <w:t xml:space="preserve"> chapter's position might contribute to it (Bahia and Castells, 2023). The entry barrier into the industry is not high, thus making </w:t>
      </w:r>
      <w:r w:rsidRPr="001C3450">
        <w:rPr>
          <w:rFonts w:ascii="Arial" w:hAnsi="Arial" w:cs="Arial"/>
        </w:rPr>
        <w:lastRenderedPageBreak/>
        <w:t>it difficult for new companies to take a piece of the market. Nonetheless, some researchers argue that Porter's model ignores the fact that in technology-intensive industries the role of governmental regulations is huge; moreover, it does not take into consideration innovations' contribution to the competitive environment (Isabelle et al., 2020).</w:t>
      </w:r>
    </w:p>
    <w:p w14:paraId="3AABADA4" w14:textId="77777777" w:rsidR="00BB2B75" w:rsidRPr="001C3450" w:rsidRDefault="00BB2B75" w:rsidP="001C3450">
      <w:pPr>
        <w:spacing w:line="360" w:lineRule="auto"/>
        <w:jc w:val="both"/>
        <w:rPr>
          <w:rFonts w:ascii="Arial" w:hAnsi="Arial" w:cs="Arial"/>
        </w:rPr>
      </w:pPr>
    </w:p>
    <w:p w14:paraId="66310205" w14:textId="791337AC" w:rsidR="00BB2B75" w:rsidRDefault="00B77930" w:rsidP="001C3450">
      <w:pPr>
        <w:spacing w:line="360" w:lineRule="auto"/>
        <w:jc w:val="both"/>
        <w:rPr>
          <w:rFonts w:ascii="Arial" w:hAnsi="Arial" w:cs="Arial"/>
        </w:rPr>
      </w:pPr>
      <w:r w:rsidRPr="001C3450">
        <w:rPr>
          <w:rFonts w:ascii="Arial" w:hAnsi="Arial" w:cs="Arial"/>
        </w:rPr>
        <w:t xml:space="preserve">The buyers’ bargaining power is strengthened by the protective policies of regulators: according to CMA, the </w:t>
      </w:r>
      <w:r w:rsidR="0039283D" w:rsidRPr="001C3450">
        <w:rPr>
          <w:rFonts w:ascii="Arial" w:hAnsi="Arial" w:cs="Arial"/>
        </w:rPr>
        <w:t>behavioural</w:t>
      </w:r>
      <w:r w:rsidRPr="001C3450">
        <w:rPr>
          <w:rFonts w:ascii="Arial" w:hAnsi="Arial" w:cs="Arial"/>
        </w:rPr>
        <w:t xml:space="preserve"> measures imposed by the regulator restrict retail rates and set wholesale conditions for MVNOs for 3 years, thus putting a constraint on </w:t>
      </w:r>
      <w:r w:rsidRPr="0039283D">
        <w:rPr>
          <w:rFonts w:ascii="Arial" w:hAnsi="Arial" w:cs="Arial"/>
          <w:i/>
          <w:iCs/>
        </w:rPr>
        <w:t>VodafoneThree</w:t>
      </w:r>
      <w:r w:rsidRPr="001C3450">
        <w:rPr>
          <w:rFonts w:ascii="Arial" w:hAnsi="Arial" w:cs="Arial"/>
        </w:rPr>
        <w:t>'s ability to price in short term (CMA, 2024). The suppliers have a significant bargaining power because there are only few highly functioning providers of telecom equipment and because of the new regulation on cybersecurity that requires the removal of any equipment from high-risk suppliers from the critical infrastructure that increases the costs of changing suppliers and capital necessary to run the business in Europe (GSMA, 2025). The threat from substitutes is continuously increasing because fixed wireless connection, converged connectivity, and IoT alternatives are changing the ways 5G business models generate revenues (Banda and Feukeu, 2025).</w:t>
      </w:r>
    </w:p>
    <w:p w14:paraId="209CB2BD" w14:textId="77777777" w:rsidR="005E5E81" w:rsidRDefault="005E5E81" w:rsidP="001C3450">
      <w:pPr>
        <w:spacing w:line="360" w:lineRule="auto"/>
        <w:jc w:val="both"/>
        <w:rPr>
          <w:rFonts w:ascii="Arial" w:hAnsi="Arial" w:cs="Arial"/>
        </w:rPr>
      </w:pPr>
    </w:p>
    <w:p w14:paraId="2988524B" w14:textId="2916346D" w:rsidR="005E5E81" w:rsidRPr="001C3450" w:rsidRDefault="00DC4A24" w:rsidP="001C3450">
      <w:pPr>
        <w:spacing w:line="360" w:lineRule="auto"/>
        <w:jc w:val="both"/>
        <w:rPr>
          <w:rFonts w:ascii="Arial" w:hAnsi="Arial" w:cs="Arial"/>
        </w:rPr>
      </w:pPr>
      <w:r>
        <w:rPr>
          <w:rFonts w:ascii="Arial" w:hAnsi="Arial" w:cs="Arial"/>
          <w:noProof/>
        </w:rPr>
        <w:lastRenderedPageBreak/>
        <w:drawing>
          <wp:inline distT="0" distB="0" distL="0" distR="0" wp14:anchorId="53E61310" wp14:editId="25D5019C">
            <wp:extent cx="5731510" cy="4678680"/>
            <wp:effectExtent l="0" t="0" r="0" b="0"/>
            <wp:docPr id="859092836" name="Picture 2" descr="A diagram of a competitive riva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92836" name="Picture 2" descr="A diagram of a competitive rivalr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678680"/>
                    </a:xfrm>
                    <a:prstGeom prst="rect">
                      <a:avLst/>
                    </a:prstGeom>
                  </pic:spPr>
                </pic:pic>
              </a:graphicData>
            </a:graphic>
          </wp:inline>
        </w:drawing>
      </w:r>
    </w:p>
    <w:p w14:paraId="1B73767B" w14:textId="6F14B4A1" w:rsidR="001941DF" w:rsidRPr="00DC4A24" w:rsidRDefault="00DC4A24" w:rsidP="00DC4A24">
      <w:pPr>
        <w:spacing w:line="360" w:lineRule="auto"/>
        <w:jc w:val="center"/>
        <w:rPr>
          <w:rFonts w:ascii="Arial" w:hAnsi="Arial" w:cs="Arial"/>
          <w:b/>
          <w:bCs/>
        </w:rPr>
      </w:pPr>
      <w:r w:rsidRPr="00DC4A24">
        <w:rPr>
          <w:rFonts w:ascii="Arial" w:hAnsi="Arial" w:cs="Arial"/>
          <w:b/>
          <w:bCs/>
        </w:rPr>
        <w:t>Figure 2. Porter’s Five Forces (Source: self-created)</w:t>
      </w:r>
    </w:p>
    <w:p w14:paraId="6CEE7723" w14:textId="4131BB3C" w:rsidR="001941DF" w:rsidRPr="001C3450" w:rsidRDefault="00FB78CE" w:rsidP="001C3450">
      <w:pPr>
        <w:pStyle w:val="Heading2"/>
        <w:spacing w:line="360" w:lineRule="auto"/>
        <w:jc w:val="both"/>
        <w:rPr>
          <w:rFonts w:ascii="Arial" w:hAnsi="Arial" w:cs="Arial"/>
          <w:b/>
          <w:bCs/>
          <w:sz w:val="24"/>
          <w:szCs w:val="24"/>
        </w:rPr>
      </w:pPr>
      <w:bookmarkStart w:id="4" w:name="_Toc236906271"/>
      <w:r w:rsidRPr="001C3450">
        <w:rPr>
          <w:rFonts w:ascii="Arial" w:hAnsi="Arial" w:cs="Arial"/>
          <w:b/>
          <w:bCs/>
          <w:sz w:val="24"/>
          <w:szCs w:val="24"/>
        </w:rPr>
        <w:t>2.3 SWOT Analysis</w:t>
      </w:r>
      <w:bookmarkEnd w:id="4"/>
    </w:p>
    <w:p w14:paraId="1C7528C0" w14:textId="3A9BD4FE" w:rsidR="00FB78CE" w:rsidRPr="001C3450" w:rsidRDefault="00436A8C" w:rsidP="001C3450">
      <w:pPr>
        <w:spacing w:line="360" w:lineRule="auto"/>
        <w:jc w:val="both"/>
        <w:rPr>
          <w:rFonts w:ascii="Arial" w:hAnsi="Arial" w:cs="Arial"/>
        </w:rPr>
      </w:pPr>
      <w:r w:rsidRPr="001C3450">
        <w:rPr>
          <w:rFonts w:ascii="Arial" w:hAnsi="Arial" w:cs="Arial"/>
        </w:rPr>
        <w:t xml:space="preserve">Vodafone UK's key strength is largely attributable to the network investment size and full funding initiated by </w:t>
      </w:r>
      <w:r w:rsidRPr="0039283D">
        <w:rPr>
          <w:rFonts w:ascii="Arial" w:hAnsi="Arial" w:cs="Arial"/>
          <w:i/>
          <w:iCs/>
        </w:rPr>
        <w:t>VodafoneThree</w:t>
      </w:r>
      <w:r w:rsidRPr="001C3450">
        <w:rPr>
          <w:rFonts w:ascii="Arial" w:hAnsi="Arial" w:cs="Arial"/>
        </w:rPr>
        <w:t xml:space="preserve">. It is stated in the CMA report (2024) that this investment does not need public funds to ensure that it will provide coverage for 99% of the UK population. At the same time, the company has displayed good operating performance in the UK and is able to show service revenue growth of 1.9% as well as EBITDA growth of 7.9% in FY25 (Vodafone Group Plc, 2025b). Weaknesses of Vodafone UK include the significant amount of net debt incurred as a result of the merger and the operational intricacy of two large mobile networks integration. In fact, it is widely acknowledged in the mergers and acquisitions literature that companies are often unable to achieve value creation expected from post-merger integration (DePamphilis, 2019). As for the opportunities, they lie in the sphere of digital services, IoT and enterprise connectivity, which will be advantageous because of the deployment of standalone 5G technology (Banda and Feukeu, 2025). On the other </w:t>
      </w:r>
      <w:r w:rsidRPr="001C3450">
        <w:rPr>
          <w:rFonts w:ascii="Arial" w:hAnsi="Arial" w:cs="Arial"/>
        </w:rPr>
        <w:lastRenderedPageBreak/>
        <w:t>hand, the threats consist of ongoing regulatory investigations, competitive actions of BT/EE and Virgin Media O2, and the risk of receiving less from merger synergies than it was initially supposed (Holtström and Anderson, 2021).</w:t>
      </w:r>
    </w:p>
    <w:p w14:paraId="33EB09D0" w14:textId="77777777" w:rsidR="00DF4AC9" w:rsidRDefault="00DF4AC9" w:rsidP="001C3450">
      <w:pPr>
        <w:spacing w:line="360" w:lineRule="auto"/>
        <w:jc w:val="both"/>
        <w:rPr>
          <w:rFonts w:ascii="Arial" w:hAnsi="Arial" w:cs="Arial"/>
        </w:rPr>
      </w:pPr>
    </w:p>
    <w:p w14:paraId="4F8FEA4E" w14:textId="13430DFB" w:rsidR="0031152B" w:rsidRDefault="00A512D3" w:rsidP="001C3450">
      <w:pPr>
        <w:spacing w:line="360" w:lineRule="auto"/>
        <w:jc w:val="both"/>
        <w:rPr>
          <w:rFonts w:ascii="Arial" w:hAnsi="Arial" w:cs="Arial"/>
        </w:rPr>
      </w:pPr>
      <w:r>
        <w:rPr>
          <w:rFonts w:ascii="Arial" w:hAnsi="Arial" w:cs="Arial"/>
          <w:noProof/>
        </w:rPr>
        <w:drawing>
          <wp:inline distT="0" distB="0" distL="0" distR="0" wp14:anchorId="0E7C16B3" wp14:editId="0FDBDA97">
            <wp:extent cx="5731510" cy="4282440"/>
            <wp:effectExtent l="0" t="0" r="0" b="0"/>
            <wp:docPr id="1273142404" name="Picture 3"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42404" name="Picture 3" descr="A diagram of a swot analysi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82440"/>
                    </a:xfrm>
                    <a:prstGeom prst="rect">
                      <a:avLst/>
                    </a:prstGeom>
                  </pic:spPr>
                </pic:pic>
              </a:graphicData>
            </a:graphic>
          </wp:inline>
        </w:drawing>
      </w:r>
    </w:p>
    <w:p w14:paraId="36B0E4A0" w14:textId="73C75AC7" w:rsidR="00A512D3" w:rsidRPr="00A512D3" w:rsidRDefault="00A512D3" w:rsidP="00A512D3">
      <w:pPr>
        <w:spacing w:line="360" w:lineRule="auto"/>
        <w:jc w:val="center"/>
        <w:rPr>
          <w:rFonts w:ascii="Arial" w:hAnsi="Arial" w:cs="Arial"/>
          <w:b/>
          <w:bCs/>
        </w:rPr>
      </w:pPr>
      <w:r w:rsidRPr="00A512D3">
        <w:rPr>
          <w:rFonts w:ascii="Arial" w:hAnsi="Arial" w:cs="Arial"/>
          <w:b/>
          <w:bCs/>
        </w:rPr>
        <w:t>Figure 3. SWOT Analysis (Source: self-created)</w:t>
      </w:r>
    </w:p>
    <w:p w14:paraId="49DF23ED" w14:textId="751DBE57" w:rsidR="006C4135" w:rsidRPr="001C3450" w:rsidRDefault="00196180" w:rsidP="001C3450">
      <w:pPr>
        <w:pStyle w:val="Heading1"/>
        <w:spacing w:line="360" w:lineRule="auto"/>
        <w:jc w:val="both"/>
        <w:rPr>
          <w:rFonts w:ascii="Arial" w:hAnsi="Arial" w:cs="Arial"/>
          <w:b/>
          <w:bCs/>
          <w:sz w:val="24"/>
          <w:szCs w:val="24"/>
        </w:rPr>
      </w:pPr>
      <w:bookmarkStart w:id="5" w:name="_Toc236906272"/>
      <w:r w:rsidRPr="001C3450">
        <w:rPr>
          <w:rFonts w:ascii="Arial" w:hAnsi="Arial" w:cs="Arial"/>
          <w:b/>
          <w:bCs/>
          <w:sz w:val="24"/>
          <w:szCs w:val="24"/>
        </w:rPr>
        <w:t>3. Strategic Growth Options and Proposed Strategy</w:t>
      </w:r>
      <w:bookmarkEnd w:id="5"/>
    </w:p>
    <w:p w14:paraId="3AA8401E" w14:textId="77777777" w:rsidR="003454AA" w:rsidRPr="001C3450" w:rsidRDefault="003454AA" w:rsidP="001C3450">
      <w:pPr>
        <w:spacing w:line="360" w:lineRule="auto"/>
        <w:jc w:val="both"/>
        <w:rPr>
          <w:rFonts w:ascii="Arial" w:hAnsi="Arial" w:cs="Arial"/>
        </w:rPr>
      </w:pPr>
      <w:r w:rsidRPr="001C3450">
        <w:rPr>
          <w:rFonts w:ascii="Arial" w:hAnsi="Arial" w:cs="Arial"/>
        </w:rPr>
        <w:t>Looking at the Ansoff Matrix, it is evident that Vodafone in the UK can use four different growth strategies: either market penetration using pricing strategies, market development by selling existing mobile and broadband services in new markets, product development, and diversification into digitally adjacent markets (Gurcaylilar-Yenidogan and Aksoy, 2018). The review carried out shows definite proof that the Ansoff framework remains one of the most widely used and strongly criticized tools in corporate strategic studies (Zupic et al., 2025).</w:t>
      </w:r>
    </w:p>
    <w:p w14:paraId="63B08E65" w14:textId="77777777" w:rsidR="003454AA" w:rsidRPr="001C3450" w:rsidRDefault="003454AA" w:rsidP="001C3450">
      <w:pPr>
        <w:spacing w:line="360" w:lineRule="auto"/>
        <w:jc w:val="both"/>
        <w:rPr>
          <w:rFonts w:ascii="Arial" w:hAnsi="Arial" w:cs="Arial"/>
        </w:rPr>
      </w:pPr>
    </w:p>
    <w:p w14:paraId="7CF065DC" w14:textId="0753AE2F" w:rsidR="00196180" w:rsidRPr="001C3450" w:rsidRDefault="003454AA" w:rsidP="001C3450">
      <w:pPr>
        <w:spacing w:line="360" w:lineRule="auto"/>
        <w:jc w:val="both"/>
        <w:rPr>
          <w:rFonts w:ascii="Arial" w:hAnsi="Arial" w:cs="Arial"/>
        </w:rPr>
      </w:pPr>
      <w:r w:rsidRPr="001C3450">
        <w:rPr>
          <w:rFonts w:ascii="Arial" w:hAnsi="Arial" w:cs="Arial"/>
        </w:rPr>
        <w:t xml:space="preserve">Clearly, using only market penetration is impossible due to regulatory pricing limitations (CMA, 2024), and as the Three merger is carried out there is no sense in </w:t>
      </w:r>
      <w:r w:rsidRPr="001C3450">
        <w:rPr>
          <w:rFonts w:ascii="Arial" w:hAnsi="Arial" w:cs="Arial"/>
        </w:rPr>
        <w:lastRenderedPageBreak/>
        <w:t xml:space="preserve">trying to achieve further consolidation in the telecommunications market of the UK. Therefore, the recommendation of this report is to combine product development with market development by focusing on promotion of IoT and digital services using newly established </w:t>
      </w:r>
      <w:r w:rsidRPr="0039283D">
        <w:rPr>
          <w:rFonts w:ascii="Arial" w:hAnsi="Arial" w:cs="Arial"/>
          <w:i/>
          <w:iCs/>
        </w:rPr>
        <w:t>VodafoneThree</w:t>
      </w:r>
      <w:r w:rsidRPr="001C3450">
        <w:rPr>
          <w:rFonts w:ascii="Arial" w:hAnsi="Arial" w:cs="Arial"/>
        </w:rPr>
        <w:t xml:space="preserve"> network and establishing bundles of services aimed at fulfilling merger regulatory commitments (Ofcom, 2025). The risk level of this option can be considered as moderate in comparison with unrelated diversification due to the existing network availability.</w:t>
      </w:r>
    </w:p>
    <w:p w14:paraId="2D9F5535" w14:textId="77777777" w:rsidR="00FE6899" w:rsidRPr="001C3450" w:rsidRDefault="00FE6899" w:rsidP="001C3450">
      <w:pPr>
        <w:spacing w:line="360" w:lineRule="auto"/>
        <w:jc w:val="both"/>
        <w:rPr>
          <w:rFonts w:ascii="Arial" w:hAnsi="Arial" w:cs="Arial"/>
        </w:rPr>
      </w:pPr>
    </w:p>
    <w:p w14:paraId="66A38600" w14:textId="7E877D13" w:rsidR="00FE6899" w:rsidRPr="001C3450" w:rsidRDefault="001C496A" w:rsidP="001C3450">
      <w:pPr>
        <w:spacing w:line="360" w:lineRule="auto"/>
        <w:jc w:val="both"/>
        <w:rPr>
          <w:rFonts w:ascii="Arial" w:hAnsi="Arial" w:cs="Arial"/>
        </w:rPr>
      </w:pPr>
      <w:r w:rsidRPr="001C3450">
        <w:rPr>
          <w:rFonts w:ascii="Arial" w:hAnsi="Arial" w:cs="Arial"/>
        </w:rPr>
        <w:t xml:space="preserve">According to Porter’s generic strategies, this recommendation indicates the differentiation strategy, not the cost leadership strategy, because </w:t>
      </w:r>
      <w:r w:rsidRPr="0039283D">
        <w:rPr>
          <w:rFonts w:ascii="Arial" w:hAnsi="Arial" w:cs="Arial"/>
          <w:i/>
          <w:iCs/>
        </w:rPr>
        <w:t>VodafoneThree</w:t>
      </w:r>
      <w:r w:rsidRPr="001C3450">
        <w:rPr>
          <w:rFonts w:ascii="Arial" w:hAnsi="Arial" w:cs="Arial"/>
        </w:rPr>
        <w:t xml:space="preserve"> gains its competitive advantage through high-quality network capabilities and independent 5G coverage, not through its position as the operator with the lowest costs (Grant, 2021). This supports the findings stating that European operators achieve better investment and quality results in less fragmented markets (Bahia and Castells, 2023)</w:t>
      </w:r>
      <w:r w:rsidR="0039283D">
        <w:rPr>
          <w:rFonts w:ascii="Arial" w:hAnsi="Arial" w:cs="Arial"/>
        </w:rPr>
        <w:t xml:space="preserve">. Similarly, </w:t>
      </w:r>
      <w:r w:rsidRPr="001C3450">
        <w:rPr>
          <w:rFonts w:ascii="Arial" w:hAnsi="Arial" w:cs="Arial"/>
        </w:rPr>
        <w:t xml:space="preserve">GSMA’s </w:t>
      </w:r>
      <w:r w:rsidR="0039283D">
        <w:rPr>
          <w:rFonts w:ascii="Arial" w:hAnsi="Arial" w:cs="Arial"/>
        </w:rPr>
        <w:t xml:space="preserve">(2025) </w:t>
      </w:r>
      <w:r w:rsidRPr="001C3450">
        <w:rPr>
          <w:rFonts w:ascii="Arial" w:hAnsi="Arial" w:cs="Arial"/>
        </w:rPr>
        <w:t xml:space="preserve">data </w:t>
      </w:r>
      <w:r w:rsidR="0039283D">
        <w:rPr>
          <w:rFonts w:ascii="Arial" w:hAnsi="Arial" w:cs="Arial"/>
        </w:rPr>
        <w:t xml:space="preserve">has been </w:t>
      </w:r>
      <w:r w:rsidRPr="001C3450">
        <w:rPr>
          <w:rFonts w:ascii="Arial" w:hAnsi="Arial" w:cs="Arial"/>
        </w:rPr>
        <w:t>revealing 5G-enabled digital services as a cornerstone for the next phase of economic value creation for the telecom secto</w:t>
      </w:r>
      <w:r w:rsidR="00F132FC">
        <w:rPr>
          <w:rFonts w:ascii="Arial" w:hAnsi="Arial" w:cs="Arial"/>
        </w:rPr>
        <w:t>r</w:t>
      </w:r>
      <w:r w:rsidRPr="001C3450">
        <w:rPr>
          <w:rFonts w:ascii="Arial" w:hAnsi="Arial" w:cs="Arial"/>
        </w:rPr>
        <w:t>.</w:t>
      </w:r>
    </w:p>
    <w:p w14:paraId="5A34AD14" w14:textId="77777777" w:rsidR="001C496A" w:rsidRPr="001C3450" w:rsidRDefault="001C496A" w:rsidP="001C3450">
      <w:pPr>
        <w:spacing w:line="360" w:lineRule="auto"/>
        <w:jc w:val="both"/>
        <w:rPr>
          <w:rFonts w:ascii="Arial" w:hAnsi="Arial" w:cs="Arial"/>
        </w:rPr>
      </w:pPr>
    </w:p>
    <w:p w14:paraId="18A9B31B" w14:textId="57AC878A" w:rsidR="001C496A" w:rsidRPr="001C3450" w:rsidRDefault="00E74C39" w:rsidP="001C3450">
      <w:pPr>
        <w:spacing w:line="360" w:lineRule="auto"/>
        <w:jc w:val="both"/>
        <w:rPr>
          <w:rFonts w:ascii="Arial" w:hAnsi="Arial" w:cs="Arial"/>
        </w:rPr>
      </w:pPr>
      <w:r w:rsidRPr="001C3450">
        <w:rPr>
          <w:rFonts w:ascii="Arial" w:hAnsi="Arial" w:cs="Arial"/>
        </w:rPr>
        <w:t>Implementing this strategy will require Vodafone to develop true dynamic capabilities in digital transformation, which consist of sensing new digital opportunities, seizing those through investments, and reconfiguring internal processes as required, rather than treating the process as just an upgrade of technology</w:t>
      </w:r>
      <w:r w:rsidR="009C340F">
        <w:rPr>
          <w:rFonts w:ascii="Arial" w:hAnsi="Arial" w:cs="Arial"/>
        </w:rPr>
        <w:t xml:space="preserve"> </w:t>
      </w:r>
      <w:r w:rsidR="009C340F" w:rsidRPr="001C3450">
        <w:rPr>
          <w:rFonts w:ascii="Arial" w:hAnsi="Arial" w:cs="Arial"/>
        </w:rPr>
        <w:t>(Warner and Wäger, 2019)</w:t>
      </w:r>
      <w:r w:rsidRPr="001C3450">
        <w:rPr>
          <w:rFonts w:ascii="Arial" w:hAnsi="Arial" w:cs="Arial"/>
        </w:rPr>
        <w:t>. As a result, its transformation roadmap should give priority to the so-called organizational barriers, including but not limited to governance, capability-building, and cross-functional experimentation. Recent telecom digital transformation research demonstrates that strategies, rather than technology itself, are virtually always the determining factors of success (Aghayari et al., 2022; Rogers, 2023).</w:t>
      </w:r>
    </w:p>
    <w:p w14:paraId="4FF666DD" w14:textId="77777777" w:rsidR="00242CD1" w:rsidRPr="001C3450" w:rsidRDefault="00242CD1" w:rsidP="001C3450">
      <w:pPr>
        <w:spacing w:line="360" w:lineRule="auto"/>
        <w:jc w:val="both"/>
        <w:rPr>
          <w:rFonts w:ascii="Arial" w:hAnsi="Arial" w:cs="Arial"/>
        </w:rPr>
      </w:pPr>
    </w:p>
    <w:p w14:paraId="19A947AE" w14:textId="41C017AB" w:rsidR="00242CD1" w:rsidRPr="001C3450" w:rsidRDefault="00951B0C" w:rsidP="001C3450">
      <w:pPr>
        <w:pStyle w:val="Heading1"/>
        <w:spacing w:line="360" w:lineRule="auto"/>
        <w:jc w:val="both"/>
        <w:rPr>
          <w:rFonts w:ascii="Arial" w:hAnsi="Arial" w:cs="Arial"/>
          <w:b/>
          <w:bCs/>
          <w:sz w:val="24"/>
          <w:szCs w:val="24"/>
        </w:rPr>
      </w:pPr>
      <w:bookmarkStart w:id="6" w:name="_Toc236906273"/>
      <w:r w:rsidRPr="001C3450">
        <w:rPr>
          <w:rFonts w:ascii="Arial" w:hAnsi="Arial" w:cs="Arial"/>
          <w:b/>
          <w:bCs/>
          <w:sz w:val="24"/>
          <w:szCs w:val="24"/>
        </w:rPr>
        <w:t>4. Strategy Evaluation</w:t>
      </w:r>
      <w:bookmarkEnd w:id="6"/>
    </w:p>
    <w:p w14:paraId="404E03C6" w14:textId="6BD611DF" w:rsidR="008A6ECF" w:rsidRPr="001C3450" w:rsidRDefault="008A6ECF" w:rsidP="001C3450">
      <w:pPr>
        <w:spacing w:line="360" w:lineRule="auto"/>
        <w:jc w:val="both"/>
        <w:rPr>
          <w:rFonts w:ascii="Arial" w:hAnsi="Arial" w:cs="Arial"/>
        </w:rPr>
      </w:pPr>
      <w:r w:rsidRPr="001C3450">
        <w:rPr>
          <w:rFonts w:ascii="Arial" w:hAnsi="Arial" w:cs="Arial"/>
        </w:rPr>
        <w:t xml:space="preserve">According to the </w:t>
      </w:r>
      <w:r w:rsidR="003F2860" w:rsidRPr="001C3450">
        <w:rPr>
          <w:rFonts w:ascii="Arial" w:hAnsi="Arial" w:cs="Arial"/>
        </w:rPr>
        <w:t>Suitability, Feasibility, Acceptability (</w:t>
      </w:r>
      <w:r w:rsidRPr="001C3450">
        <w:rPr>
          <w:rFonts w:ascii="Arial" w:hAnsi="Arial" w:cs="Arial"/>
        </w:rPr>
        <w:t>SFA</w:t>
      </w:r>
      <w:r w:rsidR="003F2860" w:rsidRPr="001C3450">
        <w:rPr>
          <w:rFonts w:ascii="Arial" w:hAnsi="Arial" w:cs="Arial"/>
        </w:rPr>
        <w:t>)</w:t>
      </w:r>
      <w:r w:rsidRPr="001C3450">
        <w:rPr>
          <w:rFonts w:ascii="Arial" w:hAnsi="Arial" w:cs="Arial"/>
        </w:rPr>
        <w:t xml:space="preserve"> framework, the proposed approach of digital diversification and network differentiation is seen as robust in terms of suitability. It encompasses the opportunities offered by the SWOT and PESTEL </w:t>
      </w:r>
      <w:r w:rsidRPr="001C3450">
        <w:rPr>
          <w:rFonts w:ascii="Arial" w:hAnsi="Arial" w:cs="Arial"/>
        </w:rPr>
        <w:lastRenderedPageBreak/>
        <w:t>analyses inclusive of the growing demand for new services powered by 5G technology (Banda and Feukeu, 2025)</w:t>
      </w:r>
      <w:r w:rsidR="006374F9">
        <w:rPr>
          <w:rFonts w:ascii="Arial" w:hAnsi="Arial" w:cs="Arial"/>
        </w:rPr>
        <w:t>. It also</w:t>
      </w:r>
      <w:r w:rsidRPr="001C3450">
        <w:rPr>
          <w:rFonts w:ascii="Arial" w:hAnsi="Arial" w:cs="Arial"/>
        </w:rPr>
        <w:t xml:space="preserve"> cuts the threat of margin decline due to CMA price caps thanks to the shifting of value capture toward the provision of services based on differentiation instead of pricing strategies (CMA, 2024).</w:t>
      </w:r>
    </w:p>
    <w:p w14:paraId="3747E3A6" w14:textId="77777777" w:rsidR="008A6ECF" w:rsidRPr="001C3450" w:rsidRDefault="008A6ECF" w:rsidP="001C3450">
      <w:pPr>
        <w:spacing w:line="360" w:lineRule="auto"/>
        <w:jc w:val="both"/>
        <w:rPr>
          <w:rFonts w:ascii="Arial" w:hAnsi="Arial" w:cs="Arial"/>
        </w:rPr>
      </w:pPr>
    </w:p>
    <w:p w14:paraId="4A1F39D2" w14:textId="566FCB74" w:rsidR="00951B0C" w:rsidRPr="001C3450" w:rsidRDefault="008A6ECF" w:rsidP="001C3450">
      <w:pPr>
        <w:spacing w:line="360" w:lineRule="auto"/>
        <w:jc w:val="both"/>
        <w:rPr>
          <w:rFonts w:ascii="Arial" w:hAnsi="Arial" w:cs="Arial"/>
        </w:rPr>
      </w:pPr>
      <w:r w:rsidRPr="001C3450">
        <w:rPr>
          <w:rFonts w:ascii="Arial" w:hAnsi="Arial" w:cs="Arial"/>
        </w:rPr>
        <w:t>The feasibility of the proposal is based on the fact that the £11 billion invested into the network is committed already and does not demand any further public funding, thus, offering a financial base where new digital services can be added on top (CMA, 2024). Nevertheless, feasibility risks still can be found when it comes to operation. According to the literature on M&amp;As, everyone would agree with the idea of synergy creation (</w:t>
      </w:r>
      <w:r w:rsidRPr="00A21FD0">
        <w:rPr>
          <w:rFonts w:ascii="Arial" w:hAnsi="Arial" w:cs="Arial"/>
          <w:i/>
          <w:iCs/>
        </w:rPr>
        <w:t xml:space="preserve">VodafoneThree </w:t>
      </w:r>
      <w:r w:rsidRPr="001C3450">
        <w:rPr>
          <w:rFonts w:ascii="Arial" w:hAnsi="Arial" w:cs="Arial"/>
        </w:rPr>
        <w:t>synergies are expected to be around £700 million annually), but it is noted that there is a difficulty underlying reali</w:t>
      </w:r>
      <w:r w:rsidR="000F5FDD">
        <w:rPr>
          <w:rFonts w:ascii="Arial" w:hAnsi="Arial" w:cs="Arial"/>
        </w:rPr>
        <w:t>s</w:t>
      </w:r>
      <w:r w:rsidRPr="001C3450">
        <w:rPr>
          <w:rFonts w:ascii="Arial" w:hAnsi="Arial" w:cs="Arial"/>
        </w:rPr>
        <w:t xml:space="preserve">ation of synergies since they include cultural and systems correlation of two companies that had been rivals (Holtström and Anderson, 2021). Thus, it is assumed that there would be phased realization of synergies and not getting everything done before the expected date of realizations, which should be proved wrong whenever </w:t>
      </w:r>
      <w:r w:rsidRPr="00A21FD0">
        <w:rPr>
          <w:rFonts w:ascii="Arial" w:hAnsi="Arial" w:cs="Arial"/>
          <w:i/>
          <w:iCs/>
        </w:rPr>
        <w:t>VodafoneThree</w:t>
      </w:r>
      <w:r w:rsidRPr="001C3450">
        <w:rPr>
          <w:rFonts w:ascii="Arial" w:hAnsi="Arial" w:cs="Arial"/>
        </w:rPr>
        <w:t xml:space="preserve"> submits its annual reports on the matter to CMA and Ofcom.</w:t>
      </w:r>
    </w:p>
    <w:p w14:paraId="6199EFDC" w14:textId="77777777" w:rsidR="00DC5D46" w:rsidRPr="001C3450" w:rsidRDefault="00DC5D46" w:rsidP="001C3450">
      <w:pPr>
        <w:spacing w:line="360" w:lineRule="auto"/>
        <w:jc w:val="both"/>
        <w:rPr>
          <w:rFonts w:ascii="Arial" w:hAnsi="Arial" w:cs="Arial"/>
        </w:rPr>
      </w:pPr>
    </w:p>
    <w:p w14:paraId="439127A7" w14:textId="77777777" w:rsidR="008A66D8" w:rsidRPr="001C3450" w:rsidRDefault="008A66D8" w:rsidP="001C3450">
      <w:pPr>
        <w:spacing w:line="360" w:lineRule="auto"/>
        <w:jc w:val="both"/>
        <w:rPr>
          <w:rFonts w:ascii="Arial" w:hAnsi="Arial" w:cs="Arial"/>
        </w:rPr>
      </w:pPr>
      <w:r w:rsidRPr="001C3450">
        <w:rPr>
          <w:rFonts w:ascii="Arial" w:hAnsi="Arial" w:cs="Arial"/>
        </w:rPr>
        <w:t>Acceptability to shareholders is highly complex. According to Vodafone's FY25 report, the merger would lead to small loss in adjusted free cash flow in the beginning, even if EBITDA would go up (Vodafone Group Plc, 2025b). In other words, shareholders have to sacrifice some short-term financial pain for structural benefit in the medium-term. This supports the bigger idea that digital transformation needs prolonged and patient investment in company capabilities and does not deliver immediate financial profit (Warner and Wäger, 2019).</w:t>
      </w:r>
    </w:p>
    <w:p w14:paraId="1BC07FB8" w14:textId="77777777" w:rsidR="008A66D8" w:rsidRPr="001C3450" w:rsidRDefault="008A66D8" w:rsidP="001C3450">
      <w:pPr>
        <w:spacing w:line="360" w:lineRule="auto"/>
        <w:jc w:val="both"/>
        <w:rPr>
          <w:rFonts w:ascii="Arial" w:hAnsi="Arial" w:cs="Arial"/>
        </w:rPr>
      </w:pPr>
    </w:p>
    <w:p w14:paraId="60751AE4" w14:textId="3F444FB3" w:rsidR="00DC5D46" w:rsidRPr="001C3450" w:rsidRDefault="008A66D8" w:rsidP="001C3450">
      <w:pPr>
        <w:spacing w:line="360" w:lineRule="auto"/>
        <w:jc w:val="both"/>
        <w:rPr>
          <w:rFonts w:ascii="Arial" w:hAnsi="Arial" w:cs="Arial"/>
        </w:rPr>
      </w:pPr>
      <w:r w:rsidRPr="001C3450">
        <w:rPr>
          <w:rFonts w:ascii="Arial" w:hAnsi="Arial" w:cs="Arial"/>
        </w:rPr>
        <w:t xml:space="preserve">From the regulatory angle, a differentiation strategy aiming at high-quality networks and digital services fits better with CMA's </w:t>
      </w:r>
      <w:r w:rsidR="00432500" w:rsidRPr="001C3450">
        <w:rPr>
          <w:rFonts w:ascii="Arial" w:hAnsi="Arial" w:cs="Arial"/>
        </w:rPr>
        <w:t>behavioural</w:t>
      </w:r>
      <w:r w:rsidRPr="001C3450">
        <w:rPr>
          <w:rFonts w:ascii="Arial" w:hAnsi="Arial" w:cs="Arial"/>
        </w:rPr>
        <w:t xml:space="preserve"> remedies than a price-based strategy, since it does not challenge the pricing caps set as an obligation of merger approval (CMA, 2024). Also, it is presumed that the three-year period of customer protection will not be extended, and if this assumption turns out to be wrong, acceptability of a differentiation-based strategy will become stronger, because there will be no scope for any competition based on prices anyway.</w:t>
      </w:r>
    </w:p>
    <w:p w14:paraId="57ED254F" w14:textId="77777777" w:rsidR="00E83288" w:rsidRPr="001C3450" w:rsidRDefault="00E83288" w:rsidP="001C3450">
      <w:pPr>
        <w:spacing w:line="360" w:lineRule="auto"/>
        <w:jc w:val="both"/>
        <w:rPr>
          <w:rFonts w:ascii="Arial" w:hAnsi="Arial" w:cs="Arial"/>
        </w:rPr>
      </w:pPr>
    </w:p>
    <w:p w14:paraId="55801F85" w14:textId="202B40BE" w:rsidR="00E83288" w:rsidRPr="001C3450" w:rsidRDefault="00904CDB" w:rsidP="001C3450">
      <w:pPr>
        <w:pStyle w:val="Heading1"/>
        <w:spacing w:line="360" w:lineRule="auto"/>
        <w:jc w:val="both"/>
        <w:rPr>
          <w:rFonts w:ascii="Arial" w:hAnsi="Arial" w:cs="Arial"/>
          <w:b/>
          <w:bCs/>
          <w:sz w:val="24"/>
          <w:szCs w:val="24"/>
        </w:rPr>
      </w:pPr>
      <w:bookmarkStart w:id="7" w:name="_Toc236906274"/>
      <w:r w:rsidRPr="001C3450">
        <w:rPr>
          <w:rFonts w:ascii="Arial" w:hAnsi="Arial" w:cs="Arial"/>
          <w:b/>
          <w:bCs/>
          <w:sz w:val="24"/>
          <w:szCs w:val="24"/>
        </w:rPr>
        <w:lastRenderedPageBreak/>
        <w:t>5. Stakeholder Analysis</w:t>
      </w:r>
      <w:bookmarkEnd w:id="7"/>
    </w:p>
    <w:p w14:paraId="102B80DC" w14:textId="01FE20F1" w:rsidR="0080131E" w:rsidRPr="001C3450" w:rsidRDefault="0080131E" w:rsidP="001C3450">
      <w:pPr>
        <w:spacing w:line="360" w:lineRule="auto"/>
        <w:jc w:val="both"/>
        <w:rPr>
          <w:rFonts w:ascii="Arial" w:hAnsi="Arial" w:cs="Arial"/>
        </w:rPr>
      </w:pPr>
      <w:r w:rsidRPr="001C3450">
        <w:rPr>
          <w:rFonts w:ascii="Arial" w:hAnsi="Arial" w:cs="Arial"/>
        </w:rPr>
        <w:t>The plan calls for a diverse and connected group of stakeholders, and the strategy's long-term effectiveness depends on Vodafone's approach in these relationships. This is based on a fundamental principle of the stakeholder theory, which states that companies can create durable value when they know the expectations of different groups and take them into account in their decisions rather than make stakeholder engagement a secondary issue for the interest of shareholders (Freeman, Harrison and Zyglidopoulos, 2018). In terms of Mendelow’s power–interest matrix, a tool that is still beneficial and can be used for stakeholder mapping in various spheres of life, including public infrastructure, healthcare, and telecommunications (Chiwala, Makasa and Zulu, 2025)</w:t>
      </w:r>
      <w:r w:rsidR="007161FF">
        <w:rPr>
          <w:rFonts w:ascii="Arial" w:hAnsi="Arial" w:cs="Arial"/>
        </w:rPr>
        <w:t>. It can be seen</w:t>
      </w:r>
      <w:r w:rsidRPr="001C3450">
        <w:rPr>
          <w:rFonts w:ascii="Arial" w:hAnsi="Arial" w:cs="Arial"/>
        </w:rPr>
        <w:t xml:space="preserve"> that four groups of stakeholders should be distinguished so that Vodafone UK can implement the strategy.</w:t>
      </w:r>
    </w:p>
    <w:p w14:paraId="6FFB4432" w14:textId="77777777" w:rsidR="0080131E" w:rsidRPr="001C3450" w:rsidRDefault="0080131E" w:rsidP="001C3450">
      <w:pPr>
        <w:spacing w:line="360" w:lineRule="auto"/>
        <w:jc w:val="both"/>
        <w:rPr>
          <w:rFonts w:ascii="Arial" w:hAnsi="Arial" w:cs="Arial"/>
        </w:rPr>
      </w:pPr>
    </w:p>
    <w:p w14:paraId="06C6912F" w14:textId="4DE2B036" w:rsidR="00904CDB" w:rsidRPr="001C3450" w:rsidRDefault="0080131E" w:rsidP="001C3450">
      <w:pPr>
        <w:spacing w:line="360" w:lineRule="auto"/>
        <w:jc w:val="both"/>
        <w:rPr>
          <w:rFonts w:ascii="Arial" w:hAnsi="Arial" w:cs="Arial"/>
        </w:rPr>
      </w:pPr>
      <w:r w:rsidRPr="001C3450">
        <w:rPr>
          <w:rFonts w:ascii="Arial" w:hAnsi="Arial" w:cs="Arial"/>
        </w:rPr>
        <w:t xml:space="preserve">Shareholders and regulators such as CMA and Ofcom will occupy </w:t>
      </w:r>
      <w:r w:rsidR="00442EB5" w:rsidRPr="001C3450">
        <w:rPr>
          <w:rFonts w:ascii="Arial" w:hAnsi="Arial" w:cs="Arial"/>
        </w:rPr>
        <w:t>the high</w:t>
      </w:r>
      <w:r w:rsidRPr="001C3450">
        <w:rPr>
          <w:rFonts w:ascii="Arial" w:hAnsi="Arial" w:cs="Arial"/>
        </w:rPr>
        <w:t>-power high-interest group and will have to be managed closely. In this case, shareholders are faced with dilution risks in the short term as the merger will not be beneficial for free cash flow although it is good for EBITDA since this means that investors need to see facts confirming that the strategy is implemented properly (Vodafone Group Plc, 2025b). To achieve this, Vodafone will need detailed reporting on the financial situation every quarter, and also they will have to explain how short-term costs lead to more structural advantages in the long run. At the same time, CMA and Ofcom have to apply strict rules on investments made into the network, tariffs, and wholesale commitments being fulfilled in order to allow the merger to happen and they announced that they would regularly monitor the process of the company (CMA, 2024).</w:t>
      </w:r>
    </w:p>
    <w:p w14:paraId="28397F04" w14:textId="77777777" w:rsidR="00F221B3" w:rsidRPr="001C3450" w:rsidRDefault="00F221B3" w:rsidP="001C3450">
      <w:pPr>
        <w:spacing w:line="360" w:lineRule="auto"/>
        <w:jc w:val="both"/>
        <w:rPr>
          <w:rFonts w:ascii="Arial" w:hAnsi="Arial" w:cs="Arial"/>
        </w:rPr>
      </w:pPr>
    </w:p>
    <w:p w14:paraId="368471F6" w14:textId="0B6285E7" w:rsidR="00F221B3" w:rsidRPr="001C3450" w:rsidRDefault="00D7087B" w:rsidP="001C3450">
      <w:pPr>
        <w:spacing w:line="360" w:lineRule="auto"/>
        <w:jc w:val="both"/>
        <w:rPr>
          <w:rFonts w:ascii="Arial" w:hAnsi="Arial" w:cs="Arial"/>
        </w:rPr>
      </w:pPr>
      <w:r w:rsidRPr="001C3450">
        <w:rPr>
          <w:rFonts w:ascii="Arial" w:hAnsi="Arial" w:cs="Arial"/>
        </w:rPr>
        <w:t xml:space="preserve">A second group, consisting of the UK government and national policymakers, has considerable power, although their interest in Vodafone's operational decisions is sporadic; to keep this group satisfied, it is vital to conduct strategy briefings from time to time mentioning the connection between the institution's investment programme and the national economy and digital inclusion policy as a whole, especially in view of the contribution of mobile industry to the UK and Europe economy (GSMA, 2025). A third group </w:t>
      </w:r>
      <w:r w:rsidR="00C572DA" w:rsidRPr="001C3450">
        <w:rPr>
          <w:rFonts w:ascii="Arial" w:hAnsi="Arial" w:cs="Arial"/>
        </w:rPr>
        <w:t xml:space="preserve">is </w:t>
      </w:r>
      <w:r w:rsidRPr="001C3450">
        <w:rPr>
          <w:rFonts w:ascii="Arial" w:hAnsi="Arial" w:cs="Arial"/>
        </w:rPr>
        <w:t xml:space="preserve">employees undergoing post-merger organizational changes and mobile virtual network operators depending on the guarantees of contracts made with </w:t>
      </w:r>
      <w:r w:rsidRPr="001C3450">
        <w:rPr>
          <w:rFonts w:ascii="Arial" w:hAnsi="Arial" w:cs="Arial"/>
        </w:rPr>
        <w:lastRenderedPageBreak/>
        <w:t>Vodafone</w:t>
      </w:r>
      <w:r w:rsidR="00C572DA" w:rsidRPr="001C3450">
        <w:rPr>
          <w:rFonts w:ascii="Arial" w:hAnsi="Arial" w:cs="Arial"/>
        </w:rPr>
        <w:t xml:space="preserve">. This group </w:t>
      </w:r>
      <w:r w:rsidRPr="001C3450">
        <w:rPr>
          <w:rFonts w:ascii="Arial" w:hAnsi="Arial" w:cs="Arial"/>
        </w:rPr>
        <w:t>does not possess a strong power but exhibits high interest in the results of decisions taken, so constant open communication is essential since research on mergers and acquisitions shows that the main cause of value destruction during mergers is communication issues (Holtström and Anderson, 2021). Finally, local communities and the public represent a group with relatively low power and interest, but their expectations and views about sustainability and responsible business begin to change, which means that the company should provide information concerning ESG issues in a voluntary way.</w:t>
      </w:r>
    </w:p>
    <w:p w14:paraId="2AA58BEA" w14:textId="77777777" w:rsidR="00A06985" w:rsidRPr="001C3450" w:rsidRDefault="00A06985" w:rsidP="001C3450">
      <w:pPr>
        <w:spacing w:line="360" w:lineRule="auto"/>
        <w:jc w:val="both"/>
        <w:rPr>
          <w:rFonts w:ascii="Arial" w:hAnsi="Arial" w:cs="Arial"/>
        </w:rPr>
      </w:pPr>
    </w:p>
    <w:p w14:paraId="002CC40B" w14:textId="08D5E676" w:rsidR="00A06985" w:rsidRPr="001C3450" w:rsidRDefault="0093370C" w:rsidP="001C3450">
      <w:pPr>
        <w:pStyle w:val="Heading1"/>
        <w:spacing w:line="360" w:lineRule="auto"/>
        <w:jc w:val="both"/>
        <w:rPr>
          <w:rFonts w:ascii="Arial" w:hAnsi="Arial" w:cs="Arial"/>
          <w:b/>
          <w:bCs/>
          <w:sz w:val="24"/>
          <w:szCs w:val="24"/>
        </w:rPr>
      </w:pPr>
      <w:bookmarkStart w:id="8" w:name="_Toc236906275"/>
      <w:r w:rsidRPr="001C3450">
        <w:rPr>
          <w:rFonts w:ascii="Arial" w:hAnsi="Arial" w:cs="Arial"/>
          <w:b/>
          <w:bCs/>
          <w:sz w:val="24"/>
          <w:szCs w:val="24"/>
        </w:rPr>
        <w:t>6. Implementation and Monitoring</w:t>
      </w:r>
      <w:bookmarkEnd w:id="8"/>
    </w:p>
    <w:p w14:paraId="6BAE9A4E" w14:textId="0C8EF158" w:rsidR="0093370C" w:rsidRPr="001C3450" w:rsidRDefault="001F507C" w:rsidP="001C3450">
      <w:pPr>
        <w:spacing w:line="360" w:lineRule="auto"/>
        <w:jc w:val="both"/>
        <w:rPr>
          <w:rFonts w:ascii="Arial" w:hAnsi="Arial" w:cs="Arial"/>
        </w:rPr>
      </w:pPr>
      <w:r w:rsidRPr="001C3450">
        <w:rPr>
          <w:rFonts w:ascii="Arial" w:hAnsi="Arial" w:cs="Arial"/>
        </w:rPr>
        <w:t xml:space="preserve">Carrying out the proposed strategy entails a well-ordered plan with four principal goals, each assisted with relevant actions and measurable key performance indicators that enable the board of directors to monitor the development of the strategy over years. The primary aim is to have real differentiation in the telecommunications network as the success of </w:t>
      </w:r>
      <w:r w:rsidRPr="00442EB5">
        <w:rPr>
          <w:rFonts w:ascii="Arial" w:hAnsi="Arial" w:cs="Arial"/>
          <w:i/>
          <w:iCs/>
        </w:rPr>
        <w:t>VodafoneThree’</w:t>
      </w:r>
      <w:r w:rsidRPr="001C3450">
        <w:rPr>
          <w:rFonts w:ascii="Arial" w:hAnsi="Arial" w:cs="Arial"/>
        </w:rPr>
        <w:t xml:space="preserve">s strategy and aspirations of digital and enterprise growth are built on the fact that </w:t>
      </w:r>
      <w:r w:rsidRPr="00442EB5">
        <w:rPr>
          <w:rFonts w:ascii="Arial" w:hAnsi="Arial" w:cs="Arial"/>
          <w:i/>
          <w:iCs/>
        </w:rPr>
        <w:t>VodafoneThree</w:t>
      </w:r>
      <w:r w:rsidRPr="001C3450">
        <w:rPr>
          <w:rFonts w:ascii="Arial" w:hAnsi="Arial" w:cs="Arial"/>
        </w:rPr>
        <w:t xml:space="preserve"> has a significant advantage over its competitors BT/EE and Virgin Media O2 in terms of the quality of the network service. It implies that capital investment must be put into action in stages starting from the £1.3 billion noise that was raised in the first year of capital investments, while the most important priority for investments is the binding requirement to achieve 99% 5G standalone population coverage set by the competition and markets authority by 2030 (CMA, 2024; Vodafone Group Plc, 2025b). To evaluate the progress, the percentage of UK population with real, verified 5G standalone connection should be </w:t>
      </w:r>
      <w:r w:rsidR="005B4AB9">
        <w:rPr>
          <w:rFonts w:ascii="Arial" w:hAnsi="Arial" w:cs="Arial"/>
        </w:rPr>
        <w:t>analyse</w:t>
      </w:r>
      <w:r w:rsidRPr="001C3450">
        <w:rPr>
          <w:rFonts w:ascii="Arial" w:hAnsi="Arial" w:cs="Arial"/>
        </w:rPr>
        <w:t>d, ideally compared with the Ofcom data on Connected Nations instead of depending only on the operators’ figure (Ofcom, 2025).</w:t>
      </w:r>
    </w:p>
    <w:p w14:paraId="53A4B876" w14:textId="77777777" w:rsidR="00BA255C" w:rsidRPr="001C3450" w:rsidRDefault="00BA255C" w:rsidP="001C3450">
      <w:pPr>
        <w:spacing w:line="360" w:lineRule="auto"/>
        <w:jc w:val="both"/>
        <w:rPr>
          <w:rFonts w:ascii="Arial" w:hAnsi="Arial" w:cs="Arial"/>
        </w:rPr>
      </w:pPr>
    </w:p>
    <w:p w14:paraId="0E22EB5A" w14:textId="44D529EC" w:rsidR="00BA255C" w:rsidRPr="001C3450" w:rsidRDefault="00E51E30" w:rsidP="001C3450">
      <w:pPr>
        <w:spacing w:line="360" w:lineRule="auto"/>
        <w:jc w:val="both"/>
        <w:rPr>
          <w:rFonts w:ascii="Arial" w:hAnsi="Arial" w:cs="Arial"/>
        </w:rPr>
      </w:pPr>
      <w:r w:rsidRPr="001C3450">
        <w:rPr>
          <w:rFonts w:ascii="Arial" w:hAnsi="Arial" w:cs="Arial"/>
        </w:rPr>
        <w:t xml:space="preserve">The second goal focuses on the achievement of merger synergies, a field in which the academic literature is extremely prudent: evidence from many case studies indicates that presumed cost and capital synergies are often exaggerated at the moment of announcement of the deal, and it is hard to really achieve them without timely and coordinated integration planning (Holtström and Anderson, 2021; DePamphilis, 2019). Therefore, Vodafone should give priority to systems integration, employee integration, </w:t>
      </w:r>
      <w:r w:rsidRPr="001C3450">
        <w:rPr>
          <w:rFonts w:ascii="Arial" w:hAnsi="Arial" w:cs="Arial"/>
        </w:rPr>
        <w:lastRenderedPageBreak/>
        <w:t>and site rationalisation over the first eighteen months after completion, while observing annual expenditures reductions versus the £700 million synergy target already communicated by the company in a transparent manner as part of its progress reports established by the CMA and Ofcom.</w:t>
      </w:r>
    </w:p>
    <w:p w14:paraId="706A372A" w14:textId="77777777" w:rsidR="00986673" w:rsidRPr="001C3450" w:rsidRDefault="00986673" w:rsidP="001C3450">
      <w:pPr>
        <w:spacing w:line="360" w:lineRule="auto"/>
        <w:jc w:val="both"/>
        <w:rPr>
          <w:rFonts w:ascii="Arial" w:hAnsi="Arial" w:cs="Arial"/>
        </w:rPr>
      </w:pPr>
    </w:p>
    <w:p w14:paraId="05069142" w14:textId="49F965E1" w:rsidR="00986673" w:rsidRPr="001C3450" w:rsidRDefault="00D056C1" w:rsidP="001C3450">
      <w:pPr>
        <w:spacing w:line="360" w:lineRule="auto"/>
        <w:jc w:val="both"/>
        <w:rPr>
          <w:rFonts w:ascii="Arial" w:hAnsi="Arial" w:cs="Arial"/>
        </w:rPr>
      </w:pPr>
      <w:r w:rsidRPr="001C3450">
        <w:rPr>
          <w:rFonts w:ascii="Arial" w:hAnsi="Arial" w:cs="Arial"/>
        </w:rPr>
        <w:t>The third goal is to increase revenues from digital and corporate activities while exceeding traditional methods of connectivity. To do this Voda</w:t>
      </w:r>
      <w:r w:rsidR="00442EB5">
        <w:rPr>
          <w:rFonts w:ascii="Arial" w:hAnsi="Arial" w:cs="Arial"/>
        </w:rPr>
        <w:t>f</w:t>
      </w:r>
      <w:r w:rsidRPr="001C3450">
        <w:rPr>
          <w:rFonts w:ascii="Arial" w:hAnsi="Arial" w:cs="Arial"/>
        </w:rPr>
        <w:t>one will need to create actual corporate possibilities and opportunities, as digital transformations cannot be treated as a mere technological upgrade. This involves hiring multidisciplinary digital teams, establishing strong relationships with partners and conducting pilot projects. That is because many studies demonstrate the dependence of the success of digital transformations on identifying, capturing, and reshaping already implemented organizational processes (Warner and Wäger, 2019; Aghayari et al., 2022; Rogers, 2023). The KPI is the number of revenues produced by Voda</w:t>
      </w:r>
      <w:r w:rsidR="00442EB5">
        <w:rPr>
          <w:rFonts w:ascii="Arial" w:hAnsi="Arial" w:cs="Arial"/>
        </w:rPr>
        <w:t>f</w:t>
      </w:r>
      <w:r w:rsidRPr="001C3450">
        <w:rPr>
          <w:rFonts w:ascii="Arial" w:hAnsi="Arial" w:cs="Arial"/>
        </w:rPr>
        <w:t>one Business’ digital solutions in the total revenues of the company.</w:t>
      </w:r>
    </w:p>
    <w:p w14:paraId="34382908" w14:textId="77777777" w:rsidR="00FC7D28" w:rsidRPr="001C3450" w:rsidRDefault="00FC7D28" w:rsidP="001C3450">
      <w:pPr>
        <w:spacing w:line="360" w:lineRule="auto"/>
        <w:jc w:val="both"/>
        <w:rPr>
          <w:rFonts w:ascii="Arial" w:hAnsi="Arial" w:cs="Arial"/>
        </w:rPr>
      </w:pPr>
    </w:p>
    <w:p w14:paraId="0E38CE4D" w14:textId="577A87D1" w:rsidR="00FC7D28" w:rsidRPr="001C3450" w:rsidRDefault="007B2BB1" w:rsidP="001C3450">
      <w:pPr>
        <w:spacing w:line="360" w:lineRule="auto"/>
        <w:jc w:val="both"/>
        <w:rPr>
          <w:rFonts w:ascii="Arial" w:hAnsi="Arial" w:cs="Arial"/>
        </w:rPr>
      </w:pPr>
      <w:r w:rsidRPr="001C3450">
        <w:rPr>
          <w:rFonts w:ascii="Arial" w:hAnsi="Arial" w:cs="Arial"/>
        </w:rPr>
        <w:t>Lastly, the fourth objective should be to maintain the trust of stakeholders and adhere to regulatory requirements through the investment period, since the mixture of the strategy's commercial success with its acceptability to the investors and regulators is unavoidable. This will call for annual public disclosures as part of the CMA/Ofcom regime of joint oversight, along with the continuous issuing of ESG reports in compliance with recognized standards of the industry on the basis of the evidence that sustainability performance is gaining more and more significance among stakeholders and investors in telecommunications (CMA, 2024; Buallay and Al Marri, 2022). Complete monitoring should be based on the internal board review of financial and operational KPI on a quarterly basis, whereas the annual reporting should satisfy the requirements of the law and ensure commercial discipline of reporting in the course of the entire ten-year investment cycle.</w:t>
      </w:r>
    </w:p>
    <w:p w14:paraId="1C198CC8" w14:textId="77777777" w:rsidR="00E9146C" w:rsidRPr="001C3450" w:rsidRDefault="00E9146C" w:rsidP="001C3450">
      <w:pPr>
        <w:spacing w:line="360" w:lineRule="auto"/>
        <w:jc w:val="both"/>
        <w:rPr>
          <w:rFonts w:ascii="Arial" w:hAnsi="Arial" w:cs="Arial"/>
        </w:rPr>
      </w:pPr>
    </w:p>
    <w:p w14:paraId="31935A5C" w14:textId="2F6295B4" w:rsidR="00E9146C" w:rsidRPr="001C3450" w:rsidRDefault="0014587E" w:rsidP="001C3450">
      <w:pPr>
        <w:pStyle w:val="Heading1"/>
        <w:spacing w:line="360" w:lineRule="auto"/>
        <w:jc w:val="both"/>
        <w:rPr>
          <w:rFonts w:ascii="Arial" w:hAnsi="Arial" w:cs="Arial"/>
          <w:b/>
          <w:bCs/>
          <w:sz w:val="24"/>
          <w:szCs w:val="24"/>
        </w:rPr>
      </w:pPr>
      <w:bookmarkStart w:id="9" w:name="_Toc236906276"/>
      <w:r w:rsidRPr="001C3450">
        <w:rPr>
          <w:rFonts w:ascii="Arial" w:hAnsi="Arial" w:cs="Arial"/>
          <w:b/>
          <w:bCs/>
          <w:sz w:val="24"/>
          <w:szCs w:val="24"/>
        </w:rPr>
        <w:t>7. Conclusion</w:t>
      </w:r>
      <w:bookmarkEnd w:id="9"/>
    </w:p>
    <w:p w14:paraId="04A142A6" w14:textId="51CAD355" w:rsidR="0014587E" w:rsidRPr="001C3450" w:rsidRDefault="00036C9F" w:rsidP="001C3450">
      <w:pPr>
        <w:spacing w:line="360" w:lineRule="auto"/>
        <w:jc w:val="both"/>
        <w:rPr>
          <w:rFonts w:ascii="Arial" w:hAnsi="Arial" w:cs="Arial"/>
        </w:rPr>
      </w:pPr>
      <w:r w:rsidRPr="001C3450">
        <w:rPr>
          <w:rFonts w:ascii="Arial" w:hAnsi="Arial" w:cs="Arial"/>
        </w:rPr>
        <w:t xml:space="preserve">Vodafone UK is indeed at an important milestone. The formation of </w:t>
      </w:r>
      <w:r w:rsidRPr="00442EB5">
        <w:rPr>
          <w:rFonts w:ascii="Arial" w:hAnsi="Arial" w:cs="Arial"/>
          <w:i/>
          <w:iCs/>
        </w:rPr>
        <w:t xml:space="preserve">VodafoneThree </w:t>
      </w:r>
      <w:r w:rsidRPr="001C3450">
        <w:rPr>
          <w:rFonts w:ascii="Arial" w:hAnsi="Arial" w:cs="Arial"/>
        </w:rPr>
        <w:t xml:space="preserve">gives them a means for establishing a network-led position in the market but the </w:t>
      </w:r>
      <w:r w:rsidRPr="001C3450">
        <w:rPr>
          <w:rFonts w:ascii="Arial" w:hAnsi="Arial" w:cs="Arial"/>
        </w:rPr>
        <w:lastRenderedPageBreak/>
        <w:t>success of that relies on how well they can use that position to develop high quality and unique digital and business services instead of competing merely on pricing (Vodafone Group Plc, 2025b). The present study suggests the concept of expanding their range of digital services based on the network-led opportunities, which is explained by the use of the Ansoff Matrix and Porter’s generic strategies (Grant, 2021; Zupic et al., 2025) and confirmed by SFA evaluation. The successful implementation of the proposed concept requires disciplined synergy implementation, continuous investment in dynamic capabilities, and effective engagement with stakeholders including owners, regulators, employees, and communities (Freeman, Harrison and Zyglidopoulos, 2018). If this concept is applied as detailed in the implementation plan, it will allow for utilizing a newly gained network to deliver competitive advantages and shareholder value to the organization (GSMA, 2025).</w:t>
      </w:r>
    </w:p>
    <w:p w14:paraId="31B85F20" w14:textId="77777777" w:rsidR="00A926E4" w:rsidRDefault="00A926E4" w:rsidP="001C3450">
      <w:pPr>
        <w:spacing w:line="360" w:lineRule="auto"/>
        <w:jc w:val="both"/>
        <w:rPr>
          <w:rFonts w:ascii="Arial" w:hAnsi="Arial" w:cs="Arial"/>
        </w:rPr>
      </w:pPr>
    </w:p>
    <w:p w14:paraId="644D3649" w14:textId="77777777" w:rsidR="003A706A" w:rsidRDefault="003A706A" w:rsidP="001C3450">
      <w:pPr>
        <w:spacing w:line="360" w:lineRule="auto"/>
        <w:jc w:val="both"/>
        <w:rPr>
          <w:rFonts w:ascii="Arial" w:hAnsi="Arial" w:cs="Arial"/>
        </w:rPr>
      </w:pPr>
    </w:p>
    <w:p w14:paraId="7CB5000C" w14:textId="77777777" w:rsidR="003A706A" w:rsidRDefault="003A706A" w:rsidP="001C3450">
      <w:pPr>
        <w:spacing w:line="360" w:lineRule="auto"/>
        <w:jc w:val="both"/>
        <w:rPr>
          <w:rFonts w:ascii="Arial" w:hAnsi="Arial" w:cs="Arial"/>
        </w:rPr>
      </w:pPr>
    </w:p>
    <w:p w14:paraId="6B0780D3" w14:textId="77777777" w:rsidR="003A706A" w:rsidRDefault="003A706A" w:rsidP="001C3450">
      <w:pPr>
        <w:spacing w:line="360" w:lineRule="auto"/>
        <w:jc w:val="both"/>
        <w:rPr>
          <w:rFonts w:ascii="Arial" w:hAnsi="Arial" w:cs="Arial"/>
        </w:rPr>
      </w:pPr>
    </w:p>
    <w:p w14:paraId="50CA2C85" w14:textId="77777777" w:rsidR="003A706A" w:rsidRDefault="003A706A" w:rsidP="001C3450">
      <w:pPr>
        <w:spacing w:line="360" w:lineRule="auto"/>
        <w:jc w:val="both"/>
        <w:rPr>
          <w:rFonts w:ascii="Arial" w:hAnsi="Arial" w:cs="Arial"/>
        </w:rPr>
      </w:pPr>
    </w:p>
    <w:p w14:paraId="0D70694E" w14:textId="77777777" w:rsidR="00A512D3" w:rsidRDefault="00A512D3" w:rsidP="001C3450">
      <w:pPr>
        <w:spacing w:line="360" w:lineRule="auto"/>
        <w:jc w:val="both"/>
        <w:rPr>
          <w:rFonts w:ascii="Arial" w:hAnsi="Arial" w:cs="Arial"/>
        </w:rPr>
      </w:pPr>
    </w:p>
    <w:p w14:paraId="0D5B4AD0" w14:textId="77777777" w:rsidR="00A512D3" w:rsidRDefault="00A512D3" w:rsidP="001C3450">
      <w:pPr>
        <w:spacing w:line="360" w:lineRule="auto"/>
        <w:jc w:val="both"/>
        <w:rPr>
          <w:rFonts w:ascii="Arial" w:hAnsi="Arial" w:cs="Arial"/>
        </w:rPr>
      </w:pPr>
    </w:p>
    <w:p w14:paraId="16A3A015" w14:textId="77777777" w:rsidR="00A512D3" w:rsidRDefault="00A512D3" w:rsidP="001C3450">
      <w:pPr>
        <w:spacing w:line="360" w:lineRule="auto"/>
        <w:jc w:val="both"/>
        <w:rPr>
          <w:rFonts w:ascii="Arial" w:hAnsi="Arial" w:cs="Arial"/>
        </w:rPr>
      </w:pPr>
    </w:p>
    <w:p w14:paraId="3E9E5E1A" w14:textId="77777777" w:rsidR="00A512D3" w:rsidRDefault="00A512D3" w:rsidP="001C3450">
      <w:pPr>
        <w:spacing w:line="360" w:lineRule="auto"/>
        <w:jc w:val="both"/>
        <w:rPr>
          <w:rFonts w:ascii="Arial" w:hAnsi="Arial" w:cs="Arial"/>
        </w:rPr>
      </w:pPr>
    </w:p>
    <w:p w14:paraId="25FCBF68" w14:textId="77777777" w:rsidR="00A512D3" w:rsidRDefault="00A512D3" w:rsidP="001C3450">
      <w:pPr>
        <w:spacing w:line="360" w:lineRule="auto"/>
        <w:jc w:val="both"/>
        <w:rPr>
          <w:rFonts w:ascii="Arial" w:hAnsi="Arial" w:cs="Arial"/>
        </w:rPr>
      </w:pPr>
    </w:p>
    <w:p w14:paraId="17D5AD0D" w14:textId="77777777" w:rsidR="00A512D3" w:rsidRDefault="00A512D3" w:rsidP="001C3450">
      <w:pPr>
        <w:spacing w:line="360" w:lineRule="auto"/>
        <w:jc w:val="both"/>
        <w:rPr>
          <w:rFonts w:ascii="Arial" w:hAnsi="Arial" w:cs="Arial"/>
        </w:rPr>
      </w:pPr>
    </w:p>
    <w:p w14:paraId="29ECB225" w14:textId="77777777" w:rsidR="00A512D3" w:rsidRDefault="00A512D3" w:rsidP="001C3450">
      <w:pPr>
        <w:spacing w:line="360" w:lineRule="auto"/>
        <w:jc w:val="both"/>
        <w:rPr>
          <w:rFonts w:ascii="Arial" w:hAnsi="Arial" w:cs="Arial"/>
        </w:rPr>
      </w:pPr>
    </w:p>
    <w:p w14:paraId="216B2CD5" w14:textId="77777777" w:rsidR="00A512D3" w:rsidRDefault="00A512D3" w:rsidP="001C3450">
      <w:pPr>
        <w:spacing w:line="360" w:lineRule="auto"/>
        <w:jc w:val="both"/>
        <w:rPr>
          <w:rFonts w:ascii="Arial" w:hAnsi="Arial" w:cs="Arial"/>
        </w:rPr>
      </w:pPr>
    </w:p>
    <w:p w14:paraId="4FB418F7" w14:textId="77777777" w:rsidR="00A512D3" w:rsidRDefault="00A512D3" w:rsidP="001C3450">
      <w:pPr>
        <w:spacing w:line="360" w:lineRule="auto"/>
        <w:jc w:val="both"/>
        <w:rPr>
          <w:rFonts w:ascii="Arial" w:hAnsi="Arial" w:cs="Arial"/>
        </w:rPr>
      </w:pPr>
    </w:p>
    <w:p w14:paraId="54C5585E" w14:textId="77777777" w:rsidR="00A512D3" w:rsidRDefault="00A512D3" w:rsidP="001C3450">
      <w:pPr>
        <w:spacing w:line="360" w:lineRule="auto"/>
        <w:jc w:val="both"/>
        <w:rPr>
          <w:rFonts w:ascii="Arial" w:hAnsi="Arial" w:cs="Arial"/>
        </w:rPr>
      </w:pPr>
    </w:p>
    <w:p w14:paraId="5B8AF027" w14:textId="77777777" w:rsidR="00A512D3" w:rsidRDefault="00A512D3" w:rsidP="001C3450">
      <w:pPr>
        <w:spacing w:line="360" w:lineRule="auto"/>
        <w:jc w:val="both"/>
        <w:rPr>
          <w:rFonts w:ascii="Arial" w:hAnsi="Arial" w:cs="Arial"/>
        </w:rPr>
      </w:pPr>
    </w:p>
    <w:p w14:paraId="3A2E3C8A" w14:textId="77777777" w:rsidR="00A512D3" w:rsidRDefault="00A512D3" w:rsidP="001C3450">
      <w:pPr>
        <w:spacing w:line="360" w:lineRule="auto"/>
        <w:jc w:val="both"/>
        <w:rPr>
          <w:rFonts w:ascii="Arial" w:hAnsi="Arial" w:cs="Arial"/>
        </w:rPr>
      </w:pPr>
    </w:p>
    <w:p w14:paraId="33D082E2" w14:textId="77777777" w:rsidR="003A706A" w:rsidRPr="001C3450" w:rsidRDefault="003A706A" w:rsidP="001C3450">
      <w:pPr>
        <w:spacing w:line="360" w:lineRule="auto"/>
        <w:jc w:val="both"/>
        <w:rPr>
          <w:rFonts w:ascii="Arial" w:hAnsi="Arial" w:cs="Arial"/>
        </w:rPr>
      </w:pPr>
    </w:p>
    <w:p w14:paraId="157B6AF8" w14:textId="291545F5" w:rsidR="00A926E4" w:rsidRPr="001C3450" w:rsidRDefault="00A926E4" w:rsidP="001C3450">
      <w:pPr>
        <w:pStyle w:val="Heading1"/>
        <w:spacing w:line="360" w:lineRule="auto"/>
        <w:jc w:val="both"/>
        <w:rPr>
          <w:rFonts w:ascii="Arial" w:hAnsi="Arial" w:cs="Arial"/>
          <w:b/>
          <w:bCs/>
          <w:sz w:val="24"/>
          <w:szCs w:val="24"/>
        </w:rPr>
      </w:pPr>
      <w:bookmarkStart w:id="10" w:name="_Toc236906277"/>
      <w:r w:rsidRPr="001C3450">
        <w:rPr>
          <w:rFonts w:ascii="Arial" w:hAnsi="Arial" w:cs="Arial"/>
          <w:b/>
          <w:bCs/>
          <w:sz w:val="24"/>
          <w:szCs w:val="24"/>
        </w:rPr>
        <w:lastRenderedPageBreak/>
        <w:t>8. Reference List</w:t>
      </w:r>
      <w:bookmarkEnd w:id="10"/>
    </w:p>
    <w:p w14:paraId="4D70C390"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Aghayari, J., Valmohammadi, C., Alborzi, M. and Vaidyanathan, S. (2022) 'Explaining the effective factors on digital transformation strategies in the telecom industry of Iran using the Delphi method', </w:t>
      </w:r>
      <w:r w:rsidRPr="001C3450">
        <w:rPr>
          <w:rStyle w:val="Emphasis"/>
          <w:rFonts w:ascii="Arial" w:eastAsiaTheme="majorEastAsia" w:hAnsi="Arial" w:cs="Arial"/>
        </w:rPr>
        <w:t>Discrete Dynamics in Nature and Society</w:t>
      </w:r>
      <w:r w:rsidRPr="001C3450">
        <w:rPr>
          <w:rFonts w:ascii="Arial" w:hAnsi="Arial" w:cs="Arial"/>
        </w:rPr>
        <w:t>, 2022, article 9562936. https://doi.org/10.1155/2022/9562936 (Accessed: 24 July 2026)</w:t>
      </w:r>
    </w:p>
    <w:p w14:paraId="7A0B51A9"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Bahia, K. and Castells, P. (2023) 'The dynamic effects of competition on investment: the case of the European mobile communications industry', </w:t>
      </w:r>
      <w:r w:rsidRPr="001C3450">
        <w:rPr>
          <w:rStyle w:val="Emphasis"/>
          <w:rFonts w:ascii="Arial" w:eastAsiaTheme="majorEastAsia" w:hAnsi="Arial" w:cs="Arial"/>
        </w:rPr>
        <w:t>Journal of Information Policy</w:t>
      </w:r>
      <w:r w:rsidRPr="001C3450">
        <w:rPr>
          <w:rFonts w:ascii="Arial" w:hAnsi="Arial" w:cs="Arial"/>
        </w:rPr>
        <w:t>, 13, pp. 249–309. https://doi.org/10.5325/jinfopoli.13.2023.0012 (Accessed: 25 July 2026)</w:t>
      </w:r>
    </w:p>
    <w:p w14:paraId="1F48C53F"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Banda, L. and Feukeu, E.A. (2025) 'The impact of 5G on business models for mobile operators in emerging markets', </w:t>
      </w:r>
      <w:r w:rsidRPr="001C3450">
        <w:rPr>
          <w:rStyle w:val="Emphasis"/>
          <w:rFonts w:ascii="Arial" w:eastAsiaTheme="majorEastAsia" w:hAnsi="Arial" w:cs="Arial"/>
        </w:rPr>
        <w:t>Journal of Telecommunications and the Digital Economy</w:t>
      </w:r>
      <w:r w:rsidRPr="001C3450">
        <w:rPr>
          <w:rFonts w:ascii="Arial" w:hAnsi="Arial" w:cs="Arial"/>
        </w:rPr>
        <w:t>, 13(3), pp. 71–105. https://doi.org/10.18080/jtde.v13n3.1230 (Accessed: 26 July 2026)</w:t>
      </w:r>
    </w:p>
    <w:p w14:paraId="45C3B750"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Buallay, A. and Al Marri, M. (2022) 'Sustainability disclosure and its impact on telecommunication and information technology sectors' performance: worldwide evidence', </w:t>
      </w:r>
      <w:r w:rsidRPr="001C3450">
        <w:rPr>
          <w:rStyle w:val="Emphasis"/>
          <w:rFonts w:ascii="Arial" w:eastAsiaTheme="majorEastAsia" w:hAnsi="Arial" w:cs="Arial"/>
        </w:rPr>
        <w:t>International Journal of Emergency Services</w:t>
      </w:r>
      <w:r w:rsidRPr="001C3450">
        <w:rPr>
          <w:rFonts w:ascii="Arial" w:hAnsi="Arial" w:cs="Arial"/>
        </w:rPr>
        <w:t>, 11(3), pp. 379–395. https://doi.org/10.1108/IJES-08-2021-0054 (Accessed: 27 July 2026)</w:t>
      </w:r>
    </w:p>
    <w:p w14:paraId="005C3F19"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Chiwala, B., Makasa, M. and Zulu, J.M. (2025) 'Power and interest levels in safely managed sanitation services in Zambia: a stakeholder mapping', </w:t>
      </w:r>
      <w:r w:rsidRPr="001C3450">
        <w:rPr>
          <w:rStyle w:val="Emphasis"/>
          <w:rFonts w:ascii="Arial" w:eastAsiaTheme="majorEastAsia" w:hAnsi="Arial" w:cs="Arial"/>
        </w:rPr>
        <w:t>PLOS One</w:t>
      </w:r>
      <w:r w:rsidRPr="001C3450">
        <w:rPr>
          <w:rFonts w:ascii="Arial" w:hAnsi="Arial" w:cs="Arial"/>
        </w:rPr>
        <w:t>, 20(11), e0335130. https://doi.org/10.1371/journal.pone.0335130 (Accessed: 28 July 2026)</w:t>
      </w:r>
    </w:p>
    <w:p w14:paraId="6DED5D0C"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Competition and Markets Authority (2024) </w:t>
      </w:r>
      <w:r w:rsidRPr="001C3450">
        <w:rPr>
          <w:rStyle w:val="Emphasis"/>
          <w:rFonts w:ascii="Arial" w:eastAsiaTheme="majorEastAsia" w:hAnsi="Arial" w:cs="Arial"/>
        </w:rPr>
        <w:t>Anticipated Joint Venture Between Vodafone Group Plc and CK Hutchison Holdings Limited Concerning Vodafone Limited and Hutchison 3G UK Limited: Final Report</w:t>
      </w:r>
      <w:r w:rsidRPr="001C3450">
        <w:rPr>
          <w:rFonts w:ascii="Arial" w:hAnsi="Arial" w:cs="Arial"/>
        </w:rPr>
        <w:t>. London: CMA. Access: https://assets.publishing.service.gov.uk/media/6751e18f6da7a3435fecbd87/1._Final_Report.pdf (Accessed: 3 August 2026)</w:t>
      </w:r>
    </w:p>
    <w:p w14:paraId="461793B1"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DePamphilis, D.M. (2019) </w:t>
      </w:r>
      <w:r w:rsidRPr="001C3450">
        <w:rPr>
          <w:rStyle w:val="Emphasis"/>
          <w:rFonts w:ascii="Arial" w:eastAsiaTheme="majorEastAsia" w:hAnsi="Arial" w:cs="Arial"/>
        </w:rPr>
        <w:t>Mergers, Acquisitions, and Other Restructuring Activities: An Integrated Approach to Process, Tools, Cases, and Solutions</w:t>
      </w:r>
      <w:r w:rsidRPr="001C3450">
        <w:rPr>
          <w:rFonts w:ascii="Arial" w:hAnsi="Arial" w:cs="Arial"/>
        </w:rPr>
        <w:t>. 10th edn. San Diego: Academic Press (Elsevier).</w:t>
      </w:r>
    </w:p>
    <w:p w14:paraId="1189B89B"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lastRenderedPageBreak/>
        <w:t xml:space="preserve">Freeman, R.E., Harrison, J.S. and Zyglidopoulos, S. (2018) </w:t>
      </w:r>
      <w:r w:rsidRPr="001C3450">
        <w:rPr>
          <w:rStyle w:val="Emphasis"/>
          <w:rFonts w:ascii="Arial" w:eastAsiaTheme="majorEastAsia" w:hAnsi="Arial" w:cs="Arial"/>
        </w:rPr>
        <w:t>Stakeholder Theory: Concepts and Strategies</w:t>
      </w:r>
      <w:r w:rsidRPr="001C3450">
        <w:rPr>
          <w:rFonts w:ascii="Arial" w:hAnsi="Arial" w:cs="Arial"/>
        </w:rPr>
        <w:t>. Cambridge: Cambridge University Press.</w:t>
      </w:r>
    </w:p>
    <w:p w14:paraId="6B7BDAD6"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Grant, R.M. (2021) </w:t>
      </w:r>
      <w:r w:rsidRPr="001C3450">
        <w:rPr>
          <w:rStyle w:val="Emphasis"/>
          <w:rFonts w:ascii="Arial" w:eastAsiaTheme="majorEastAsia" w:hAnsi="Arial" w:cs="Arial"/>
        </w:rPr>
        <w:t>Contemporary Strategy Analysis</w:t>
      </w:r>
      <w:r w:rsidRPr="001C3450">
        <w:rPr>
          <w:rFonts w:ascii="Arial" w:hAnsi="Arial" w:cs="Arial"/>
        </w:rPr>
        <w:t>. 11th edn. Hoboken, NJ: Wiley.</w:t>
      </w:r>
    </w:p>
    <w:p w14:paraId="09873D5B"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GSMA (2025) </w:t>
      </w:r>
      <w:r w:rsidRPr="001C3450">
        <w:rPr>
          <w:rStyle w:val="Emphasis"/>
          <w:rFonts w:ascii="Arial" w:eastAsiaTheme="majorEastAsia" w:hAnsi="Arial" w:cs="Arial"/>
        </w:rPr>
        <w:t>The Mobile Economy Europe 2025</w:t>
      </w:r>
      <w:r w:rsidRPr="001C3450">
        <w:rPr>
          <w:rFonts w:ascii="Arial" w:hAnsi="Arial" w:cs="Arial"/>
        </w:rPr>
        <w:t>. London: GSMA. Access: https://www.gsma.com/solutions-and-impact/connectivity-for-good/mobile-economy/wp-content/uploads/2025/01/0125-Mobile-Economy-Europe-2025-web.pdf (Accessed: 4 August 2026)</w:t>
      </w:r>
    </w:p>
    <w:p w14:paraId="2449780B"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Gurcaylilar-Yenidogan, T. and Aksoy, S. (2018) 'Applying Ansoff's growth strategy matrix to innovation classification', </w:t>
      </w:r>
      <w:r w:rsidRPr="001C3450">
        <w:rPr>
          <w:rStyle w:val="Emphasis"/>
          <w:rFonts w:ascii="Arial" w:eastAsiaTheme="majorEastAsia" w:hAnsi="Arial" w:cs="Arial"/>
        </w:rPr>
        <w:t>International Journal of Innovation Management</w:t>
      </w:r>
      <w:r w:rsidRPr="001C3450">
        <w:rPr>
          <w:rFonts w:ascii="Arial" w:hAnsi="Arial" w:cs="Arial"/>
        </w:rPr>
        <w:t>, 22(4), 1850039. https://doi.org/10.1142/S1363919618500391 (Accessed: 29 July 2026)</w:t>
      </w:r>
    </w:p>
    <w:p w14:paraId="318F0960"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Holtström, J. and Anderson, H. (2021) 'Exploring and extending the synergy concept – a study of three acquisitions', </w:t>
      </w:r>
      <w:r w:rsidRPr="001C3450">
        <w:rPr>
          <w:rStyle w:val="Emphasis"/>
          <w:rFonts w:ascii="Arial" w:eastAsiaTheme="majorEastAsia" w:hAnsi="Arial" w:cs="Arial"/>
        </w:rPr>
        <w:t>Journal of Business &amp; Industrial Marketing</w:t>
      </w:r>
      <w:r w:rsidRPr="001C3450">
        <w:rPr>
          <w:rFonts w:ascii="Arial" w:hAnsi="Arial" w:cs="Arial"/>
        </w:rPr>
        <w:t>, 36(13), pp. 28–41. https://doi.org/10.1108/JBIM-09-2020-0420 (Accessed: 30 July 2026)</w:t>
      </w:r>
    </w:p>
    <w:p w14:paraId="5767775F"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Isabelle, D., Horak, K., McKinnon, S. and Palumbo, C. (2020) 'Is Porter's five forces framework still relevant? A study of the capital/labour intensity continuum via mining and IT industries', </w:t>
      </w:r>
      <w:r w:rsidRPr="001C3450">
        <w:rPr>
          <w:rStyle w:val="Emphasis"/>
          <w:rFonts w:ascii="Arial" w:eastAsiaTheme="majorEastAsia" w:hAnsi="Arial" w:cs="Arial"/>
        </w:rPr>
        <w:t>Technology Innovation Management Review</w:t>
      </w:r>
      <w:r w:rsidRPr="001C3450">
        <w:rPr>
          <w:rFonts w:ascii="Arial" w:hAnsi="Arial" w:cs="Arial"/>
        </w:rPr>
        <w:t>, 10(6), pp. 28–41. https://doi.org/10.22215/timreview/1366 (Accessed: 31 July 2026)</w:t>
      </w:r>
    </w:p>
    <w:p w14:paraId="375B6D00"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Ofcom (2025) </w:t>
      </w:r>
      <w:r w:rsidRPr="001C3450">
        <w:rPr>
          <w:rStyle w:val="Emphasis"/>
          <w:rFonts w:ascii="Arial" w:eastAsiaTheme="majorEastAsia" w:hAnsi="Arial" w:cs="Arial"/>
        </w:rPr>
        <w:t>Connected Nations UK Report 2025</w:t>
      </w:r>
      <w:r w:rsidRPr="001C3450">
        <w:rPr>
          <w:rFonts w:ascii="Arial" w:hAnsi="Arial" w:cs="Arial"/>
        </w:rPr>
        <w:t>. London: Ofcom. Access: https://www.ofcom.org.uk/siteassets/resources/documents/research-and-data/multi-sector/infrastructure-research/connected-nations-2025/connected-nations-uk-report-2025.pdf (Accessed: 5 August 2026)</w:t>
      </w:r>
    </w:p>
    <w:p w14:paraId="49716BA5"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Rogers, D.L. (2023) </w:t>
      </w:r>
      <w:r w:rsidRPr="001C3450">
        <w:rPr>
          <w:rStyle w:val="Emphasis"/>
          <w:rFonts w:ascii="Arial" w:eastAsiaTheme="majorEastAsia" w:hAnsi="Arial" w:cs="Arial"/>
        </w:rPr>
        <w:t>The Digital Transformation Roadmap: Rebuild Your Organization for Continuous Change</w:t>
      </w:r>
      <w:r w:rsidRPr="001C3450">
        <w:rPr>
          <w:rFonts w:ascii="Arial" w:hAnsi="Arial" w:cs="Arial"/>
        </w:rPr>
        <w:t>. New York: Columbia University Press (Columbia Business School Publishing).</w:t>
      </w:r>
    </w:p>
    <w:p w14:paraId="1F3B8032"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Vodafone Group Plc (2025a) </w:t>
      </w:r>
      <w:r w:rsidRPr="001C3450">
        <w:rPr>
          <w:rStyle w:val="Emphasis"/>
          <w:rFonts w:ascii="Arial" w:eastAsiaTheme="majorEastAsia" w:hAnsi="Arial" w:cs="Arial"/>
        </w:rPr>
        <w:t>Vodafone Group Plc Annual Report 2025</w:t>
      </w:r>
      <w:r w:rsidRPr="001C3450">
        <w:rPr>
          <w:rFonts w:ascii="Arial" w:hAnsi="Arial" w:cs="Arial"/>
        </w:rPr>
        <w:t>. Newbury: Vodafone Group Plc. Access: https://reports.investors.vodafone.com/view/897876789 (Accessed: 16 July 2026)</w:t>
      </w:r>
    </w:p>
    <w:p w14:paraId="48B1BD2E"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Vodafone Group Plc (2025b) </w:t>
      </w:r>
      <w:r w:rsidRPr="001C3450">
        <w:rPr>
          <w:rStyle w:val="Emphasis"/>
          <w:rFonts w:ascii="Arial" w:eastAsiaTheme="majorEastAsia" w:hAnsi="Arial" w:cs="Arial"/>
        </w:rPr>
        <w:t>Vodafone Group Plc FY25 Preliminary Results, 20 May 2025</w:t>
      </w:r>
      <w:r w:rsidRPr="001C3450">
        <w:rPr>
          <w:rFonts w:ascii="Arial" w:hAnsi="Arial" w:cs="Arial"/>
        </w:rPr>
        <w:t>. Newbury: Vodafone Group Plc. Access: https://investors.vodafone.com/~/media/Files/V/Vodafone-IR/documents/performance/financial-results/2025/vodafone-fy25-results-announcement.pdf (Accessed: 15 July 2026)</w:t>
      </w:r>
    </w:p>
    <w:p w14:paraId="65B35E55"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Warner, K.S.R. and Wäger, M. (2019) 'Building dynamic capabilities for digital transformation: an ongoing process of strategic renewal', </w:t>
      </w:r>
      <w:r w:rsidRPr="001C3450">
        <w:rPr>
          <w:rStyle w:val="Emphasis"/>
          <w:rFonts w:ascii="Arial" w:eastAsiaTheme="majorEastAsia" w:hAnsi="Arial" w:cs="Arial"/>
        </w:rPr>
        <w:t>Long Range Planning</w:t>
      </w:r>
      <w:r w:rsidRPr="001C3450">
        <w:rPr>
          <w:rFonts w:ascii="Arial" w:hAnsi="Arial" w:cs="Arial"/>
        </w:rPr>
        <w:t>, 52(3), pp. 326–349. https://doi.org/10.1016/j.lrp.2018.12.001 (Accessed: 1 August 2026)</w:t>
      </w:r>
    </w:p>
    <w:p w14:paraId="2D36CDCE"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Whittington, R., Angwin, D., Regnér, P., Johnson, G. and Scholes, K. (2020) </w:t>
      </w:r>
      <w:r w:rsidRPr="001C3450">
        <w:rPr>
          <w:rStyle w:val="Emphasis"/>
          <w:rFonts w:ascii="Arial" w:eastAsiaTheme="majorEastAsia" w:hAnsi="Arial" w:cs="Arial"/>
        </w:rPr>
        <w:t>Exploring Strategy: Text and Cases</w:t>
      </w:r>
      <w:r w:rsidRPr="001C3450">
        <w:rPr>
          <w:rFonts w:ascii="Arial" w:hAnsi="Arial" w:cs="Arial"/>
        </w:rPr>
        <w:t>. 12th edn. Harlow: Pearson Education.</w:t>
      </w:r>
    </w:p>
    <w:p w14:paraId="2A821308" w14:textId="77777777" w:rsidR="008A43D9" w:rsidRPr="001C3450" w:rsidRDefault="008A43D9" w:rsidP="001C3450">
      <w:pPr>
        <w:pStyle w:val="NormalWeb"/>
        <w:spacing w:line="360" w:lineRule="auto"/>
        <w:jc w:val="both"/>
        <w:rPr>
          <w:rFonts w:ascii="Arial" w:hAnsi="Arial" w:cs="Arial"/>
        </w:rPr>
      </w:pPr>
      <w:r w:rsidRPr="001C3450">
        <w:rPr>
          <w:rFonts w:ascii="Arial" w:hAnsi="Arial" w:cs="Arial"/>
        </w:rPr>
        <w:t xml:space="preserve">Zupic, I., Čater, T., Caputo, A. and Uršič, D. (2025) 'Mapping the influence of Ansoff's corporate strategy', </w:t>
      </w:r>
      <w:r w:rsidRPr="001C3450">
        <w:rPr>
          <w:rStyle w:val="Emphasis"/>
          <w:rFonts w:ascii="Arial" w:eastAsiaTheme="majorEastAsia" w:hAnsi="Arial" w:cs="Arial"/>
        </w:rPr>
        <w:t>Strategic Change</w:t>
      </w:r>
      <w:r w:rsidRPr="001C3450">
        <w:rPr>
          <w:rFonts w:ascii="Arial" w:hAnsi="Arial" w:cs="Arial"/>
        </w:rPr>
        <w:t>, 34, pp. 1–19. https://doi.org/10.1002/jsc.70023 (Accessed: 2 August 2026)</w:t>
      </w:r>
    </w:p>
    <w:p w14:paraId="444D3A04" w14:textId="77777777" w:rsidR="00A926E4" w:rsidRPr="001C3450" w:rsidRDefault="00A926E4" w:rsidP="001C3450">
      <w:pPr>
        <w:spacing w:line="360" w:lineRule="auto"/>
        <w:jc w:val="both"/>
        <w:rPr>
          <w:rFonts w:ascii="Arial" w:hAnsi="Arial" w:cs="Arial"/>
        </w:rPr>
      </w:pPr>
    </w:p>
    <w:sectPr w:rsidR="00A926E4" w:rsidRPr="001C345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A96C66" w14:textId="77777777" w:rsidR="003435C1" w:rsidRDefault="003435C1" w:rsidP="00725942">
      <w:r>
        <w:separator/>
      </w:r>
    </w:p>
  </w:endnote>
  <w:endnote w:type="continuationSeparator" w:id="0">
    <w:p w14:paraId="1F248C2C" w14:textId="77777777" w:rsidR="003435C1" w:rsidRDefault="003435C1" w:rsidP="00725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25172512"/>
      <w:docPartObj>
        <w:docPartGallery w:val="Page Numbers (Bottom of Page)"/>
        <w:docPartUnique/>
      </w:docPartObj>
    </w:sdtPr>
    <w:sdtContent>
      <w:p w14:paraId="09E35B47" w14:textId="69C052AC" w:rsidR="00725942" w:rsidRDefault="00725942" w:rsidP="00E836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0DFE58" w14:textId="77777777" w:rsidR="00725942" w:rsidRDefault="00725942" w:rsidP="007259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0932423"/>
      <w:docPartObj>
        <w:docPartGallery w:val="Page Numbers (Bottom of Page)"/>
        <w:docPartUnique/>
      </w:docPartObj>
    </w:sdtPr>
    <w:sdtContent>
      <w:p w14:paraId="49F5CC9D" w14:textId="09D8BF3C" w:rsidR="00725942" w:rsidRDefault="00725942" w:rsidP="00E836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3BBE05" w14:textId="77777777" w:rsidR="00725942" w:rsidRDefault="00725942" w:rsidP="007259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9CC04E" w14:textId="77777777" w:rsidR="003435C1" w:rsidRDefault="003435C1" w:rsidP="00725942">
      <w:r>
        <w:separator/>
      </w:r>
    </w:p>
  </w:footnote>
  <w:footnote w:type="continuationSeparator" w:id="0">
    <w:p w14:paraId="7F65F9D5" w14:textId="77777777" w:rsidR="003435C1" w:rsidRDefault="003435C1" w:rsidP="007259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730"/>
    <w:rsid w:val="00036C9F"/>
    <w:rsid w:val="000C5EB9"/>
    <w:rsid w:val="000D2730"/>
    <w:rsid w:val="000D5FA2"/>
    <w:rsid w:val="000E2EEE"/>
    <w:rsid w:val="000F5993"/>
    <w:rsid w:val="000F5FDD"/>
    <w:rsid w:val="001128DE"/>
    <w:rsid w:val="00112C7F"/>
    <w:rsid w:val="0014587E"/>
    <w:rsid w:val="001941DF"/>
    <w:rsid w:val="00196180"/>
    <w:rsid w:val="001C3450"/>
    <w:rsid w:val="001C39BB"/>
    <w:rsid w:val="001C496A"/>
    <w:rsid w:val="001F507C"/>
    <w:rsid w:val="00242CD1"/>
    <w:rsid w:val="0031152B"/>
    <w:rsid w:val="00324037"/>
    <w:rsid w:val="00334157"/>
    <w:rsid w:val="003435C1"/>
    <w:rsid w:val="003454AA"/>
    <w:rsid w:val="0036315B"/>
    <w:rsid w:val="00366AE4"/>
    <w:rsid w:val="0039283D"/>
    <w:rsid w:val="003A706A"/>
    <w:rsid w:val="003F2860"/>
    <w:rsid w:val="00432500"/>
    <w:rsid w:val="00436A8C"/>
    <w:rsid w:val="00442EB5"/>
    <w:rsid w:val="004466E4"/>
    <w:rsid w:val="00500401"/>
    <w:rsid w:val="0051642F"/>
    <w:rsid w:val="005561DD"/>
    <w:rsid w:val="00581685"/>
    <w:rsid w:val="005B4AB9"/>
    <w:rsid w:val="005E5E81"/>
    <w:rsid w:val="006374F9"/>
    <w:rsid w:val="00657BCD"/>
    <w:rsid w:val="00665A83"/>
    <w:rsid w:val="006A4065"/>
    <w:rsid w:val="006A53F9"/>
    <w:rsid w:val="006C1461"/>
    <w:rsid w:val="006C4135"/>
    <w:rsid w:val="007161FF"/>
    <w:rsid w:val="00725942"/>
    <w:rsid w:val="0073085E"/>
    <w:rsid w:val="00742AC1"/>
    <w:rsid w:val="007B2BB1"/>
    <w:rsid w:val="0080131E"/>
    <w:rsid w:val="00843ABB"/>
    <w:rsid w:val="00883EF2"/>
    <w:rsid w:val="008A43D9"/>
    <w:rsid w:val="008A66D8"/>
    <w:rsid w:val="008A6ECF"/>
    <w:rsid w:val="008C3E7C"/>
    <w:rsid w:val="00901C09"/>
    <w:rsid w:val="00904CDB"/>
    <w:rsid w:val="0093370C"/>
    <w:rsid w:val="00951B0C"/>
    <w:rsid w:val="00972467"/>
    <w:rsid w:val="00986673"/>
    <w:rsid w:val="009B300F"/>
    <w:rsid w:val="009C340F"/>
    <w:rsid w:val="00A05BA2"/>
    <w:rsid w:val="00A06985"/>
    <w:rsid w:val="00A21FD0"/>
    <w:rsid w:val="00A3576E"/>
    <w:rsid w:val="00A512D3"/>
    <w:rsid w:val="00A71475"/>
    <w:rsid w:val="00A717F0"/>
    <w:rsid w:val="00A926E4"/>
    <w:rsid w:val="00B77930"/>
    <w:rsid w:val="00BA255C"/>
    <w:rsid w:val="00BB2B75"/>
    <w:rsid w:val="00BC354F"/>
    <w:rsid w:val="00C23A10"/>
    <w:rsid w:val="00C564CE"/>
    <w:rsid w:val="00C572DA"/>
    <w:rsid w:val="00C61462"/>
    <w:rsid w:val="00C83EA3"/>
    <w:rsid w:val="00CD507C"/>
    <w:rsid w:val="00CF10CC"/>
    <w:rsid w:val="00D056C1"/>
    <w:rsid w:val="00D667EE"/>
    <w:rsid w:val="00D7087B"/>
    <w:rsid w:val="00DC4A24"/>
    <w:rsid w:val="00DC5D46"/>
    <w:rsid w:val="00DF4AC9"/>
    <w:rsid w:val="00E51E30"/>
    <w:rsid w:val="00E74C39"/>
    <w:rsid w:val="00E8244B"/>
    <w:rsid w:val="00E83288"/>
    <w:rsid w:val="00E9146C"/>
    <w:rsid w:val="00F132FC"/>
    <w:rsid w:val="00F207C3"/>
    <w:rsid w:val="00F221B3"/>
    <w:rsid w:val="00F5724B"/>
    <w:rsid w:val="00FB78CE"/>
    <w:rsid w:val="00FC2D7D"/>
    <w:rsid w:val="00FC7137"/>
    <w:rsid w:val="00FC7D28"/>
    <w:rsid w:val="00FE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A752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7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27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27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27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27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27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27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27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273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7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27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27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27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27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27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27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27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2730"/>
    <w:rPr>
      <w:rFonts w:eastAsiaTheme="majorEastAsia" w:cstheme="majorBidi"/>
      <w:color w:val="272727" w:themeColor="text1" w:themeTint="D8"/>
    </w:rPr>
  </w:style>
  <w:style w:type="paragraph" w:styleId="Title">
    <w:name w:val="Title"/>
    <w:basedOn w:val="Normal"/>
    <w:next w:val="Normal"/>
    <w:link w:val="TitleChar"/>
    <w:uiPriority w:val="10"/>
    <w:qFormat/>
    <w:rsid w:val="000D273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27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273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27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273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D2730"/>
    <w:rPr>
      <w:i/>
      <w:iCs/>
      <w:color w:val="404040" w:themeColor="text1" w:themeTint="BF"/>
    </w:rPr>
  </w:style>
  <w:style w:type="paragraph" w:styleId="ListParagraph">
    <w:name w:val="List Paragraph"/>
    <w:basedOn w:val="Normal"/>
    <w:uiPriority w:val="34"/>
    <w:qFormat/>
    <w:rsid w:val="000D2730"/>
    <w:pPr>
      <w:ind w:left="720"/>
      <w:contextualSpacing/>
    </w:pPr>
  </w:style>
  <w:style w:type="character" w:styleId="IntenseEmphasis">
    <w:name w:val="Intense Emphasis"/>
    <w:basedOn w:val="DefaultParagraphFont"/>
    <w:uiPriority w:val="21"/>
    <w:qFormat/>
    <w:rsid w:val="000D2730"/>
    <w:rPr>
      <w:i/>
      <w:iCs/>
      <w:color w:val="0F4761" w:themeColor="accent1" w:themeShade="BF"/>
    </w:rPr>
  </w:style>
  <w:style w:type="paragraph" w:styleId="IntenseQuote">
    <w:name w:val="Intense Quote"/>
    <w:basedOn w:val="Normal"/>
    <w:next w:val="Normal"/>
    <w:link w:val="IntenseQuoteChar"/>
    <w:uiPriority w:val="30"/>
    <w:qFormat/>
    <w:rsid w:val="000D27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2730"/>
    <w:rPr>
      <w:i/>
      <w:iCs/>
      <w:color w:val="0F4761" w:themeColor="accent1" w:themeShade="BF"/>
    </w:rPr>
  </w:style>
  <w:style w:type="character" w:styleId="IntenseReference">
    <w:name w:val="Intense Reference"/>
    <w:basedOn w:val="DefaultParagraphFont"/>
    <w:uiPriority w:val="32"/>
    <w:qFormat/>
    <w:rsid w:val="000D2730"/>
    <w:rPr>
      <w:b/>
      <w:bCs/>
      <w:smallCaps/>
      <w:color w:val="0F4761" w:themeColor="accent1" w:themeShade="BF"/>
      <w:spacing w:val="5"/>
    </w:rPr>
  </w:style>
  <w:style w:type="paragraph" w:styleId="Footer">
    <w:name w:val="footer"/>
    <w:basedOn w:val="Normal"/>
    <w:link w:val="FooterChar"/>
    <w:uiPriority w:val="99"/>
    <w:unhideWhenUsed/>
    <w:rsid w:val="00725942"/>
    <w:pPr>
      <w:tabs>
        <w:tab w:val="center" w:pos="4513"/>
        <w:tab w:val="right" w:pos="9026"/>
      </w:tabs>
    </w:pPr>
  </w:style>
  <w:style w:type="character" w:customStyle="1" w:styleId="FooterChar">
    <w:name w:val="Footer Char"/>
    <w:basedOn w:val="DefaultParagraphFont"/>
    <w:link w:val="Footer"/>
    <w:uiPriority w:val="99"/>
    <w:rsid w:val="00725942"/>
  </w:style>
  <w:style w:type="character" w:styleId="PageNumber">
    <w:name w:val="page number"/>
    <w:basedOn w:val="DefaultParagraphFont"/>
    <w:uiPriority w:val="99"/>
    <w:semiHidden/>
    <w:unhideWhenUsed/>
    <w:rsid w:val="00725942"/>
  </w:style>
  <w:style w:type="paragraph" w:styleId="NormalWeb">
    <w:name w:val="Normal (Web)"/>
    <w:basedOn w:val="Normal"/>
    <w:uiPriority w:val="99"/>
    <w:semiHidden/>
    <w:unhideWhenUsed/>
    <w:rsid w:val="008A43D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A43D9"/>
    <w:rPr>
      <w:i/>
      <w:iCs/>
    </w:rPr>
  </w:style>
  <w:style w:type="paragraph" w:styleId="TOCHeading">
    <w:name w:val="TOC Heading"/>
    <w:basedOn w:val="Heading1"/>
    <w:next w:val="Normal"/>
    <w:uiPriority w:val="39"/>
    <w:unhideWhenUsed/>
    <w:qFormat/>
    <w:rsid w:val="000C5EB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C5EB9"/>
    <w:pPr>
      <w:spacing w:before="240" w:after="120"/>
    </w:pPr>
    <w:rPr>
      <w:b/>
      <w:bCs/>
      <w:sz w:val="20"/>
      <w:szCs w:val="20"/>
    </w:rPr>
  </w:style>
  <w:style w:type="paragraph" w:styleId="TOC2">
    <w:name w:val="toc 2"/>
    <w:basedOn w:val="Normal"/>
    <w:next w:val="Normal"/>
    <w:autoRedefine/>
    <w:uiPriority w:val="39"/>
    <w:unhideWhenUsed/>
    <w:rsid w:val="000C5EB9"/>
    <w:pPr>
      <w:spacing w:before="120"/>
      <w:ind w:left="240"/>
    </w:pPr>
    <w:rPr>
      <w:i/>
      <w:iCs/>
      <w:sz w:val="20"/>
      <w:szCs w:val="20"/>
    </w:rPr>
  </w:style>
  <w:style w:type="character" w:styleId="Hyperlink">
    <w:name w:val="Hyperlink"/>
    <w:basedOn w:val="DefaultParagraphFont"/>
    <w:uiPriority w:val="99"/>
    <w:unhideWhenUsed/>
    <w:rsid w:val="000C5EB9"/>
    <w:rPr>
      <w:color w:val="467886" w:themeColor="hyperlink"/>
      <w:u w:val="single"/>
    </w:rPr>
  </w:style>
  <w:style w:type="paragraph" w:styleId="TOC3">
    <w:name w:val="toc 3"/>
    <w:basedOn w:val="Normal"/>
    <w:next w:val="Normal"/>
    <w:autoRedefine/>
    <w:uiPriority w:val="39"/>
    <w:semiHidden/>
    <w:unhideWhenUsed/>
    <w:rsid w:val="000C5EB9"/>
    <w:pPr>
      <w:ind w:left="480"/>
    </w:pPr>
    <w:rPr>
      <w:sz w:val="20"/>
      <w:szCs w:val="20"/>
    </w:rPr>
  </w:style>
  <w:style w:type="paragraph" w:styleId="TOC4">
    <w:name w:val="toc 4"/>
    <w:basedOn w:val="Normal"/>
    <w:next w:val="Normal"/>
    <w:autoRedefine/>
    <w:uiPriority w:val="39"/>
    <w:semiHidden/>
    <w:unhideWhenUsed/>
    <w:rsid w:val="000C5EB9"/>
    <w:pPr>
      <w:ind w:left="720"/>
    </w:pPr>
    <w:rPr>
      <w:sz w:val="20"/>
      <w:szCs w:val="20"/>
    </w:rPr>
  </w:style>
  <w:style w:type="paragraph" w:styleId="TOC5">
    <w:name w:val="toc 5"/>
    <w:basedOn w:val="Normal"/>
    <w:next w:val="Normal"/>
    <w:autoRedefine/>
    <w:uiPriority w:val="39"/>
    <w:semiHidden/>
    <w:unhideWhenUsed/>
    <w:rsid w:val="000C5EB9"/>
    <w:pPr>
      <w:ind w:left="960"/>
    </w:pPr>
    <w:rPr>
      <w:sz w:val="20"/>
      <w:szCs w:val="20"/>
    </w:rPr>
  </w:style>
  <w:style w:type="paragraph" w:styleId="TOC6">
    <w:name w:val="toc 6"/>
    <w:basedOn w:val="Normal"/>
    <w:next w:val="Normal"/>
    <w:autoRedefine/>
    <w:uiPriority w:val="39"/>
    <w:semiHidden/>
    <w:unhideWhenUsed/>
    <w:rsid w:val="000C5EB9"/>
    <w:pPr>
      <w:ind w:left="1200"/>
    </w:pPr>
    <w:rPr>
      <w:sz w:val="20"/>
      <w:szCs w:val="20"/>
    </w:rPr>
  </w:style>
  <w:style w:type="paragraph" w:styleId="TOC7">
    <w:name w:val="toc 7"/>
    <w:basedOn w:val="Normal"/>
    <w:next w:val="Normal"/>
    <w:autoRedefine/>
    <w:uiPriority w:val="39"/>
    <w:semiHidden/>
    <w:unhideWhenUsed/>
    <w:rsid w:val="000C5EB9"/>
    <w:pPr>
      <w:ind w:left="1440"/>
    </w:pPr>
    <w:rPr>
      <w:sz w:val="20"/>
      <w:szCs w:val="20"/>
    </w:rPr>
  </w:style>
  <w:style w:type="paragraph" w:styleId="TOC8">
    <w:name w:val="toc 8"/>
    <w:basedOn w:val="Normal"/>
    <w:next w:val="Normal"/>
    <w:autoRedefine/>
    <w:uiPriority w:val="39"/>
    <w:semiHidden/>
    <w:unhideWhenUsed/>
    <w:rsid w:val="000C5EB9"/>
    <w:pPr>
      <w:ind w:left="1680"/>
    </w:pPr>
    <w:rPr>
      <w:sz w:val="20"/>
      <w:szCs w:val="20"/>
    </w:rPr>
  </w:style>
  <w:style w:type="paragraph" w:styleId="TOC9">
    <w:name w:val="toc 9"/>
    <w:basedOn w:val="Normal"/>
    <w:next w:val="Normal"/>
    <w:autoRedefine/>
    <w:uiPriority w:val="39"/>
    <w:semiHidden/>
    <w:unhideWhenUsed/>
    <w:rsid w:val="000C5EB9"/>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1003956">
      <w:bodyDiv w:val="1"/>
      <w:marLeft w:val="0"/>
      <w:marRight w:val="0"/>
      <w:marTop w:val="0"/>
      <w:marBottom w:val="0"/>
      <w:divBdr>
        <w:top w:val="none" w:sz="0" w:space="0" w:color="auto"/>
        <w:left w:val="none" w:sz="0" w:space="0" w:color="auto"/>
        <w:bottom w:val="none" w:sz="0" w:space="0" w:color="auto"/>
        <w:right w:val="none" w:sz="0" w:space="0" w:color="auto"/>
      </w:divBdr>
    </w:div>
    <w:div w:id="207469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FF922-C541-A34E-B65B-755C145AB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3810</Words>
  <Characters>22849</Characters>
  <Application>Microsoft Office Word</Application>
  <DocSecurity>0</DocSecurity>
  <Lines>461</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2026-08-06T08:23:00Z</dcterms:created>
  <dcterms:modified xsi:type="dcterms:W3CDTF">2026-08-07T20:51:00Z</dcterms:modified>
</cp:coreProperties>
</file>