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62B3E47" w:rsidR="00BA3902" w:rsidRDefault="00BA3902" w:rsidP="00456CBA">
      <w:pPr>
        <w:spacing w:line="360" w:lineRule="auto"/>
        <w:rPr>
          <w:rFonts w:ascii="Arial" w:eastAsia="Arial" w:hAnsi="Arial" w:cs="Arial"/>
          <w:sz w:val="22"/>
          <w:szCs w:val="22"/>
        </w:rPr>
      </w:pPr>
    </w:p>
    <w:p w14:paraId="5DA5B297" w14:textId="747A1156" w:rsidR="274EBD2F" w:rsidRDefault="274EBD2F" w:rsidP="00456CBA">
      <w:pPr>
        <w:spacing w:line="360" w:lineRule="auto"/>
        <w:rPr>
          <w:rFonts w:ascii="Arial" w:eastAsia="Arial" w:hAnsi="Arial" w:cs="Arial"/>
          <w:sz w:val="22"/>
          <w:szCs w:val="22"/>
        </w:rPr>
      </w:pPr>
    </w:p>
    <w:p w14:paraId="6D37D6C8" w14:textId="3DFC7E6E" w:rsidR="274EBD2F" w:rsidRDefault="274EBD2F" w:rsidP="00456CBA">
      <w:pPr>
        <w:spacing w:line="360" w:lineRule="auto"/>
        <w:rPr>
          <w:rFonts w:ascii="Arial" w:eastAsia="Arial" w:hAnsi="Arial" w:cs="Arial"/>
          <w:sz w:val="22"/>
          <w:szCs w:val="22"/>
        </w:rPr>
      </w:pPr>
    </w:p>
    <w:p w14:paraId="50838C5D" w14:textId="436B1773" w:rsidR="274EBD2F" w:rsidRDefault="274EBD2F" w:rsidP="00456CBA">
      <w:pPr>
        <w:spacing w:line="360" w:lineRule="auto"/>
        <w:rPr>
          <w:rFonts w:ascii="Arial" w:eastAsia="Arial" w:hAnsi="Arial" w:cs="Arial"/>
          <w:sz w:val="22"/>
          <w:szCs w:val="22"/>
        </w:rPr>
      </w:pPr>
    </w:p>
    <w:p w14:paraId="1028D529" w14:textId="762CB287" w:rsidR="274EBD2F" w:rsidRDefault="274EBD2F" w:rsidP="00456CBA">
      <w:pPr>
        <w:spacing w:line="360" w:lineRule="auto"/>
        <w:rPr>
          <w:rFonts w:ascii="Arial" w:eastAsia="Arial" w:hAnsi="Arial" w:cs="Arial"/>
          <w:sz w:val="22"/>
          <w:szCs w:val="22"/>
        </w:rPr>
      </w:pPr>
    </w:p>
    <w:p w14:paraId="510E7A4B" w14:textId="23302957" w:rsidR="274EBD2F" w:rsidRDefault="274EBD2F" w:rsidP="00456CBA">
      <w:pPr>
        <w:spacing w:line="360" w:lineRule="auto"/>
        <w:rPr>
          <w:rFonts w:ascii="Arial" w:eastAsia="Arial" w:hAnsi="Arial" w:cs="Arial"/>
          <w:sz w:val="22"/>
          <w:szCs w:val="22"/>
        </w:rPr>
      </w:pPr>
    </w:p>
    <w:p w14:paraId="50B79577" w14:textId="39ABCADC" w:rsidR="274EBD2F" w:rsidRDefault="274EBD2F" w:rsidP="00456CBA">
      <w:pPr>
        <w:spacing w:line="360" w:lineRule="auto"/>
        <w:rPr>
          <w:rFonts w:ascii="Arial" w:eastAsia="Arial" w:hAnsi="Arial" w:cs="Arial"/>
          <w:sz w:val="22"/>
          <w:szCs w:val="22"/>
        </w:rPr>
      </w:pPr>
    </w:p>
    <w:p w14:paraId="5F7D5159" w14:textId="23DCA77D" w:rsidR="274EBD2F" w:rsidRDefault="274EBD2F" w:rsidP="00456CBA">
      <w:pPr>
        <w:spacing w:line="360" w:lineRule="auto"/>
        <w:rPr>
          <w:rFonts w:ascii="Arial" w:eastAsia="Arial" w:hAnsi="Arial" w:cs="Arial"/>
          <w:sz w:val="22"/>
          <w:szCs w:val="22"/>
        </w:rPr>
      </w:pPr>
    </w:p>
    <w:p w14:paraId="051E5DBF" w14:textId="625BF48B" w:rsidR="274EBD2F" w:rsidRDefault="274EBD2F" w:rsidP="00456CBA">
      <w:pPr>
        <w:spacing w:line="360" w:lineRule="auto"/>
        <w:rPr>
          <w:rFonts w:ascii="Arial" w:eastAsia="Arial" w:hAnsi="Arial" w:cs="Arial"/>
          <w:sz w:val="22"/>
          <w:szCs w:val="22"/>
        </w:rPr>
      </w:pPr>
    </w:p>
    <w:p w14:paraId="5C8E691A" w14:textId="77777777" w:rsidR="00BF3C0B" w:rsidRDefault="00BF3C0B" w:rsidP="00456CBA">
      <w:pPr>
        <w:spacing w:line="360" w:lineRule="auto"/>
        <w:rPr>
          <w:rFonts w:ascii="Arial" w:eastAsia="Arial" w:hAnsi="Arial" w:cs="Arial"/>
          <w:sz w:val="22"/>
          <w:szCs w:val="22"/>
        </w:rPr>
      </w:pPr>
    </w:p>
    <w:p w14:paraId="29FE6744" w14:textId="5E62F165" w:rsidR="00AE64D2" w:rsidRPr="00132185" w:rsidRDefault="00AE64D2" w:rsidP="00AE64D2">
      <w:pPr>
        <w:spacing w:line="360" w:lineRule="auto"/>
        <w:rPr>
          <w:rFonts w:ascii="Arial" w:eastAsia="Arial" w:hAnsi="Arial" w:cs="Arial"/>
          <w:sz w:val="28"/>
          <w:szCs w:val="28"/>
        </w:rPr>
      </w:pPr>
      <w:r w:rsidRPr="00132185">
        <w:rPr>
          <w:rFonts w:ascii="Arial" w:eastAsia="Arial" w:hAnsi="Arial" w:cs="Arial"/>
          <w:b/>
          <w:bCs/>
          <w:sz w:val="28"/>
          <w:szCs w:val="28"/>
        </w:rPr>
        <w:t>Zahra Begum – 2324332</w:t>
      </w:r>
      <w:r w:rsidRPr="00132185">
        <w:rPr>
          <w:rFonts w:ascii="Arial" w:eastAsia="Arial" w:hAnsi="Arial" w:cs="Arial"/>
          <w:sz w:val="28"/>
          <w:szCs w:val="28"/>
        </w:rPr>
        <w:t> </w:t>
      </w:r>
    </w:p>
    <w:p w14:paraId="1FCC5853" w14:textId="77777777" w:rsidR="00AE64D2" w:rsidRPr="00132185" w:rsidRDefault="00AE64D2" w:rsidP="00AE64D2">
      <w:pPr>
        <w:spacing w:line="360" w:lineRule="auto"/>
        <w:rPr>
          <w:rFonts w:ascii="Arial" w:eastAsia="Arial" w:hAnsi="Arial" w:cs="Arial"/>
          <w:sz w:val="28"/>
          <w:szCs w:val="28"/>
        </w:rPr>
      </w:pPr>
      <w:r w:rsidRPr="00132185">
        <w:rPr>
          <w:rFonts w:ascii="Arial" w:eastAsia="Arial" w:hAnsi="Arial" w:cs="Arial"/>
          <w:b/>
          <w:bCs/>
          <w:sz w:val="28"/>
          <w:szCs w:val="28"/>
        </w:rPr>
        <w:t>BMHP5016 – Principles of Health and Social Care Practise</w:t>
      </w:r>
      <w:r w:rsidRPr="00132185">
        <w:rPr>
          <w:rFonts w:ascii="Arial" w:eastAsia="Arial" w:hAnsi="Arial" w:cs="Arial"/>
          <w:sz w:val="28"/>
          <w:szCs w:val="28"/>
        </w:rPr>
        <w:t> </w:t>
      </w:r>
    </w:p>
    <w:p w14:paraId="7D65199A" w14:textId="0253A074" w:rsidR="00AE64D2" w:rsidRPr="00132185" w:rsidRDefault="00AE64D2" w:rsidP="00AE64D2">
      <w:pPr>
        <w:spacing w:line="360" w:lineRule="auto"/>
        <w:rPr>
          <w:rFonts w:ascii="Arial" w:eastAsia="Arial" w:hAnsi="Arial" w:cs="Arial"/>
          <w:sz w:val="28"/>
          <w:szCs w:val="28"/>
        </w:rPr>
      </w:pPr>
      <w:r w:rsidRPr="00132185">
        <w:rPr>
          <w:rFonts w:ascii="Arial" w:eastAsia="Arial" w:hAnsi="Arial" w:cs="Arial"/>
          <w:b/>
          <w:bCs/>
          <w:sz w:val="28"/>
          <w:szCs w:val="28"/>
        </w:rPr>
        <w:t xml:space="preserve">Component </w:t>
      </w:r>
      <w:r w:rsidR="00BF3C0B" w:rsidRPr="00132185">
        <w:rPr>
          <w:rFonts w:ascii="Arial" w:eastAsia="Arial" w:hAnsi="Arial" w:cs="Arial"/>
          <w:b/>
          <w:bCs/>
          <w:sz w:val="28"/>
          <w:szCs w:val="28"/>
        </w:rPr>
        <w:t>2</w:t>
      </w:r>
      <w:r w:rsidRPr="00132185">
        <w:rPr>
          <w:rFonts w:ascii="Arial" w:eastAsia="Arial" w:hAnsi="Arial" w:cs="Arial"/>
          <w:b/>
          <w:bCs/>
          <w:sz w:val="28"/>
          <w:szCs w:val="28"/>
        </w:rPr>
        <w:t> – Written Assignment</w:t>
      </w:r>
      <w:r w:rsidRPr="00132185">
        <w:rPr>
          <w:rFonts w:ascii="Arial" w:eastAsia="Arial" w:hAnsi="Arial" w:cs="Arial"/>
          <w:sz w:val="28"/>
          <w:szCs w:val="28"/>
        </w:rPr>
        <w:t> </w:t>
      </w:r>
    </w:p>
    <w:p w14:paraId="64D3F79A" w14:textId="06B2C092" w:rsidR="274EBD2F" w:rsidRDefault="274EBD2F" w:rsidP="00456CBA">
      <w:pPr>
        <w:spacing w:line="360" w:lineRule="auto"/>
        <w:rPr>
          <w:rFonts w:ascii="Arial" w:eastAsia="Arial" w:hAnsi="Arial" w:cs="Arial"/>
          <w:sz w:val="22"/>
          <w:szCs w:val="22"/>
        </w:rPr>
      </w:pPr>
    </w:p>
    <w:p w14:paraId="40A243A8" w14:textId="446042FE" w:rsidR="274EBD2F" w:rsidRDefault="274EBD2F" w:rsidP="00456CBA">
      <w:pPr>
        <w:spacing w:line="360" w:lineRule="auto"/>
        <w:rPr>
          <w:rFonts w:ascii="Arial" w:eastAsia="Arial" w:hAnsi="Arial" w:cs="Arial"/>
          <w:sz w:val="22"/>
          <w:szCs w:val="22"/>
        </w:rPr>
      </w:pPr>
    </w:p>
    <w:p w14:paraId="537685D3" w14:textId="01408145" w:rsidR="274EBD2F" w:rsidRDefault="274EBD2F" w:rsidP="00456CBA">
      <w:pPr>
        <w:spacing w:line="360" w:lineRule="auto"/>
        <w:rPr>
          <w:rFonts w:ascii="Arial" w:eastAsia="Arial" w:hAnsi="Arial" w:cs="Arial"/>
          <w:sz w:val="22"/>
          <w:szCs w:val="22"/>
        </w:rPr>
      </w:pPr>
    </w:p>
    <w:p w14:paraId="00E0C618" w14:textId="73AB6052" w:rsidR="274EBD2F" w:rsidRDefault="274EBD2F" w:rsidP="00456CBA">
      <w:pPr>
        <w:spacing w:line="360" w:lineRule="auto"/>
        <w:rPr>
          <w:rFonts w:ascii="Arial" w:eastAsia="Arial" w:hAnsi="Arial" w:cs="Arial"/>
          <w:sz w:val="22"/>
          <w:szCs w:val="22"/>
        </w:rPr>
      </w:pPr>
    </w:p>
    <w:p w14:paraId="39BE93B8" w14:textId="22B49D2C" w:rsidR="274EBD2F" w:rsidRDefault="274EBD2F" w:rsidP="00456CBA">
      <w:pPr>
        <w:spacing w:line="360" w:lineRule="auto"/>
        <w:rPr>
          <w:rFonts w:ascii="Arial" w:eastAsia="Arial" w:hAnsi="Arial" w:cs="Arial"/>
          <w:sz w:val="22"/>
          <w:szCs w:val="22"/>
        </w:rPr>
      </w:pPr>
    </w:p>
    <w:p w14:paraId="0C8E8590" w14:textId="0C091904" w:rsidR="274EBD2F" w:rsidRDefault="274EBD2F" w:rsidP="00456CBA">
      <w:pPr>
        <w:spacing w:line="360" w:lineRule="auto"/>
        <w:rPr>
          <w:rFonts w:ascii="Arial" w:eastAsia="Arial" w:hAnsi="Arial" w:cs="Arial"/>
          <w:sz w:val="22"/>
          <w:szCs w:val="22"/>
        </w:rPr>
      </w:pPr>
    </w:p>
    <w:p w14:paraId="5BB92107" w14:textId="249290D8" w:rsidR="274EBD2F" w:rsidRDefault="274EBD2F" w:rsidP="00456CBA">
      <w:pPr>
        <w:spacing w:line="360" w:lineRule="auto"/>
        <w:rPr>
          <w:rFonts w:ascii="Arial" w:eastAsia="Arial" w:hAnsi="Arial" w:cs="Arial"/>
          <w:sz w:val="22"/>
          <w:szCs w:val="22"/>
        </w:rPr>
      </w:pPr>
    </w:p>
    <w:p w14:paraId="0A104821" w14:textId="663A618D" w:rsidR="274EBD2F" w:rsidRDefault="274EBD2F" w:rsidP="00456CBA">
      <w:pPr>
        <w:spacing w:line="360" w:lineRule="auto"/>
        <w:rPr>
          <w:rFonts w:ascii="Arial" w:eastAsia="Arial" w:hAnsi="Arial" w:cs="Arial"/>
          <w:sz w:val="22"/>
          <w:szCs w:val="22"/>
        </w:rPr>
      </w:pPr>
    </w:p>
    <w:p w14:paraId="4616EB84" w14:textId="77777777" w:rsidR="00BF3C0B" w:rsidRDefault="00BF3C0B" w:rsidP="00456CBA">
      <w:pPr>
        <w:spacing w:line="360" w:lineRule="auto"/>
        <w:rPr>
          <w:rFonts w:ascii="Arial" w:eastAsia="Arial" w:hAnsi="Arial" w:cs="Arial"/>
          <w:sz w:val="22"/>
          <w:szCs w:val="22"/>
        </w:rPr>
      </w:pPr>
    </w:p>
    <w:p w14:paraId="18AB036D" w14:textId="77777777" w:rsidR="00BF3C0B" w:rsidRDefault="00BF3C0B" w:rsidP="00456CBA">
      <w:pPr>
        <w:spacing w:line="360" w:lineRule="auto"/>
        <w:rPr>
          <w:rFonts w:ascii="Arial" w:eastAsia="Arial" w:hAnsi="Arial" w:cs="Arial"/>
          <w:sz w:val="22"/>
          <w:szCs w:val="22"/>
        </w:rPr>
      </w:pPr>
    </w:p>
    <w:p w14:paraId="414D78F1" w14:textId="77392EFD" w:rsidR="274EBD2F" w:rsidRDefault="274EBD2F" w:rsidP="00456CBA">
      <w:pPr>
        <w:spacing w:line="360" w:lineRule="auto"/>
        <w:rPr>
          <w:rFonts w:ascii="Arial" w:eastAsia="Arial" w:hAnsi="Arial" w:cs="Arial"/>
          <w:sz w:val="22"/>
          <w:szCs w:val="22"/>
        </w:rPr>
      </w:pPr>
    </w:p>
    <w:p w14:paraId="548F9ABA" w14:textId="77777777" w:rsidR="00132185" w:rsidRDefault="00132185" w:rsidP="00132185">
      <w:pPr>
        <w:spacing w:line="360" w:lineRule="auto"/>
        <w:rPr>
          <w:rFonts w:ascii="Arial" w:eastAsia="Arial" w:hAnsi="Arial" w:cs="Arial"/>
          <w:sz w:val="22"/>
          <w:szCs w:val="22"/>
        </w:rPr>
      </w:pPr>
    </w:p>
    <w:p w14:paraId="5BAE2CA8" w14:textId="49FB9BAA" w:rsidR="00E56EE8" w:rsidRPr="00132185" w:rsidRDefault="00E56EE8" w:rsidP="00132185">
      <w:pPr>
        <w:spacing w:line="360" w:lineRule="auto"/>
        <w:rPr>
          <w:rFonts w:ascii="Arial" w:eastAsia="Arial" w:hAnsi="Arial" w:cs="Arial"/>
          <w:b/>
          <w:bCs/>
          <w:sz w:val="22"/>
          <w:szCs w:val="22"/>
        </w:rPr>
      </w:pPr>
      <w:r w:rsidRPr="00132185">
        <w:rPr>
          <w:rFonts w:ascii="Arial" w:eastAsia="Arial" w:hAnsi="Arial" w:cs="Arial"/>
          <w:b/>
          <w:bCs/>
          <w:sz w:val="22"/>
          <w:szCs w:val="22"/>
        </w:rPr>
        <w:lastRenderedPageBreak/>
        <w:t>Abstract</w:t>
      </w:r>
    </w:p>
    <w:p w14:paraId="3C62C83E" w14:textId="36BCBDA4" w:rsidR="274EBD2F" w:rsidRPr="00132185" w:rsidRDefault="00F33790" w:rsidP="00132185">
      <w:pPr>
        <w:spacing w:line="360" w:lineRule="auto"/>
        <w:rPr>
          <w:rFonts w:ascii="Arial" w:eastAsia="Arial" w:hAnsi="Arial" w:cs="Arial"/>
          <w:sz w:val="22"/>
          <w:szCs w:val="22"/>
        </w:rPr>
      </w:pPr>
      <w:r w:rsidRPr="00132185">
        <w:rPr>
          <w:rFonts w:ascii="Arial" w:eastAsia="Arial" w:hAnsi="Arial" w:cs="Arial"/>
          <w:sz w:val="22"/>
          <w:szCs w:val="22"/>
        </w:rPr>
        <w:t>This report evaluates person-centred care (PCC) and partnership working (PW) within UK health and social care, focusing on residential care homes for older adults. It examines the principles, benefits and limitations of PCC and critically analyses the Social Model of Disability as a framework for supporting personalised care. The report also explores key ethical principles, including autonomy, beneficence, non-maleficence and justice, and considers their importance in decision-making and care delivery. Partnership working is evaluated in relation to communication, multidisciplinary collaboration and integrated care, including its benefits and challenges. Relevant UK legislation and policy, including the Care Act 2014, Health and Care Act 2022 and Equality Act 2010, are examined in relation to PCC and PW. The report identifies the importance of effective communication, adequate staffing, professional development and organisational support. Recommendations focus on enhanced staff training, appropriate use of digital technology, stronger involvement of residents and families, and evidence-informed policy development. Overall, effective PCC and PW can promote dignity, independence and improved outcomes for older adults in residential care.</w:t>
      </w:r>
    </w:p>
    <w:p w14:paraId="3E6FEA74" w14:textId="6B4CC3EA" w:rsidR="274EBD2F" w:rsidRPr="00132185" w:rsidRDefault="274EBD2F" w:rsidP="00132185">
      <w:pPr>
        <w:spacing w:line="360" w:lineRule="auto"/>
        <w:rPr>
          <w:rFonts w:ascii="Arial" w:eastAsia="Arial" w:hAnsi="Arial" w:cs="Arial"/>
          <w:sz w:val="22"/>
          <w:szCs w:val="22"/>
        </w:rPr>
      </w:pPr>
    </w:p>
    <w:p w14:paraId="7AA7601E" w14:textId="49BA520B" w:rsidR="274EBD2F" w:rsidRPr="00132185" w:rsidRDefault="274EBD2F" w:rsidP="00132185">
      <w:pPr>
        <w:spacing w:line="360" w:lineRule="auto"/>
        <w:rPr>
          <w:rFonts w:ascii="Arial" w:eastAsia="Arial" w:hAnsi="Arial" w:cs="Arial"/>
          <w:sz w:val="22"/>
          <w:szCs w:val="22"/>
        </w:rPr>
      </w:pPr>
    </w:p>
    <w:p w14:paraId="2942A724" w14:textId="743FB1DE" w:rsidR="274EBD2F" w:rsidRPr="00132185" w:rsidRDefault="274EBD2F" w:rsidP="00132185">
      <w:pPr>
        <w:spacing w:line="360" w:lineRule="auto"/>
        <w:rPr>
          <w:rFonts w:ascii="Arial" w:eastAsia="Arial" w:hAnsi="Arial" w:cs="Arial"/>
          <w:sz w:val="22"/>
          <w:szCs w:val="22"/>
        </w:rPr>
      </w:pPr>
    </w:p>
    <w:p w14:paraId="0BE74624" w14:textId="58DB6DF8" w:rsidR="274EBD2F" w:rsidRPr="00132185" w:rsidRDefault="274EBD2F" w:rsidP="00132185">
      <w:pPr>
        <w:spacing w:line="360" w:lineRule="auto"/>
        <w:rPr>
          <w:rFonts w:ascii="Arial" w:eastAsia="Arial" w:hAnsi="Arial" w:cs="Arial"/>
          <w:sz w:val="22"/>
          <w:szCs w:val="22"/>
        </w:rPr>
      </w:pPr>
    </w:p>
    <w:p w14:paraId="2936445F" w14:textId="235E11E0" w:rsidR="274EBD2F" w:rsidRPr="00132185" w:rsidRDefault="274EBD2F" w:rsidP="00132185">
      <w:pPr>
        <w:spacing w:line="360" w:lineRule="auto"/>
        <w:rPr>
          <w:rFonts w:ascii="Arial" w:eastAsia="Arial" w:hAnsi="Arial" w:cs="Arial"/>
          <w:sz w:val="22"/>
          <w:szCs w:val="22"/>
        </w:rPr>
      </w:pPr>
    </w:p>
    <w:p w14:paraId="295A2DD9" w14:textId="64A6F94C" w:rsidR="274EBD2F" w:rsidRPr="00132185" w:rsidRDefault="274EBD2F" w:rsidP="00132185">
      <w:pPr>
        <w:spacing w:line="360" w:lineRule="auto"/>
        <w:rPr>
          <w:rFonts w:ascii="Arial" w:eastAsia="Arial" w:hAnsi="Arial" w:cs="Arial"/>
          <w:sz w:val="22"/>
          <w:szCs w:val="22"/>
        </w:rPr>
      </w:pPr>
    </w:p>
    <w:p w14:paraId="40528339" w14:textId="217B89B7" w:rsidR="274EBD2F" w:rsidRPr="00132185" w:rsidRDefault="274EBD2F" w:rsidP="00132185">
      <w:pPr>
        <w:spacing w:line="360" w:lineRule="auto"/>
        <w:rPr>
          <w:rFonts w:ascii="Arial" w:eastAsia="Arial" w:hAnsi="Arial" w:cs="Arial"/>
          <w:sz w:val="22"/>
          <w:szCs w:val="22"/>
        </w:rPr>
      </w:pPr>
    </w:p>
    <w:p w14:paraId="22A9F71D" w14:textId="36B83457" w:rsidR="274EBD2F" w:rsidRPr="00132185" w:rsidRDefault="274EBD2F" w:rsidP="00132185">
      <w:pPr>
        <w:spacing w:line="360" w:lineRule="auto"/>
        <w:rPr>
          <w:rFonts w:ascii="Arial" w:eastAsia="Arial" w:hAnsi="Arial" w:cs="Arial"/>
          <w:sz w:val="22"/>
          <w:szCs w:val="22"/>
        </w:rPr>
      </w:pPr>
    </w:p>
    <w:p w14:paraId="19520E98" w14:textId="2F083573" w:rsidR="274EBD2F" w:rsidRPr="00132185" w:rsidRDefault="274EBD2F" w:rsidP="00132185">
      <w:pPr>
        <w:spacing w:line="360" w:lineRule="auto"/>
        <w:rPr>
          <w:rFonts w:ascii="Arial" w:eastAsia="Arial" w:hAnsi="Arial" w:cs="Arial"/>
          <w:sz w:val="22"/>
          <w:szCs w:val="22"/>
        </w:rPr>
      </w:pPr>
    </w:p>
    <w:p w14:paraId="538421F9" w14:textId="4127AE54" w:rsidR="274EBD2F" w:rsidRPr="00132185" w:rsidRDefault="274EBD2F" w:rsidP="00132185">
      <w:pPr>
        <w:spacing w:line="360" w:lineRule="auto"/>
        <w:rPr>
          <w:rFonts w:ascii="Arial" w:eastAsia="Arial" w:hAnsi="Arial" w:cs="Arial"/>
          <w:sz w:val="22"/>
          <w:szCs w:val="22"/>
        </w:rPr>
      </w:pPr>
    </w:p>
    <w:p w14:paraId="3C091700" w14:textId="10D17A1A" w:rsidR="274EBD2F" w:rsidRPr="00132185" w:rsidRDefault="274EBD2F" w:rsidP="00132185">
      <w:pPr>
        <w:spacing w:line="360" w:lineRule="auto"/>
        <w:rPr>
          <w:rFonts w:ascii="Arial" w:eastAsia="Arial" w:hAnsi="Arial" w:cs="Arial"/>
          <w:sz w:val="22"/>
          <w:szCs w:val="22"/>
        </w:rPr>
      </w:pPr>
    </w:p>
    <w:p w14:paraId="77DA2173" w14:textId="1E279C57" w:rsidR="274EBD2F" w:rsidRPr="00132185" w:rsidRDefault="274EBD2F" w:rsidP="00132185">
      <w:pPr>
        <w:spacing w:line="360" w:lineRule="auto"/>
        <w:rPr>
          <w:rFonts w:ascii="Arial" w:eastAsia="Arial" w:hAnsi="Arial" w:cs="Arial"/>
          <w:sz w:val="22"/>
          <w:szCs w:val="22"/>
        </w:rPr>
      </w:pPr>
    </w:p>
    <w:p w14:paraId="2CF3E7D6" w14:textId="0E549D13" w:rsidR="274EBD2F" w:rsidRPr="00132185" w:rsidRDefault="274EBD2F" w:rsidP="00132185">
      <w:pPr>
        <w:spacing w:line="360" w:lineRule="auto"/>
        <w:rPr>
          <w:rFonts w:ascii="Arial" w:eastAsia="Arial" w:hAnsi="Arial" w:cs="Arial"/>
          <w:sz w:val="22"/>
          <w:szCs w:val="22"/>
        </w:rPr>
      </w:pPr>
    </w:p>
    <w:p w14:paraId="6BB3DD03" w14:textId="00209541" w:rsidR="274EBD2F" w:rsidRPr="00132185" w:rsidRDefault="274EBD2F" w:rsidP="00132185">
      <w:pPr>
        <w:spacing w:line="360" w:lineRule="auto"/>
        <w:rPr>
          <w:rFonts w:ascii="Arial" w:eastAsia="Arial" w:hAnsi="Arial" w:cs="Arial"/>
          <w:sz w:val="22"/>
          <w:szCs w:val="22"/>
        </w:rPr>
      </w:pPr>
    </w:p>
    <w:p w14:paraId="61C836D0" w14:textId="13E1852F" w:rsidR="011012EE" w:rsidRPr="00132185" w:rsidRDefault="274EBD2F" w:rsidP="00132185">
      <w:pPr>
        <w:spacing w:line="360" w:lineRule="auto"/>
        <w:rPr>
          <w:rFonts w:ascii="Arial" w:eastAsia="Arial" w:hAnsi="Arial" w:cs="Arial"/>
          <w:sz w:val="22"/>
          <w:szCs w:val="22"/>
        </w:rPr>
      </w:pPr>
      <w:r w:rsidRPr="00132185">
        <w:rPr>
          <w:rFonts w:ascii="Arial" w:eastAsia="Arial" w:hAnsi="Arial" w:cs="Arial"/>
          <w:sz w:val="22"/>
          <w:szCs w:val="22"/>
        </w:rPr>
        <w:br w:type="page"/>
      </w:r>
      <w:r w:rsidR="001E03E0" w:rsidRPr="00132185">
        <w:rPr>
          <w:rFonts w:ascii="Arial" w:eastAsia="Arial" w:hAnsi="Arial" w:cs="Arial"/>
          <w:b/>
          <w:bCs/>
          <w:sz w:val="22"/>
          <w:szCs w:val="22"/>
        </w:rPr>
        <w:lastRenderedPageBreak/>
        <w:t>Int</w:t>
      </w:r>
      <w:r w:rsidR="23F3B5D1" w:rsidRPr="00132185">
        <w:rPr>
          <w:rFonts w:ascii="Arial" w:eastAsia="Arial" w:hAnsi="Arial" w:cs="Arial"/>
          <w:b/>
          <w:bCs/>
          <w:sz w:val="22"/>
          <w:szCs w:val="22"/>
        </w:rPr>
        <w:t>roduction</w:t>
      </w:r>
    </w:p>
    <w:p w14:paraId="6E208EA4" w14:textId="21E8631F" w:rsidR="011012EE" w:rsidRPr="00132185" w:rsidRDefault="23F3B5D1"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Person-centred care (PCC) and partnership working (PW) are fundamental principles of contemporary health and social care practice in the United Kingdom. </w:t>
      </w:r>
      <w:r w:rsidR="00DA4004" w:rsidRPr="00132185">
        <w:rPr>
          <w:rFonts w:ascii="Arial" w:eastAsia="Arial" w:hAnsi="Arial" w:cs="Arial"/>
          <w:sz w:val="22"/>
          <w:szCs w:val="22"/>
        </w:rPr>
        <w:t xml:space="preserve">Person-centred care requires services to consider each individual's needs and preferences while involving them in decisions about their care </w:t>
      </w:r>
      <w:r w:rsidRPr="00132185">
        <w:rPr>
          <w:rFonts w:ascii="Arial" w:eastAsia="Arial" w:hAnsi="Arial" w:cs="Arial"/>
          <w:sz w:val="22"/>
          <w:szCs w:val="22"/>
        </w:rPr>
        <w:t>(Care Quality Commission, 202</w:t>
      </w:r>
      <w:r w:rsidR="60FD723F" w:rsidRPr="00132185">
        <w:rPr>
          <w:rFonts w:ascii="Arial" w:eastAsia="Arial" w:hAnsi="Arial" w:cs="Arial"/>
          <w:sz w:val="22"/>
          <w:szCs w:val="22"/>
        </w:rPr>
        <w:t>5</w:t>
      </w:r>
      <w:r w:rsidRPr="00132185">
        <w:rPr>
          <w:rFonts w:ascii="Arial" w:eastAsia="Arial" w:hAnsi="Arial" w:cs="Arial"/>
          <w:sz w:val="22"/>
          <w:szCs w:val="22"/>
        </w:rPr>
        <w:t xml:space="preserve">). Partnership working is also essential to coordinated care, as collaboration between health and social care organisations can support more integrated services and improved outcomes for individuals (Health and Care Act, 2022). </w:t>
      </w:r>
      <w:r w:rsidR="00DA4004" w:rsidRPr="00132185">
        <w:rPr>
          <w:rFonts w:ascii="Arial" w:eastAsia="Arial" w:hAnsi="Arial" w:cs="Arial"/>
          <w:sz w:val="22"/>
          <w:szCs w:val="22"/>
        </w:rPr>
        <w:t>Together, these approaches promote independence, dignity and quality care.</w:t>
      </w:r>
    </w:p>
    <w:p w14:paraId="565B5EA8" w14:textId="77777777" w:rsidR="00C76F31" w:rsidRPr="00132185" w:rsidRDefault="23F3B5D1"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This report evaluates person-centred care and partnership working within residential care homes for older adults. It examines the benefits and limitations of PCC and critically analyses the Social Model of </w:t>
      </w:r>
      <w:r w:rsidR="00AF6573" w:rsidRPr="00132185">
        <w:rPr>
          <w:rFonts w:ascii="Arial" w:eastAsia="Arial" w:hAnsi="Arial" w:cs="Arial"/>
          <w:sz w:val="22"/>
          <w:szCs w:val="22"/>
        </w:rPr>
        <w:t>Disability</w:t>
      </w:r>
      <w:r w:rsidRPr="00132185">
        <w:rPr>
          <w:rFonts w:ascii="Arial" w:eastAsia="Arial" w:hAnsi="Arial" w:cs="Arial"/>
          <w:sz w:val="22"/>
          <w:szCs w:val="22"/>
        </w:rPr>
        <w:t xml:space="preserve">, with brief consideration of the Medical Model. The report also analyses ethical principles, evaluates partnership working, and examines relevant UK policy and legislation. </w:t>
      </w:r>
      <w:r w:rsidR="553A327A" w:rsidRPr="00132185">
        <w:rPr>
          <w:rFonts w:ascii="Arial" w:eastAsia="Arial" w:hAnsi="Arial" w:cs="Arial"/>
          <w:sz w:val="22"/>
          <w:szCs w:val="22"/>
        </w:rPr>
        <w:t>Finally, evidence-based recommendations for future PCC and partnership working are presented.</w:t>
      </w:r>
    </w:p>
    <w:p w14:paraId="3543FFFF" w14:textId="77777777" w:rsidR="00C76F31" w:rsidRPr="00132185" w:rsidRDefault="7E809122" w:rsidP="00132185">
      <w:pPr>
        <w:spacing w:before="240" w:after="240" w:line="360" w:lineRule="auto"/>
        <w:rPr>
          <w:rFonts w:ascii="Arial" w:eastAsia="Arial" w:hAnsi="Arial" w:cs="Arial"/>
          <w:b/>
          <w:bCs/>
          <w:sz w:val="22"/>
          <w:szCs w:val="22"/>
        </w:rPr>
      </w:pPr>
      <w:r w:rsidRPr="00132185">
        <w:rPr>
          <w:rFonts w:ascii="Arial" w:eastAsia="Arial" w:hAnsi="Arial" w:cs="Arial"/>
          <w:b/>
          <w:bCs/>
          <w:sz w:val="22"/>
          <w:szCs w:val="22"/>
        </w:rPr>
        <w:t>Person-Centred Care: Definition, Benefits and Limitations</w:t>
      </w:r>
    </w:p>
    <w:p w14:paraId="6EA22761" w14:textId="77777777" w:rsidR="00C76F31" w:rsidRPr="00132185" w:rsidRDefault="009D1F64"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Person-centred care (PCC) places an individual’s needs, values and preferences at the centre of decisions about their care. Rather than viewing individuals only through illness or dependency, PCC recognises them as active participants in planning and evaluating their support. Coulter and Oldham (2016) describe PCC as treating individuals with dignity, compassion and respect while providing coordinated, personalised support. In residential care homes, this includes individualised care plans, respecting routines and cultural preferences, and supporting choices about activities, meals and personal care.</w:t>
      </w:r>
    </w:p>
    <w:p w14:paraId="2B9EF1C3" w14:textId="6B887FF7" w:rsidR="00A83639" w:rsidRPr="00132185" w:rsidRDefault="009D1F64"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PCC can benefit older adults by promoting autonomy, dignity and independence. Involving residents in decisions may improve their experience of care and help professionals provide support that reflects what matters to them. The Care Quality Commission (202</w:t>
      </w:r>
      <w:r w:rsidR="00E6765A" w:rsidRPr="00132185">
        <w:rPr>
          <w:rFonts w:ascii="Arial" w:eastAsia="Arial" w:hAnsi="Arial" w:cs="Arial"/>
          <w:sz w:val="22"/>
          <w:szCs w:val="22"/>
        </w:rPr>
        <w:t>5</w:t>
      </w:r>
      <w:r w:rsidRPr="00132185">
        <w:rPr>
          <w:rFonts w:ascii="Arial" w:eastAsia="Arial" w:hAnsi="Arial" w:cs="Arial"/>
          <w:sz w:val="22"/>
          <w:szCs w:val="22"/>
        </w:rPr>
        <w:t>) requires care and treatment to meet individual needs and preferences. PCC may also strengthen relationships between residents, families and professionals through communication and shared decision-making. Evidence suggests person-centred approaches can support positive outcomes for older people, although effectiveness may vary depending on implementation (Berkovic et al., 2024).</w:t>
      </w:r>
    </w:p>
    <w:p w14:paraId="1D68617F" w14:textId="23FC92F8" w:rsidR="00A83639" w:rsidRPr="00132185" w:rsidRDefault="009D1F64"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lastRenderedPageBreak/>
        <w:t>However, consistent implementation can be challenging. Staff shortages, limited time and resource pressures may restrict meaningful involvement and personalised support. Tensions may also arise between residents’ preferences and professional concerns about safety, particularly when individuals have complex needs or reduced decision-making capacity. Effective PCC therefore depends on good communication, adequate staffing, staff knowledge and organisational commitment.</w:t>
      </w:r>
    </w:p>
    <w:p w14:paraId="2635FAC9" w14:textId="6A71737D" w:rsidR="6B6C0BDD" w:rsidRPr="00132185" w:rsidRDefault="56359038"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b/>
          <w:bCs/>
          <w:color w:val="auto"/>
          <w:sz w:val="22"/>
          <w:szCs w:val="22"/>
        </w:rPr>
        <w:t>The Social Model and Person-Centred Care</w:t>
      </w:r>
    </w:p>
    <w:p w14:paraId="1A4A42D1" w14:textId="77777777" w:rsidR="008F4244" w:rsidRPr="00132185" w:rsidRDefault="008F4244"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The Social Model of Disability shifts attention from viewing disability solely as an individual problem. Oliver (1990) argues that disability is influenced by societal barriers rather than impairment alone, while Scope (n.d.) highlights social, environmental and organisational barriers that can restrict independence and participation. In contrast, the Medical Model focuses on impairment, diagnosis and treatment. The Social Model therefore supports greater choice, control and participation by encouraging professionals to identify and reduce barriers that may limit an individual's involvement in everyday life.</w:t>
      </w:r>
    </w:p>
    <w:p w14:paraId="2DF1F9EF" w14:textId="5C38A989" w:rsidR="008F4244" w:rsidRPr="00132185" w:rsidRDefault="008F4244"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 xml:space="preserve">The Social Model aligns with PCC by recognising individuals beyond illness or impairment. </w:t>
      </w:r>
      <w:r w:rsidR="00F745CC" w:rsidRPr="00132185">
        <w:rPr>
          <w:rFonts w:ascii="Arial" w:eastAsia="Arial" w:hAnsi="Arial" w:cs="Arial"/>
          <w:color w:val="auto"/>
          <w:sz w:val="22"/>
          <w:szCs w:val="22"/>
        </w:rPr>
        <w:t>In residential care, a resident with reduced mobility may face limitations from physical impairment, inaccessible environments or rigid routines.</w:t>
      </w:r>
      <w:r w:rsidR="00F745CC" w:rsidRPr="00132185">
        <w:rPr>
          <w:rFonts w:ascii="Arial" w:eastAsia="Arial" w:hAnsi="Arial" w:cs="Arial"/>
          <w:color w:val="auto"/>
          <w:sz w:val="22"/>
          <w:szCs w:val="22"/>
        </w:rPr>
        <w:t xml:space="preserve"> </w:t>
      </w:r>
      <w:r w:rsidRPr="00132185">
        <w:rPr>
          <w:rFonts w:ascii="Arial" w:eastAsia="Arial" w:hAnsi="Arial" w:cs="Arial"/>
          <w:color w:val="auto"/>
          <w:sz w:val="22"/>
          <w:szCs w:val="22"/>
        </w:rPr>
        <w:t>Organisational and individual factors can also influence autonomy (Moilanen et al., 2021). PCC may therefore involve adapting environments, providing equipment and developing flexible care plans around residents' goals and preferences. This approach can help residents maintain independence and participate in activities that are meaningful to them, rather than allowing their physical limitations to determine the support they receive.</w:t>
      </w:r>
    </w:p>
    <w:p w14:paraId="370E0D88" w14:textId="77777777" w:rsidR="008F4244" w:rsidRPr="00132185" w:rsidRDefault="008F4244"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The Medical Model remains important because many older adults require diagnosis and treatment for complex or long-term conditions. However, focusing heavily on clinical needs may overlook identity, relationships and quality of life. The Social Model encourages professionals to consider how care environments and organisational practices affect independence and inclusion. Using both perspectives can therefore help professionals address health needs while also considering the wider factors affecting a resident's experience of care.</w:t>
      </w:r>
    </w:p>
    <w:p w14:paraId="3129EDBA" w14:textId="77777777" w:rsidR="008F4244" w:rsidRPr="00132185" w:rsidRDefault="008F4244"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lastRenderedPageBreak/>
        <w:t>However, Shakespeare (2006) argues that the relationship between impairment and disability is more complex than the Social Model suggests. In residential care, illness, pain and physical impairment may directly affect daily life regardless of environmental barriers. Therefore, combining appropriate medical treatment with efforts to reduce social and environmental barriers may provide more holistic, person-centred care.</w:t>
      </w:r>
    </w:p>
    <w:p w14:paraId="33908ECC" w14:textId="77777777" w:rsidR="0041319F" w:rsidRPr="00132185" w:rsidRDefault="0041319F" w:rsidP="00132185">
      <w:pPr>
        <w:pStyle w:val="Heading3"/>
        <w:spacing w:before="281" w:after="281" w:line="360" w:lineRule="auto"/>
        <w:rPr>
          <w:rFonts w:ascii="Arial" w:eastAsia="Arial" w:hAnsi="Arial" w:cs="Arial"/>
          <w:b/>
          <w:bCs/>
          <w:color w:val="auto"/>
          <w:sz w:val="22"/>
          <w:szCs w:val="22"/>
        </w:rPr>
      </w:pPr>
      <w:r w:rsidRPr="00132185">
        <w:rPr>
          <w:rFonts w:ascii="Arial" w:eastAsia="Arial" w:hAnsi="Arial" w:cs="Arial"/>
          <w:b/>
          <w:bCs/>
          <w:color w:val="auto"/>
          <w:sz w:val="22"/>
          <w:szCs w:val="22"/>
        </w:rPr>
        <w:t>Ethical Fundamentals in Health and Social Care</w:t>
      </w:r>
    </w:p>
    <w:p w14:paraId="4BC303E5" w14:textId="77777777" w:rsidR="0041319F" w:rsidRPr="00132185" w:rsidRDefault="0041319F"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Ethical principles are essential in health and social care because professionals must make decisions that respect individual rights while promoting safety and wellbeing. Beauchamp and Childress (2019) identify four key principles: autonomy, beneficence, non-maleficence and justice. Autonomy involves respecting an individual's right to make informed decisions, beneficence requires professionals to promote wellbeing, non-maleficence concerns avoiding harm, and justice focuses on fairness and equal treatment.</w:t>
      </w:r>
    </w:p>
    <w:p w14:paraId="13795597" w14:textId="77777777" w:rsidR="0041319F" w:rsidRPr="00132185" w:rsidRDefault="0041319F"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These principles are closely linked to person-centred care and partnership working within residential care homes. Respecting autonomy involves supporting residents to express preferences and participate in care decisions. This is particularly important because autonomy in residential care can be influenced by individual circumstances and organisational factors (Moilanen et al., 2021). However, ethical dilemmas may arise when a resident's choices conflict with professional concerns about safety. For example, a resident at risk of falling may wish to walk independently, while professionals or family members may believe restricting movement would prevent harm. Preventing the resident from walking may reduce physical risk but could also restrict autonomy, independence and quality of life. This demonstrates the tension between safety and autonomy (Marnfeldt and Wilber, 2025).</w:t>
      </w:r>
    </w:p>
    <w:p w14:paraId="30D53CD3" w14:textId="77777777" w:rsidR="0041319F" w:rsidRPr="00132185" w:rsidRDefault="0041319F"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Resolving such dilemmas requires a balanced, person-centred approach rather than automatically prioritising independence or safety. The Mental Capacity Act (2005) establishes that individuals should be presumed to have capacity unless established otherwise and should not be treated as lacking capacity simply because they make an unwise decision. NICE (2018) further emphasises supporting individuals to make their own decisions and remain involved wherever possible. Professionals should communicate with residents, families and relevant professionals where appropriate. Mobility assessments, suitable equipment and environmental adaptations may help reduce risk while preserving independence.</w:t>
      </w:r>
    </w:p>
    <w:p w14:paraId="11722381" w14:textId="5B08824F" w:rsidR="00BF3C0B" w:rsidRPr="00132185" w:rsidRDefault="0041319F" w:rsidP="00132185">
      <w:pPr>
        <w:pStyle w:val="Heading3"/>
        <w:spacing w:before="281" w:after="281" w:line="360" w:lineRule="auto"/>
        <w:rPr>
          <w:rFonts w:ascii="Arial" w:eastAsia="Arial" w:hAnsi="Arial" w:cs="Arial"/>
          <w:b/>
          <w:bCs/>
          <w:color w:val="auto"/>
          <w:sz w:val="22"/>
          <w:szCs w:val="22"/>
        </w:rPr>
      </w:pPr>
      <w:r w:rsidRPr="00132185">
        <w:rPr>
          <w:rFonts w:ascii="Arial" w:eastAsia="Arial" w:hAnsi="Arial" w:cs="Arial"/>
          <w:color w:val="auto"/>
          <w:sz w:val="22"/>
          <w:szCs w:val="22"/>
        </w:rPr>
        <w:lastRenderedPageBreak/>
        <w:t>Ethical decision-making therefore requires professionals to balance competing principles rather than applying them in isolation. Although professionals and families may prioritise safety, residents may place greater value on independence and personal choice. Partnership working supports proportionate responses to risk, but differences in opinion may remain, requiring clear communication, documentation and review.</w:t>
      </w:r>
    </w:p>
    <w:p w14:paraId="4956DB22" w14:textId="4C69CC00" w:rsidR="4265181A" w:rsidRPr="00132185" w:rsidRDefault="00BF3C0B"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b/>
          <w:bCs/>
          <w:color w:val="auto"/>
          <w:sz w:val="22"/>
          <w:szCs w:val="22"/>
        </w:rPr>
        <w:t>Ev</w:t>
      </w:r>
      <w:r w:rsidR="64B10192" w:rsidRPr="00132185">
        <w:rPr>
          <w:rFonts w:ascii="Arial" w:eastAsia="Arial" w:hAnsi="Arial" w:cs="Arial"/>
          <w:b/>
          <w:bCs/>
          <w:color w:val="auto"/>
          <w:sz w:val="22"/>
          <w:szCs w:val="22"/>
        </w:rPr>
        <w:t>aluation of Partnership Working</w:t>
      </w:r>
    </w:p>
    <w:p w14:paraId="29653C00" w14:textId="28D71F9D" w:rsidR="007E4FA2" w:rsidRPr="00132185" w:rsidRDefault="007E4FA2" w:rsidP="00132185">
      <w:pPr>
        <w:pStyle w:val="Heading2"/>
        <w:spacing w:line="360" w:lineRule="auto"/>
        <w:rPr>
          <w:rFonts w:ascii="Arial" w:eastAsia="Arial" w:hAnsi="Arial" w:cs="Arial"/>
          <w:color w:val="auto"/>
          <w:sz w:val="22"/>
          <w:szCs w:val="22"/>
        </w:rPr>
      </w:pPr>
      <w:r w:rsidRPr="00132185">
        <w:rPr>
          <w:rFonts w:ascii="Arial" w:eastAsia="Arial" w:hAnsi="Arial" w:cs="Arial"/>
          <w:color w:val="auto"/>
          <w:sz w:val="22"/>
          <w:szCs w:val="22"/>
        </w:rPr>
        <w:t xml:space="preserve">Partnership working involves individuals, professionals and organisations working collaboratively to achieve shared goals and provide coordinated care. </w:t>
      </w:r>
      <w:r w:rsidR="00F325D0" w:rsidRPr="00132185">
        <w:rPr>
          <w:rFonts w:ascii="Arial" w:eastAsia="Arial" w:hAnsi="Arial" w:cs="Arial"/>
          <w:color w:val="auto"/>
          <w:sz w:val="22"/>
          <w:szCs w:val="22"/>
        </w:rPr>
        <w:t>Glasby and Dickinson (2014) emphasise the importance of integrated working in addressing fragmentation between health and social care, although effective collaboration can be difficult in practice</w:t>
      </w:r>
      <w:r w:rsidR="00AF3CB5" w:rsidRPr="00132185">
        <w:rPr>
          <w:rFonts w:ascii="Arial" w:eastAsia="Arial" w:hAnsi="Arial" w:cs="Arial"/>
          <w:color w:val="auto"/>
          <w:sz w:val="22"/>
          <w:szCs w:val="22"/>
        </w:rPr>
        <w:t>.</w:t>
      </w:r>
    </w:p>
    <w:p w14:paraId="2BBB8672" w14:textId="58DEE3C6" w:rsidR="007E4FA2" w:rsidRPr="00132185" w:rsidRDefault="007E4FA2" w:rsidP="00132185">
      <w:pPr>
        <w:pStyle w:val="Heading2"/>
        <w:spacing w:line="360" w:lineRule="auto"/>
        <w:rPr>
          <w:rFonts w:ascii="Arial" w:eastAsia="Arial" w:hAnsi="Arial" w:cs="Arial"/>
          <w:color w:val="auto"/>
          <w:sz w:val="22"/>
          <w:szCs w:val="22"/>
        </w:rPr>
      </w:pPr>
      <w:r w:rsidRPr="00132185">
        <w:rPr>
          <w:rFonts w:ascii="Arial" w:eastAsia="Arial" w:hAnsi="Arial" w:cs="Arial"/>
          <w:color w:val="auto"/>
          <w:sz w:val="22"/>
          <w:szCs w:val="22"/>
        </w:rPr>
        <w:t xml:space="preserve">Within residential care homes for older adults, partnership working is important because residents may have complex needs requiring input from care workers, GPs, nurses, social workers, pharmacists and other professionals. Residents and families should also be recognised as partners rather than passive recipients. Effective collaboration supports information sharing, continuity of care and coordinated responses to changing needs. Research into interprofessional collaboration in long-term care identifies information sharing, team performance and organisational conditions as important influences </w:t>
      </w:r>
      <w:r w:rsidR="007048FA" w:rsidRPr="00132185">
        <w:rPr>
          <w:rFonts w:ascii="Arial" w:eastAsia="Arial" w:hAnsi="Arial" w:cs="Arial"/>
          <w:color w:val="auto"/>
          <w:sz w:val="22"/>
          <w:szCs w:val="22"/>
        </w:rPr>
        <w:t>(</w:t>
      </w:r>
      <w:r w:rsidR="00D96F9E" w:rsidRPr="00132185">
        <w:rPr>
          <w:rFonts w:ascii="Arial" w:eastAsia="Arial" w:hAnsi="Arial" w:cs="Arial"/>
          <w:color w:val="auto"/>
          <w:sz w:val="22"/>
          <w:szCs w:val="22"/>
        </w:rPr>
        <w:t>Doornebosch et al., 2022</w:t>
      </w:r>
      <w:r w:rsidR="007048FA" w:rsidRPr="00132185">
        <w:rPr>
          <w:rFonts w:ascii="Arial" w:eastAsia="Arial" w:hAnsi="Arial" w:cs="Arial"/>
          <w:color w:val="auto"/>
          <w:sz w:val="22"/>
          <w:szCs w:val="22"/>
        </w:rPr>
        <w:t xml:space="preserve">). </w:t>
      </w:r>
      <w:r w:rsidRPr="00132185">
        <w:rPr>
          <w:rFonts w:ascii="Arial" w:eastAsia="Arial" w:hAnsi="Arial" w:cs="Arial"/>
          <w:color w:val="auto"/>
          <w:sz w:val="22"/>
          <w:szCs w:val="22"/>
        </w:rPr>
        <w:t>Partnership approaches may strengthen PCC by combining professional expertise with individual preferences and experiences. However, differences in professional knowledge, expectations or power can affect participation and decision-making (Wolf et al., 2017).</w:t>
      </w:r>
    </w:p>
    <w:p w14:paraId="542190F7" w14:textId="77777777" w:rsidR="007E4FA2" w:rsidRPr="00132185" w:rsidRDefault="007E4FA2" w:rsidP="00132185">
      <w:pPr>
        <w:pStyle w:val="Heading2"/>
        <w:spacing w:line="360" w:lineRule="auto"/>
        <w:rPr>
          <w:rFonts w:ascii="Arial" w:eastAsia="Arial" w:hAnsi="Arial" w:cs="Arial"/>
          <w:color w:val="auto"/>
          <w:sz w:val="22"/>
          <w:szCs w:val="22"/>
        </w:rPr>
      </w:pPr>
      <w:r w:rsidRPr="00132185">
        <w:rPr>
          <w:rFonts w:ascii="Arial" w:eastAsia="Arial" w:hAnsi="Arial" w:cs="Arial"/>
          <w:color w:val="auto"/>
          <w:sz w:val="22"/>
          <w:szCs w:val="22"/>
        </w:rPr>
        <w:t>At a wider level, the Health and Care Act 2022 established statutory Integrated Care Systems (ICSs), bringing NHS organisations, local authorities and other partners together to plan and deliver coordinated services. This is relevant to residential care because transitions between care homes, hospitals and community services depend on communication across organisational boundaries. NHS England highlights that integrating health and social care can support care planning and help people receive care in appropriate settings (NHS England, n.d.).</w:t>
      </w:r>
    </w:p>
    <w:p w14:paraId="26C32D7F" w14:textId="77777777" w:rsidR="007E4FA2" w:rsidRPr="00132185" w:rsidRDefault="007E4FA2" w:rsidP="00132185">
      <w:pPr>
        <w:pStyle w:val="Heading2"/>
        <w:spacing w:line="360" w:lineRule="auto"/>
        <w:rPr>
          <w:rFonts w:ascii="Arial" w:eastAsia="Arial" w:hAnsi="Arial" w:cs="Arial"/>
          <w:color w:val="auto"/>
          <w:sz w:val="22"/>
          <w:szCs w:val="22"/>
        </w:rPr>
      </w:pPr>
      <w:r w:rsidRPr="00132185">
        <w:rPr>
          <w:rFonts w:ascii="Arial" w:eastAsia="Arial" w:hAnsi="Arial" w:cs="Arial"/>
          <w:color w:val="auto"/>
          <w:sz w:val="22"/>
          <w:szCs w:val="22"/>
        </w:rPr>
        <w:lastRenderedPageBreak/>
        <w:t>Nevertheless, partnership working presents challenges. Poor communication, unclear responsibilities, incompatible information systems and differing organisational priorities can delay decisions or create gaps in care. High workloads and workforce pressures may further limit collaboration. Research in long-term care identifies heavy workloads and understaffing as important workforce challenges (Thwaites et al., 2023). Therefore, bringing professionals or organisations together does not guarantee effective partnership working. Successful collaboration requires clear roles, mutual respect, effective information sharing and resident involvement. When these conditions are present, partnership working can contribute to coordinated and person-centred care within residential settings (Doornebosch et al., 2022).</w:t>
      </w:r>
    </w:p>
    <w:p w14:paraId="47912D61" w14:textId="5965E090" w:rsidR="2C88DFF9" w:rsidRPr="00132185" w:rsidRDefault="7D743961" w:rsidP="00132185">
      <w:pPr>
        <w:pStyle w:val="Heading2"/>
        <w:spacing w:line="360" w:lineRule="auto"/>
        <w:rPr>
          <w:rFonts w:ascii="Arial" w:eastAsia="Arial" w:hAnsi="Arial" w:cs="Arial"/>
          <w:b/>
          <w:bCs/>
          <w:color w:val="auto"/>
          <w:sz w:val="22"/>
          <w:szCs w:val="22"/>
        </w:rPr>
      </w:pPr>
      <w:r w:rsidRPr="00132185">
        <w:rPr>
          <w:rFonts w:ascii="Arial" w:eastAsia="Arial" w:hAnsi="Arial" w:cs="Arial"/>
          <w:b/>
          <w:bCs/>
          <w:color w:val="auto"/>
          <w:sz w:val="22"/>
          <w:szCs w:val="22"/>
        </w:rPr>
        <w:t>Policy and Legislation</w:t>
      </w:r>
    </w:p>
    <w:p w14:paraId="159B8780" w14:textId="77777777" w:rsidR="00B519BD" w:rsidRPr="00132185" w:rsidRDefault="00B519BD"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The Care Act 2014 places individual wellbeing at the centre of adult social care and requires local authorities to promote integration between care and support services and health provision. Within residential care, this supports consideration of residents' needs and desired outcomes while encouraging cooperation between professionals. However, achieving these aims may be difficult where services experience workforce pressures, limited resources or fragmented communication.</w:t>
      </w:r>
    </w:p>
    <w:p w14:paraId="0AA9F9B8" w14:textId="71467636" w:rsidR="00B519BD" w:rsidRPr="00132185" w:rsidRDefault="00B519BD"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The Health and Care Act 2022 further strengthened partnership working through statutory Integrated Care Systems, encouraging NHS organisations, local authorities and other partners to coordinate services. For older adults in residential care, integration may improve communication between care homes, hospitals and community services and support coordinated transitions. Nevertheless, differences in organisational priorities and resources may limit consistency.</w:t>
      </w:r>
    </w:p>
    <w:p w14:paraId="35DDAE82" w14:textId="77777777" w:rsidR="00B519BD" w:rsidRPr="00132185" w:rsidRDefault="00B519BD"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The Equality Act 2010 supports PCC by protecting individuals from discrimination and requiring reasonable adjustments for disabled people. In residential care, this may involve adapting communication, environments or services to enable residents to participate more fully in their care. This supports an approach that responds to individual circumstances rather than treating everyone identically.</w:t>
      </w:r>
    </w:p>
    <w:p w14:paraId="147C8094" w14:textId="77777777" w:rsidR="00B519BD" w:rsidRPr="00132185" w:rsidRDefault="00B519BD" w:rsidP="00132185">
      <w:pPr>
        <w:pStyle w:val="Heading3"/>
        <w:spacing w:before="281" w:after="281" w:line="360" w:lineRule="auto"/>
        <w:rPr>
          <w:rFonts w:ascii="Arial" w:eastAsia="Arial" w:hAnsi="Arial" w:cs="Arial"/>
          <w:color w:val="auto"/>
          <w:sz w:val="22"/>
          <w:szCs w:val="22"/>
        </w:rPr>
      </w:pPr>
      <w:r w:rsidRPr="00132185">
        <w:rPr>
          <w:rFonts w:ascii="Arial" w:eastAsia="Arial" w:hAnsi="Arial" w:cs="Arial"/>
          <w:color w:val="auto"/>
          <w:sz w:val="22"/>
          <w:szCs w:val="22"/>
        </w:rPr>
        <w:t>In addition, Regulation 9 of the Health and Social Care Act 2008 (Regulated Activities) Regulations 2014 requires providers to deliver care based on each person's needs and preferences. The Care Quality Commission (2025) uses this requirement when regulating providers. Together, these frameworks support personalised and coordinated care. However, legislation alone cannot guarantee implementation; adequate staffing, professional knowledge and organisational commitment are necessary.</w:t>
      </w:r>
    </w:p>
    <w:p w14:paraId="3DF29E58" w14:textId="6523E70E" w:rsidR="2B6C7DF2" w:rsidRPr="00132185" w:rsidRDefault="66FCB826" w:rsidP="00132185">
      <w:pPr>
        <w:pStyle w:val="Heading3"/>
        <w:spacing w:before="281" w:after="281" w:line="360" w:lineRule="auto"/>
        <w:rPr>
          <w:rFonts w:ascii="Arial" w:eastAsia="Arial" w:hAnsi="Arial" w:cs="Arial"/>
          <w:b/>
          <w:bCs/>
          <w:color w:val="auto"/>
          <w:sz w:val="22"/>
          <w:szCs w:val="22"/>
        </w:rPr>
      </w:pPr>
      <w:r w:rsidRPr="00132185">
        <w:rPr>
          <w:rFonts w:ascii="Arial" w:eastAsia="Arial" w:hAnsi="Arial" w:cs="Arial"/>
          <w:b/>
          <w:bCs/>
          <w:color w:val="auto"/>
          <w:sz w:val="22"/>
          <w:szCs w:val="22"/>
        </w:rPr>
        <w:lastRenderedPageBreak/>
        <w:t>Recommendations for Future Development</w:t>
      </w:r>
    </w:p>
    <w:p w14:paraId="0242E8A0" w14:textId="77777777" w:rsidR="00987217" w:rsidRPr="00132185" w:rsidRDefault="00987217"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Future development of person-centred care and partnership working should focus on strengthening staff knowledge, communication and collaboration across health and social care services. Within residential care homes, training should develop skills in person-centred communication, shared decision-making and multidisciplinary working. Evidence suggests that effective interprofessional collaboration depends on communication, team functioning and supportive organisational conditions (Doornebosch et al., 2022). Evidence from long-term dementia care identifies inadequate knowledge of person-centred care, staffing shortages and time constraints as barriers to implementation (Guan et al., 2025). Care providers should therefore ensure professional development is accessible, ongoing and supported by sufficient time and organisational commitment.</w:t>
      </w:r>
    </w:p>
    <w:p w14:paraId="5BE2FA3F" w14:textId="77777777" w:rsidR="00987217" w:rsidRPr="00132185" w:rsidRDefault="00987217"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Greater use of appropriate digital technology could strengthen partnership working by improving the sharing of information between care homes and health and social care professionals. Department of Health and Social Care (2023) guidance on digital working in adult social care supports integration and the use of digital care records to improve access to information and continuity of care. Research suggests that digital technology in care homes may support more coordinated care and reduce unplanned use of secondary healthcare services (Garner et al., 2024). Nevertheless, implementation must address barriers including staff digital skills, costs, data protection and compatibility between information systems. Technology should support, rather than replace, communication between residents and professionals.</w:t>
      </w:r>
    </w:p>
    <w:p w14:paraId="2DA71E9A" w14:textId="77777777" w:rsidR="00987217" w:rsidRPr="00132185" w:rsidRDefault="00987217"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Finally, residents and families should be involved as active partners in care planning, review and service development. Research indicates that genuine partnership can be affected by differences in power and expectations between individuals and professionals (Wolf et al., 2017). Residential care providers should create opportunities for residents to express their goals and preferences and contribute to decisions affecting their care. Future policy should support research into person-centred training, digital care systems and resident involvement, ensuring improvements are evidence-based and adaptable across services. Combining workforce development, effective digital systems, meaningful involvement and evidence-informed policy can ensure partnership working remains genuinely person-centred rather than becoming a procedural requirement.</w:t>
      </w:r>
    </w:p>
    <w:p w14:paraId="36DDECD1" w14:textId="77777777" w:rsidR="00C76F31" w:rsidRPr="00132185" w:rsidRDefault="00C76F31" w:rsidP="00132185">
      <w:pPr>
        <w:spacing w:before="240" w:after="240" w:line="360" w:lineRule="auto"/>
        <w:rPr>
          <w:rFonts w:ascii="Arial" w:eastAsia="Arial" w:hAnsi="Arial" w:cs="Arial"/>
          <w:b/>
          <w:bCs/>
          <w:sz w:val="22"/>
          <w:szCs w:val="22"/>
        </w:rPr>
      </w:pPr>
    </w:p>
    <w:p w14:paraId="07180721" w14:textId="77777777" w:rsidR="00C76F31" w:rsidRPr="00132185" w:rsidRDefault="00C76F31" w:rsidP="00132185">
      <w:pPr>
        <w:spacing w:before="240" w:after="240" w:line="360" w:lineRule="auto"/>
        <w:rPr>
          <w:rFonts w:ascii="Arial" w:eastAsia="Arial" w:hAnsi="Arial" w:cs="Arial"/>
          <w:b/>
          <w:bCs/>
          <w:sz w:val="22"/>
          <w:szCs w:val="22"/>
        </w:rPr>
      </w:pPr>
    </w:p>
    <w:p w14:paraId="1DBD74E9" w14:textId="7AD2E13E" w:rsidR="21DBFB8E" w:rsidRPr="00132185" w:rsidRDefault="00E07086" w:rsidP="00132185">
      <w:pPr>
        <w:spacing w:before="240" w:after="240" w:line="360" w:lineRule="auto"/>
        <w:rPr>
          <w:rFonts w:ascii="Arial" w:eastAsia="Arial" w:hAnsi="Arial" w:cs="Arial"/>
          <w:b/>
          <w:bCs/>
          <w:sz w:val="22"/>
          <w:szCs w:val="22"/>
        </w:rPr>
      </w:pPr>
      <w:r w:rsidRPr="00132185">
        <w:rPr>
          <w:rFonts w:ascii="Arial" w:eastAsia="Arial" w:hAnsi="Arial" w:cs="Arial"/>
          <w:b/>
          <w:bCs/>
          <w:sz w:val="22"/>
          <w:szCs w:val="22"/>
        </w:rPr>
        <w:lastRenderedPageBreak/>
        <w:t>Conclusion</w:t>
      </w:r>
    </w:p>
    <w:p w14:paraId="70704751" w14:textId="025B3A30" w:rsidR="21DBFB8E" w:rsidRPr="00132185" w:rsidRDefault="00E07086"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Person-centred care and partnership working are fundamental to delivering safe, effective and compassionate health and social care within residential care homes for older adults. This report has demonstrated that person-centred care promotes dignity, choice and independence, while partnership working supports coordinated, holistic care through effective collaboration between professionals, residents and their families. The Social Model of Disability, together with key ethical principles and relevant UK legislation, provides an important framework for understanding how care can be tailored to meet individual needs while promoting equality and participation. However, successful implementation remains dependent on effective communication, adequate staffing, ongoing professional development and organisational support. The recommendations outlined in this report highlight the importance of enhanced training, digital innovation, meaningful partnership and evidence-informed policy development. Collectively, these approaches can strengthen the quality of care and improve outcomes for older adults living in residential care.</w:t>
      </w:r>
    </w:p>
    <w:p w14:paraId="577B9551" w14:textId="403528A5" w:rsidR="274EBD2F" w:rsidRPr="00132185" w:rsidRDefault="274EBD2F" w:rsidP="00132185">
      <w:pPr>
        <w:spacing w:before="240" w:after="240" w:line="360" w:lineRule="auto"/>
        <w:rPr>
          <w:rFonts w:ascii="Arial" w:eastAsia="Arial" w:hAnsi="Arial" w:cs="Arial"/>
          <w:b/>
          <w:bCs/>
          <w:sz w:val="22"/>
          <w:szCs w:val="22"/>
        </w:rPr>
      </w:pPr>
    </w:p>
    <w:p w14:paraId="6877F63F" w14:textId="13980AF9" w:rsidR="274EBD2F" w:rsidRPr="00132185" w:rsidRDefault="274EBD2F" w:rsidP="00132185">
      <w:pPr>
        <w:spacing w:before="240" w:after="240" w:line="360" w:lineRule="auto"/>
        <w:rPr>
          <w:rFonts w:ascii="Arial" w:eastAsia="Arial" w:hAnsi="Arial" w:cs="Arial"/>
          <w:b/>
          <w:bCs/>
          <w:sz w:val="22"/>
          <w:szCs w:val="22"/>
        </w:rPr>
      </w:pPr>
    </w:p>
    <w:p w14:paraId="720EAB8D" w14:textId="44FC5902" w:rsidR="274EBD2F" w:rsidRPr="00132185" w:rsidRDefault="274EBD2F" w:rsidP="00132185">
      <w:pPr>
        <w:spacing w:before="240" w:after="240" w:line="360" w:lineRule="auto"/>
        <w:rPr>
          <w:rFonts w:ascii="Arial" w:eastAsia="Arial" w:hAnsi="Arial" w:cs="Arial"/>
          <w:sz w:val="22"/>
          <w:szCs w:val="22"/>
        </w:rPr>
      </w:pPr>
    </w:p>
    <w:p w14:paraId="3DFB88F1" w14:textId="6B8E916B" w:rsidR="7DD78DA2" w:rsidRPr="00132185" w:rsidRDefault="274EBD2F" w:rsidP="00132185">
      <w:pPr>
        <w:spacing w:line="360" w:lineRule="auto"/>
        <w:rPr>
          <w:rFonts w:ascii="Arial" w:eastAsia="Arial" w:hAnsi="Arial" w:cs="Arial"/>
          <w:sz w:val="22"/>
          <w:szCs w:val="22"/>
        </w:rPr>
      </w:pPr>
      <w:r w:rsidRPr="00132185">
        <w:rPr>
          <w:rFonts w:ascii="Arial" w:eastAsia="Arial" w:hAnsi="Arial" w:cs="Arial"/>
          <w:sz w:val="22"/>
          <w:szCs w:val="22"/>
        </w:rPr>
        <w:br w:type="page"/>
      </w:r>
      <w:r w:rsidR="7DD78DA2" w:rsidRPr="00132185">
        <w:rPr>
          <w:rFonts w:ascii="Arial" w:eastAsia="Arial" w:hAnsi="Arial" w:cs="Arial"/>
          <w:b/>
          <w:bCs/>
          <w:sz w:val="22"/>
          <w:szCs w:val="22"/>
        </w:rPr>
        <w:lastRenderedPageBreak/>
        <w:t>References</w:t>
      </w:r>
    </w:p>
    <w:p w14:paraId="7456DBA4" w14:textId="77777777" w:rsidR="0023733D" w:rsidRPr="00132185" w:rsidRDefault="0023733D" w:rsidP="00132185">
      <w:pPr>
        <w:spacing w:line="360" w:lineRule="auto"/>
        <w:rPr>
          <w:rFonts w:ascii="Arial" w:eastAsia="Arial" w:hAnsi="Arial" w:cs="Arial"/>
          <w:sz w:val="22"/>
          <w:szCs w:val="22"/>
        </w:rPr>
      </w:pPr>
      <w:r w:rsidRPr="00132185">
        <w:rPr>
          <w:rFonts w:ascii="Arial" w:eastAsia="Arial" w:hAnsi="Arial" w:cs="Arial"/>
          <w:sz w:val="22"/>
          <w:szCs w:val="22"/>
        </w:rPr>
        <w:t xml:space="preserve">Beauchamp, T.L. and Childress, J.F. (2019) </w:t>
      </w:r>
      <w:r w:rsidRPr="00132185">
        <w:rPr>
          <w:rFonts w:ascii="Arial" w:eastAsia="Arial" w:hAnsi="Arial" w:cs="Arial"/>
          <w:i/>
          <w:iCs/>
          <w:sz w:val="22"/>
          <w:szCs w:val="22"/>
        </w:rPr>
        <w:t>Principles of Biomedical Ethics</w:t>
      </w:r>
      <w:r w:rsidRPr="00132185">
        <w:rPr>
          <w:rFonts w:ascii="Arial" w:eastAsia="Arial" w:hAnsi="Arial" w:cs="Arial"/>
          <w:sz w:val="22"/>
          <w:szCs w:val="22"/>
        </w:rPr>
        <w:t>. 8th edn. Oxford University Press.</w:t>
      </w:r>
    </w:p>
    <w:p w14:paraId="433526D4" w14:textId="251427FE" w:rsidR="0023733D" w:rsidRPr="00132185" w:rsidRDefault="0023733D"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Berkovic, D., Macrae, A., Gulline, H., Horsman, P., Soh, S.E., Skouteris, H. and Ayton, D. (2024) ‘The delivery of person-centered care for people living with dementia in residential aged care: a systematic review and meta-analysis’, </w:t>
      </w:r>
      <w:r w:rsidRPr="00132185">
        <w:rPr>
          <w:rFonts w:ascii="Arial" w:eastAsia="Arial" w:hAnsi="Arial" w:cs="Arial"/>
          <w:i/>
          <w:iCs/>
          <w:sz w:val="22"/>
          <w:szCs w:val="22"/>
        </w:rPr>
        <w:t>The Gerontologist</w:t>
      </w:r>
      <w:r w:rsidRPr="00132185">
        <w:rPr>
          <w:rFonts w:ascii="Arial" w:eastAsia="Arial" w:hAnsi="Arial" w:cs="Arial"/>
          <w:sz w:val="22"/>
          <w:szCs w:val="22"/>
        </w:rPr>
        <w:t xml:space="preserve">, 64(5), gnad052. Available at: </w:t>
      </w:r>
      <w:hyperlink r:id="rId7">
        <w:r w:rsidRPr="00132185">
          <w:rPr>
            <w:rStyle w:val="Hyperlink"/>
            <w:rFonts w:ascii="Arial" w:eastAsia="Arial" w:hAnsi="Arial" w:cs="Arial"/>
            <w:sz w:val="22"/>
            <w:szCs w:val="22"/>
          </w:rPr>
          <w:t>https://academic.oup.com/gerontologist/article/64/5/gnad0</w:t>
        </w:r>
        <w:r w:rsidRPr="00132185">
          <w:rPr>
            <w:rStyle w:val="Hyperlink"/>
            <w:rFonts w:ascii="Arial" w:eastAsia="Arial" w:hAnsi="Arial" w:cs="Arial"/>
            <w:sz w:val="22"/>
            <w:szCs w:val="22"/>
          </w:rPr>
          <w:t>5</w:t>
        </w:r>
        <w:r w:rsidRPr="00132185">
          <w:rPr>
            <w:rStyle w:val="Hyperlink"/>
            <w:rFonts w:ascii="Arial" w:eastAsia="Arial" w:hAnsi="Arial" w:cs="Arial"/>
            <w:sz w:val="22"/>
            <w:szCs w:val="22"/>
          </w:rPr>
          <w:t>2/7152914</w:t>
        </w:r>
      </w:hyperlink>
      <w:r w:rsidR="00C52C42" w:rsidRPr="00132185">
        <w:rPr>
          <w:rFonts w:ascii="Arial" w:eastAsia="Arial" w:hAnsi="Arial" w:cs="Arial"/>
          <w:sz w:val="22"/>
          <w:szCs w:val="22"/>
        </w:rPr>
        <w:t xml:space="preserve"> </w:t>
      </w:r>
      <w:r w:rsidR="00C52C42" w:rsidRPr="00132185">
        <w:rPr>
          <w:rFonts w:ascii="Arial" w:eastAsia="Arial" w:hAnsi="Arial" w:cs="Arial"/>
          <w:sz w:val="22"/>
          <w:szCs w:val="22"/>
        </w:rPr>
        <w:t xml:space="preserve">(Accessed: </w:t>
      </w:r>
      <w:r w:rsidR="0068317F" w:rsidRPr="00132185">
        <w:rPr>
          <w:rFonts w:ascii="Arial" w:eastAsia="Arial" w:hAnsi="Arial" w:cs="Arial"/>
          <w:sz w:val="22"/>
          <w:szCs w:val="22"/>
        </w:rPr>
        <w:t>30</w:t>
      </w:r>
      <w:r w:rsidR="00C52C42" w:rsidRPr="00132185">
        <w:rPr>
          <w:rFonts w:ascii="Arial" w:eastAsia="Arial" w:hAnsi="Arial" w:cs="Arial"/>
          <w:sz w:val="22"/>
          <w:szCs w:val="22"/>
        </w:rPr>
        <w:t xml:space="preserve"> July 2026).</w:t>
      </w:r>
    </w:p>
    <w:p w14:paraId="7EBA6DA8" w14:textId="689C17C3" w:rsidR="17198124" w:rsidRPr="00132185" w:rsidRDefault="755F2107"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Care Act 2014. Available at: </w:t>
      </w:r>
      <w:hyperlink r:id="rId8">
        <w:r w:rsidR="00D3A5F5" w:rsidRPr="00132185">
          <w:rPr>
            <w:rStyle w:val="Hyperlink"/>
            <w:rFonts w:ascii="Arial" w:eastAsia="Arial" w:hAnsi="Arial" w:cs="Arial"/>
            <w:sz w:val="22"/>
            <w:szCs w:val="22"/>
          </w:rPr>
          <w:t>https://www.legislation.gov.uk/ukpga/2014</w:t>
        </w:r>
        <w:r w:rsidR="00D3A5F5" w:rsidRPr="00132185">
          <w:rPr>
            <w:rStyle w:val="Hyperlink"/>
            <w:rFonts w:ascii="Arial" w:eastAsia="Arial" w:hAnsi="Arial" w:cs="Arial"/>
            <w:sz w:val="22"/>
            <w:szCs w:val="22"/>
          </w:rPr>
          <w:t>/</w:t>
        </w:r>
        <w:r w:rsidR="00D3A5F5" w:rsidRPr="00132185">
          <w:rPr>
            <w:rStyle w:val="Hyperlink"/>
            <w:rFonts w:ascii="Arial" w:eastAsia="Arial" w:hAnsi="Arial" w:cs="Arial"/>
            <w:sz w:val="22"/>
            <w:szCs w:val="22"/>
          </w:rPr>
          <w:t>23</w:t>
        </w:r>
      </w:hyperlink>
      <w:r w:rsidR="49F0B8F7" w:rsidRPr="00132185">
        <w:rPr>
          <w:rFonts w:ascii="Arial" w:eastAsia="Arial" w:hAnsi="Arial" w:cs="Arial"/>
          <w:sz w:val="22"/>
          <w:szCs w:val="22"/>
        </w:rPr>
        <w:t xml:space="preserve"> </w:t>
      </w:r>
      <w:r w:rsidR="0068317F" w:rsidRPr="00132185">
        <w:rPr>
          <w:rFonts w:ascii="Arial" w:eastAsia="Arial" w:hAnsi="Arial" w:cs="Arial"/>
          <w:sz w:val="22"/>
          <w:szCs w:val="22"/>
        </w:rPr>
        <w:t>(Accessed: 30 July 2026).</w:t>
      </w:r>
    </w:p>
    <w:p w14:paraId="1C3EEF63" w14:textId="455D9F6B" w:rsidR="17198124" w:rsidRPr="00132185" w:rsidRDefault="755F2107"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Care Quality Commission (2025) </w:t>
      </w:r>
      <w:r w:rsidRPr="00132185">
        <w:rPr>
          <w:rFonts w:ascii="Arial" w:eastAsia="Arial" w:hAnsi="Arial" w:cs="Arial"/>
          <w:i/>
          <w:iCs/>
          <w:sz w:val="22"/>
          <w:szCs w:val="22"/>
        </w:rPr>
        <w:t>Regulation 9: Person-centred care</w:t>
      </w:r>
      <w:r w:rsidRPr="00132185">
        <w:rPr>
          <w:rFonts w:ascii="Arial" w:eastAsia="Arial" w:hAnsi="Arial" w:cs="Arial"/>
          <w:sz w:val="22"/>
          <w:szCs w:val="22"/>
        </w:rPr>
        <w:t>. Available at:</w:t>
      </w:r>
      <w:r w:rsidR="78E3117C" w:rsidRPr="00132185">
        <w:rPr>
          <w:rFonts w:ascii="Arial" w:eastAsia="Arial" w:hAnsi="Arial" w:cs="Arial"/>
          <w:sz w:val="22"/>
          <w:szCs w:val="22"/>
        </w:rPr>
        <w:t xml:space="preserve"> </w:t>
      </w:r>
      <w:hyperlink r:id="rId9">
        <w:r w:rsidR="78E3117C" w:rsidRPr="00132185">
          <w:rPr>
            <w:rStyle w:val="Hyperlink"/>
            <w:rFonts w:ascii="Arial" w:eastAsia="Arial" w:hAnsi="Arial" w:cs="Arial"/>
            <w:sz w:val="22"/>
            <w:szCs w:val="22"/>
          </w:rPr>
          <w:t>https://www.cqc.org.uk/guidance-regulation/providers/regulations-service-providers-and-managers/health-social-care-act/regulatio</w:t>
        </w:r>
        <w:r w:rsidR="78E3117C" w:rsidRPr="00132185">
          <w:rPr>
            <w:rStyle w:val="Hyperlink"/>
            <w:rFonts w:ascii="Arial" w:eastAsia="Arial" w:hAnsi="Arial" w:cs="Arial"/>
            <w:sz w:val="22"/>
            <w:szCs w:val="22"/>
          </w:rPr>
          <w:t>n</w:t>
        </w:r>
        <w:r w:rsidR="78E3117C" w:rsidRPr="00132185">
          <w:rPr>
            <w:rStyle w:val="Hyperlink"/>
            <w:rFonts w:ascii="Arial" w:eastAsia="Arial" w:hAnsi="Arial" w:cs="Arial"/>
            <w:sz w:val="22"/>
            <w:szCs w:val="22"/>
          </w:rPr>
          <w:t>-9</w:t>
        </w:r>
      </w:hyperlink>
      <w:r w:rsidRPr="00132185">
        <w:rPr>
          <w:rFonts w:ascii="Arial" w:eastAsia="Arial" w:hAnsi="Arial" w:cs="Arial"/>
          <w:sz w:val="22"/>
          <w:szCs w:val="22"/>
        </w:rPr>
        <w:t xml:space="preserve"> </w:t>
      </w:r>
      <w:r w:rsidR="00F90619" w:rsidRPr="00132185">
        <w:rPr>
          <w:rFonts w:ascii="Arial" w:eastAsia="Arial" w:hAnsi="Arial" w:cs="Arial"/>
          <w:sz w:val="22"/>
          <w:szCs w:val="22"/>
        </w:rPr>
        <w:t>(Accessed: 30 July 2026).</w:t>
      </w:r>
    </w:p>
    <w:p w14:paraId="77907858" w14:textId="1390171D" w:rsidR="006A0174" w:rsidRPr="00132185" w:rsidRDefault="006A0174"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Coulter, A. and Oldham, J. (2016) ‘Person-centred care: what is it and how do we get there?’, </w:t>
      </w:r>
      <w:r w:rsidRPr="00132185">
        <w:rPr>
          <w:rFonts w:ascii="Arial" w:eastAsia="Arial" w:hAnsi="Arial" w:cs="Arial"/>
          <w:i/>
          <w:iCs/>
          <w:sz w:val="22"/>
          <w:szCs w:val="22"/>
        </w:rPr>
        <w:t>Future Hospital Journal</w:t>
      </w:r>
      <w:r w:rsidRPr="00132185">
        <w:rPr>
          <w:rFonts w:ascii="Arial" w:eastAsia="Arial" w:hAnsi="Arial" w:cs="Arial"/>
          <w:sz w:val="22"/>
          <w:szCs w:val="22"/>
        </w:rPr>
        <w:t xml:space="preserve">, 3(2), pp. 114–116. Available at: </w:t>
      </w:r>
      <w:hyperlink r:id="rId10" w:tgtFrame="_new" w:history="1">
        <w:r w:rsidRPr="00132185">
          <w:rPr>
            <w:rStyle w:val="Hyperlink"/>
            <w:rFonts w:ascii="Arial" w:eastAsia="Arial" w:hAnsi="Arial" w:cs="Arial"/>
            <w:sz w:val="22"/>
            <w:szCs w:val="22"/>
          </w:rPr>
          <w:t>https://pmc.ncbi.nlm.nih.gov/articles/PM</w:t>
        </w:r>
        <w:r w:rsidRPr="00132185">
          <w:rPr>
            <w:rStyle w:val="Hyperlink"/>
            <w:rFonts w:ascii="Arial" w:eastAsia="Arial" w:hAnsi="Arial" w:cs="Arial"/>
            <w:sz w:val="22"/>
            <w:szCs w:val="22"/>
          </w:rPr>
          <w:t>C</w:t>
        </w:r>
        <w:r w:rsidRPr="00132185">
          <w:rPr>
            <w:rStyle w:val="Hyperlink"/>
            <w:rFonts w:ascii="Arial" w:eastAsia="Arial" w:hAnsi="Arial" w:cs="Arial"/>
            <w:sz w:val="22"/>
            <w:szCs w:val="22"/>
          </w:rPr>
          <w:t>6465833/</w:t>
        </w:r>
      </w:hyperlink>
      <w:r w:rsidRPr="00132185">
        <w:rPr>
          <w:rFonts w:ascii="Arial" w:eastAsia="Arial" w:hAnsi="Arial" w:cs="Arial"/>
          <w:sz w:val="22"/>
          <w:szCs w:val="22"/>
        </w:rPr>
        <w:t xml:space="preserve"> </w:t>
      </w:r>
      <w:r w:rsidR="00F90619" w:rsidRPr="00132185">
        <w:rPr>
          <w:rFonts w:ascii="Arial" w:eastAsia="Arial" w:hAnsi="Arial" w:cs="Arial"/>
          <w:sz w:val="22"/>
          <w:szCs w:val="22"/>
        </w:rPr>
        <w:t>(Accessed: 30 July 2026).</w:t>
      </w:r>
    </w:p>
    <w:p w14:paraId="7CD3AC2E" w14:textId="4E2B2413" w:rsidR="0023733D" w:rsidRPr="00132185" w:rsidRDefault="0023733D" w:rsidP="00132185">
      <w:pPr>
        <w:spacing w:line="360" w:lineRule="auto"/>
        <w:rPr>
          <w:rFonts w:ascii="Arial" w:eastAsia="Arial" w:hAnsi="Arial" w:cs="Arial"/>
          <w:sz w:val="22"/>
          <w:szCs w:val="22"/>
        </w:rPr>
      </w:pPr>
      <w:r w:rsidRPr="00132185">
        <w:rPr>
          <w:rFonts w:ascii="Arial" w:eastAsia="Arial" w:hAnsi="Arial" w:cs="Arial"/>
          <w:sz w:val="22"/>
          <w:szCs w:val="22"/>
        </w:rPr>
        <w:t xml:space="preserve">Department of Health and Social Care (2023) </w:t>
      </w:r>
      <w:r w:rsidRPr="00132185">
        <w:rPr>
          <w:rFonts w:ascii="Arial" w:eastAsia="Arial" w:hAnsi="Arial" w:cs="Arial"/>
          <w:i/>
          <w:iCs/>
          <w:sz w:val="22"/>
          <w:szCs w:val="22"/>
        </w:rPr>
        <w:t>Digital working in adult social care: What Good Looks Like</w:t>
      </w:r>
      <w:r w:rsidRPr="00132185">
        <w:rPr>
          <w:rFonts w:ascii="Arial" w:eastAsia="Arial" w:hAnsi="Arial" w:cs="Arial"/>
          <w:sz w:val="22"/>
          <w:szCs w:val="22"/>
        </w:rPr>
        <w:t xml:space="preserve">. Available at: </w:t>
      </w:r>
      <w:hyperlink r:id="rId11" w:history="1">
        <w:r w:rsidR="00426903" w:rsidRPr="00132185">
          <w:rPr>
            <w:rStyle w:val="Hyperlink"/>
            <w:rFonts w:ascii="Arial" w:eastAsia="Arial" w:hAnsi="Arial" w:cs="Arial"/>
            <w:sz w:val="22"/>
            <w:szCs w:val="22"/>
          </w:rPr>
          <w:t>https://www.gov.uk/government/publica</w:t>
        </w:r>
        <w:r w:rsidR="00426903" w:rsidRPr="00132185">
          <w:rPr>
            <w:rStyle w:val="Hyperlink"/>
            <w:rFonts w:ascii="Arial" w:eastAsia="Arial" w:hAnsi="Arial" w:cs="Arial"/>
            <w:sz w:val="22"/>
            <w:szCs w:val="22"/>
          </w:rPr>
          <w:t>t</w:t>
        </w:r>
        <w:r w:rsidR="00426903" w:rsidRPr="00132185">
          <w:rPr>
            <w:rStyle w:val="Hyperlink"/>
            <w:rFonts w:ascii="Arial" w:eastAsia="Arial" w:hAnsi="Arial" w:cs="Arial"/>
            <w:sz w:val="22"/>
            <w:szCs w:val="22"/>
          </w:rPr>
          <w:t>ions/digital-working-in-adult-social-care-what-good-looks-like</w:t>
        </w:r>
      </w:hyperlink>
      <w:r w:rsidR="00426903" w:rsidRPr="00132185">
        <w:rPr>
          <w:rFonts w:ascii="Arial" w:eastAsia="Arial" w:hAnsi="Arial" w:cs="Arial"/>
          <w:sz w:val="22"/>
          <w:szCs w:val="22"/>
        </w:rPr>
        <w:t xml:space="preserve"> </w:t>
      </w:r>
      <w:r w:rsidRPr="00132185">
        <w:rPr>
          <w:rFonts w:ascii="Arial" w:eastAsia="Arial" w:hAnsi="Arial" w:cs="Arial"/>
          <w:sz w:val="22"/>
          <w:szCs w:val="22"/>
        </w:rPr>
        <w:t xml:space="preserve">(Accessed: </w:t>
      </w:r>
      <w:r w:rsidR="00426903" w:rsidRPr="00132185">
        <w:rPr>
          <w:rFonts w:ascii="Arial" w:eastAsia="Arial" w:hAnsi="Arial" w:cs="Arial"/>
          <w:sz w:val="22"/>
          <w:szCs w:val="22"/>
        </w:rPr>
        <w:t>30</w:t>
      </w:r>
      <w:r w:rsidRPr="00132185">
        <w:rPr>
          <w:rFonts w:ascii="Arial" w:eastAsia="Arial" w:hAnsi="Arial" w:cs="Arial"/>
          <w:sz w:val="22"/>
          <w:szCs w:val="22"/>
        </w:rPr>
        <w:t xml:space="preserve"> July 2026</w:t>
      </w:r>
      <w:r w:rsidR="00426903" w:rsidRPr="00132185">
        <w:rPr>
          <w:rFonts w:ascii="Arial" w:eastAsia="Arial" w:hAnsi="Arial" w:cs="Arial"/>
          <w:sz w:val="22"/>
          <w:szCs w:val="22"/>
        </w:rPr>
        <w:t>).</w:t>
      </w:r>
    </w:p>
    <w:p w14:paraId="261F2D96" w14:textId="292426E1" w:rsidR="00AF1171" w:rsidRPr="00132185" w:rsidRDefault="0023733D" w:rsidP="00132185">
      <w:pPr>
        <w:spacing w:line="360" w:lineRule="auto"/>
        <w:rPr>
          <w:rFonts w:ascii="Arial" w:eastAsia="Arial" w:hAnsi="Arial" w:cs="Arial"/>
          <w:sz w:val="22"/>
          <w:szCs w:val="22"/>
        </w:rPr>
      </w:pPr>
      <w:r w:rsidRPr="00132185">
        <w:rPr>
          <w:rFonts w:ascii="Arial" w:eastAsia="Arial" w:hAnsi="Arial" w:cs="Arial"/>
          <w:sz w:val="22"/>
          <w:szCs w:val="22"/>
        </w:rPr>
        <w:t xml:space="preserve">Doornebosch, A.J., Smaling, H.J.A. and Achterberg, W.P. (2022) ‘Interprofessional collaboration in long-term care and rehabilitation: a systematic review’, </w:t>
      </w:r>
      <w:r w:rsidRPr="00132185">
        <w:rPr>
          <w:rFonts w:ascii="Arial" w:eastAsia="Arial" w:hAnsi="Arial" w:cs="Arial"/>
          <w:i/>
          <w:iCs/>
          <w:sz w:val="22"/>
          <w:szCs w:val="22"/>
        </w:rPr>
        <w:t>Journal of the American Medical Directors Association</w:t>
      </w:r>
      <w:r w:rsidRPr="00132185">
        <w:rPr>
          <w:rFonts w:ascii="Arial" w:eastAsia="Arial" w:hAnsi="Arial" w:cs="Arial"/>
          <w:sz w:val="22"/>
          <w:szCs w:val="22"/>
        </w:rPr>
        <w:t xml:space="preserve">, 23(5), pp. 764–777.e2. Available at: </w:t>
      </w:r>
      <w:hyperlink r:id="rId12" w:history="1">
        <w:r w:rsidR="00426903" w:rsidRPr="00132185">
          <w:rPr>
            <w:rStyle w:val="Hyperlink"/>
            <w:rFonts w:ascii="Arial" w:eastAsia="Arial" w:hAnsi="Arial" w:cs="Arial"/>
            <w:sz w:val="22"/>
            <w:szCs w:val="22"/>
          </w:rPr>
          <w:t>https://www.sciencedirect.com/science/article/pii/S152586102101102</w:t>
        </w:r>
        <w:r w:rsidR="00426903" w:rsidRPr="00132185">
          <w:rPr>
            <w:rStyle w:val="Hyperlink"/>
            <w:rFonts w:ascii="Arial" w:eastAsia="Arial" w:hAnsi="Arial" w:cs="Arial"/>
            <w:sz w:val="22"/>
            <w:szCs w:val="22"/>
          </w:rPr>
          <w:t>6</w:t>
        </w:r>
      </w:hyperlink>
      <w:r w:rsidR="00AF1171" w:rsidRPr="00132185">
        <w:rPr>
          <w:rFonts w:ascii="Arial" w:eastAsia="Arial" w:hAnsi="Arial" w:cs="Arial"/>
          <w:sz w:val="22"/>
          <w:szCs w:val="22"/>
        </w:rPr>
        <w:t xml:space="preserve"> </w:t>
      </w:r>
      <w:r w:rsidR="00AF1171" w:rsidRPr="00132185">
        <w:rPr>
          <w:rFonts w:ascii="Arial" w:eastAsia="Arial" w:hAnsi="Arial" w:cs="Arial"/>
          <w:sz w:val="22"/>
          <w:szCs w:val="22"/>
        </w:rPr>
        <w:t>(Accessed: 30 July 2026).</w:t>
      </w:r>
    </w:p>
    <w:p w14:paraId="63386BEE" w14:textId="7B29A198" w:rsidR="0063496B" w:rsidRPr="00132185" w:rsidRDefault="0063496B" w:rsidP="00132185">
      <w:pPr>
        <w:spacing w:line="360" w:lineRule="auto"/>
        <w:rPr>
          <w:rFonts w:ascii="Arial" w:eastAsia="Arial" w:hAnsi="Arial" w:cs="Arial"/>
          <w:sz w:val="22"/>
          <w:szCs w:val="22"/>
        </w:rPr>
      </w:pPr>
      <w:r w:rsidRPr="00132185">
        <w:rPr>
          <w:rFonts w:ascii="Arial" w:eastAsia="Arial" w:hAnsi="Arial" w:cs="Arial"/>
          <w:sz w:val="22"/>
          <w:szCs w:val="22"/>
        </w:rPr>
        <w:t xml:space="preserve">Equality Act 2010. Available at: </w:t>
      </w:r>
      <w:hyperlink r:id="rId13">
        <w:r w:rsidRPr="00132185">
          <w:rPr>
            <w:rStyle w:val="Hyperlink"/>
            <w:rFonts w:ascii="Arial" w:eastAsia="Arial" w:hAnsi="Arial" w:cs="Arial"/>
            <w:sz w:val="22"/>
            <w:szCs w:val="22"/>
          </w:rPr>
          <w:t>https://www.le</w:t>
        </w:r>
        <w:r w:rsidRPr="00132185">
          <w:rPr>
            <w:rStyle w:val="Hyperlink"/>
            <w:rFonts w:ascii="Arial" w:eastAsia="Arial" w:hAnsi="Arial" w:cs="Arial"/>
            <w:sz w:val="22"/>
            <w:szCs w:val="22"/>
          </w:rPr>
          <w:t>g</w:t>
        </w:r>
        <w:r w:rsidRPr="00132185">
          <w:rPr>
            <w:rStyle w:val="Hyperlink"/>
            <w:rFonts w:ascii="Arial" w:eastAsia="Arial" w:hAnsi="Arial" w:cs="Arial"/>
            <w:sz w:val="22"/>
            <w:szCs w:val="22"/>
          </w:rPr>
          <w:t>islation.gov.uk/ukpga/2010/15/contents</w:t>
        </w:r>
      </w:hyperlink>
      <w:r w:rsidRPr="00132185">
        <w:rPr>
          <w:rFonts w:ascii="Arial" w:eastAsia="Arial" w:hAnsi="Arial" w:cs="Arial"/>
          <w:sz w:val="22"/>
          <w:szCs w:val="22"/>
        </w:rPr>
        <w:t xml:space="preserve"> </w:t>
      </w:r>
      <w:r w:rsidR="00AF1171" w:rsidRPr="00132185">
        <w:rPr>
          <w:rFonts w:ascii="Arial" w:eastAsia="Arial" w:hAnsi="Arial" w:cs="Arial"/>
          <w:sz w:val="22"/>
          <w:szCs w:val="22"/>
        </w:rPr>
        <w:t>(Accessed: 30 July 2026).</w:t>
      </w:r>
    </w:p>
    <w:p w14:paraId="32ECA5CE" w14:textId="515E7267" w:rsidR="00964D27" w:rsidRPr="00132185" w:rsidRDefault="00964D27"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Garner, A., Lewis, J., Dixon, S., Preston, N., Caiado, C.C.S., Hanratty, B., Jones, M., Knight, J. and Mason, S.M. (2024) ‘The impact of digital technology in care homes on unplanned secondary care usage and associated costs’, </w:t>
      </w:r>
      <w:r w:rsidRPr="00132185">
        <w:rPr>
          <w:rFonts w:ascii="Arial" w:eastAsia="Arial" w:hAnsi="Arial" w:cs="Arial"/>
          <w:i/>
          <w:iCs/>
          <w:sz w:val="22"/>
          <w:szCs w:val="22"/>
        </w:rPr>
        <w:t>Age and Ageing</w:t>
      </w:r>
      <w:r w:rsidRPr="00132185">
        <w:rPr>
          <w:rFonts w:ascii="Arial" w:eastAsia="Arial" w:hAnsi="Arial" w:cs="Arial"/>
          <w:sz w:val="22"/>
          <w:szCs w:val="22"/>
        </w:rPr>
        <w:t xml:space="preserve">, 53(2), afae004. Available at: </w:t>
      </w:r>
      <w:hyperlink r:id="rId14" w:history="1">
        <w:r w:rsidR="00CF6326" w:rsidRPr="00132185">
          <w:rPr>
            <w:rStyle w:val="Hyperlink"/>
            <w:rFonts w:ascii="Arial" w:eastAsia="Arial" w:hAnsi="Arial" w:cs="Arial"/>
            <w:sz w:val="22"/>
            <w:szCs w:val="22"/>
          </w:rPr>
          <w:t>https://academic.oup.com/ageing/article/53/2/afae004/7606438</w:t>
        </w:r>
      </w:hyperlink>
      <w:r w:rsidR="00CF6326" w:rsidRPr="00132185">
        <w:rPr>
          <w:rFonts w:ascii="Arial" w:eastAsia="Arial" w:hAnsi="Arial" w:cs="Arial"/>
          <w:sz w:val="22"/>
          <w:szCs w:val="22"/>
        </w:rPr>
        <w:t xml:space="preserve"> </w:t>
      </w:r>
      <w:r w:rsidRPr="00132185">
        <w:rPr>
          <w:rFonts w:ascii="Arial" w:eastAsia="Arial" w:hAnsi="Arial" w:cs="Arial"/>
          <w:sz w:val="22"/>
          <w:szCs w:val="22"/>
        </w:rPr>
        <w:t xml:space="preserve">(Accessed: </w:t>
      </w:r>
      <w:r w:rsidR="00CF6326" w:rsidRPr="00132185">
        <w:rPr>
          <w:rFonts w:ascii="Arial" w:eastAsia="Arial" w:hAnsi="Arial" w:cs="Arial"/>
          <w:sz w:val="22"/>
          <w:szCs w:val="22"/>
        </w:rPr>
        <w:t xml:space="preserve">30 </w:t>
      </w:r>
      <w:r w:rsidRPr="00132185">
        <w:rPr>
          <w:rFonts w:ascii="Arial" w:eastAsia="Arial" w:hAnsi="Arial" w:cs="Arial"/>
          <w:sz w:val="22"/>
          <w:szCs w:val="22"/>
        </w:rPr>
        <w:t>July 2026).</w:t>
      </w:r>
    </w:p>
    <w:p w14:paraId="401B15DA" w14:textId="77777777" w:rsidR="0063496B" w:rsidRPr="00132185" w:rsidRDefault="0063496B" w:rsidP="00132185">
      <w:pPr>
        <w:spacing w:line="360" w:lineRule="auto"/>
        <w:rPr>
          <w:rFonts w:ascii="Arial" w:eastAsia="Arial" w:hAnsi="Arial" w:cs="Arial"/>
          <w:sz w:val="22"/>
          <w:szCs w:val="22"/>
        </w:rPr>
      </w:pPr>
      <w:r w:rsidRPr="00132185">
        <w:rPr>
          <w:rFonts w:ascii="Arial" w:eastAsia="Arial" w:hAnsi="Arial" w:cs="Arial"/>
          <w:sz w:val="22"/>
          <w:szCs w:val="22"/>
        </w:rPr>
        <w:lastRenderedPageBreak/>
        <w:t xml:space="preserve">Glasby, J. and Dickinson, H. (2014) </w:t>
      </w:r>
      <w:r w:rsidRPr="00132185">
        <w:rPr>
          <w:rFonts w:ascii="Arial" w:eastAsia="Arial" w:hAnsi="Arial" w:cs="Arial"/>
          <w:i/>
          <w:iCs/>
          <w:sz w:val="22"/>
          <w:szCs w:val="22"/>
        </w:rPr>
        <w:t>Partnership Working in Health and Social Care: What Is Integrated Care and How Can We Deliver It?</w:t>
      </w:r>
      <w:r w:rsidRPr="00132185">
        <w:rPr>
          <w:rFonts w:ascii="Arial" w:eastAsia="Arial" w:hAnsi="Arial" w:cs="Arial"/>
          <w:sz w:val="22"/>
          <w:szCs w:val="22"/>
        </w:rPr>
        <w:t xml:space="preserve"> 2nd edn. Policy Press.</w:t>
      </w:r>
    </w:p>
    <w:p w14:paraId="4FEF1EAC" w14:textId="582024F3" w:rsidR="003F6E5A" w:rsidRPr="00132185" w:rsidRDefault="003F6E5A"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Guan, X., Duan, A., Xin, G., Oyebode, J. and Liu, Y. (2025) ‘Barriers and facilitators to implementing person-centred dementia care in long-term care facilities in Western and Asian countries: a scoping review’, </w:t>
      </w:r>
      <w:r w:rsidRPr="00132185">
        <w:rPr>
          <w:rFonts w:ascii="Arial" w:eastAsia="Arial" w:hAnsi="Arial" w:cs="Arial"/>
          <w:i/>
          <w:iCs/>
          <w:sz w:val="22"/>
          <w:szCs w:val="22"/>
        </w:rPr>
        <w:t>Frontiers in Psychiatry</w:t>
      </w:r>
      <w:r w:rsidRPr="00132185">
        <w:rPr>
          <w:rFonts w:ascii="Arial" w:eastAsia="Arial" w:hAnsi="Arial" w:cs="Arial"/>
          <w:sz w:val="22"/>
          <w:szCs w:val="22"/>
        </w:rPr>
        <w:t xml:space="preserve">, 15, 1523501. Available at: </w:t>
      </w:r>
      <w:hyperlink r:id="rId15" w:history="1">
        <w:r w:rsidR="002D1015" w:rsidRPr="00132185">
          <w:rPr>
            <w:rStyle w:val="Hyperlink"/>
            <w:rFonts w:ascii="Arial" w:eastAsia="Arial" w:hAnsi="Arial" w:cs="Arial"/>
            <w:sz w:val="22"/>
            <w:szCs w:val="22"/>
          </w:rPr>
          <w:t>https://www.fro</w:t>
        </w:r>
        <w:r w:rsidR="002D1015" w:rsidRPr="00132185">
          <w:rPr>
            <w:rStyle w:val="Hyperlink"/>
            <w:rFonts w:ascii="Arial" w:eastAsia="Arial" w:hAnsi="Arial" w:cs="Arial"/>
            <w:sz w:val="22"/>
            <w:szCs w:val="22"/>
          </w:rPr>
          <w:t>n</w:t>
        </w:r>
        <w:r w:rsidR="002D1015" w:rsidRPr="00132185">
          <w:rPr>
            <w:rStyle w:val="Hyperlink"/>
            <w:rFonts w:ascii="Arial" w:eastAsia="Arial" w:hAnsi="Arial" w:cs="Arial"/>
            <w:sz w:val="22"/>
            <w:szCs w:val="22"/>
          </w:rPr>
          <w:t>tiersin.org/journals/psychiatry/articles/10.3389/fpsyt.2024.1523501/full</w:t>
        </w:r>
      </w:hyperlink>
      <w:r w:rsidR="002D1015" w:rsidRPr="00132185">
        <w:rPr>
          <w:rFonts w:ascii="Arial" w:eastAsia="Arial" w:hAnsi="Arial" w:cs="Arial"/>
          <w:sz w:val="22"/>
          <w:szCs w:val="22"/>
        </w:rPr>
        <w:t xml:space="preserve"> </w:t>
      </w:r>
      <w:r w:rsidRPr="00132185">
        <w:rPr>
          <w:rFonts w:ascii="Arial" w:eastAsia="Arial" w:hAnsi="Arial" w:cs="Arial"/>
          <w:sz w:val="22"/>
          <w:szCs w:val="22"/>
        </w:rPr>
        <w:t xml:space="preserve">(Accessed: </w:t>
      </w:r>
      <w:r w:rsidR="002D1015" w:rsidRPr="00132185">
        <w:rPr>
          <w:rFonts w:ascii="Arial" w:eastAsia="Arial" w:hAnsi="Arial" w:cs="Arial"/>
          <w:sz w:val="22"/>
          <w:szCs w:val="22"/>
        </w:rPr>
        <w:t>30</w:t>
      </w:r>
      <w:r w:rsidRPr="00132185">
        <w:rPr>
          <w:rFonts w:ascii="Arial" w:eastAsia="Arial" w:hAnsi="Arial" w:cs="Arial"/>
          <w:sz w:val="22"/>
          <w:szCs w:val="22"/>
        </w:rPr>
        <w:t xml:space="preserve"> July 2026).</w:t>
      </w:r>
    </w:p>
    <w:p w14:paraId="1ADC778F" w14:textId="1125EBB1" w:rsidR="17198124" w:rsidRPr="00132185" w:rsidRDefault="755F2107"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Health and Care Act 2022. Available at: </w:t>
      </w:r>
      <w:hyperlink r:id="rId16">
        <w:r w:rsidR="24FA50B8" w:rsidRPr="00132185">
          <w:rPr>
            <w:rStyle w:val="Hyperlink"/>
            <w:rFonts w:ascii="Arial" w:eastAsia="Arial" w:hAnsi="Arial" w:cs="Arial"/>
            <w:sz w:val="22"/>
            <w:szCs w:val="22"/>
          </w:rPr>
          <w:t>https://www.legislation.gov.uk/uk</w:t>
        </w:r>
        <w:r w:rsidR="24FA50B8" w:rsidRPr="00132185">
          <w:rPr>
            <w:rStyle w:val="Hyperlink"/>
            <w:rFonts w:ascii="Arial" w:eastAsia="Arial" w:hAnsi="Arial" w:cs="Arial"/>
            <w:sz w:val="22"/>
            <w:szCs w:val="22"/>
          </w:rPr>
          <w:t>p</w:t>
        </w:r>
        <w:r w:rsidR="24FA50B8" w:rsidRPr="00132185">
          <w:rPr>
            <w:rStyle w:val="Hyperlink"/>
            <w:rFonts w:ascii="Arial" w:eastAsia="Arial" w:hAnsi="Arial" w:cs="Arial"/>
            <w:sz w:val="22"/>
            <w:szCs w:val="22"/>
          </w:rPr>
          <w:t>ga/2022/31/contents</w:t>
        </w:r>
      </w:hyperlink>
      <w:r w:rsidR="24FA50B8" w:rsidRPr="00132185">
        <w:rPr>
          <w:rFonts w:ascii="Arial" w:eastAsia="Arial" w:hAnsi="Arial" w:cs="Arial"/>
          <w:sz w:val="22"/>
          <w:szCs w:val="22"/>
        </w:rPr>
        <w:t xml:space="preserve"> </w:t>
      </w:r>
      <w:r w:rsidRPr="00132185">
        <w:rPr>
          <w:rFonts w:ascii="Arial" w:eastAsia="Arial" w:hAnsi="Arial" w:cs="Arial"/>
          <w:sz w:val="22"/>
          <w:szCs w:val="22"/>
        </w:rPr>
        <w:t xml:space="preserve">(Accessed: </w:t>
      </w:r>
      <w:r w:rsidR="002D1015" w:rsidRPr="00132185">
        <w:rPr>
          <w:rFonts w:ascii="Arial" w:eastAsia="Arial" w:hAnsi="Arial" w:cs="Arial"/>
          <w:sz w:val="22"/>
          <w:szCs w:val="22"/>
        </w:rPr>
        <w:t>30</w:t>
      </w:r>
      <w:r w:rsidRPr="00132185">
        <w:rPr>
          <w:rFonts w:ascii="Arial" w:eastAsia="Arial" w:hAnsi="Arial" w:cs="Arial"/>
          <w:sz w:val="22"/>
          <w:szCs w:val="22"/>
        </w:rPr>
        <w:t xml:space="preserve"> July 2026).</w:t>
      </w:r>
    </w:p>
    <w:p w14:paraId="5E09F6BA" w14:textId="5F38AEC8" w:rsidR="0063496B" w:rsidRPr="00132185" w:rsidRDefault="0063496B" w:rsidP="00132185">
      <w:pPr>
        <w:spacing w:line="360" w:lineRule="auto"/>
        <w:rPr>
          <w:rFonts w:ascii="Arial" w:eastAsia="Arial" w:hAnsi="Arial" w:cs="Arial"/>
          <w:sz w:val="22"/>
          <w:szCs w:val="22"/>
        </w:rPr>
      </w:pPr>
      <w:r w:rsidRPr="00132185">
        <w:rPr>
          <w:rFonts w:ascii="Arial" w:eastAsia="Arial" w:hAnsi="Arial" w:cs="Arial"/>
          <w:sz w:val="22"/>
          <w:szCs w:val="22"/>
        </w:rPr>
        <w:t xml:space="preserve">Marnfeldt, K. and Wilber, K. (2025) ‘The Safety–Autonomy Grid: A flexible framework for navigating protection and independence for older adults’, </w:t>
      </w:r>
      <w:r w:rsidRPr="00132185">
        <w:rPr>
          <w:rFonts w:ascii="Arial" w:eastAsia="Arial" w:hAnsi="Arial" w:cs="Arial"/>
          <w:i/>
          <w:iCs/>
          <w:sz w:val="22"/>
          <w:szCs w:val="22"/>
        </w:rPr>
        <w:t>The Gerontologist</w:t>
      </w:r>
      <w:r w:rsidRPr="00132185">
        <w:rPr>
          <w:rFonts w:ascii="Arial" w:eastAsia="Arial" w:hAnsi="Arial" w:cs="Arial"/>
          <w:sz w:val="22"/>
          <w:szCs w:val="22"/>
        </w:rPr>
        <w:t xml:space="preserve">, 65(6), gnaf111. Available at: </w:t>
      </w:r>
      <w:hyperlink r:id="rId17">
        <w:r w:rsidRPr="00132185">
          <w:rPr>
            <w:rStyle w:val="Hyperlink"/>
            <w:rFonts w:ascii="Arial" w:eastAsia="Arial" w:hAnsi="Arial" w:cs="Arial"/>
            <w:sz w:val="22"/>
            <w:szCs w:val="22"/>
          </w:rPr>
          <w:t>https://academic.oup.com/gerontologist/article/65/6/gnaf111/8082030</w:t>
        </w:r>
      </w:hyperlink>
      <w:r w:rsidRPr="00132185">
        <w:rPr>
          <w:rFonts w:ascii="Arial" w:eastAsia="Arial" w:hAnsi="Arial" w:cs="Arial"/>
          <w:sz w:val="22"/>
          <w:szCs w:val="22"/>
        </w:rPr>
        <w:t xml:space="preserve"> (Accessed: </w:t>
      </w:r>
      <w:r w:rsidR="00B310D1" w:rsidRPr="00132185">
        <w:rPr>
          <w:rFonts w:ascii="Arial" w:eastAsia="Arial" w:hAnsi="Arial" w:cs="Arial"/>
          <w:sz w:val="22"/>
          <w:szCs w:val="22"/>
        </w:rPr>
        <w:t>30</w:t>
      </w:r>
      <w:r w:rsidRPr="00132185">
        <w:rPr>
          <w:rFonts w:ascii="Arial" w:eastAsia="Arial" w:hAnsi="Arial" w:cs="Arial"/>
          <w:sz w:val="22"/>
          <w:szCs w:val="22"/>
        </w:rPr>
        <w:t xml:space="preserve"> July 2026).</w:t>
      </w:r>
    </w:p>
    <w:p w14:paraId="3F4B3468" w14:textId="182C12CA" w:rsidR="0063496B" w:rsidRPr="00132185" w:rsidRDefault="0063496B" w:rsidP="00132185">
      <w:pPr>
        <w:spacing w:line="360" w:lineRule="auto"/>
        <w:rPr>
          <w:rFonts w:ascii="Arial" w:eastAsia="Arial" w:hAnsi="Arial" w:cs="Arial"/>
          <w:sz w:val="22"/>
          <w:szCs w:val="22"/>
        </w:rPr>
      </w:pPr>
      <w:r w:rsidRPr="00132185">
        <w:rPr>
          <w:rFonts w:ascii="Arial" w:eastAsia="Arial" w:hAnsi="Arial" w:cs="Arial"/>
          <w:sz w:val="22"/>
          <w:szCs w:val="22"/>
        </w:rPr>
        <w:t xml:space="preserve">Mental Capacity Act 2005. Available at: </w:t>
      </w:r>
      <w:hyperlink r:id="rId18">
        <w:r w:rsidRPr="00132185">
          <w:rPr>
            <w:rStyle w:val="Hyperlink"/>
            <w:rFonts w:ascii="Arial" w:eastAsia="Arial" w:hAnsi="Arial" w:cs="Arial"/>
            <w:sz w:val="22"/>
            <w:szCs w:val="22"/>
          </w:rPr>
          <w:t>https://www.legislation.gov.uk/ukpga/20</w:t>
        </w:r>
        <w:r w:rsidRPr="00132185">
          <w:rPr>
            <w:rStyle w:val="Hyperlink"/>
            <w:rFonts w:ascii="Arial" w:eastAsia="Arial" w:hAnsi="Arial" w:cs="Arial"/>
            <w:sz w:val="22"/>
            <w:szCs w:val="22"/>
          </w:rPr>
          <w:t>0</w:t>
        </w:r>
        <w:r w:rsidRPr="00132185">
          <w:rPr>
            <w:rStyle w:val="Hyperlink"/>
            <w:rFonts w:ascii="Arial" w:eastAsia="Arial" w:hAnsi="Arial" w:cs="Arial"/>
            <w:sz w:val="22"/>
            <w:szCs w:val="22"/>
          </w:rPr>
          <w:t>5/9/contents</w:t>
        </w:r>
      </w:hyperlink>
      <w:r w:rsidRPr="00132185">
        <w:rPr>
          <w:rFonts w:ascii="Arial" w:eastAsia="Arial" w:hAnsi="Arial" w:cs="Arial"/>
          <w:sz w:val="22"/>
          <w:szCs w:val="22"/>
        </w:rPr>
        <w:t xml:space="preserve"> (Accessed: </w:t>
      </w:r>
      <w:r w:rsidR="00B310D1" w:rsidRPr="00132185">
        <w:rPr>
          <w:rFonts w:ascii="Arial" w:eastAsia="Arial" w:hAnsi="Arial" w:cs="Arial"/>
          <w:sz w:val="22"/>
          <w:szCs w:val="22"/>
        </w:rPr>
        <w:t>30</w:t>
      </w:r>
      <w:r w:rsidRPr="00132185">
        <w:rPr>
          <w:rFonts w:ascii="Arial" w:eastAsia="Arial" w:hAnsi="Arial" w:cs="Arial"/>
          <w:sz w:val="22"/>
          <w:szCs w:val="22"/>
        </w:rPr>
        <w:t xml:space="preserve"> July 2026).</w:t>
      </w:r>
    </w:p>
    <w:p w14:paraId="2DF41B88" w14:textId="5FA77E96" w:rsidR="546B5F6A" w:rsidRPr="00132185" w:rsidRDefault="2905089B" w:rsidP="00132185">
      <w:pPr>
        <w:spacing w:line="360" w:lineRule="auto"/>
        <w:rPr>
          <w:rFonts w:ascii="Arial" w:eastAsia="Arial" w:hAnsi="Arial" w:cs="Arial"/>
          <w:sz w:val="22"/>
          <w:szCs w:val="22"/>
        </w:rPr>
      </w:pPr>
      <w:r w:rsidRPr="00132185">
        <w:rPr>
          <w:rFonts w:ascii="Arial" w:eastAsia="Arial" w:hAnsi="Arial" w:cs="Arial"/>
          <w:sz w:val="22"/>
          <w:szCs w:val="22"/>
        </w:rPr>
        <w:t xml:space="preserve">Moilanen, T., Kangasniemi, M., Papinaho, O., Mynttinen, M., Siipi, H., Suominen, S. and Suhonen, R. (2021) ‘Older people’s perceived autonomy in residential care: an integrative review’, </w:t>
      </w:r>
      <w:r w:rsidRPr="00132185">
        <w:rPr>
          <w:rFonts w:ascii="Arial" w:eastAsia="Arial" w:hAnsi="Arial" w:cs="Arial"/>
          <w:i/>
          <w:iCs/>
          <w:sz w:val="22"/>
          <w:szCs w:val="22"/>
        </w:rPr>
        <w:t>Nursing Ethics</w:t>
      </w:r>
      <w:r w:rsidRPr="00132185">
        <w:rPr>
          <w:rFonts w:ascii="Arial" w:eastAsia="Arial" w:hAnsi="Arial" w:cs="Arial"/>
          <w:sz w:val="22"/>
          <w:szCs w:val="22"/>
        </w:rPr>
        <w:t xml:space="preserve">, 28(3), pp. 414–434. Available at: </w:t>
      </w:r>
      <w:hyperlink r:id="rId19">
        <w:r w:rsidRPr="00132185">
          <w:rPr>
            <w:rStyle w:val="Hyperlink"/>
            <w:rFonts w:ascii="Arial" w:eastAsia="Arial" w:hAnsi="Arial" w:cs="Arial"/>
            <w:sz w:val="22"/>
            <w:szCs w:val="22"/>
          </w:rPr>
          <w:t>https://journals.sagepub.com/doi/full/10.1177/09697</w:t>
        </w:r>
        <w:r w:rsidRPr="00132185">
          <w:rPr>
            <w:rStyle w:val="Hyperlink"/>
            <w:rFonts w:ascii="Arial" w:eastAsia="Arial" w:hAnsi="Arial" w:cs="Arial"/>
            <w:sz w:val="22"/>
            <w:szCs w:val="22"/>
          </w:rPr>
          <w:t>3</w:t>
        </w:r>
        <w:r w:rsidRPr="00132185">
          <w:rPr>
            <w:rStyle w:val="Hyperlink"/>
            <w:rFonts w:ascii="Arial" w:eastAsia="Arial" w:hAnsi="Arial" w:cs="Arial"/>
            <w:sz w:val="22"/>
            <w:szCs w:val="22"/>
          </w:rPr>
          <w:t>3020948115</w:t>
        </w:r>
      </w:hyperlink>
      <w:r w:rsidRPr="00132185">
        <w:rPr>
          <w:rFonts w:ascii="Arial" w:eastAsia="Arial" w:hAnsi="Arial" w:cs="Arial"/>
          <w:sz w:val="22"/>
          <w:szCs w:val="22"/>
        </w:rPr>
        <w:t xml:space="preserve"> (Accessed: </w:t>
      </w:r>
      <w:r w:rsidR="00B310D1" w:rsidRPr="00132185">
        <w:rPr>
          <w:rFonts w:ascii="Arial" w:eastAsia="Arial" w:hAnsi="Arial" w:cs="Arial"/>
          <w:sz w:val="22"/>
          <w:szCs w:val="22"/>
        </w:rPr>
        <w:t>30</w:t>
      </w:r>
      <w:r w:rsidRPr="00132185">
        <w:rPr>
          <w:rFonts w:ascii="Arial" w:eastAsia="Arial" w:hAnsi="Arial" w:cs="Arial"/>
          <w:sz w:val="22"/>
          <w:szCs w:val="22"/>
        </w:rPr>
        <w:t xml:space="preserve"> July 2026).</w:t>
      </w:r>
    </w:p>
    <w:p w14:paraId="66291FBE" w14:textId="17B3BBD4" w:rsidR="0063496B" w:rsidRPr="00132185" w:rsidRDefault="0063496B" w:rsidP="00132185">
      <w:pPr>
        <w:spacing w:line="360" w:lineRule="auto"/>
        <w:rPr>
          <w:rFonts w:ascii="Arial" w:eastAsia="Arial" w:hAnsi="Arial" w:cs="Arial"/>
          <w:sz w:val="22"/>
          <w:szCs w:val="22"/>
        </w:rPr>
      </w:pPr>
      <w:r w:rsidRPr="00132185">
        <w:rPr>
          <w:rFonts w:ascii="Arial" w:eastAsia="Arial" w:hAnsi="Arial" w:cs="Arial"/>
          <w:sz w:val="22"/>
          <w:szCs w:val="22"/>
        </w:rPr>
        <w:t xml:space="preserve">National Institute for Health and Care Excellence (2018) </w:t>
      </w:r>
      <w:r w:rsidRPr="00132185">
        <w:rPr>
          <w:rFonts w:ascii="Arial" w:eastAsia="Arial" w:hAnsi="Arial" w:cs="Arial"/>
          <w:i/>
          <w:iCs/>
          <w:sz w:val="22"/>
          <w:szCs w:val="22"/>
        </w:rPr>
        <w:t>Decision-making and mental capacity</w:t>
      </w:r>
      <w:r w:rsidRPr="00132185">
        <w:rPr>
          <w:rFonts w:ascii="Arial" w:eastAsia="Arial" w:hAnsi="Arial" w:cs="Arial"/>
          <w:sz w:val="22"/>
          <w:szCs w:val="22"/>
        </w:rPr>
        <w:t xml:space="preserve">. NICE guideline NG108. Available at: </w:t>
      </w:r>
      <w:hyperlink r:id="rId20">
        <w:r w:rsidRPr="00132185">
          <w:rPr>
            <w:rStyle w:val="Hyperlink"/>
            <w:rFonts w:ascii="Arial" w:eastAsia="Arial" w:hAnsi="Arial" w:cs="Arial"/>
            <w:sz w:val="22"/>
            <w:szCs w:val="22"/>
          </w:rPr>
          <w:t>https://www.nice.org.uk/guidance/ng108</w:t>
        </w:r>
      </w:hyperlink>
      <w:r w:rsidRPr="00132185">
        <w:rPr>
          <w:rFonts w:ascii="Arial" w:eastAsia="Arial" w:hAnsi="Arial" w:cs="Arial"/>
          <w:sz w:val="22"/>
          <w:szCs w:val="22"/>
        </w:rPr>
        <w:t xml:space="preserve"> (Accessed: </w:t>
      </w:r>
      <w:r w:rsidR="00E019AB" w:rsidRPr="00132185">
        <w:rPr>
          <w:rFonts w:ascii="Arial" w:eastAsia="Arial" w:hAnsi="Arial" w:cs="Arial"/>
          <w:sz w:val="22"/>
          <w:szCs w:val="22"/>
        </w:rPr>
        <w:t>30</w:t>
      </w:r>
      <w:r w:rsidRPr="00132185">
        <w:rPr>
          <w:rFonts w:ascii="Arial" w:eastAsia="Arial" w:hAnsi="Arial" w:cs="Arial"/>
          <w:sz w:val="22"/>
          <w:szCs w:val="22"/>
        </w:rPr>
        <w:t xml:space="preserve"> July 2026).</w:t>
      </w:r>
    </w:p>
    <w:p w14:paraId="52B3BAF3" w14:textId="0E089D3F" w:rsidR="0063496B" w:rsidRPr="00132185" w:rsidRDefault="0063496B" w:rsidP="00132185">
      <w:pPr>
        <w:spacing w:line="360" w:lineRule="auto"/>
        <w:rPr>
          <w:rFonts w:ascii="Arial" w:eastAsia="Arial" w:hAnsi="Arial" w:cs="Arial"/>
          <w:sz w:val="22"/>
          <w:szCs w:val="22"/>
        </w:rPr>
      </w:pPr>
      <w:r w:rsidRPr="00132185">
        <w:rPr>
          <w:rFonts w:ascii="Arial" w:eastAsia="Arial" w:hAnsi="Arial" w:cs="Arial"/>
          <w:sz w:val="22"/>
          <w:szCs w:val="22"/>
        </w:rPr>
        <w:t xml:space="preserve">NHS England (n.d.) </w:t>
      </w:r>
      <w:r w:rsidRPr="00132185">
        <w:rPr>
          <w:rFonts w:ascii="Arial" w:eastAsia="Arial" w:hAnsi="Arial" w:cs="Arial"/>
          <w:i/>
          <w:iCs/>
          <w:sz w:val="22"/>
          <w:szCs w:val="22"/>
        </w:rPr>
        <w:t>What is integrated care?</w:t>
      </w:r>
      <w:r w:rsidRPr="00132185">
        <w:rPr>
          <w:rFonts w:ascii="Arial" w:eastAsia="Arial" w:hAnsi="Arial" w:cs="Arial"/>
          <w:sz w:val="22"/>
          <w:szCs w:val="22"/>
        </w:rPr>
        <w:t xml:space="preserve"> Available at: </w:t>
      </w:r>
      <w:hyperlink r:id="rId21">
        <w:r w:rsidRPr="00132185">
          <w:rPr>
            <w:rStyle w:val="Hyperlink"/>
            <w:rFonts w:ascii="Arial" w:eastAsia="Arial" w:hAnsi="Arial" w:cs="Arial"/>
            <w:sz w:val="22"/>
            <w:szCs w:val="22"/>
          </w:rPr>
          <w:t>https://www.england.nh</w:t>
        </w:r>
        <w:r w:rsidRPr="00132185">
          <w:rPr>
            <w:rStyle w:val="Hyperlink"/>
            <w:rFonts w:ascii="Arial" w:eastAsia="Arial" w:hAnsi="Arial" w:cs="Arial"/>
            <w:sz w:val="22"/>
            <w:szCs w:val="22"/>
          </w:rPr>
          <w:t>s</w:t>
        </w:r>
        <w:r w:rsidRPr="00132185">
          <w:rPr>
            <w:rStyle w:val="Hyperlink"/>
            <w:rFonts w:ascii="Arial" w:eastAsia="Arial" w:hAnsi="Arial" w:cs="Arial"/>
            <w:sz w:val="22"/>
            <w:szCs w:val="22"/>
          </w:rPr>
          <w:t>.uk/integratedcare/what-is-integrated-care/</w:t>
        </w:r>
      </w:hyperlink>
      <w:r w:rsidRPr="00132185">
        <w:rPr>
          <w:rFonts w:ascii="Arial" w:eastAsia="Arial" w:hAnsi="Arial" w:cs="Arial"/>
          <w:sz w:val="22"/>
          <w:szCs w:val="22"/>
        </w:rPr>
        <w:t xml:space="preserve"> (Accessed: </w:t>
      </w:r>
      <w:r w:rsidR="001A6226" w:rsidRPr="00132185">
        <w:rPr>
          <w:rFonts w:ascii="Arial" w:eastAsia="Arial" w:hAnsi="Arial" w:cs="Arial"/>
          <w:sz w:val="22"/>
          <w:szCs w:val="22"/>
        </w:rPr>
        <w:t>30</w:t>
      </w:r>
      <w:r w:rsidRPr="00132185">
        <w:rPr>
          <w:rFonts w:ascii="Arial" w:eastAsia="Arial" w:hAnsi="Arial" w:cs="Arial"/>
          <w:sz w:val="22"/>
          <w:szCs w:val="22"/>
        </w:rPr>
        <w:t xml:space="preserve"> July 2026).</w:t>
      </w:r>
    </w:p>
    <w:p w14:paraId="686E9E8F" w14:textId="3E82F311" w:rsidR="61345F69" w:rsidRPr="00132185" w:rsidRDefault="4B98EA47" w:rsidP="00132185">
      <w:pPr>
        <w:spacing w:line="360" w:lineRule="auto"/>
        <w:rPr>
          <w:rFonts w:ascii="Arial" w:eastAsia="Arial" w:hAnsi="Arial" w:cs="Arial"/>
          <w:sz w:val="22"/>
          <w:szCs w:val="22"/>
        </w:rPr>
      </w:pPr>
      <w:r w:rsidRPr="00132185">
        <w:rPr>
          <w:rFonts w:ascii="Arial" w:eastAsia="Arial" w:hAnsi="Arial" w:cs="Arial"/>
          <w:sz w:val="22"/>
          <w:szCs w:val="22"/>
        </w:rPr>
        <w:t xml:space="preserve">Oliver, M. (1990) </w:t>
      </w:r>
      <w:r w:rsidRPr="00132185">
        <w:rPr>
          <w:rFonts w:ascii="Arial" w:eastAsia="Arial" w:hAnsi="Arial" w:cs="Arial"/>
          <w:i/>
          <w:iCs/>
          <w:sz w:val="22"/>
          <w:szCs w:val="22"/>
        </w:rPr>
        <w:t>The Politics of Disablement</w:t>
      </w:r>
      <w:r w:rsidRPr="00132185">
        <w:rPr>
          <w:rFonts w:ascii="Arial" w:eastAsia="Arial" w:hAnsi="Arial" w:cs="Arial"/>
          <w:sz w:val="22"/>
          <w:szCs w:val="22"/>
        </w:rPr>
        <w:t>. Basingstoke: Macmill</w:t>
      </w:r>
    </w:p>
    <w:p w14:paraId="2386A475" w14:textId="66AAA904" w:rsidR="61345F69" w:rsidRPr="00132185" w:rsidRDefault="4B98EA47" w:rsidP="00132185">
      <w:pPr>
        <w:spacing w:line="360" w:lineRule="auto"/>
        <w:rPr>
          <w:rFonts w:ascii="Arial" w:eastAsia="Arial" w:hAnsi="Arial" w:cs="Arial"/>
          <w:sz w:val="22"/>
          <w:szCs w:val="22"/>
        </w:rPr>
      </w:pPr>
      <w:r w:rsidRPr="00132185">
        <w:rPr>
          <w:rFonts w:ascii="Arial" w:eastAsia="Arial" w:hAnsi="Arial" w:cs="Arial"/>
          <w:sz w:val="22"/>
          <w:szCs w:val="22"/>
        </w:rPr>
        <w:t>Scope (n.d.)</w:t>
      </w:r>
      <w:r w:rsidR="00261719" w:rsidRPr="00132185">
        <w:rPr>
          <w:rFonts w:ascii="Arial" w:eastAsia="Arial" w:hAnsi="Arial" w:cs="Arial"/>
          <w:sz w:val="22"/>
          <w:szCs w:val="22"/>
        </w:rPr>
        <w:t xml:space="preserve">. </w:t>
      </w:r>
      <w:r w:rsidRPr="00132185">
        <w:rPr>
          <w:rFonts w:ascii="Arial" w:eastAsia="Arial" w:hAnsi="Arial" w:cs="Arial"/>
          <w:i/>
          <w:iCs/>
          <w:sz w:val="22"/>
          <w:szCs w:val="22"/>
        </w:rPr>
        <w:t>Social model of disability</w:t>
      </w:r>
      <w:r w:rsidRPr="00132185">
        <w:rPr>
          <w:rFonts w:ascii="Arial" w:eastAsia="Arial" w:hAnsi="Arial" w:cs="Arial"/>
          <w:sz w:val="22"/>
          <w:szCs w:val="22"/>
        </w:rPr>
        <w:t xml:space="preserve">. Available at: </w:t>
      </w:r>
      <w:hyperlink r:id="rId22" w:history="1">
        <w:r w:rsidR="002F0045" w:rsidRPr="00132185">
          <w:rPr>
            <w:rStyle w:val="Hyperlink"/>
            <w:rFonts w:ascii="Arial" w:eastAsia="Arial" w:hAnsi="Arial" w:cs="Arial"/>
            <w:sz w:val="22"/>
            <w:szCs w:val="22"/>
          </w:rPr>
          <w:t>https://w</w:t>
        </w:r>
        <w:r w:rsidR="002F0045" w:rsidRPr="00132185">
          <w:rPr>
            <w:rStyle w:val="Hyperlink"/>
            <w:rFonts w:ascii="Arial" w:eastAsia="Arial" w:hAnsi="Arial" w:cs="Arial"/>
            <w:sz w:val="22"/>
            <w:szCs w:val="22"/>
          </w:rPr>
          <w:t>w</w:t>
        </w:r>
        <w:r w:rsidR="002F0045" w:rsidRPr="00132185">
          <w:rPr>
            <w:rStyle w:val="Hyperlink"/>
            <w:rFonts w:ascii="Arial" w:eastAsia="Arial" w:hAnsi="Arial" w:cs="Arial"/>
            <w:sz w:val="22"/>
            <w:szCs w:val="22"/>
          </w:rPr>
          <w:t>w.scope.org.uk/social-model-of-disability</w:t>
        </w:r>
      </w:hyperlink>
      <w:r w:rsidR="002F0045" w:rsidRPr="00132185">
        <w:rPr>
          <w:rFonts w:ascii="Arial" w:eastAsia="Arial" w:hAnsi="Arial" w:cs="Arial"/>
          <w:sz w:val="22"/>
          <w:szCs w:val="22"/>
        </w:rPr>
        <w:t xml:space="preserve"> </w:t>
      </w:r>
      <w:r w:rsidRPr="00132185">
        <w:rPr>
          <w:rFonts w:ascii="Arial" w:eastAsia="Arial" w:hAnsi="Arial" w:cs="Arial"/>
          <w:sz w:val="22"/>
          <w:szCs w:val="22"/>
        </w:rPr>
        <w:t xml:space="preserve">(Accessed: </w:t>
      </w:r>
      <w:r w:rsidR="001A6226" w:rsidRPr="00132185">
        <w:rPr>
          <w:rFonts w:ascii="Arial" w:eastAsia="Arial" w:hAnsi="Arial" w:cs="Arial"/>
          <w:sz w:val="22"/>
          <w:szCs w:val="22"/>
        </w:rPr>
        <w:t>30</w:t>
      </w:r>
      <w:r w:rsidRPr="00132185">
        <w:rPr>
          <w:rFonts w:ascii="Arial" w:eastAsia="Arial" w:hAnsi="Arial" w:cs="Arial"/>
          <w:sz w:val="22"/>
          <w:szCs w:val="22"/>
        </w:rPr>
        <w:t xml:space="preserve"> July 2026).</w:t>
      </w:r>
    </w:p>
    <w:p w14:paraId="549757EE" w14:textId="4A9D01FA" w:rsidR="5A21F5BB" w:rsidRPr="00132185" w:rsidRDefault="65190A10" w:rsidP="00132185">
      <w:pPr>
        <w:spacing w:line="360" w:lineRule="auto"/>
        <w:rPr>
          <w:rFonts w:ascii="Arial" w:eastAsia="Arial" w:hAnsi="Arial" w:cs="Arial"/>
          <w:sz w:val="22"/>
          <w:szCs w:val="22"/>
        </w:rPr>
      </w:pPr>
      <w:r w:rsidRPr="00132185">
        <w:rPr>
          <w:rFonts w:ascii="Arial" w:eastAsia="Arial" w:hAnsi="Arial" w:cs="Arial"/>
          <w:sz w:val="22"/>
          <w:szCs w:val="22"/>
        </w:rPr>
        <w:t xml:space="preserve">Shakespeare, T. (2006) </w:t>
      </w:r>
      <w:r w:rsidRPr="00132185">
        <w:rPr>
          <w:rFonts w:ascii="Arial" w:eastAsia="Arial" w:hAnsi="Arial" w:cs="Arial"/>
          <w:i/>
          <w:iCs/>
          <w:sz w:val="22"/>
          <w:szCs w:val="22"/>
        </w:rPr>
        <w:t>Disability Rights and Wrongs</w:t>
      </w:r>
      <w:r w:rsidRPr="00132185">
        <w:rPr>
          <w:rFonts w:ascii="Arial" w:eastAsia="Arial" w:hAnsi="Arial" w:cs="Arial"/>
          <w:sz w:val="22"/>
          <w:szCs w:val="22"/>
        </w:rPr>
        <w:t xml:space="preserve">. </w:t>
      </w:r>
      <w:r w:rsidR="008375AF" w:rsidRPr="00132185">
        <w:rPr>
          <w:rFonts w:ascii="Arial" w:eastAsia="Arial" w:hAnsi="Arial" w:cs="Arial"/>
          <w:sz w:val="22"/>
          <w:szCs w:val="22"/>
        </w:rPr>
        <w:t>London: Routledge.</w:t>
      </w:r>
    </w:p>
    <w:p w14:paraId="3E8934CA" w14:textId="19822E51" w:rsidR="091A3BEC" w:rsidRPr="00132185" w:rsidRDefault="4737585A" w:rsidP="00132185">
      <w:pPr>
        <w:spacing w:line="360" w:lineRule="auto"/>
        <w:rPr>
          <w:rFonts w:ascii="Arial" w:eastAsia="Arial" w:hAnsi="Arial" w:cs="Arial"/>
          <w:sz w:val="22"/>
          <w:szCs w:val="22"/>
        </w:rPr>
      </w:pPr>
      <w:r w:rsidRPr="00132185">
        <w:rPr>
          <w:rFonts w:ascii="Arial" w:eastAsia="Arial" w:hAnsi="Arial" w:cs="Arial"/>
          <w:sz w:val="22"/>
          <w:szCs w:val="22"/>
        </w:rPr>
        <w:t xml:space="preserve">Thwaites, C., McKercher, J.P., Fetherstonhaugh, D., Blackberry, I. and Gilmartin-Thomas, J.F.M. (2023) ‘Factors impacting retention of aged care workers: a systematic review’, </w:t>
      </w:r>
      <w:r w:rsidRPr="00132185">
        <w:rPr>
          <w:rFonts w:ascii="Arial" w:eastAsia="Arial" w:hAnsi="Arial" w:cs="Arial"/>
          <w:i/>
          <w:iCs/>
          <w:sz w:val="22"/>
          <w:szCs w:val="22"/>
        </w:rPr>
        <w:lastRenderedPageBreak/>
        <w:t>Healthcare</w:t>
      </w:r>
      <w:r w:rsidRPr="00132185">
        <w:rPr>
          <w:rFonts w:ascii="Arial" w:eastAsia="Arial" w:hAnsi="Arial" w:cs="Arial"/>
          <w:sz w:val="22"/>
          <w:szCs w:val="22"/>
        </w:rPr>
        <w:t xml:space="preserve">, 11(23), 3008. Available at: </w:t>
      </w:r>
      <w:hyperlink r:id="rId23" w:history="1">
        <w:r w:rsidR="00964BBD" w:rsidRPr="00132185">
          <w:rPr>
            <w:rStyle w:val="Hyperlink"/>
            <w:rFonts w:ascii="Arial" w:eastAsia="Arial" w:hAnsi="Arial" w:cs="Arial"/>
            <w:sz w:val="22"/>
            <w:szCs w:val="22"/>
          </w:rPr>
          <w:t>https://www.mdpi.com/2227-9032/11/23/3008</w:t>
        </w:r>
      </w:hyperlink>
      <w:r w:rsidR="00964BBD" w:rsidRPr="00132185">
        <w:rPr>
          <w:rFonts w:ascii="Arial" w:eastAsia="Arial" w:hAnsi="Arial" w:cs="Arial"/>
          <w:sz w:val="22"/>
          <w:szCs w:val="22"/>
        </w:rPr>
        <w:t xml:space="preserve"> </w:t>
      </w:r>
      <w:r w:rsidRPr="00132185">
        <w:rPr>
          <w:rFonts w:ascii="Arial" w:eastAsia="Arial" w:hAnsi="Arial" w:cs="Arial"/>
          <w:sz w:val="22"/>
          <w:szCs w:val="22"/>
        </w:rPr>
        <w:t xml:space="preserve">(Accessed: </w:t>
      </w:r>
      <w:r w:rsidR="001A6226" w:rsidRPr="00132185">
        <w:rPr>
          <w:rFonts w:ascii="Arial" w:eastAsia="Arial" w:hAnsi="Arial" w:cs="Arial"/>
          <w:sz w:val="22"/>
          <w:szCs w:val="22"/>
        </w:rPr>
        <w:t>30</w:t>
      </w:r>
      <w:r w:rsidRPr="00132185">
        <w:rPr>
          <w:rFonts w:ascii="Arial" w:eastAsia="Arial" w:hAnsi="Arial" w:cs="Arial"/>
          <w:sz w:val="22"/>
          <w:szCs w:val="22"/>
        </w:rPr>
        <w:t xml:space="preserve"> July 2026).</w:t>
      </w:r>
    </w:p>
    <w:p w14:paraId="1071C578" w14:textId="7344AE4F" w:rsidR="1579D6FF" w:rsidRPr="00132185" w:rsidRDefault="04DAC137" w:rsidP="00132185">
      <w:pPr>
        <w:spacing w:before="240" w:after="240" w:line="360" w:lineRule="auto"/>
        <w:rPr>
          <w:rFonts w:ascii="Arial" w:eastAsia="Arial" w:hAnsi="Arial" w:cs="Arial"/>
          <w:sz w:val="22"/>
          <w:szCs w:val="22"/>
        </w:rPr>
      </w:pPr>
      <w:r w:rsidRPr="00132185">
        <w:rPr>
          <w:rFonts w:ascii="Arial" w:eastAsia="Arial" w:hAnsi="Arial" w:cs="Arial"/>
          <w:sz w:val="22"/>
          <w:szCs w:val="22"/>
        </w:rPr>
        <w:t xml:space="preserve">Wolf, A., Moore, L., Lydahl, D., Naldemirci, Ö., Elam, M. and Britten, N. (2017) ‘The realities of partnership in person-centred care: a qualitative interview study with patients and professionals’, </w:t>
      </w:r>
      <w:r w:rsidRPr="00132185">
        <w:rPr>
          <w:rFonts w:ascii="Arial" w:eastAsia="Arial" w:hAnsi="Arial" w:cs="Arial"/>
          <w:i/>
          <w:iCs/>
          <w:sz w:val="22"/>
          <w:szCs w:val="22"/>
        </w:rPr>
        <w:t>BMJ Open</w:t>
      </w:r>
      <w:r w:rsidRPr="00132185">
        <w:rPr>
          <w:rFonts w:ascii="Arial" w:eastAsia="Arial" w:hAnsi="Arial" w:cs="Arial"/>
          <w:sz w:val="22"/>
          <w:szCs w:val="22"/>
        </w:rPr>
        <w:t xml:space="preserve">, 7(7), e016491. Available at: </w:t>
      </w:r>
      <w:hyperlink r:id="rId24">
        <w:r w:rsidR="35E5EBAD" w:rsidRPr="00132185">
          <w:rPr>
            <w:rStyle w:val="Hyperlink"/>
            <w:rFonts w:ascii="Arial" w:eastAsia="Arial" w:hAnsi="Arial" w:cs="Arial"/>
            <w:sz w:val="22"/>
            <w:szCs w:val="22"/>
          </w:rPr>
          <w:t>https://bmjopen.bm</w:t>
        </w:r>
        <w:r w:rsidR="35E5EBAD" w:rsidRPr="00132185">
          <w:rPr>
            <w:rStyle w:val="Hyperlink"/>
            <w:rFonts w:ascii="Arial" w:eastAsia="Arial" w:hAnsi="Arial" w:cs="Arial"/>
            <w:sz w:val="22"/>
            <w:szCs w:val="22"/>
          </w:rPr>
          <w:t>j</w:t>
        </w:r>
        <w:r w:rsidR="35E5EBAD" w:rsidRPr="00132185">
          <w:rPr>
            <w:rStyle w:val="Hyperlink"/>
            <w:rFonts w:ascii="Arial" w:eastAsia="Arial" w:hAnsi="Arial" w:cs="Arial"/>
            <w:sz w:val="22"/>
            <w:szCs w:val="22"/>
          </w:rPr>
          <w:t>.com/content/7/7/e016491.abstract</w:t>
        </w:r>
      </w:hyperlink>
      <w:r w:rsidR="35E5EBAD" w:rsidRPr="00132185">
        <w:rPr>
          <w:rFonts w:ascii="Arial" w:eastAsia="Arial" w:hAnsi="Arial" w:cs="Arial"/>
          <w:sz w:val="22"/>
          <w:szCs w:val="22"/>
        </w:rPr>
        <w:t xml:space="preserve"> </w:t>
      </w:r>
      <w:r w:rsidRPr="00132185">
        <w:rPr>
          <w:rFonts w:ascii="Arial" w:eastAsia="Arial" w:hAnsi="Arial" w:cs="Arial"/>
          <w:sz w:val="22"/>
          <w:szCs w:val="22"/>
        </w:rPr>
        <w:t xml:space="preserve">(Accessed: </w:t>
      </w:r>
      <w:r w:rsidR="0076343E" w:rsidRPr="00132185">
        <w:rPr>
          <w:rFonts w:ascii="Arial" w:eastAsia="Arial" w:hAnsi="Arial" w:cs="Arial"/>
          <w:sz w:val="22"/>
          <w:szCs w:val="22"/>
        </w:rPr>
        <w:t>30</w:t>
      </w:r>
      <w:r w:rsidRPr="00132185">
        <w:rPr>
          <w:rFonts w:ascii="Arial" w:eastAsia="Arial" w:hAnsi="Arial" w:cs="Arial"/>
          <w:sz w:val="22"/>
          <w:szCs w:val="22"/>
        </w:rPr>
        <w:t xml:space="preserve"> July 2026).</w:t>
      </w:r>
    </w:p>
    <w:p w14:paraId="1846DFB8" w14:textId="3AB78B42" w:rsidR="274EBD2F" w:rsidRPr="00132185" w:rsidRDefault="274EBD2F" w:rsidP="00132185">
      <w:pPr>
        <w:spacing w:line="360" w:lineRule="auto"/>
        <w:rPr>
          <w:rFonts w:ascii="Arial" w:eastAsia="Arial" w:hAnsi="Arial" w:cs="Arial"/>
          <w:sz w:val="22"/>
          <w:szCs w:val="22"/>
        </w:rPr>
      </w:pPr>
    </w:p>
    <w:sectPr w:rsidR="274EBD2F" w:rsidRPr="00132185">
      <w:headerReference w:type="default"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3D013" w14:textId="77777777" w:rsidR="00F738AC" w:rsidRDefault="00F738AC">
      <w:pPr>
        <w:spacing w:after="0" w:line="240" w:lineRule="auto"/>
      </w:pPr>
      <w:r>
        <w:separator/>
      </w:r>
    </w:p>
  </w:endnote>
  <w:endnote w:type="continuationSeparator" w:id="0">
    <w:p w14:paraId="516268E8" w14:textId="77777777" w:rsidR="00F738AC" w:rsidRDefault="00F73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CB6697" w14:paraId="28E72557" w14:textId="77777777" w:rsidTr="274EBD2F">
      <w:trPr>
        <w:trHeight w:val="300"/>
      </w:trPr>
      <w:tc>
        <w:tcPr>
          <w:tcW w:w="3005" w:type="dxa"/>
        </w:tcPr>
        <w:p w14:paraId="120AE7BE" w14:textId="75DF05E0" w:rsidR="00CB6697" w:rsidRDefault="00CB6697" w:rsidP="274EBD2F">
          <w:pPr>
            <w:pStyle w:val="Header"/>
            <w:ind w:left="-115"/>
          </w:pPr>
        </w:p>
      </w:tc>
      <w:tc>
        <w:tcPr>
          <w:tcW w:w="3005" w:type="dxa"/>
        </w:tcPr>
        <w:p w14:paraId="1B9419CE" w14:textId="04E6F816" w:rsidR="00CB6697" w:rsidRDefault="00CB6697" w:rsidP="274EBD2F">
          <w:pPr>
            <w:pStyle w:val="Header"/>
            <w:jc w:val="center"/>
          </w:pPr>
          <w:r>
            <w:fldChar w:fldCharType="begin"/>
          </w:r>
          <w:r>
            <w:instrText>PAGE</w:instrText>
          </w:r>
          <w:r>
            <w:fldChar w:fldCharType="separate"/>
          </w:r>
          <w:r>
            <w:rPr>
              <w:noProof/>
            </w:rPr>
            <w:t>1</w:t>
          </w:r>
          <w:r>
            <w:fldChar w:fldCharType="end"/>
          </w:r>
        </w:p>
      </w:tc>
      <w:tc>
        <w:tcPr>
          <w:tcW w:w="3005" w:type="dxa"/>
        </w:tcPr>
        <w:p w14:paraId="2020488F" w14:textId="56F6D321" w:rsidR="00CB6697" w:rsidRDefault="00CB6697" w:rsidP="274EBD2F">
          <w:pPr>
            <w:pStyle w:val="Header"/>
            <w:ind w:right="-115"/>
            <w:jc w:val="right"/>
          </w:pPr>
        </w:p>
      </w:tc>
    </w:tr>
  </w:tbl>
  <w:p w14:paraId="17D1B35B" w14:textId="5F59373E" w:rsidR="00CB6697" w:rsidRDefault="00CB6697" w:rsidP="274EB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68426" w14:textId="77777777" w:rsidR="00F738AC" w:rsidRDefault="00F738AC">
      <w:pPr>
        <w:spacing w:after="0" w:line="240" w:lineRule="auto"/>
      </w:pPr>
      <w:r>
        <w:separator/>
      </w:r>
    </w:p>
  </w:footnote>
  <w:footnote w:type="continuationSeparator" w:id="0">
    <w:p w14:paraId="172826EA" w14:textId="77777777" w:rsidR="00F738AC" w:rsidRDefault="00F738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CB6697" w14:paraId="269D8FBB" w14:textId="77777777" w:rsidTr="274EBD2F">
      <w:trPr>
        <w:trHeight w:val="300"/>
      </w:trPr>
      <w:tc>
        <w:tcPr>
          <w:tcW w:w="3005" w:type="dxa"/>
        </w:tcPr>
        <w:p w14:paraId="7B8CD771" w14:textId="76759686" w:rsidR="00CB6697" w:rsidRDefault="00CB6697" w:rsidP="274EBD2F">
          <w:pPr>
            <w:pStyle w:val="Header"/>
            <w:ind w:left="-115"/>
          </w:pPr>
        </w:p>
      </w:tc>
      <w:tc>
        <w:tcPr>
          <w:tcW w:w="3005" w:type="dxa"/>
        </w:tcPr>
        <w:p w14:paraId="71CD875A" w14:textId="4D33F630" w:rsidR="00CB6697" w:rsidRDefault="00CB6697" w:rsidP="274EBD2F">
          <w:pPr>
            <w:pStyle w:val="Header"/>
            <w:jc w:val="center"/>
          </w:pPr>
        </w:p>
      </w:tc>
      <w:tc>
        <w:tcPr>
          <w:tcW w:w="3005" w:type="dxa"/>
        </w:tcPr>
        <w:p w14:paraId="7E67F4F4" w14:textId="149A054E" w:rsidR="00CB6697" w:rsidRDefault="00CB6697" w:rsidP="274EBD2F">
          <w:pPr>
            <w:pStyle w:val="Header"/>
            <w:ind w:right="-115"/>
            <w:jc w:val="right"/>
          </w:pPr>
        </w:p>
      </w:tc>
    </w:tr>
  </w:tbl>
  <w:p w14:paraId="73B59C49" w14:textId="3E992C80" w:rsidR="00CB6697" w:rsidRDefault="00CB6697" w:rsidP="274EBD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0D4168"/>
    <w:rsid w:val="00021102"/>
    <w:rsid w:val="000644CE"/>
    <w:rsid w:val="000677AC"/>
    <w:rsid w:val="000D1659"/>
    <w:rsid w:val="000D2B39"/>
    <w:rsid w:val="00132185"/>
    <w:rsid w:val="00147DBE"/>
    <w:rsid w:val="00182CE9"/>
    <w:rsid w:val="001A0D65"/>
    <w:rsid w:val="001A6226"/>
    <w:rsid w:val="001C6F6A"/>
    <w:rsid w:val="001D4ADE"/>
    <w:rsid w:val="001E03E0"/>
    <w:rsid w:val="001E0877"/>
    <w:rsid w:val="00200154"/>
    <w:rsid w:val="00231D70"/>
    <w:rsid w:val="0023733D"/>
    <w:rsid w:val="0024128D"/>
    <w:rsid w:val="00261719"/>
    <w:rsid w:val="002831E8"/>
    <w:rsid w:val="00286A7A"/>
    <w:rsid w:val="002A7CDC"/>
    <w:rsid w:val="002C0233"/>
    <w:rsid w:val="002D1015"/>
    <w:rsid w:val="002F0045"/>
    <w:rsid w:val="002F6E35"/>
    <w:rsid w:val="00361B08"/>
    <w:rsid w:val="00361F15"/>
    <w:rsid w:val="003A2F50"/>
    <w:rsid w:val="003F6E5A"/>
    <w:rsid w:val="00410711"/>
    <w:rsid w:val="0041319F"/>
    <w:rsid w:val="00426903"/>
    <w:rsid w:val="004549E7"/>
    <w:rsid w:val="00456CBA"/>
    <w:rsid w:val="00491C8A"/>
    <w:rsid w:val="004F47BE"/>
    <w:rsid w:val="005A0528"/>
    <w:rsid w:val="005C6F1A"/>
    <w:rsid w:val="00607C20"/>
    <w:rsid w:val="0063496B"/>
    <w:rsid w:val="00646088"/>
    <w:rsid w:val="0065090E"/>
    <w:rsid w:val="006643AF"/>
    <w:rsid w:val="0068317F"/>
    <w:rsid w:val="006875DA"/>
    <w:rsid w:val="00693620"/>
    <w:rsid w:val="00695A98"/>
    <w:rsid w:val="006A0174"/>
    <w:rsid w:val="006B4ED9"/>
    <w:rsid w:val="006C0961"/>
    <w:rsid w:val="006F7DB1"/>
    <w:rsid w:val="00701CC1"/>
    <w:rsid w:val="007048FA"/>
    <w:rsid w:val="00733EF1"/>
    <w:rsid w:val="00753642"/>
    <w:rsid w:val="0076343E"/>
    <w:rsid w:val="007636F4"/>
    <w:rsid w:val="007756DB"/>
    <w:rsid w:val="00782FFF"/>
    <w:rsid w:val="007A595E"/>
    <w:rsid w:val="007B6100"/>
    <w:rsid w:val="007D4EA7"/>
    <w:rsid w:val="007E4FA2"/>
    <w:rsid w:val="00832BB9"/>
    <w:rsid w:val="008375AF"/>
    <w:rsid w:val="00884F6D"/>
    <w:rsid w:val="008A63A0"/>
    <w:rsid w:val="008D540C"/>
    <w:rsid w:val="008D593A"/>
    <w:rsid w:val="008F4244"/>
    <w:rsid w:val="008F6543"/>
    <w:rsid w:val="0092509A"/>
    <w:rsid w:val="00935434"/>
    <w:rsid w:val="00953B41"/>
    <w:rsid w:val="00964BBD"/>
    <w:rsid w:val="00964D27"/>
    <w:rsid w:val="00987217"/>
    <w:rsid w:val="009D1F64"/>
    <w:rsid w:val="009D24CF"/>
    <w:rsid w:val="009F785B"/>
    <w:rsid w:val="00A32753"/>
    <w:rsid w:val="00A3348B"/>
    <w:rsid w:val="00A3376C"/>
    <w:rsid w:val="00A4617E"/>
    <w:rsid w:val="00A70F16"/>
    <w:rsid w:val="00A83639"/>
    <w:rsid w:val="00A8566F"/>
    <w:rsid w:val="00AB3680"/>
    <w:rsid w:val="00AE64D2"/>
    <w:rsid w:val="00AF1171"/>
    <w:rsid w:val="00AF3CB5"/>
    <w:rsid w:val="00AF6573"/>
    <w:rsid w:val="00B16E4F"/>
    <w:rsid w:val="00B310D1"/>
    <w:rsid w:val="00B519BD"/>
    <w:rsid w:val="00B54DF7"/>
    <w:rsid w:val="00B72CBD"/>
    <w:rsid w:val="00B8369E"/>
    <w:rsid w:val="00B917B3"/>
    <w:rsid w:val="00BA3675"/>
    <w:rsid w:val="00BA3902"/>
    <w:rsid w:val="00BEA74F"/>
    <w:rsid w:val="00BF11FB"/>
    <w:rsid w:val="00BF3C0B"/>
    <w:rsid w:val="00C107C0"/>
    <w:rsid w:val="00C377D0"/>
    <w:rsid w:val="00C512EE"/>
    <w:rsid w:val="00C52C42"/>
    <w:rsid w:val="00C52CE4"/>
    <w:rsid w:val="00C74FAC"/>
    <w:rsid w:val="00C76F31"/>
    <w:rsid w:val="00C968AC"/>
    <w:rsid w:val="00CB37ED"/>
    <w:rsid w:val="00CB6697"/>
    <w:rsid w:val="00CD4AF8"/>
    <w:rsid w:val="00CF6326"/>
    <w:rsid w:val="00D26388"/>
    <w:rsid w:val="00D3A5F5"/>
    <w:rsid w:val="00D422C1"/>
    <w:rsid w:val="00D4421A"/>
    <w:rsid w:val="00D61CE2"/>
    <w:rsid w:val="00D87422"/>
    <w:rsid w:val="00D87CDD"/>
    <w:rsid w:val="00D92A33"/>
    <w:rsid w:val="00D96F9E"/>
    <w:rsid w:val="00DA4004"/>
    <w:rsid w:val="00DB2339"/>
    <w:rsid w:val="00DB7F95"/>
    <w:rsid w:val="00E019AB"/>
    <w:rsid w:val="00E07086"/>
    <w:rsid w:val="00E1108E"/>
    <w:rsid w:val="00E56EE8"/>
    <w:rsid w:val="00E6765A"/>
    <w:rsid w:val="00E7322B"/>
    <w:rsid w:val="00E91901"/>
    <w:rsid w:val="00E92AF8"/>
    <w:rsid w:val="00EE1AA4"/>
    <w:rsid w:val="00EE1BB3"/>
    <w:rsid w:val="00F30A92"/>
    <w:rsid w:val="00F325D0"/>
    <w:rsid w:val="00F32D68"/>
    <w:rsid w:val="00F33790"/>
    <w:rsid w:val="00F738AC"/>
    <w:rsid w:val="00F745CC"/>
    <w:rsid w:val="00F90619"/>
    <w:rsid w:val="00FA02E2"/>
    <w:rsid w:val="00FA2441"/>
    <w:rsid w:val="00FD3B2D"/>
    <w:rsid w:val="00FF2879"/>
    <w:rsid w:val="00FF6B45"/>
    <w:rsid w:val="011012EE"/>
    <w:rsid w:val="01AA0DF8"/>
    <w:rsid w:val="01B2C19F"/>
    <w:rsid w:val="027B004E"/>
    <w:rsid w:val="0306DD99"/>
    <w:rsid w:val="04DAC137"/>
    <w:rsid w:val="0544CBA7"/>
    <w:rsid w:val="05617F8D"/>
    <w:rsid w:val="06330BA4"/>
    <w:rsid w:val="0644E24D"/>
    <w:rsid w:val="079DDE29"/>
    <w:rsid w:val="088387C0"/>
    <w:rsid w:val="091A3BEC"/>
    <w:rsid w:val="091B0235"/>
    <w:rsid w:val="092177CB"/>
    <w:rsid w:val="097A9BFE"/>
    <w:rsid w:val="0AC4CD0D"/>
    <w:rsid w:val="0AD6B171"/>
    <w:rsid w:val="0B4BF07F"/>
    <w:rsid w:val="0C43FB25"/>
    <w:rsid w:val="1020F139"/>
    <w:rsid w:val="1080F04F"/>
    <w:rsid w:val="10B34BE3"/>
    <w:rsid w:val="13ECF385"/>
    <w:rsid w:val="152D45B0"/>
    <w:rsid w:val="155BB2B7"/>
    <w:rsid w:val="1579D6FF"/>
    <w:rsid w:val="17198124"/>
    <w:rsid w:val="188CF240"/>
    <w:rsid w:val="18FC7FB3"/>
    <w:rsid w:val="191222AC"/>
    <w:rsid w:val="1B103950"/>
    <w:rsid w:val="1BD566CB"/>
    <w:rsid w:val="1C0AF81A"/>
    <w:rsid w:val="1C66A882"/>
    <w:rsid w:val="1D686E6A"/>
    <w:rsid w:val="1DDEF49E"/>
    <w:rsid w:val="1E93DB94"/>
    <w:rsid w:val="207ECA0B"/>
    <w:rsid w:val="21DBFB8E"/>
    <w:rsid w:val="2282998F"/>
    <w:rsid w:val="22F4829E"/>
    <w:rsid w:val="23000FB6"/>
    <w:rsid w:val="231F23C2"/>
    <w:rsid w:val="23F3B5D1"/>
    <w:rsid w:val="24FA50B8"/>
    <w:rsid w:val="25BA44BF"/>
    <w:rsid w:val="273290CF"/>
    <w:rsid w:val="274EBD2F"/>
    <w:rsid w:val="2905089B"/>
    <w:rsid w:val="299C7A43"/>
    <w:rsid w:val="29BE2386"/>
    <w:rsid w:val="29C1659B"/>
    <w:rsid w:val="2A788DC3"/>
    <w:rsid w:val="2AB31996"/>
    <w:rsid w:val="2B3B183E"/>
    <w:rsid w:val="2B43C8C5"/>
    <w:rsid w:val="2B6C7DF2"/>
    <w:rsid w:val="2B9F83AE"/>
    <w:rsid w:val="2C6139EC"/>
    <w:rsid w:val="2C88DFF9"/>
    <w:rsid w:val="2F173CD9"/>
    <w:rsid w:val="2F30C8ED"/>
    <w:rsid w:val="2F4BB2D6"/>
    <w:rsid w:val="30CA7A58"/>
    <w:rsid w:val="31388E81"/>
    <w:rsid w:val="330E409F"/>
    <w:rsid w:val="33352D27"/>
    <w:rsid w:val="34DA043C"/>
    <w:rsid w:val="35E5EBAD"/>
    <w:rsid w:val="365D0AB8"/>
    <w:rsid w:val="37244B78"/>
    <w:rsid w:val="383A89B8"/>
    <w:rsid w:val="38E6194B"/>
    <w:rsid w:val="391B4780"/>
    <w:rsid w:val="394620B3"/>
    <w:rsid w:val="398E03C2"/>
    <w:rsid w:val="3A88B085"/>
    <w:rsid w:val="3D881171"/>
    <w:rsid w:val="3E0345E1"/>
    <w:rsid w:val="3F22044B"/>
    <w:rsid w:val="4265181A"/>
    <w:rsid w:val="42D6DFB2"/>
    <w:rsid w:val="42FE3D76"/>
    <w:rsid w:val="437F12C6"/>
    <w:rsid w:val="46381EA3"/>
    <w:rsid w:val="46A936E1"/>
    <w:rsid w:val="4737585A"/>
    <w:rsid w:val="476D3AC9"/>
    <w:rsid w:val="48890AD3"/>
    <w:rsid w:val="4911E80A"/>
    <w:rsid w:val="49132DD5"/>
    <w:rsid w:val="49F0B8F7"/>
    <w:rsid w:val="4A18CED0"/>
    <w:rsid w:val="4B53A12B"/>
    <w:rsid w:val="4B617524"/>
    <w:rsid w:val="4B98EA47"/>
    <w:rsid w:val="4C0D4168"/>
    <w:rsid w:val="4C125C0F"/>
    <w:rsid w:val="4D0B350A"/>
    <w:rsid w:val="4DC3EB3B"/>
    <w:rsid w:val="4DD59494"/>
    <w:rsid w:val="4EBA3BA8"/>
    <w:rsid w:val="4EBC4BEC"/>
    <w:rsid w:val="4F13F387"/>
    <w:rsid w:val="512EA605"/>
    <w:rsid w:val="5201FFED"/>
    <w:rsid w:val="520E9A6B"/>
    <w:rsid w:val="521143BB"/>
    <w:rsid w:val="524DA53F"/>
    <w:rsid w:val="52CB75D9"/>
    <w:rsid w:val="5411F9C4"/>
    <w:rsid w:val="542999D8"/>
    <w:rsid w:val="546B5F6A"/>
    <w:rsid w:val="553A327A"/>
    <w:rsid w:val="561008D0"/>
    <w:rsid w:val="56359038"/>
    <w:rsid w:val="56F0E1F0"/>
    <w:rsid w:val="573DEAC5"/>
    <w:rsid w:val="57539550"/>
    <w:rsid w:val="58E92247"/>
    <w:rsid w:val="5935AA46"/>
    <w:rsid w:val="59C68A62"/>
    <w:rsid w:val="5A21F5BB"/>
    <w:rsid w:val="5A6DC4F2"/>
    <w:rsid w:val="5CDB9549"/>
    <w:rsid w:val="5D55F218"/>
    <w:rsid w:val="5E5CFC68"/>
    <w:rsid w:val="5F6B9C80"/>
    <w:rsid w:val="5FD2D7E8"/>
    <w:rsid w:val="5FDD5536"/>
    <w:rsid w:val="6021B422"/>
    <w:rsid w:val="60FD723F"/>
    <w:rsid w:val="61345F69"/>
    <w:rsid w:val="6283FD87"/>
    <w:rsid w:val="647000B7"/>
    <w:rsid w:val="64B10192"/>
    <w:rsid w:val="65190A10"/>
    <w:rsid w:val="6522255F"/>
    <w:rsid w:val="652A5C4D"/>
    <w:rsid w:val="6564FC30"/>
    <w:rsid w:val="66FCB826"/>
    <w:rsid w:val="67E797E9"/>
    <w:rsid w:val="69D21235"/>
    <w:rsid w:val="6ADB7B59"/>
    <w:rsid w:val="6B6C0BDD"/>
    <w:rsid w:val="6D8EDD12"/>
    <w:rsid w:val="6DC517EC"/>
    <w:rsid w:val="6EDB51F8"/>
    <w:rsid w:val="6F018855"/>
    <w:rsid w:val="7116FF8B"/>
    <w:rsid w:val="723A254D"/>
    <w:rsid w:val="755F2107"/>
    <w:rsid w:val="75C2B462"/>
    <w:rsid w:val="7812BC4F"/>
    <w:rsid w:val="781D4E5E"/>
    <w:rsid w:val="78A4DEAA"/>
    <w:rsid w:val="78B1CB28"/>
    <w:rsid w:val="78E3117C"/>
    <w:rsid w:val="7985766F"/>
    <w:rsid w:val="7BB9001E"/>
    <w:rsid w:val="7CA265C7"/>
    <w:rsid w:val="7D3A8EFD"/>
    <w:rsid w:val="7D743961"/>
    <w:rsid w:val="7DD78DA2"/>
    <w:rsid w:val="7E0E4F57"/>
    <w:rsid w:val="7E6843ED"/>
    <w:rsid w:val="7E786FB0"/>
    <w:rsid w:val="7E809122"/>
    <w:rsid w:val="7F1DE803"/>
    <w:rsid w:val="7F28A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86CEB"/>
  <w15:chartTrackingRefBased/>
  <w15:docId w15:val="{9A63E8A0-56A4-4CBC-9BC0-7D789C0B6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274EBD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274EBD2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74EBD2F"/>
    <w:pPr>
      <w:tabs>
        <w:tab w:val="center" w:pos="4680"/>
        <w:tab w:val="right" w:pos="9360"/>
      </w:tabs>
      <w:spacing w:after="0" w:line="240" w:lineRule="auto"/>
    </w:pPr>
  </w:style>
  <w:style w:type="paragraph" w:styleId="Footer">
    <w:name w:val="footer"/>
    <w:basedOn w:val="Normal"/>
    <w:uiPriority w:val="99"/>
    <w:unhideWhenUsed/>
    <w:rsid w:val="274EBD2F"/>
    <w:pPr>
      <w:tabs>
        <w:tab w:val="center" w:pos="4680"/>
        <w:tab w:val="right" w:pos="9360"/>
      </w:tabs>
      <w:spacing w:after="0" w:line="240" w:lineRule="auto"/>
    </w:pPr>
  </w:style>
  <w:style w:type="character" w:styleId="Hyperlink">
    <w:name w:val="Hyperlink"/>
    <w:basedOn w:val="DefaultParagraphFont"/>
    <w:uiPriority w:val="99"/>
    <w:unhideWhenUsed/>
    <w:rsid w:val="274EBD2F"/>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695A98"/>
    <w:rPr>
      <w:rFonts w:eastAsiaTheme="majorEastAsia" w:cstheme="majorBidi"/>
      <w:color w:val="0F4761" w:themeColor="accent1" w:themeShade="BF"/>
      <w:sz w:val="28"/>
      <w:szCs w:val="28"/>
    </w:rPr>
  </w:style>
  <w:style w:type="paragraph" w:styleId="NormalWeb">
    <w:name w:val="Normal (Web)"/>
    <w:basedOn w:val="Normal"/>
    <w:uiPriority w:val="99"/>
    <w:semiHidden/>
    <w:unhideWhenUsed/>
    <w:rsid w:val="00695A98"/>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B16E4F"/>
    <w:rPr>
      <w:color w:val="96607D" w:themeColor="followedHyperlink"/>
      <w:u w:val="single"/>
    </w:rPr>
  </w:style>
  <w:style w:type="character" w:styleId="UnresolvedMention">
    <w:name w:val="Unresolved Mention"/>
    <w:basedOn w:val="DefaultParagraphFont"/>
    <w:uiPriority w:val="99"/>
    <w:semiHidden/>
    <w:unhideWhenUsed/>
    <w:rsid w:val="00AB36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www.legislation.gov.uk/ukpga/2005/9/content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ngland.nhs.uk/integratedcare/what-is-integrated-care/" TargetMode="External"/><Relationship Id="rId7" Type="http://schemas.openxmlformats.org/officeDocument/2006/relationships/hyperlink" Target="https://academic.oup.com/gerontologist/article/64/5/gnad052/7152914" TargetMode="External"/><Relationship Id="rId12" Type="http://schemas.openxmlformats.org/officeDocument/2006/relationships/hyperlink" Target="https://www.sciencedirect.com/science/article/pii/S1525861021011026" TargetMode="External"/><Relationship Id="rId17" Type="http://schemas.openxmlformats.org/officeDocument/2006/relationships/hyperlink" Target="https://academic.oup.com/gerontologist/article/65/6/gnaf111/8082030"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egislation.gov.uk/ukpga/2022/31/contents" TargetMode="External"/><Relationship Id="rId20" Type="http://schemas.openxmlformats.org/officeDocument/2006/relationships/hyperlink" Target="https://www.nice.org.uk/guidance/ng10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digital-working-in-adult-social-care-what-good-looks-like" TargetMode="External"/><Relationship Id="rId24" Type="http://schemas.openxmlformats.org/officeDocument/2006/relationships/hyperlink" Target="https://bmjopen.bmj.com/content/7/7/e016491.abstract" TargetMode="External"/><Relationship Id="rId5" Type="http://schemas.openxmlformats.org/officeDocument/2006/relationships/footnotes" Target="footnotes.xml"/><Relationship Id="rId15" Type="http://schemas.openxmlformats.org/officeDocument/2006/relationships/hyperlink" Target="https://www.frontiersin.org/journals/psychiatry/articles/10.3389/fpsyt.2024.1523501/full" TargetMode="External"/><Relationship Id="rId23" Type="http://schemas.openxmlformats.org/officeDocument/2006/relationships/hyperlink" Target="https://www.mdpi.com/2227-9032/11/23/3008" TargetMode="External"/><Relationship Id="rId28" Type="http://schemas.openxmlformats.org/officeDocument/2006/relationships/theme" Target="theme/theme1.xml"/><Relationship Id="rId10" Type="http://schemas.openxmlformats.org/officeDocument/2006/relationships/hyperlink" Target="https://pmc.ncbi.nlm.nih.gov/articles/PMC6465833/" TargetMode="External"/><Relationship Id="rId19" Type="http://schemas.openxmlformats.org/officeDocument/2006/relationships/hyperlink" Target="https://journals.sagepub.com/doi/full/10.1177/0969733020948115" TargetMode="External"/><Relationship Id="rId4" Type="http://schemas.openxmlformats.org/officeDocument/2006/relationships/webSettings" Target="webSettings.xml"/><Relationship Id="rId9" Type="http://schemas.openxmlformats.org/officeDocument/2006/relationships/hyperlink" Target="https://www.cqc.org.uk/guidance-regulation/providers/regulations-service-providers-and-managers/health-social-care-act/regulation-9" TargetMode="External"/><Relationship Id="rId14" Type="http://schemas.openxmlformats.org/officeDocument/2006/relationships/hyperlink" Target="https://academic.oup.com/ageing/article/53/2/afae004/7606438" TargetMode="External"/><Relationship Id="rId22" Type="http://schemas.openxmlformats.org/officeDocument/2006/relationships/hyperlink" Target="https://www.scope.org.uk/social-model-of-disabili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3514</Words>
  <Characters>20034</Characters>
  <Application>Microsoft Office Word</Application>
  <DocSecurity>0</DocSecurity>
  <Lines>166</Lines>
  <Paragraphs>47</Paragraphs>
  <ScaleCrop>false</ScaleCrop>
  <Company/>
  <LinksUpToDate>false</LinksUpToDate>
  <CharactersWithSpaces>23501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Begum (2324332)</dc:creator>
  <cp:keywords/>
  <dc:description/>
  <cp:lastModifiedBy>Zahra Begum (2324332)</cp:lastModifiedBy>
  <cp:revision>158</cp:revision>
  <dcterms:created xsi:type="dcterms:W3CDTF">2026-07-08T17:43:00Z</dcterms:created>
  <dcterms:modified xsi:type="dcterms:W3CDTF">2026-08-02T02:03:00Z</dcterms:modified>
</cp:coreProperties>
</file>