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C99CB"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r w:rsidRPr="0064518E">
        <w:rPr>
          <w:rFonts w:ascii="Arial" w:eastAsia="Times New Roman" w:hAnsi="Arial" w:cs="Arial"/>
          <w:color w:val="000000"/>
          <w:sz w:val="24"/>
          <w:szCs w:val="24"/>
          <w:lang w:eastAsia="en-GB"/>
        </w:rPr>
        <w:t>                Jack Rees</w:t>
      </w:r>
    </w:p>
    <w:p w14:paraId="30D4BCD8"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p>
    <w:p w14:paraId="6C5D6882" w14:textId="77777777" w:rsidR="0064518E" w:rsidRPr="0064518E" w:rsidRDefault="0064518E" w:rsidP="0064518E">
      <w:pPr>
        <w:spacing w:after="0" w:line="240" w:lineRule="auto"/>
        <w:jc w:val="center"/>
        <w:rPr>
          <w:rFonts w:ascii="Times New Roman" w:eastAsia="Times New Roman" w:hAnsi="Times New Roman" w:cs="Times New Roman"/>
          <w:sz w:val="24"/>
          <w:szCs w:val="24"/>
          <w:lang w:eastAsia="en-GB"/>
        </w:rPr>
      </w:pPr>
      <w:r w:rsidRPr="0064518E">
        <w:rPr>
          <w:rFonts w:ascii="Arial" w:eastAsia="Times New Roman" w:hAnsi="Arial" w:cs="Arial"/>
          <w:color w:val="000000"/>
          <w:sz w:val="24"/>
          <w:szCs w:val="24"/>
          <w:lang w:eastAsia="en-GB"/>
        </w:rPr>
        <w:t>P Number : 1702022</w:t>
      </w:r>
    </w:p>
    <w:p w14:paraId="567F2C5A"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p>
    <w:p w14:paraId="67D54C8A" w14:textId="77777777" w:rsidR="0064518E" w:rsidRPr="0064518E" w:rsidRDefault="0064518E" w:rsidP="0064518E">
      <w:pPr>
        <w:spacing w:after="0" w:line="240" w:lineRule="auto"/>
        <w:jc w:val="center"/>
        <w:rPr>
          <w:rFonts w:ascii="Times New Roman" w:eastAsia="Times New Roman" w:hAnsi="Times New Roman" w:cs="Times New Roman"/>
          <w:sz w:val="24"/>
          <w:szCs w:val="24"/>
          <w:lang w:eastAsia="en-GB"/>
        </w:rPr>
      </w:pPr>
      <w:r w:rsidRPr="0064518E">
        <w:rPr>
          <w:rFonts w:ascii="Arial" w:eastAsia="Times New Roman" w:hAnsi="Arial" w:cs="Arial"/>
          <w:color w:val="000000"/>
          <w:sz w:val="24"/>
          <w:szCs w:val="24"/>
          <w:lang w:eastAsia="en-GB"/>
        </w:rPr>
        <w:t>Criminal Law</w:t>
      </w:r>
    </w:p>
    <w:p w14:paraId="7CE62DC9"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p>
    <w:p w14:paraId="25776830" w14:textId="77777777" w:rsidR="0064518E" w:rsidRPr="0064518E" w:rsidRDefault="0064518E" w:rsidP="0064518E">
      <w:pPr>
        <w:spacing w:after="0" w:line="240" w:lineRule="auto"/>
        <w:jc w:val="center"/>
        <w:rPr>
          <w:rFonts w:ascii="Times New Roman" w:eastAsia="Times New Roman" w:hAnsi="Times New Roman" w:cs="Times New Roman"/>
          <w:sz w:val="24"/>
          <w:szCs w:val="24"/>
          <w:lang w:eastAsia="en-GB"/>
        </w:rPr>
      </w:pPr>
      <w:r w:rsidRPr="0064518E">
        <w:rPr>
          <w:rFonts w:ascii="Arial" w:eastAsia="Times New Roman" w:hAnsi="Arial" w:cs="Arial"/>
          <w:color w:val="000000"/>
          <w:sz w:val="24"/>
          <w:szCs w:val="24"/>
          <w:lang w:eastAsia="en-GB"/>
        </w:rPr>
        <w:t>Lecturer: Laura Knight</w:t>
      </w:r>
    </w:p>
    <w:p w14:paraId="70E4D020"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p>
    <w:p w14:paraId="151161E6" w14:textId="77777777" w:rsidR="0064518E" w:rsidRPr="0064518E" w:rsidRDefault="0064518E" w:rsidP="0064518E">
      <w:pPr>
        <w:spacing w:after="0" w:line="240" w:lineRule="auto"/>
        <w:jc w:val="center"/>
        <w:rPr>
          <w:rFonts w:ascii="Times New Roman" w:eastAsia="Times New Roman" w:hAnsi="Times New Roman" w:cs="Times New Roman"/>
          <w:sz w:val="24"/>
          <w:szCs w:val="24"/>
          <w:lang w:eastAsia="en-GB"/>
        </w:rPr>
      </w:pPr>
      <w:r w:rsidRPr="0064518E">
        <w:rPr>
          <w:rFonts w:ascii="Arial" w:eastAsia="Times New Roman" w:hAnsi="Arial" w:cs="Arial"/>
          <w:color w:val="000000"/>
          <w:sz w:val="24"/>
          <w:szCs w:val="24"/>
          <w:lang w:eastAsia="en-GB"/>
        </w:rPr>
        <w:t>10/11/2017</w:t>
      </w:r>
    </w:p>
    <w:p w14:paraId="56E57B36" w14:textId="77777777" w:rsidR="0064518E" w:rsidRPr="0064518E" w:rsidRDefault="0064518E" w:rsidP="0064518E">
      <w:pPr>
        <w:spacing w:after="240" w:line="240" w:lineRule="auto"/>
        <w:rPr>
          <w:rFonts w:ascii="Times New Roman" w:eastAsia="Times New Roman" w:hAnsi="Times New Roman" w:cs="Times New Roman"/>
          <w:sz w:val="24"/>
          <w:szCs w:val="24"/>
          <w:lang w:eastAsia="en-GB"/>
        </w:rPr>
      </w:pP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p>
    <w:p w14:paraId="3CB4AB79" w14:textId="77777777" w:rsidR="0064518E" w:rsidRPr="0064518E" w:rsidRDefault="0064518E" w:rsidP="0064518E">
      <w:pPr>
        <w:spacing w:after="0" w:line="240" w:lineRule="auto"/>
        <w:jc w:val="center"/>
        <w:rPr>
          <w:rFonts w:ascii="Times New Roman" w:eastAsia="Times New Roman" w:hAnsi="Times New Roman" w:cs="Times New Roman"/>
          <w:sz w:val="24"/>
          <w:szCs w:val="24"/>
          <w:lang w:eastAsia="en-GB"/>
        </w:rPr>
      </w:pPr>
      <w:r w:rsidRPr="0064518E">
        <w:rPr>
          <w:rFonts w:ascii="Arial" w:eastAsia="Times New Roman" w:hAnsi="Arial" w:cs="Arial"/>
          <w:b/>
          <w:bCs/>
          <w:color w:val="000000"/>
          <w:sz w:val="24"/>
          <w:szCs w:val="24"/>
          <w:u w:val="single"/>
          <w:lang w:eastAsia="en-GB"/>
        </w:rPr>
        <w:t>Evaluation of the law in relation non-fatal offences</w:t>
      </w:r>
    </w:p>
    <w:p w14:paraId="7A230729" w14:textId="77777777" w:rsidR="0064518E" w:rsidRPr="0064518E" w:rsidRDefault="0064518E" w:rsidP="0064518E">
      <w:pPr>
        <w:spacing w:after="240" w:line="240" w:lineRule="auto"/>
        <w:rPr>
          <w:rFonts w:ascii="Times New Roman" w:eastAsia="Times New Roman" w:hAnsi="Times New Roman" w:cs="Times New Roman"/>
          <w:sz w:val="24"/>
          <w:szCs w:val="24"/>
          <w:lang w:eastAsia="en-GB"/>
        </w:rPr>
      </w:pPr>
      <w:r w:rsidRPr="0064518E">
        <w:rPr>
          <w:rFonts w:ascii="Times New Roman" w:eastAsia="Times New Roman" w:hAnsi="Times New Roman" w:cs="Times New Roman"/>
          <w:sz w:val="24"/>
          <w:szCs w:val="24"/>
          <w:lang w:eastAsia="en-GB"/>
        </w:rPr>
        <w:br/>
      </w:r>
    </w:p>
    <w:p w14:paraId="2CD6B7AB"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r w:rsidRPr="0064518E">
        <w:rPr>
          <w:rFonts w:ascii="Arial" w:eastAsia="Times New Roman" w:hAnsi="Arial" w:cs="Arial"/>
          <w:b/>
          <w:bCs/>
          <w:color w:val="000000"/>
          <w:sz w:val="24"/>
          <w:szCs w:val="24"/>
          <w:lang w:eastAsia="en-GB"/>
        </w:rPr>
        <w:lastRenderedPageBreak/>
        <w:t>Introduction</w:t>
      </w:r>
    </w:p>
    <w:p w14:paraId="4450D3B1"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p>
    <w:p w14:paraId="6BD60C75"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r w:rsidRPr="0064518E">
        <w:rPr>
          <w:rFonts w:ascii="Arial" w:eastAsia="Times New Roman" w:hAnsi="Arial" w:cs="Arial"/>
          <w:color w:val="000000"/>
          <w:sz w:val="24"/>
          <w:szCs w:val="24"/>
          <w:lang w:eastAsia="en-GB"/>
        </w:rPr>
        <w:t>In this essay, the objective that must be done is to look at the Offences against the person Act 1861  and whether or not reform in this area is necessary.</w:t>
      </w:r>
    </w:p>
    <w:p w14:paraId="0DA8D892"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p>
    <w:p w14:paraId="21891A74"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r w:rsidRPr="0064518E">
        <w:rPr>
          <w:rFonts w:ascii="Arial" w:eastAsia="Times New Roman" w:hAnsi="Arial" w:cs="Arial"/>
          <w:color w:val="000000"/>
          <w:sz w:val="24"/>
          <w:szCs w:val="24"/>
          <w:lang w:eastAsia="en-GB"/>
        </w:rPr>
        <w:t xml:space="preserve">The law in relation to Non-Fatal offences against the person is no longer fit for purpose and is in need of reform. In 2015, the Lord chief justice of England and Wales, the rt Hon the Lord Thomas of cwmgiedd stated: “ The legislation is out of date and in some area obsolete; new ways of offending are not adequately captured” </w:t>
      </w:r>
      <w:r w:rsidRPr="0064518E">
        <w:rPr>
          <w:rFonts w:ascii="Arial" w:eastAsia="Times New Roman" w:hAnsi="Arial" w:cs="Arial"/>
          <w:b/>
          <w:bCs/>
          <w:color w:val="333333"/>
          <w:sz w:val="24"/>
          <w:szCs w:val="24"/>
          <w:shd w:val="clear" w:color="auto" w:fill="FFFFFF"/>
          <w:lang w:eastAsia="en-GB"/>
        </w:rPr>
        <w:t>Ormerod D (2015).</w:t>
      </w:r>
      <w:r w:rsidRPr="0064518E">
        <w:rPr>
          <w:rFonts w:ascii="Arial" w:eastAsia="Times New Roman" w:hAnsi="Arial" w:cs="Arial"/>
          <w:color w:val="333333"/>
          <w:sz w:val="24"/>
          <w:szCs w:val="24"/>
          <w:shd w:val="clear" w:color="auto" w:fill="FFFFFF"/>
          <w:lang w:eastAsia="en-GB"/>
        </w:rPr>
        <w:t xml:space="preserve"> </w:t>
      </w:r>
    </w:p>
    <w:p w14:paraId="23C89D93"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r w:rsidRPr="0064518E">
        <w:rPr>
          <w:rFonts w:ascii="Arial" w:eastAsia="Times New Roman" w:hAnsi="Arial" w:cs="Arial"/>
          <w:color w:val="000000"/>
          <w:sz w:val="24"/>
          <w:szCs w:val="24"/>
          <w:lang w:eastAsia="en-GB"/>
        </w:rPr>
        <w:t xml:space="preserve">. </w:t>
      </w:r>
    </w:p>
    <w:p w14:paraId="6251C42D"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p>
    <w:p w14:paraId="75DFDFE4"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r w:rsidRPr="0064518E">
        <w:rPr>
          <w:rFonts w:ascii="Arial" w:eastAsia="Times New Roman" w:hAnsi="Arial" w:cs="Arial"/>
          <w:color w:val="000000"/>
          <w:sz w:val="24"/>
          <w:szCs w:val="24"/>
          <w:lang w:eastAsia="en-GB"/>
        </w:rPr>
        <w:t xml:space="preserve">In the first area of this essay, the governing legislation will be discussed. The relevant areas are s39 Criminal Justice Act 1988 and the Offences Against the Person Act (1861) which includes the subjects of Assault and Battery which are non-fatal offences. </w:t>
      </w:r>
    </w:p>
    <w:p w14:paraId="289D1D19" w14:textId="77777777" w:rsidR="0064518E" w:rsidRPr="0064518E" w:rsidRDefault="0064518E" w:rsidP="0064518E">
      <w:pPr>
        <w:spacing w:after="240" w:line="240" w:lineRule="auto"/>
        <w:rPr>
          <w:rFonts w:ascii="Times New Roman" w:eastAsia="Times New Roman" w:hAnsi="Times New Roman" w:cs="Times New Roman"/>
          <w:sz w:val="24"/>
          <w:szCs w:val="24"/>
          <w:lang w:eastAsia="en-GB"/>
        </w:rPr>
      </w:pPr>
    </w:p>
    <w:p w14:paraId="2E7217E2"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r w:rsidRPr="0064518E">
        <w:rPr>
          <w:rFonts w:ascii="Arial" w:eastAsia="Times New Roman" w:hAnsi="Arial" w:cs="Arial"/>
          <w:b/>
          <w:bCs/>
          <w:color w:val="000000"/>
          <w:sz w:val="24"/>
          <w:szCs w:val="24"/>
          <w:u w:val="single"/>
          <w:lang w:eastAsia="en-GB"/>
        </w:rPr>
        <w:t>Structure and Description of the Offences Against the Persons act 1861.</w:t>
      </w:r>
    </w:p>
    <w:p w14:paraId="6A0AFDBC"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p>
    <w:p w14:paraId="42B4FDD2"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r w:rsidRPr="0064518E">
        <w:rPr>
          <w:rFonts w:ascii="Arial" w:eastAsia="Times New Roman" w:hAnsi="Arial" w:cs="Arial"/>
          <w:color w:val="000000"/>
          <w:sz w:val="24"/>
          <w:szCs w:val="24"/>
          <w:lang w:eastAsia="en-GB"/>
        </w:rPr>
        <w:t xml:space="preserve">The Offences Against the Persons Act 1861 Act is a statute that clarifies the existing law on injury to persons into one piece of legislation. As the common law develops and becomes fairly stable and old pieces of legislation are being replaced in a stable way with separate legislation, it helps to put everything in one place to make it easier for people to understand. </w:t>
      </w:r>
      <w:r w:rsidRPr="0064518E">
        <w:rPr>
          <w:rFonts w:ascii="Arial" w:eastAsia="Times New Roman" w:hAnsi="Arial" w:cs="Arial"/>
          <w:b/>
          <w:bCs/>
          <w:color w:val="000000"/>
          <w:sz w:val="24"/>
          <w:szCs w:val="24"/>
          <w:lang w:eastAsia="en-GB"/>
        </w:rPr>
        <w:t>Love (2014).</w:t>
      </w:r>
    </w:p>
    <w:p w14:paraId="347A4A0A"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p>
    <w:p w14:paraId="527738EC"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r w:rsidRPr="0064518E">
        <w:rPr>
          <w:rFonts w:ascii="Arial" w:eastAsia="Times New Roman" w:hAnsi="Arial" w:cs="Arial"/>
          <w:color w:val="000000"/>
          <w:sz w:val="24"/>
          <w:szCs w:val="24"/>
          <w:lang w:eastAsia="en-GB"/>
        </w:rPr>
        <w:t>There are only certain sections of the OAPA 1861 that will be discussed and are the Non-Fatal segments which is Section 18. The definition for section 18 is as follows:</w:t>
      </w:r>
      <w:r w:rsidRPr="0064518E">
        <w:rPr>
          <w:rFonts w:ascii="Arial" w:eastAsia="Times New Roman" w:hAnsi="Arial" w:cs="Arial"/>
          <w:b/>
          <w:bCs/>
          <w:color w:val="000000"/>
          <w:sz w:val="24"/>
          <w:szCs w:val="24"/>
          <w:lang w:eastAsia="en-GB"/>
        </w:rPr>
        <w:t xml:space="preserve"> </w:t>
      </w:r>
      <w:r w:rsidRPr="0064518E">
        <w:rPr>
          <w:rFonts w:ascii="Arial" w:eastAsia="Times New Roman" w:hAnsi="Arial" w:cs="Arial"/>
          <w:color w:val="000000"/>
          <w:sz w:val="24"/>
          <w:szCs w:val="24"/>
          <w:lang w:eastAsia="en-GB"/>
        </w:rPr>
        <w:t xml:space="preserve">Whoever shall unlawfully and maliciously by any means whatsoever cause Grievous bodily Harm to any person with intent or to do some grievous bodily harm to any person, or with an intent to resist or prevent the lawful apprehension or detainer of any person shall be guilty of an offence </w:t>
      </w:r>
      <w:r w:rsidRPr="0064518E">
        <w:rPr>
          <w:rFonts w:ascii="Arial" w:eastAsia="Times New Roman" w:hAnsi="Arial" w:cs="Arial"/>
          <w:b/>
          <w:bCs/>
          <w:color w:val="000000"/>
          <w:sz w:val="24"/>
          <w:szCs w:val="24"/>
          <w:lang w:eastAsia="en-GB"/>
        </w:rPr>
        <w:t>(Dyson, M 2017-2018).</w:t>
      </w:r>
    </w:p>
    <w:p w14:paraId="42CFA707" w14:textId="77777777" w:rsidR="0064518E" w:rsidRPr="0064518E" w:rsidRDefault="0064518E" w:rsidP="0064518E">
      <w:pPr>
        <w:spacing w:after="240" w:line="240" w:lineRule="auto"/>
        <w:rPr>
          <w:rFonts w:ascii="Times New Roman" w:eastAsia="Times New Roman" w:hAnsi="Times New Roman" w:cs="Times New Roman"/>
          <w:sz w:val="24"/>
          <w:szCs w:val="24"/>
          <w:lang w:eastAsia="en-GB"/>
        </w:rPr>
      </w:pPr>
      <w:r w:rsidRPr="0064518E">
        <w:rPr>
          <w:rFonts w:ascii="Times New Roman" w:eastAsia="Times New Roman" w:hAnsi="Times New Roman" w:cs="Times New Roman"/>
          <w:sz w:val="24"/>
          <w:szCs w:val="24"/>
          <w:lang w:eastAsia="en-GB"/>
        </w:rPr>
        <w:br/>
      </w:r>
    </w:p>
    <w:p w14:paraId="33478399"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r w:rsidRPr="0064518E">
        <w:rPr>
          <w:rFonts w:ascii="Arial" w:eastAsia="Times New Roman" w:hAnsi="Arial" w:cs="Arial"/>
          <w:color w:val="000000"/>
          <w:sz w:val="24"/>
          <w:szCs w:val="24"/>
          <w:lang w:eastAsia="en-GB"/>
        </w:rPr>
        <w:t xml:space="preserve">The second section that will be looked at is section 20 of the OAPA 1861.  Written in the book of </w:t>
      </w:r>
      <w:r w:rsidRPr="0064518E">
        <w:rPr>
          <w:rFonts w:ascii="Arial" w:eastAsia="Times New Roman" w:hAnsi="Arial" w:cs="Arial"/>
          <w:b/>
          <w:bCs/>
          <w:color w:val="000000"/>
          <w:sz w:val="24"/>
          <w:szCs w:val="24"/>
          <w:lang w:eastAsia="en-GB"/>
        </w:rPr>
        <w:t>(Dyson, M 2017-2018)</w:t>
      </w:r>
      <w:r w:rsidRPr="0064518E">
        <w:rPr>
          <w:rFonts w:ascii="Arial" w:eastAsia="Times New Roman" w:hAnsi="Arial" w:cs="Arial"/>
          <w:color w:val="000000"/>
          <w:sz w:val="24"/>
          <w:szCs w:val="24"/>
          <w:lang w:eastAsia="en-GB"/>
        </w:rPr>
        <w:t xml:space="preserve"> Section 20 is the Inflicting bodily injury , with or without a weapon. Commonly referred to as grievous bodily harm or GBH.</w:t>
      </w:r>
    </w:p>
    <w:p w14:paraId="59904611"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p>
    <w:p w14:paraId="0EDCF0F1"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r w:rsidRPr="0064518E">
        <w:rPr>
          <w:rFonts w:ascii="Arial" w:eastAsia="Times New Roman" w:hAnsi="Arial" w:cs="Arial"/>
          <w:color w:val="000000"/>
          <w:sz w:val="24"/>
          <w:szCs w:val="24"/>
          <w:lang w:eastAsia="en-GB"/>
        </w:rPr>
        <w:t xml:space="preserve">The third section that will be looked at is Section 47 of the OAPA 1861 act. According to </w:t>
      </w:r>
      <w:r w:rsidRPr="0064518E">
        <w:rPr>
          <w:rFonts w:ascii="Arial" w:eastAsia="Times New Roman" w:hAnsi="Arial" w:cs="Arial"/>
          <w:b/>
          <w:bCs/>
          <w:color w:val="000000"/>
          <w:sz w:val="24"/>
          <w:szCs w:val="24"/>
          <w:lang w:eastAsia="en-GB"/>
        </w:rPr>
        <w:t xml:space="preserve">( </w:t>
      </w:r>
      <w:hyperlink r:id="rId4" w:history="1">
        <w:r w:rsidRPr="0064518E">
          <w:rPr>
            <w:rFonts w:ascii="Arial" w:eastAsia="Times New Roman" w:hAnsi="Arial" w:cs="Arial"/>
            <w:b/>
            <w:bCs/>
            <w:color w:val="1155CC"/>
            <w:sz w:val="24"/>
            <w:szCs w:val="24"/>
            <w:u w:val="single"/>
            <w:lang w:eastAsia="en-GB"/>
          </w:rPr>
          <w:t>http://www.legislation.gov.uk/ukpga/Vict/24-25/100/section/47</w:t>
        </w:r>
      </w:hyperlink>
      <w:r w:rsidRPr="0064518E">
        <w:rPr>
          <w:rFonts w:ascii="Arial" w:eastAsia="Times New Roman" w:hAnsi="Arial" w:cs="Arial"/>
          <w:b/>
          <w:bCs/>
          <w:color w:val="000000"/>
          <w:sz w:val="24"/>
          <w:szCs w:val="24"/>
          <w:lang w:eastAsia="en-GB"/>
        </w:rPr>
        <w:t xml:space="preserve"> (No Date) “</w:t>
      </w:r>
      <w:r w:rsidRPr="0064518E">
        <w:rPr>
          <w:rFonts w:ascii="Arial" w:eastAsia="Times New Roman" w:hAnsi="Arial" w:cs="Arial"/>
          <w:color w:val="000000"/>
          <w:sz w:val="24"/>
          <w:szCs w:val="24"/>
          <w:lang w:eastAsia="en-GB"/>
        </w:rPr>
        <w:t xml:space="preserve">Who ever shall be convicted upon an indictment of any assault occasioning actual bodily harm shall be liable to imprisonment for a term not exceeding 7 years and who ever shall be convicted on an indictment for a common assault shall be liable, at the discretion of the court, to be imprisoned for any term not exceeding two years.” (IBID) </w:t>
      </w:r>
    </w:p>
    <w:p w14:paraId="4D13FD34"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r w:rsidRPr="0064518E">
        <w:rPr>
          <w:rFonts w:ascii="Arial" w:eastAsia="Times New Roman" w:hAnsi="Arial" w:cs="Arial"/>
          <w:color w:val="000000"/>
          <w:sz w:val="24"/>
          <w:szCs w:val="24"/>
          <w:lang w:eastAsia="en-GB"/>
        </w:rPr>
        <w:t xml:space="preserve">To help clarify this in simpler terms it is saying that anyone who is arrested because of assault that involves actual bodily harm is liable to go to prison, but not more than 7 years and anyone who indicted for common assault is liable to go to court but cannot go to prison exceeding 2 years of imprisonment. </w:t>
      </w:r>
    </w:p>
    <w:p w14:paraId="12E5A1D0"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p>
    <w:p w14:paraId="0E7D6DF3"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r w:rsidRPr="0064518E">
        <w:rPr>
          <w:rFonts w:ascii="Arial" w:eastAsia="Times New Roman" w:hAnsi="Arial" w:cs="Arial"/>
          <w:color w:val="000000"/>
          <w:sz w:val="24"/>
          <w:szCs w:val="24"/>
          <w:lang w:eastAsia="en-GB"/>
        </w:rPr>
        <w:t xml:space="preserve">Structure and Description of s37 of the Criminal justice Act 1988 </w:t>
      </w:r>
    </w:p>
    <w:p w14:paraId="7CEFBE64"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p>
    <w:p w14:paraId="14680E99"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r w:rsidRPr="0064518E">
        <w:rPr>
          <w:rFonts w:ascii="Arial" w:eastAsia="Times New Roman" w:hAnsi="Arial" w:cs="Arial"/>
          <w:color w:val="000000"/>
          <w:sz w:val="24"/>
          <w:szCs w:val="24"/>
          <w:lang w:eastAsia="en-GB"/>
        </w:rPr>
        <w:t>Draft Bill 1998</w:t>
      </w:r>
    </w:p>
    <w:p w14:paraId="7704B841"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p>
    <w:p w14:paraId="0B1D8A0E"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r w:rsidRPr="0064518E">
        <w:rPr>
          <w:rFonts w:ascii="Arial" w:eastAsia="Times New Roman" w:hAnsi="Arial" w:cs="Arial"/>
          <w:b/>
          <w:bCs/>
          <w:color w:val="000000"/>
          <w:sz w:val="24"/>
          <w:szCs w:val="24"/>
          <w:lang w:eastAsia="en-GB"/>
        </w:rPr>
        <w:t>Is Reform necessary?</w:t>
      </w:r>
    </w:p>
    <w:p w14:paraId="0745F90E"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p>
    <w:p w14:paraId="227049E1"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r w:rsidRPr="0064518E">
        <w:rPr>
          <w:rFonts w:ascii="Arial" w:eastAsia="Times New Roman" w:hAnsi="Arial" w:cs="Arial"/>
          <w:color w:val="000000"/>
          <w:sz w:val="24"/>
          <w:szCs w:val="24"/>
          <w:lang w:eastAsia="en-GB"/>
        </w:rPr>
        <w:t>The 1861 Act has attracted a great deal of criticism over the years and has received many complaints that there needs to be a change. There are 4 key problems that have been identified in the Law commission's scoping paper and these are that the offences are not clearly classified in order of seriousness which would lead to confusion on what offence is the most punishable which then could lead onto to people being incorrectly punished. Some of the offences relate to narrowly specialised situations, or include complex lists of situations, rather than setting out a clear principle;</w:t>
      </w:r>
    </w:p>
    <w:p w14:paraId="48CF14A1"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r w:rsidRPr="0064518E">
        <w:rPr>
          <w:rFonts w:ascii="Arial" w:eastAsia="Times New Roman" w:hAnsi="Arial" w:cs="Arial"/>
          <w:color w:val="000000"/>
          <w:sz w:val="24"/>
          <w:szCs w:val="24"/>
          <w:lang w:eastAsia="en-GB"/>
        </w:rPr>
        <w:t>(3) the mental element of some offences is not clearly expressed, and does not reflect the external elements of those offences;5</w:t>
      </w:r>
    </w:p>
    <w:p w14:paraId="4B5740CD"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r w:rsidRPr="0064518E">
        <w:rPr>
          <w:rFonts w:ascii="Arial" w:eastAsia="Times New Roman" w:hAnsi="Arial" w:cs="Arial"/>
          <w:color w:val="000000"/>
          <w:sz w:val="24"/>
          <w:szCs w:val="24"/>
          <w:lang w:eastAsia="en-GB"/>
        </w:rPr>
        <w:t>(4) the language is often archaic and obscure;</w:t>
      </w:r>
    </w:p>
    <w:p w14:paraId="6D5DC9EB" w14:textId="77777777" w:rsidR="0064518E" w:rsidRPr="0064518E" w:rsidRDefault="0064518E" w:rsidP="0064518E">
      <w:pPr>
        <w:spacing w:after="240" w:line="240" w:lineRule="auto"/>
        <w:rPr>
          <w:rFonts w:ascii="Times New Roman" w:eastAsia="Times New Roman" w:hAnsi="Times New Roman" w:cs="Times New Roman"/>
          <w:sz w:val="24"/>
          <w:szCs w:val="24"/>
          <w:lang w:eastAsia="en-GB"/>
        </w:rPr>
      </w:pPr>
    </w:p>
    <w:p w14:paraId="42182738"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r w:rsidRPr="0064518E">
        <w:rPr>
          <w:rFonts w:ascii="Arial" w:eastAsia="Times New Roman" w:hAnsi="Arial" w:cs="Arial"/>
          <w:color w:val="000000"/>
          <w:sz w:val="24"/>
          <w:szCs w:val="24"/>
          <w:lang w:eastAsia="en-GB"/>
        </w:rPr>
        <w:t xml:space="preserve">There is a considerable dissatisfaction with our current law. There are many arguments for a reform and many arguments against the process of change. </w:t>
      </w:r>
      <w:r w:rsidRPr="0064518E">
        <w:rPr>
          <w:rFonts w:ascii="Arial" w:eastAsia="Times New Roman" w:hAnsi="Arial" w:cs="Arial"/>
          <w:b/>
          <w:bCs/>
          <w:color w:val="000000"/>
          <w:sz w:val="24"/>
          <w:szCs w:val="24"/>
          <w:lang w:eastAsia="en-GB"/>
        </w:rPr>
        <w:t xml:space="preserve">(Herring.J 2016). </w:t>
      </w:r>
    </w:p>
    <w:p w14:paraId="33A56A15"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p>
    <w:p w14:paraId="6BE38031" w14:textId="77777777" w:rsidR="0064518E" w:rsidRPr="0064518E" w:rsidRDefault="0064518E" w:rsidP="0064518E">
      <w:pPr>
        <w:shd w:val="clear" w:color="auto" w:fill="FFFFFF"/>
        <w:spacing w:line="240" w:lineRule="auto"/>
        <w:rPr>
          <w:rFonts w:ascii="Times New Roman" w:eastAsia="Times New Roman" w:hAnsi="Times New Roman" w:cs="Times New Roman"/>
          <w:sz w:val="24"/>
          <w:szCs w:val="24"/>
          <w:lang w:eastAsia="en-GB"/>
        </w:rPr>
      </w:pPr>
      <w:r w:rsidRPr="0064518E">
        <w:rPr>
          <w:rFonts w:ascii="Arial" w:eastAsia="Times New Roman" w:hAnsi="Arial" w:cs="Arial"/>
          <w:color w:val="333333"/>
          <w:sz w:val="24"/>
          <w:szCs w:val="24"/>
          <w:lang w:eastAsia="en-GB"/>
        </w:rPr>
        <w:t>The Lord Chief Justice of England and Wales, the Rt Hon the Lord Thomas of Cwmgiedd, said that</w:t>
      </w:r>
      <w:r w:rsidRPr="0064518E">
        <w:rPr>
          <w:rFonts w:ascii="Arial" w:eastAsia="Times New Roman" w:hAnsi="Arial" w:cs="Arial"/>
          <w:color w:val="333333"/>
          <w:sz w:val="24"/>
          <w:szCs w:val="24"/>
          <w:shd w:val="clear" w:color="auto" w:fill="FFFFFF"/>
          <w:lang w:eastAsia="en-GB"/>
        </w:rPr>
        <w:t xml:space="preserve">“I recognise the problems identified in the paper in relation to the 1861 Offences Against the Person Act. The legislation is out of date and in some areas obsolete; new ways of offending are not adequately captured.” </w:t>
      </w:r>
      <w:r w:rsidRPr="0064518E">
        <w:rPr>
          <w:rFonts w:ascii="Arial" w:eastAsia="Times New Roman" w:hAnsi="Arial" w:cs="Arial"/>
          <w:b/>
          <w:bCs/>
          <w:color w:val="333333"/>
          <w:sz w:val="24"/>
          <w:szCs w:val="24"/>
          <w:shd w:val="clear" w:color="auto" w:fill="FFFFFF"/>
          <w:lang w:eastAsia="en-GB"/>
        </w:rPr>
        <w:t> Ormerod D (2015).</w:t>
      </w:r>
      <w:r w:rsidRPr="0064518E">
        <w:rPr>
          <w:rFonts w:ascii="Arial" w:eastAsia="Times New Roman" w:hAnsi="Arial" w:cs="Arial"/>
          <w:color w:val="333333"/>
          <w:sz w:val="24"/>
          <w:szCs w:val="24"/>
          <w:shd w:val="clear" w:color="auto" w:fill="FFFFFF"/>
          <w:lang w:eastAsia="en-GB"/>
        </w:rPr>
        <w:t xml:space="preserve">  This gentlemen has clarified to people the key problems with the current law. It is outdated and some area obsolete. He also brought up the point that there are new ways of committing crime that do not conform with this legislation so his view is to change this legislation. </w:t>
      </w:r>
    </w:p>
    <w:p w14:paraId="11B9CC78" w14:textId="77777777" w:rsidR="0064518E" w:rsidRPr="0064518E" w:rsidRDefault="0064518E" w:rsidP="0064518E">
      <w:pPr>
        <w:shd w:val="clear" w:color="auto" w:fill="FFFFFF"/>
        <w:spacing w:line="240" w:lineRule="auto"/>
        <w:rPr>
          <w:rFonts w:ascii="Times New Roman" w:eastAsia="Times New Roman" w:hAnsi="Times New Roman" w:cs="Times New Roman"/>
          <w:sz w:val="24"/>
          <w:szCs w:val="24"/>
          <w:lang w:eastAsia="en-GB"/>
        </w:rPr>
      </w:pPr>
      <w:r w:rsidRPr="0064518E">
        <w:rPr>
          <w:rFonts w:ascii="Roboto" w:eastAsia="Times New Roman" w:hAnsi="Roboto" w:cs="Times New Roman"/>
          <w:color w:val="333333"/>
          <w:sz w:val="24"/>
          <w:szCs w:val="24"/>
          <w:shd w:val="clear" w:color="auto" w:fill="FFFFFF"/>
          <w:lang w:eastAsia="en-GB"/>
        </w:rPr>
        <w:t xml:space="preserve">John Atherton, of the National Bench Chairmen’s Forum, Agrees with Lord Thomas of cwmgiedd and supports his opinion by saying: “Having started by trying to read and understand the 1861 Act, I was struck by the outdated use of words and phrases.”  He too agrees that it is outdated and requires a formal change. </w:t>
      </w:r>
      <w:r w:rsidRPr="0064518E">
        <w:rPr>
          <w:rFonts w:ascii="Roboto" w:eastAsia="Times New Roman" w:hAnsi="Roboto" w:cs="Times New Roman"/>
          <w:b/>
          <w:bCs/>
          <w:color w:val="333333"/>
          <w:sz w:val="24"/>
          <w:szCs w:val="24"/>
          <w:shd w:val="clear" w:color="auto" w:fill="FFFFFF"/>
          <w:lang w:eastAsia="en-GB"/>
        </w:rPr>
        <w:t xml:space="preserve">Ormerod D (2015) </w:t>
      </w:r>
      <w:r w:rsidRPr="0064518E">
        <w:rPr>
          <w:rFonts w:ascii="Roboto" w:eastAsia="Times New Roman" w:hAnsi="Roboto" w:cs="Times New Roman"/>
          <w:color w:val="333333"/>
          <w:sz w:val="24"/>
          <w:szCs w:val="24"/>
          <w:shd w:val="clear" w:color="auto" w:fill="FFFFFF"/>
          <w:lang w:eastAsia="en-GB"/>
        </w:rPr>
        <w:t> </w:t>
      </w:r>
    </w:p>
    <w:p w14:paraId="1FE5C407" w14:textId="77777777" w:rsidR="0064518E" w:rsidRPr="0064518E" w:rsidRDefault="0064518E" w:rsidP="0064518E">
      <w:pPr>
        <w:shd w:val="clear" w:color="auto" w:fill="FFFFFF"/>
        <w:spacing w:line="240" w:lineRule="auto"/>
        <w:rPr>
          <w:rFonts w:ascii="Times New Roman" w:eastAsia="Times New Roman" w:hAnsi="Times New Roman" w:cs="Times New Roman"/>
          <w:sz w:val="24"/>
          <w:szCs w:val="24"/>
          <w:lang w:eastAsia="en-GB"/>
        </w:rPr>
      </w:pPr>
      <w:r w:rsidRPr="0064518E">
        <w:rPr>
          <w:rFonts w:ascii="Times New Roman" w:eastAsia="Times New Roman" w:hAnsi="Times New Roman" w:cs="Times New Roman"/>
          <w:sz w:val="24"/>
          <w:szCs w:val="24"/>
          <w:lang w:eastAsia="en-GB"/>
        </w:rPr>
        <w:t> </w:t>
      </w:r>
    </w:p>
    <w:p w14:paraId="4C9E0F5E" w14:textId="77777777" w:rsidR="0064518E" w:rsidRPr="0064518E" w:rsidRDefault="0064518E" w:rsidP="0064518E">
      <w:pPr>
        <w:spacing w:after="240" w:line="240" w:lineRule="auto"/>
        <w:rPr>
          <w:rFonts w:ascii="Times New Roman" w:eastAsia="Times New Roman" w:hAnsi="Times New Roman" w:cs="Times New Roman"/>
          <w:sz w:val="24"/>
          <w:szCs w:val="24"/>
          <w:lang w:eastAsia="en-GB"/>
        </w:rPr>
      </w:pP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p>
    <w:p w14:paraId="66C06648"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r w:rsidRPr="0064518E">
        <w:rPr>
          <w:rFonts w:ascii="Arial" w:eastAsia="Times New Roman" w:hAnsi="Arial" w:cs="Arial"/>
          <w:color w:val="000000"/>
          <w:sz w:val="24"/>
          <w:szCs w:val="24"/>
          <w:lang w:eastAsia="en-GB"/>
        </w:rPr>
        <w:t>The (Criminal Law review 2015 p.g 252 at 255-6) Argues</w:t>
      </w:r>
    </w:p>
    <w:p w14:paraId="7E20CFE3" w14:textId="77777777" w:rsidR="0064518E" w:rsidRPr="0064518E" w:rsidRDefault="0064518E" w:rsidP="0064518E">
      <w:pPr>
        <w:spacing w:after="240" w:line="240" w:lineRule="auto"/>
        <w:rPr>
          <w:rFonts w:ascii="Times New Roman" w:eastAsia="Times New Roman" w:hAnsi="Times New Roman" w:cs="Times New Roman"/>
          <w:sz w:val="24"/>
          <w:szCs w:val="24"/>
          <w:lang w:eastAsia="en-GB"/>
        </w:rPr>
      </w:pP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lastRenderedPageBreak/>
        <w:br/>
      </w:r>
    </w:p>
    <w:p w14:paraId="4BD441B5" w14:textId="77777777" w:rsidR="0064518E" w:rsidRPr="0064518E" w:rsidRDefault="0064518E" w:rsidP="0064518E">
      <w:pPr>
        <w:spacing w:after="0" w:line="240" w:lineRule="auto"/>
        <w:rPr>
          <w:rFonts w:ascii="Times New Roman" w:eastAsia="Times New Roman" w:hAnsi="Times New Roman" w:cs="Times New Roman"/>
          <w:sz w:val="24"/>
          <w:szCs w:val="24"/>
          <w:lang w:eastAsia="en-GB"/>
        </w:rPr>
      </w:pPr>
      <w:r w:rsidRPr="0064518E">
        <w:rPr>
          <w:rFonts w:ascii="Arial" w:eastAsia="Times New Roman" w:hAnsi="Arial" w:cs="Arial"/>
          <w:b/>
          <w:bCs/>
          <w:color w:val="000000"/>
          <w:sz w:val="24"/>
          <w:szCs w:val="24"/>
          <w:lang w:eastAsia="en-GB"/>
        </w:rPr>
        <w:t xml:space="preserve">Conclusion </w:t>
      </w:r>
    </w:p>
    <w:p w14:paraId="28E99B8A" w14:textId="77777777" w:rsidR="007746CB" w:rsidRDefault="0064518E" w:rsidP="0064518E">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r w:rsidRPr="0064518E">
        <w:rPr>
          <w:rFonts w:ascii="Times New Roman" w:eastAsia="Times New Roman" w:hAnsi="Times New Roman" w:cs="Times New Roman"/>
          <w:sz w:val="24"/>
          <w:szCs w:val="24"/>
          <w:lang w:eastAsia="en-GB"/>
        </w:rPr>
        <w:br/>
      </w:r>
      <w:bookmarkStart w:id="0" w:name="_GoBack"/>
      <w:bookmarkEnd w:id="0"/>
    </w:p>
    <w:sectPr w:rsidR="007746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Roboto">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18E"/>
    <w:rsid w:val="0064518E"/>
    <w:rsid w:val="007746CB"/>
    <w:rsid w:val="00E85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F7142"/>
  <w15:chartTrackingRefBased/>
  <w15:docId w15:val="{7CAD6D07-08F6-4864-8A99-7A9C84F9D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451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451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6829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legislation.gov.uk/ukpga/Vict/24-25/100/section/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767</Words>
  <Characters>4375</Characters>
  <Application>Microsoft Office Word</Application>
  <DocSecurity>0</DocSecurity>
  <Lines>36</Lines>
  <Paragraphs>10</Paragraphs>
  <ScaleCrop>false</ScaleCrop>
  <Company/>
  <LinksUpToDate>false</LinksUpToDate>
  <CharactersWithSpaces>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rees</dc:creator>
  <cp:keywords/>
  <dc:description/>
  <cp:lastModifiedBy>jack rees</cp:lastModifiedBy>
  <cp:revision>1</cp:revision>
  <dcterms:created xsi:type="dcterms:W3CDTF">2017-11-05T13:38:00Z</dcterms:created>
  <dcterms:modified xsi:type="dcterms:W3CDTF">2017-11-05T13:38:00Z</dcterms:modified>
</cp:coreProperties>
</file>