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CEBD69" w14:textId="0191EA9E" w:rsidR="00686ACF" w:rsidRDefault="00686ACF">
      <w:pPr>
        <w:rPr>
          <w:sz w:val="32"/>
          <w:szCs w:val="32"/>
          <w:u w:val="single"/>
        </w:rPr>
      </w:pPr>
      <w:r w:rsidRPr="00686ACF">
        <w:rPr>
          <w:sz w:val="32"/>
          <w:szCs w:val="32"/>
          <w:u w:val="single"/>
        </w:rPr>
        <w:t>Bilingualism presentation reference list:</w:t>
      </w:r>
    </w:p>
    <w:p w14:paraId="55E250E4" w14:textId="66461C16" w:rsidR="00686ACF" w:rsidRPr="000B6C7F" w:rsidRDefault="00686ACF">
      <w:pPr>
        <w:rPr>
          <w:rFonts w:cstheme="minorHAnsi"/>
          <w:sz w:val="28"/>
          <w:szCs w:val="28"/>
          <w:u w:val="single"/>
        </w:rPr>
      </w:pPr>
    </w:p>
    <w:p w14:paraId="4B05A4AE" w14:textId="77777777" w:rsidR="000B6C7F" w:rsidRPr="000B6C7F" w:rsidRDefault="000B6C7F" w:rsidP="00686ACF">
      <w:pPr>
        <w:pStyle w:val="NormalWeb"/>
        <w:rPr>
          <w:rFonts w:asciiTheme="minorHAnsi" w:hAnsiTheme="minorHAnsi" w:cstheme="minorHAnsi"/>
          <w:color w:val="2D2826"/>
          <w:sz w:val="28"/>
          <w:szCs w:val="28"/>
        </w:rPr>
      </w:pPr>
      <w:r w:rsidRPr="000B6C7F">
        <w:rPr>
          <w:rFonts w:asciiTheme="minorHAnsi" w:hAnsiTheme="minorHAnsi" w:cstheme="minorHAnsi"/>
          <w:color w:val="2D2826"/>
          <w:sz w:val="28"/>
          <w:szCs w:val="28"/>
        </w:rPr>
        <w:t xml:space="preserve">Bialystok, E. (2001). Bilingualism in development: Language, literacy, and cognition. Cambridge, UK: Cambridge University Press. </w:t>
      </w:r>
    </w:p>
    <w:p w14:paraId="328B815A" w14:textId="77777777" w:rsidR="000B6C7F" w:rsidRPr="000B6C7F" w:rsidRDefault="000B6C7F">
      <w:pPr>
        <w:rPr>
          <w:rFonts w:cstheme="minorHAnsi"/>
          <w:sz w:val="28"/>
          <w:szCs w:val="28"/>
        </w:rPr>
      </w:pPr>
      <w:r w:rsidRPr="000B6C7F">
        <w:rPr>
          <w:rFonts w:cstheme="minorHAnsi"/>
          <w:sz w:val="28"/>
          <w:szCs w:val="28"/>
        </w:rPr>
        <w:t xml:space="preserve">Cambridge dictionary (N.D) </w:t>
      </w:r>
      <w:r w:rsidRPr="000B6C7F">
        <w:rPr>
          <w:rFonts w:cstheme="minorHAnsi"/>
          <w:i/>
          <w:iCs/>
          <w:sz w:val="28"/>
          <w:szCs w:val="28"/>
        </w:rPr>
        <w:t xml:space="preserve">Bilingualism. </w:t>
      </w:r>
      <w:r w:rsidRPr="000B6C7F">
        <w:rPr>
          <w:rFonts w:cstheme="minorHAnsi"/>
          <w:sz w:val="28"/>
          <w:szCs w:val="28"/>
        </w:rPr>
        <w:t xml:space="preserve">Available at: </w:t>
      </w:r>
      <w:hyperlink r:id="rId5" w:history="1">
        <w:r w:rsidRPr="000B6C7F">
          <w:rPr>
            <w:rStyle w:val="Hyperlink"/>
            <w:rFonts w:cstheme="minorHAnsi"/>
            <w:i/>
            <w:iCs/>
            <w:sz w:val="28"/>
            <w:szCs w:val="28"/>
          </w:rPr>
          <w:t>https://dictionary.cambridge.org/dictionary/english/bilingualism</w:t>
        </w:r>
      </w:hyperlink>
      <w:r w:rsidRPr="000B6C7F">
        <w:rPr>
          <w:rFonts w:cstheme="minorHAnsi"/>
          <w:i/>
          <w:iCs/>
          <w:sz w:val="28"/>
          <w:szCs w:val="28"/>
        </w:rPr>
        <w:t xml:space="preserve"> </w:t>
      </w:r>
      <w:r w:rsidRPr="000B6C7F">
        <w:rPr>
          <w:rFonts w:cstheme="minorHAnsi"/>
          <w:sz w:val="28"/>
          <w:szCs w:val="28"/>
        </w:rPr>
        <w:t xml:space="preserve">(Accessed: 28 March 2023) </w:t>
      </w:r>
    </w:p>
    <w:p w14:paraId="2CEE20E1" w14:textId="77777777" w:rsidR="000B6C7F" w:rsidRPr="00E61B57" w:rsidRDefault="000B6C7F" w:rsidP="00E61B57">
      <w:pPr>
        <w:spacing w:before="200" w:after="200"/>
        <w:rPr>
          <w:rFonts w:eastAsia="Times New Roman" w:cstheme="minorHAnsi"/>
          <w:color w:val="212121"/>
          <w:sz w:val="28"/>
          <w:szCs w:val="28"/>
          <w:lang w:eastAsia="en-GB"/>
        </w:rPr>
      </w:pPr>
      <w:r w:rsidRPr="00E61B57">
        <w:rPr>
          <w:rFonts w:eastAsia="Times New Roman" w:cstheme="minorHAnsi"/>
          <w:color w:val="212121"/>
          <w:sz w:val="28"/>
          <w:szCs w:val="28"/>
          <w:lang w:eastAsia="en-GB"/>
        </w:rPr>
        <w:t>Garcia J. H. (1996). The influences of oral language proficiency and acculturation on the creative thinking of second grade children. Athens GA ProQuest Information and Learning.</w:t>
      </w:r>
    </w:p>
    <w:p w14:paraId="467020A5" w14:textId="77777777" w:rsidR="000B6C7F" w:rsidRPr="000B6C7F" w:rsidRDefault="000B6C7F" w:rsidP="00E61B57">
      <w:pPr>
        <w:rPr>
          <w:rFonts w:cstheme="minorHAnsi"/>
          <w:sz w:val="28"/>
          <w:szCs w:val="28"/>
          <w:lang w:val="cy-GB"/>
        </w:rPr>
      </w:pPr>
      <w:proofErr w:type="spellStart"/>
      <w:r w:rsidRPr="000B6C7F">
        <w:rPr>
          <w:rFonts w:cstheme="minorHAnsi"/>
          <w:sz w:val="28"/>
          <w:szCs w:val="28"/>
        </w:rPr>
        <w:t>Hommel</w:t>
      </w:r>
      <w:proofErr w:type="spellEnd"/>
      <w:r w:rsidRPr="000B6C7F">
        <w:rPr>
          <w:rFonts w:cstheme="minorHAnsi"/>
          <w:sz w:val="28"/>
          <w:szCs w:val="28"/>
        </w:rPr>
        <w:t xml:space="preserve">, </w:t>
      </w:r>
      <w:r w:rsidRPr="000B6C7F">
        <w:rPr>
          <w:rFonts w:cstheme="minorHAnsi"/>
          <w:sz w:val="28"/>
          <w:szCs w:val="28"/>
        </w:rPr>
        <w:t>B</w:t>
      </w:r>
      <w:r w:rsidRPr="000B6C7F">
        <w:rPr>
          <w:rFonts w:cstheme="minorHAnsi"/>
          <w:sz w:val="28"/>
          <w:szCs w:val="28"/>
        </w:rPr>
        <w:t>.</w:t>
      </w:r>
      <w:r w:rsidRPr="000B6C7F">
        <w:rPr>
          <w:rFonts w:cstheme="minorHAnsi"/>
          <w:sz w:val="28"/>
          <w:szCs w:val="28"/>
        </w:rPr>
        <w:t xml:space="preserve"> (2011)</w:t>
      </w:r>
      <w:r w:rsidRPr="000B6C7F">
        <w:rPr>
          <w:rFonts w:cstheme="minorHAnsi"/>
          <w:i/>
          <w:iCs/>
          <w:sz w:val="28"/>
          <w:szCs w:val="28"/>
        </w:rPr>
        <w:t xml:space="preserve"> </w:t>
      </w:r>
      <w:r w:rsidRPr="000B6C7F">
        <w:rPr>
          <w:rFonts w:cstheme="minorHAnsi"/>
          <w:i/>
          <w:iCs/>
          <w:color w:val="282828"/>
          <w:sz w:val="28"/>
          <w:szCs w:val="28"/>
        </w:rPr>
        <w:t>Bilingualism and creativity: benefits in convergent thinking come with losses in divergent thinking</w:t>
      </w:r>
      <w:r w:rsidRPr="000B6C7F">
        <w:rPr>
          <w:rFonts w:cstheme="minorHAnsi"/>
          <w:i/>
          <w:iCs/>
          <w:color w:val="282828"/>
          <w:sz w:val="28"/>
          <w:szCs w:val="28"/>
        </w:rPr>
        <w:t xml:space="preserve">. </w:t>
      </w:r>
      <w:r w:rsidRPr="000B6C7F">
        <w:rPr>
          <w:rFonts w:cstheme="minorHAnsi"/>
          <w:color w:val="282828"/>
          <w:sz w:val="28"/>
          <w:szCs w:val="28"/>
        </w:rPr>
        <w:t xml:space="preserve">Available at: </w:t>
      </w:r>
      <w:hyperlink r:id="rId6" w:history="1">
        <w:r w:rsidRPr="000B6C7F">
          <w:rPr>
            <w:rStyle w:val="Hyperlink"/>
            <w:rFonts w:cstheme="minorHAnsi"/>
            <w:sz w:val="28"/>
            <w:szCs w:val="28"/>
          </w:rPr>
          <w:t>https://www.frontiersin.org/articles/10.3389/fpsyg.2011.00273/full</w:t>
        </w:r>
      </w:hyperlink>
      <w:r w:rsidRPr="000B6C7F">
        <w:rPr>
          <w:rFonts w:cstheme="minorHAnsi"/>
          <w:color w:val="282828"/>
          <w:sz w:val="28"/>
          <w:szCs w:val="28"/>
        </w:rPr>
        <w:t xml:space="preserve"> (Accessed: 6 April 2023). </w:t>
      </w:r>
    </w:p>
    <w:p w14:paraId="56A129AA" w14:textId="77777777" w:rsidR="000B6C7F" w:rsidRPr="000B6C7F" w:rsidRDefault="000B6C7F" w:rsidP="00686ACF">
      <w:pPr>
        <w:pStyle w:val="NormalWeb"/>
        <w:rPr>
          <w:rFonts w:asciiTheme="minorHAnsi" w:hAnsiTheme="minorHAnsi" w:cstheme="minorHAnsi"/>
          <w:color w:val="2D2826"/>
          <w:sz w:val="28"/>
          <w:szCs w:val="28"/>
        </w:rPr>
      </w:pPr>
      <w:proofErr w:type="spellStart"/>
      <w:r w:rsidRPr="000B6C7F">
        <w:rPr>
          <w:rFonts w:asciiTheme="minorHAnsi" w:hAnsiTheme="minorHAnsi" w:cstheme="minorHAnsi"/>
          <w:color w:val="2D2826"/>
          <w:sz w:val="28"/>
          <w:szCs w:val="28"/>
        </w:rPr>
        <w:t>Kovács</w:t>
      </w:r>
      <w:proofErr w:type="spellEnd"/>
      <w:r w:rsidRPr="000B6C7F">
        <w:rPr>
          <w:rFonts w:asciiTheme="minorHAnsi" w:hAnsiTheme="minorHAnsi" w:cstheme="minorHAnsi"/>
          <w:color w:val="2D2826"/>
          <w:sz w:val="28"/>
          <w:szCs w:val="28"/>
        </w:rPr>
        <w:t xml:space="preserve">, A. M., &amp; </w:t>
      </w:r>
      <w:proofErr w:type="spellStart"/>
      <w:r w:rsidRPr="000B6C7F">
        <w:rPr>
          <w:rFonts w:asciiTheme="minorHAnsi" w:hAnsiTheme="minorHAnsi" w:cstheme="minorHAnsi"/>
          <w:color w:val="2D2826"/>
          <w:sz w:val="28"/>
          <w:szCs w:val="28"/>
        </w:rPr>
        <w:t>Mehler</w:t>
      </w:r>
      <w:proofErr w:type="spellEnd"/>
      <w:r w:rsidRPr="000B6C7F">
        <w:rPr>
          <w:rFonts w:asciiTheme="minorHAnsi" w:hAnsiTheme="minorHAnsi" w:cstheme="minorHAnsi"/>
          <w:color w:val="2D2826"/>
          <w:sz w:val="28"/>
          <w:szCs w:val="28"/>
        </w:rPr>
        <w:t>, J. (2009). Cognitive gains in 7-month-old bilingual infants. Proceedings of the National Academy of Sciences</w:t>
      </w:r>
      <w:r w:rsidRPr="000B6C7F">
        <w:rPr>
          <w:rFonts w:asciiTheme="minorHAnsi" w:hAnsiTheme="minorHAnsi" w:cstheme="minorHAnsi"/>
          <w:color w:val="2D2826"/>
          <w:sz w:val="28"/>
          <w:szCs w:val="28"/>
        </w:rPr>
        <w:t xml:space="preserve">. </w:t>
      </w:r>
    </w:p>
    <w:p w14:paraId="7FC842C9" w14:textId="77777777" w:rsidR="000B6C7F" w:rsidRPr="00686ACF" w:rsidRDefault="000B6C7F" w:rsidP="00686ACF">
      <w:pPr>
        <w:rPr>
          <w:rFonts w:cstheme="minorHAnsi"/>
          <w:sz w:val="28"/>
          <w:szCs w:val="28"/>
        </w:rPr>
      </w:pPr>
      <w:proofErr w:type="spellStart"/>
      <w:r w:rsidRPr="00686ACF">
        <w:rPr>
          <w:rFonts w:cstheme="minorHAnsi"/>
          <w:sz w:val="28"/>
          <w:szCs w:val="28"/>
        </w:rPr>
        <w:t>Kuipers</w:t>
      </w:r>
      <w:proofErr w:type="spellEnd"/>
      <w:r w:rsidRPr="00686ACF">
        <w:rPr>
          <w:rFonts w:cstheme="minorHAnsi"/>
          <w:sz w:val="28"/>
          <w:szCs w:val="28"/>
        </w:rPr>
        <w:t xml:space="preserve">, J. R. and Thierry, G. (2015) </w:t>
      </w:r>
      <w:r w:rsidRPr="00686ACF">
        <w:rPr>
          <w:rFonts w:cstheme="minorHAnsi"/>
          <w:i/>
          <w:iCs/>
          <w:sz w:val="28"/>
          <w:szCs w:val="28"/>
        </w:rPr>
        <w:t>Bilingualism and increased attention to speech: Evidence from event-related potentials</w:t>
      </w:r>
      <w:r w:rsidRPr="00686ACF">
        <w:rPr>
          <w:rFonts w:cstheme="minorHAnsi"/>
          <w:sz w:val="28"/>
          <w:szCs w:val="28"/>
        </w:rPr>
        <w:t xml:space="preserve">, </w:t>
      </w:r>
      <w:hyperlink r:id="rId7" w:history="1">
        <w:r w:rsidRPr="00686ACF">
          <w:rPr>
            <w:rStyle w:val="Hyperlink"/>
            <w:rFonts w:cstheme="minorHAnsi"/>
            <w:sz w:val="28"/>
            <w:szCs w:val="28"/>
          </w:rPr>
          <w:t>https://www.sciencedirect.com/science/article/pii/S0093934X15001443</w:t>
        </w:r>
      </w:hyperlink>
      <w:r w:rsidRPr="00686ACF">
        <w:rPr>
          <w:rFonts w:cstheme="minorHAnsi"/>
          <w:sz w:val="28"/>
          <w:szCs w:val="28"/>
        </w:rPr>
        <w:t xml:space="preserve"> </w:t>
      </w:r>
      <w:r w:rsidRPr="00686ACF">
        <w:rPr>
          <w:rFonts w:cstheme="minorHAnsi"/>
          <w:sz w:val="28"/>
          <w:szCs w:val="28"/>
          <w:lang w:val="cy-GB"/>
        </w:rPr>
        <w:t xml:space="preserve">[Accessed: </w:t>
      </w:r>
      <w:r w:rsidRPr="000B6C7F">
        <w:rPr>
          <w:rFonts w:cstheme="minorHAnsi"/>
          <w:sz w:val="28"/>
          <w:szCs w:val="28"/>
          <w:lang w:val="cy-GB"/>
        </w:rPr>
        <w:t>6 April 2023</w:t>
      </w:r>
      <w:r w:rsidRPr="00686ACF">
        <w:rPr>
          <w:rFonts w:cstheme="minorHAnsi"/>
          <w:sz w:val="28"/>
          <w:szCs w:val="28"/>
          <w:lang w:val="cy-GB"/>
        </w:rPr>
        <w:t>].</w:t>
      </w:r>
    </w:p>
    <w:p w14:paraId="40B705AA" w14:textId="77777777" w:rsidR="000B6C7F" w:rsidRPr="000B6C7F" w:rsidRDefault="000B6C7F">
      <w:pPr>
        <w:rPr>
          <w:rFonts w:cstheme="minorHAnsi"/>
          <w:sz w:val="28"/>
          <w:szCs w:val="28"/>
        </w:rPr>
      </w:pPr>
      <w:proofErr w:type="spellStart"/>
      <w:r w:rsidRPr="000B6C7F">
        <w:rPr>
          <w:rFonts w:cstheme="minorHAnsi"/>
          <w:sz w:val="28"/>
          <w:szCs w:val="28"/>
        </w:rPr>
        <w:t>Mudiad</w:t>
      </w:r>
      <w:proofErr w:type="spellEnd"/>
      <w:r w:rsidRPr="000B6C7F">
        <w:rPr>
          <w:rFonts w:cstheme="minorHAnsi"/>
          <w:sz w:val="28"/>
          <w:szCs w:val="28"/>
        </w:rPr>
        <w:t xml:space="preserve"> </w:t>
      </w:r>
      <w:proofErr w:type="spellStart"/>
      <w:r w:rsidRPr="000B6C7F">
        <w:rPr>
          <w:rFonts w:cstheme="minorHAnsi"/>
          <w:sz w:val="28"/>
          <w:szCs w:val="28"/>
        </w:rPr>
        <w:t>meithrin</w:t>
      </w:r>
      <w:proofErr w:type="spellEnd"/>
      <w:r w:rsidRPr="000B6C7F">
        <w:rPr>
          <w:rFonts w:cstheme="minorHAnsi"/>
          <w:sz w:val="28"/>
          <w:szCs w:val="28"/>
        </w:rPr>
        <w:t xml:space="preserve"> (N.D) Available at: </w:t>
      </w:r>
      <w:hyperlink r:id="rId8" w:history="1">
        <w:r w:rsidRPr="000B6C7F">
          <w:rPr>
            <w:rStyle w:val="Hyperlink"/>
            <w:rFonts w:cstheme="minorHAnsi"/>
            <w:sz w:val="28"/>
            <w:szCs w:val="28"/>
          </w:rPr>
          <w:t>https://meithrin.cymru/ymuno-a-chylch/?lang=en</w:t>
        </w:r>
      </w:hyperlink>
      <w:r w:rsidRPr="000B6C7F">
        <w:rPr>
          <w:rFonts w:cstheme="minorHAnsi"/>
          <w:sz w:val="28"/>
          <w:szCs w:val="28"/>
        </w:rPr>
        <w:t xml:space="preserve"> (Accessed: 7 April 2023</w:t>
      </w:r>
    </w:p>
    <w:p w14:paraId="48613348" w14:textId="77777777" w:rsidR="000B6C7F" w:rsidRPr="000B6C7F" w:rsidRDefault="000B6C7F">
      <w:pPr>
        <w:rPr>
          <w:rFonts w:cstheme="minorHAnsi"/>
          <w:sz w:val="28"/>
          <w:szCs w:val="28"/>
        </w:rPr>
      </w:pPr>
      <w:r w:rsidRPr="000B6C7F">
        <w:rPr>
          <w:rFonts w:cstheme="minorHAnsi"/>
          <w:sz w:val="28"/>
          <w:szCs w:val="28"/>
        </w:rPr>
        <w:t xml:space="preserve">Norquist, R. (2019) </w:t>
      </w:r>
      <w:r w:rsidRPr="000B6C7F">
        <w:rPr>
          <w:rFonts w:cstheme="minorHAnsi"/>
          <w:i/>
          <w:iCs/>
          <w:sz w:val="28"/>
          <w:szCs w:val="28"/>
        </w:rPr>
        <w:t xml:space="preserve">What is multilingualism? </w:t>
      </w:r>
      <w:r w:rsidRPr="000B6C7F">
        <w:rPr>
          <w:rFonts w:cstheme="minorHAnsi"/>
          <w:sz w:val="28"/>
          <w:szCs w:val="28"/>
        </w:rPr>
        <w:t xml:space="preserve">Available at: </w:t>
      </w:r>
      <w:hyperlink r:id="rId9" w:history="1">
        <w:r w:rsidRPr="000B6C7F">
          <w:rPr>
            <w:rStyle w:val="Hyperlink"/>
            <w:rFonts w:cstheme="minorHAnsi"/>
            <w:sz w:val="28"/>
            <w:szCs w:val="28"/>
          </w:rPr>
          <w:t>https://www.thoughtco.com/what-is-multilingualism-1691331</w:t>
        </w:r>
      </w:hyperlink>
      <w:r w:rsidRPr="000B6C7F">
        <w:rPr>
          <w:rFonts w:cstheme="minorHAnsi"/>
          <w:sz w:val="28"/>
          <w:szCs w:val="28"/>
        </w:rPr>
        <w:t xml:space="preserve"> (Accessed: 27 March 2023</w:t>
      </w:r>
    </w:p>
    <w:p w14:paraId="53F939E8" w14:textId="77777777" w:rsidR="000B6C7F" w:rsidRPr="000B6C7F" w:rsidRDefault="000B6C7F" w:rsidP="00E61B57">
      <w:pPr>
        <w:rPr>
          <w:rFonts w:cstheme="minorHAnsi"/>
          <w:sz w:val="28"/>
          <w:szCs w:val="28"/>
          <w:lang w:val="cy-GB"/>
        </w:rPr>
      </w:pPr>
      <w:proofErr w:type="spellStart"/>
      <w:r w:rsidRPr="00E61B57">
        <w:rPr>
          <w:rFonts w:cstheme="minorHAnsi"/>
          <w:sz w:val="28"/>
          <w:szCs w:val="28"/>
          <w:lang w:val="en-US"/>
        </w:rPr>
        <w:t>Treutler</w:t>
      </w:r>
      <w:proofErr w:type="spellEnd"/>
      <w:r w:rsidRPr="00E61B57">
        <w:rPr>
          <w:rFonts w:cstheme="minorHAnsi"/>
          <w:sz w:val="28"/>
          <w:szCs w:val="28"/>
          <w:lang w:val="en-US"/>
        </w:rPr>
        <w:t xml:space="preserve">, M. and Soros, P. (2021) </w:t>
      </w:r>
      <w:r w:rsidRPr="00E61B57">
        <w:rPr>
          <w:rFonts w:cstheme="minorHAnsi"/>
          <w:i/>
          <w:iCs/>
          <w:sz w:val="28"/>
          <w:szCs w:val="28"/>
        </w:rPr>
        <w:t>Functional MRI of native and non-native speech production in sequential German-English bilinguals</w:t>
      </w:r>
      <w:r w:rsidRPr="00E61B57">
        <w:rPr>
          <w:rFonts w:cstheme="minorHAnsi"/>
          <w:sz w:val="28"/>
          <w:szCs w:val="28"/>
        </w:rPr>
        <w:t xml:space="preserve">, </w:t>
      </w:r>
      <w:hyperlink r:id="rId10" w:history="1">
        <w:r w:rsidRPr="00E61B57">
          <w:rPr>
            <w:rStyle w:val="Hyperlink"/>
            <w:rFonts w:cstheme="minorHAnsi"/>
            <w:sz w:val="28"/>
            <w:szCs w:val="28"/>
          </w:rPr>
          <w:t>ht</w:t>
        </w:r>
        <w:r w:rsidRPr="00E61B57">
          <w:rPr>
            <w:rStyle w:val="Hyperlink"/>
            <w:rFonts w:cstheme="minorHAnsi"/>
            <w:sz w:val="28"/>
            <w:szCs w:val="28"/>
          </w:rPr>
          <w:t>t</w:t>
        </w:r>
        <w:r w:rsidRPr="00E61B57">
          <w:rPr>
            <w:rStyle w:val="Hyperlink"/>
            <w:rFonts w:cstheme="minorHAnsi"/>
            <w:sz w:val="28"/>
            <w:szCs w:val="28"/>
          </w:rPr>
          <w:t>ps://www.biorxiv.org/content/10.1101/2021.02.18.431784v1.full</w:t>
        </w:r>
      </w:hyperlink>
      <w:r w:rsidRPr="00E61B57">
        <w:rPr>
          <w:rFonts w:cstheme="minorHAnsi"/>
          <w:sz w:val="28"/>
          <w:szCs w:val="28"/>
        </w:rPr>
        <w:t xml:space="preserve"> </w:t>
      </w:r>
      <w:r w:rsidRPr="00E61B57">
        <w:rPr>
          <w:rFonts w:cstheme="minorHAnsi"/>
          <w:sz w:val="28"/>
          <w:szCs w:val="28"/>
          <w:lang w:val="cy-GB"/>
        </w:rPr>
        <w:t xml:space="preserve">[Accessed: </w:t>
      </w:r>
      <w:r w:rsidRPr="000B6C7F">
        <w:rPr>
          <w:rFonts w:cstheme="minorHAnsi"/>
          <w:sz w:val="28"/>
          <w:szCs w:val="28"/>
          <w:lang w:val="cy-GB"/>
        </w:rPr>
        <w:t xml:space="preserve">6 April 2023) </w:t>
      </w:r>
    </w:p>
    <w:p w14:paraId="1B2F5093" w14:textId="77777777" w:rsidR="000B6C7F" w:rsidRPr="000B6C7F" w:rsidRDefault="000B6C7F" w:rsidP="00686ACF">
      <w:pPr>
        <w:spacing w:before="100" w:beforeAutospacing="1" w:after="100" w:afterAutospacing="1"/>
        <w:rPr>
          <w:rFonts w:eastAsia="Times New Roman" w:cstheme="minorHAnsi"/>
          <w:sz w:val="28"/>
          <w:szCs w:val="28"/>
          <w:lang w:eastAsia="en-GB"/>
        </w:rPr>
      </w:pPr>
      <w:r w:rsidRPr="00686ACF">
        <w:rPr>
          <w:rFonts w:eastAsia="Times New Roman" w:cstheme="minorHAnsi"/>
          <w:sz w:val="28"/>
          <w:szCs w:val="28"/>
          <w:lang w:eastAsia="en-GB"/>
        </w:rPr>
        <w:t xml:space="preserve">Welsh Government &amp; Welsh Language Commissioner, </w:t>
      </w:r>
      <w:r w:rsidRPr="00686ACF">
        <w:rPr>
          <w:rFonts w:eastAsia="Times New Roman" w:cstheme="minorHAnsi"/>
          <w:i/>
          <w:iCs/>
          <w:sz w:val="28"/>
          <w:szCs w:val="28"/>
          <w:lang w:eastAsia="en-GB"/>
        </w:rPr>
        <w:t>Welsh Language Use in Wales</w:t>
      </w:r>
      <w:r w:rsidRPr="000B6C7F">
        <w:rPr>
          <w:rFonts w:eastAsia="Times New Roman" w:cstheme="minorHAnsi"/>
          <w:i/>
          <w:iCs/>
          <w:sz w:val="28"/>
          <w:szCs w:val="28"/>
          <w:lang w:eastAsia="en-GB"/>
        </w:rPr>
        <w:t xml:space="preserve"> </w:t>
      </w:r>
      <w:proofErr w:type="gramStart"/>
      <w:r w:rsidRPr="000B6C7F">
        <w:rPr>
          <w:rFonts w:eastAsia="Times New Roman" w:cstheme="minorHAnsi"/>
          <w:i/>
          <w:iCs/>
          <w:sz w:val="28"/>
          <w:szCs w:val="28"/>
          <w:lang w:eastAsia="en-GB"/>
        </w:rPr>
        <w:t>(</w:t>
      </w:r>
      <w:r w:rsidRPr="00686ACF">
        <w:rPr>
          <w:rFonts w:eastAsia="Times New Roman" w:cstheme="minorHAnsi"/>
          <w:i/>
          <w:iCs/>
          <w:sz w:val="28"/>
          <w:szCs w:val="28"/>
          <w:lang w:eastAsia="en-GB"/>
        </w:rPr>
        <w:t xml:space="preserve"> 2013</w:t>
      </w:r>
      <w:proofErr w:type="gramEnd"/>
      <w:r w:rsidRPr="00686ACF">
        <w:rPr>
          <w:rFonts w:eastAsia="Times New Roman" w:cstheme="minorHAnsi"/>
          <w:i/>
          <w:iCs/>
          <w:sz w:val="28"/>
          <w:szCs w:val="28"/>
          <w:lang w:eastAsia="en-GB"/>
        </w:rPr>
        <w:t>-2015</w:t>
      </w:r>
      <w:r w:rsidRPr="000B6C7F">
        <w:rPr>
          <w:rFonts w:eastAsia="Times New Roman" w:cstheme="minorHAnsi"/>
          <w:sz w:val="28"/>
          <w:szCs w:val="28"/>
          <w:lang w:eastAsia="en-GB"/>
        </w:rPr>
        <w:t xml:space="preserve">) </w:t>
      </w:r>
      <w:r w:rsidRPr="00686ACF">
        <w:rPr>
          <w:rFonts w:eastAsia="Times New Roman" w:cstheme="minorHAnsi"/>
          <w:sz w:val="28"/>
          <w:szCs w:val="28"/>
          <w:lang w:eastAsia="en-GB"/>
        </w:rPr>
        <w:t xml:space="preserve">Cardiff, Welsh Government. Available on: </w:t>
      </w:r>
      <w:hyperlink r:id="rId11" w:history="1">
        <w:r w:rsidRPr="00686ACF">
          <w:rPr>
            <w:rStyle w:val="Hyperlink"/>
            <w:rFonts w:eastAsia="Times New Roman" w:cstheme="minorHAnsi"/>
            <w:sz w:val="28"/>
            <w:szCs w:val="28"/>
            <w:lang w:eastAsia="en-GB"/>
          </w:rPr>
          <w:t>https://gov.wales/sites/default/files/statistics-and- research/2018-12/160301-welsh-language-use-in-wales-2013-15-en.pdf</w:t>
        </w:r>
      </w:hyperlink>
      <w:r w:rsidRPr="00686ACF">
        <w:rPr>
          <w:rFonts w:eastAsia="Times New Roman" w:cstheme="minorHAnsi"/>
          <w:sz w:val="28"/>
          <w:szCs w:val="28"/>
          <w:lang w:eastAsia="en-GB"/>
        </w:rPr>
        <w:t>.</w:t>
      </w:r>
      <w:r w:rsidRPr="000B6C7F">
        <w:rPr>
          <w:rFonts w:eastAsia="Times New Roman" w:cstheme="minorHAnsi"/>
          <w:sz w:val="28"/>
          <w:szCs w:val="28"/>
          <w:lang w:eastAsia="en-GB"/>
        </w:rPr>
        <w:t xml:space="preserve"> </w:t>
      </w:r>
    </w:p>
    <w:p w14:paraId="75F9063A" w14:textId="77777777" w:rsidR="00E61B57" w:rsidRPr="00686ACF" w:rsidRDefault="00E61B57">
      <w:pPr>
        <w:rPr>
          <w:sz w:val="32"/>
          <w:szCs w:val="32"/>
        </w:rPr>
      </w:pPr>
    </w:p>
    <w:sectPr w:rsidR="00E61B57" w:rsidRPr="00686AC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A0773F"/>
    <w:multiLevelType w:val="multilevel"/>
    <w:tmpl w:val="FE1C39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37914F9"/>
    <w:multiLevelType w:val="multilevel"/>
    <w:tmpl w:val="87D2FA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FE1C0C"/>
    <w:multiLevelType w:val="multilevel"/>
    <w:tmpl w:val="768092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37953825">
    <w:abstractNumId w:val="0"/>
  </w:num>
  <w:num w:numId="2" w16cid:durableId="1124152400">
    <w:abstractNumId w:val="1"/>
  </w:num>
  <w:num w:numId="3" w16cid:durableId="93247697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6ACF"/>
    <w:rsid w:val="000604C9"/>
    <w:rsid w:val="000B6C7F"/>
    <w:rsid w:val="00686ACF"/>
    <w:rsid w:val="00E61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3BC1927"/>
  <w15:chartTrackingRefBased/>
  <w15:docId w15:val="{C5607D2C-8323-4145-9716-7C20F6C60D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E61B57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86AC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86ACF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686ACF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E61B57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mixed-citation">
    <w:name w:val="mixed-citation"/>
    <w:basedOn w:val="DefaultParagraphFont"/>
    <w:rsid w:val="00E61B57"/>
  </w:style>
  <w:style w:type="character" w:styleId="FollowedHyperlink">
    <w:name w:val="FollowedHyperlink"/>
    <w:basedOn w:val="DefaultParagraphFont"/>
    <w:uiPriority w:val="99"/>
    <w:semiHidden/>
    <w:unhideWhenUsed/>
    <w:rsid w:val="000B6C7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664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23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24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6282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999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3124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1108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970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251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749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890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37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80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32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99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279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eithrin.cymru/ymuno-a-chylch/?lang=en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sciencedirect.com/science/article/pii/S0093934X15001443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frontiersin.org/articles/10.3389/fpsyg.2011.00273/full" TargetMode="External"/><Relationship Id="rId11" Type="http://schemas.openxmlformats.org/officeDocument/2006/relationships/hyperlink" Target="https://gov.wales/sites/default/files/statistics-and-%20research/2018-12/160301-welsh-language-use-in-wales-2013-15-en.pdf" TargetMode="External"/><Relationship Id="rId5" Type="http://schemas.openxmlformats.org/officeDocument/2006/relationships/hyperlink" Target="https://dictionary.cambridge.org/dictionary/english/bilingualism" TargetMode="External"/><Relationship Id="rId10" Type="http://schemas.openxmlformats.org/officeDocument/2006/relationships/hyperlink" Target="https://www.biorxiv.org/content/10.1101/2021.02.18.431784v1.ful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thoughtco.com/what-is-multilingualism-169133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336</Words>
  <Characters>2077</Characters>
  <Application>Microsoft Office Word</Application>
  <DocSecurity>0</DocSecurity>
  <Lines>94</Lines>
  <Paragraphs>53</Paragraphs>
  <ScaleCrop>false</ScaleCrop>
  <Company/>
  <LinksUpToDate>false</LinksUpToDate>
  <CharactersWithSpaces>2360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Lenihan (2207534)</dc:creator>
  <cp:keywords/>
  <dc:description/>
  <cp:lastModifiedBy>Laura Lenihan (2207534)</cp:lastModifiedBy>
  <cp:revision>3</cp:revision>
  <dcterms:created xsi:type="dcterms:W3CDTF">2023-03-31T10:15:00Z</dcterms:created>
  <dcterms:modified xsi:type="dcterms:W3CDTF">2023-04-09T15:10:00Z</dcterms:modified>
</cp:coreProperties>
</file>