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E9E29" w14:textId="77777777" w:rsidR="0075519E" w:rsidRPr="00AA0D01" w:rsidRDefault="0075519E" w:rsidP="007B412F">
      <w:pPr>
        <w:spacing w:line="360" w:lineRule="auto"/>
        <w:jc w:val="both"/>
        <w:rPr>
          <w:rFonts w:ascii="Calibri" w:hAnsi="Calibri" w:cs="Calibri"/>
          <w:color w:val="000000" w:themeColor="text1"/>
          <w:sz w:val="36"/>
          <w:szCs w:val="36"/>
        </w:rPr>
      </w:pPr>
    </w:p>
    <w:p w14:paraId="60A88184" w14:textId="086E3A30" w:rsidR="0075519E" w:rsidRPr="00AA0D01" w:rsidRDefault="0075519E" w:rsidP="00AA0D01">
      <w:pPr>
        <w:spacing w:line="360" w:lineRule="auto"/>
        <w:jc w:val="center"/>
        <w:rPr>
          <w:rFonts w:ascii="Calibri" w:hAnsi="Calibri" w:cs="Calibri"/>
          <w:b/>
          <w:bCs/>
          <w:color w:val="000000" w:themeColor="text1"/>
          <w:sz w:val="22"/>
          <w:szCs w:val="22"/>
        </w:rPr>
      </w:pPr>
      <w:r w:rsidRPr="00AA0D01">
        <w:rPr>
          <w:rFonts w:ascii="Calibri" w:hAnsi="Calibri" w:cs="Calibri"/>
          <w:b/>
          <w:bCs/>
          <w:color w:val="000000" w:themeColor="text1"/>
          <w:sz w:val="22"/>
          <w:szCs w:val="22"/>
        </w:rPr>
        <w:t xml:space="preserve">Managing </w:t>
      </w:r>
      <w:r w:rsidR="00B425E7" w:rsidRPr="00AA0D01">
        <w:rPr>
          <w:rFonts w:ascii="Calibri" w:hAnsi="Calibri" w:cs="Calibri"/>
          <w:b/>
          <w:bCs/>
          <w:color w:val="000000" w:themeColor="text1"/>
          <w:sz w:val="22"/>
          <w:szCs w:val="22"/>
        </w:rPr>
        <w:t>Marketing Change</w:t>
      </w:r>
    </w:p>
    <w:p w14:paraId="3AC14F1B" w14:textId="3FC43E24" w:rsidR="0075519E" w:rsidRPr="00AA0D01" w:rsidRDefault="0075519E" w:rsidP="00AA0D01">
      <w:pPr>
        <w:spacing w:line="360" w:lineRule="auto"/>
        <w:jc w:val="center"/>
        <w:rPr>
          <w:rFonts w:ascii="Calibri" w:hAnsi="Calibri" w:cs="Calibri"/>
          <w:color w:val="000000" w:themeColor="text1"/>
          <w:sz w:val="22"/>
          <w:szCs w:val="22"/>
        </w:rPr>
      </w:pPr>
      <w:r w:rsidRPr="00AA0D01">
        <w:rPr>
          <w:rFonts w:ascii="Calibri" w:hAnsi="Calibri" w:cs="Calibri"/>
          <w:color w:val="000000" w:themeColor="text1"/>
          <w:sz w:val="22"/>
          <w:szCs w:val="22"/>
        </w:rPr>
        <w:t xml:space="preserve">Module Lead - </w:t>
      </w:r>
      <w:r w:rsidR="00B425E7" w:rsidRPr="00AA0D01">
        <w:rPr>
          <w:rFonts w:ascii="Calibri" w:hAnsi="Calibri" w:cs="Calibri"/>
        </w:rPr>
        <w:t>Navdeep Randhawa</w:t>
      </w:r>
    </w:p>
    <w:p w14:paraId="3C442B45" w14:textId="6C811B21" w:rsidR="0075519E" w:rsidRPr="00AA0D01" w:rsidRDefault="0075519E" w:rsidP="00AA0D01">
      <w:pPr>
        <w:spacing w:line="360" w:lineRule="auto"/>
        <w:jc w:val="center"/>
        <w:rPr>
          <w:rFonts w:ascii="Calibri" w:hAnsi="Calibri" w:cs="Calibri"/>
          <w:color w:val="000000" w:themeColor="text1"/>
          <w:sz w:val="22"/>
          <w:szCs w:val="22"/>
        </w:rPr>
      </w:pPr>
      <w:r w:rsidRPr="00AA0D01">
        <w:rPr>
          <w:rFonts w:ascii="Calibri" w:hAnsi="Calibri" w:cs="Calibri"/>
          <w:color w:val="000000" w:themeColor="text1"/>
          <w:sz w:val="22"/>
          <w:szCs w:val="22"/>
        </w:rPr>
        <w:t>Module Code - BMMB702</w:t>
      </w:r>
      <w:r w:rsidR="00B425E7" w:rsidRPr="00AA0D01">
        <w:rPr>
          <w:rFonts w:ascii="Calibri" w:hAnsi="Calibri" w:cs="Calibri"/>
          <w:color w:val="000000" w:themeColor="text1"/>
          <w:sz w:val="22"/>
          <w:szCs w:val="22"/>
        </w:rPr>
        <w:t>6</w:t>
      </w:r>
      <w:r w:rsidRPr="00AA0D01">
        <w:rPr>
          <w:rFonts w:ascii="Calibri" w:hAnsi="Calibri" w:cs="Calibri"/>
          <w:color w:val="000000" w:themeColor="text1"/>
          <w:sz w:val="22"/>
          <w:szCs w:val="22"/>
        </w:rPr>
        <w:t>D</w:t>
      </w:r>
    </w:p>
    <w:p w14:paraId="717170EC" w14:textId="0578E0C5" w:rsidR="00D45D5F" w:rsidRPr="00AA0D01" w:rsidRDefault="00D45D5F" w:rsidP="00AA0D01">
      <w:pPr>
        <w:spacing w:line="360" w:lineRule="auto"/>
        <w:jc w:val="center"/>
        <w:rPr>
          <w:rFonts w:ascii="Calibri" w:hAnsi="Calibri" w:cs="Calibri"/>
          <w:color w:val="000000" w:themeColor="text1"/>
          <w:sz w:val="40"/>
          <w:szCs w:val="40"/>
        </w:rPr>
      </w:pPr>
    </w:p>
    <w:p w14:paraId="7C79660B" w14:textId="77777777" w:rsidR="00731E12" w:rsidRPr="00AA0D01" w:rsidRDefault="00731E12" w:rsidP="00053BF2">
      <w:pPr>
        <w:spacing w:line="360" w:lineRule="auto"/>
        <w:rPr>
          <w:rFonts w:ascii="Calibri" w:hAnsi="Calibri" w:cs="Calibri"/>
          <w:b/>
          <w:bCs/>
          <w:color w:val="000000" w:themeColor="text1"/>
          <w:sz w:val="40"/>
          <w:szCs w:val="40"/>
        </w:rPr>
      </w:pPr>
    </w:p>
    <w:p w14:paraId="6260C3B9" w14:textId="33B4FC26" w:rsidR="00CF6313" w:rsidRPr="00AA0D01" w:rsidRDefault="00B425E7" w:rsidP="00AA0D01">
      <w:pPr>
        <w:spacing w:line="360" w:lineRule="auto"/>
        <w:jc w:val="center"/>
        <w:rPr>
          <w:rFonts w:ascii="Calibri" w:hAnsi="Calibri" w:cs="Calibri"/>
          <w:b/>
          <w:bCs/>
          <w:color w:val="000000" w:themeColor="text1"/>
          <w:sz w:val="40"/>
          <w:szCs w:val="40"/>
        </w:rPr>
      </w:pPr>
      <w:r w:rsidRPr="00AA0D01">
        <w:rPr>
          <w:rFonts w:ascii="Calibri" w:hAnsi="Calibri" w:cs="Calibri"/>
          <w:b/>
          <w:bCs/>
          <w:color w:val="000000" w:themeColor="text1"/>
          <w:sz w:val="40"/>
          <w:szCs w:val="40"/>
        </w:rPr>
        <w:t>Managing Marketing Change in the Digital Era</w:t>
      </w:r>
      <w:r w:rsidR="00CF6313" w:rsidRPr="00AA0D01">
        <w:rPr>
          <w:rFonts w:ascii="Calibri" w:hAnsi="Calibri" w:cs="Calibri"/>
          <w:b/>
          <w:bCs/>
          <w:color w:val="000000" w:themeColor="text1"/>
          <w:sz w:val="40"/>
          <w:szCs w:val="40"/>
        </w:rPr>
        <w:t>:</w:t>
      </w:r>
    </w:p>
    <w:p w14:paraId="38E4CE65" w14:textId="77777777" w:rsidR="00053BF2" w:rsidRPr="00053BF2" w:rsidRDefault="00053BF2" w:rsidP="00053BF2">
      <w:pPr>
        <w:spacing w:line="360" w:lineRule="auto"/>
        <w:jc w:val="center"/>
        <w:rPr>
          <w:rFonts w:ascii="Calibri" w:hAnsi="Calibri" w:cs="Calibri"/>
          <w:color w:val="000000" w:themeColor="text1"/>
          <w:sz w:val="40"/>
          <w:szCs w:val="40"/>
        </w:rPr>
      </w:pPr>
      <w:r w:rsidRPr="00053BF2">
        <w:rPr>
          <w:rFonts w:ascii="Calibri" w:hAnsi="Calibri" w:cs="Calibri"/>
          <w:color w:val="000000" w:themeColor="text1"/>
          <w:sz w:val="40"/>
          <w:szCs w:val="40"/>
        </w:rPr>
        <w:t>A Critical Evaluation of Tesco plc's Marketing Function: Current Activities, Drivers of Change and Future Strategic Developments</w:t>
      </w:r>
    </w:p>
    <w:p w14:paraId="16CAD3C3" w14:textId="77777777" w:rsidR="00053BF2" w:rsidRPr="00AA0D01" w:rsidRDefault="00053BF2" w:rsidP="00AA0D01">
      <w:pPr>
        <w:spacing w:line="360" w:lineRule="auto"/>
        <w:jc w:val="center"/>
        <w:rPr>
          <w:rFonts w:ascii="Calibri" w:hAnsi="Calibri" w:cs="Calibri"/>
          <w:b/>
          <w:bCs/>
          <w:color w:val="000000" w:themeColor="text1"/>
          <w:sz w:val="40"/>
          <w:szCs w:val="40"/>
        </w:rPr>
      </w:pPr>
    </w:p>
    <w:p w14:paraId="517E392B" w14:textId="77777777" w:rsidR="00D45D5F" w:rsidRDefault="00D45D5F" w:rsidP="00053BF2">
      <w:pPr>
        <w:spacing w:line="360" w:lineRule="auto"/>
        <w:rPr>
          <w:rFonts w:ascii="Calibri" w:hAnsi="Calibri" w:cs="Calibri"/>
          <w:color w:val="000000" w:themeColor="text1"/>
          <w:sz w:val="22"/>
          <w:szCs w:val="22"/>
        </w:rPr>
      </w:pPr>
    </w:p>
    <w:p w14:paraId="21B3F9F2" w14:textId="77777777" w:rsidR="00053BF2" w:rsidRPr="00AA0D01" w:rsidRDefault="00053BF2" w:rsidP="00053BF2">
      <w:pPr>
        <w:spacing w:line="360" w:lineRule="auto"/>
        <w:rPr>
          <w:rFonts w:ascii="Calibri" w:hAnsi="Calibri" w:cs="Calibri"/>
          <w:color w:val="000000" w:themeColor="text1"/>
          <w:sz w:val="22"/>
          <w:szCs w:val="22"/>
        </w:rPr>
      </w:pPr>
    </w:p>
    <w:p w14:paraId="7263F538" w14:textId="77777777" w:rsidR="00D45D5F" w:rsidRPr="00AA0D01" w:rsidRDefault="00D45D5F" w:rsidP="00AA0D01">
      <w:pPr>
        <w:spacing w:line="360" w:lineRule="auto"/>
        <w:jc w:val="center"/>
        <w:rPr>
          <w:rFonts w:ascii="Calibri" w:hAnsi="Calibri" w:cs="Calibri"/>
          <w:color w:val="000000" w:themeColor="text1"/>
          <w:sz w:val="22"/>
          <w:szCs w:val="22"/>
        </w:rPr>
      </w:pPr>
    </w:p>
    <w:p w14:paraId="7FC353EF" w14:textId="77777777" w:rsidR="00D45D5F" w:rsidRPr="00AA0D01" w:rsidRDefault="00D45D5F" w:rsidP="00AA0D01">
      <w:pPr>
        <w:spacing w:line="360" w:lineRule="auto"/>
        <w:jc w:val="center"/>
        <w:rPr>
          <w:rFonts w:ascii="Calibri" w:hAnsi="Calibri" w:cs="Calibri"/>
          <w:color w:val="000000" w:themeColor="text1"/>
          <w:sz w:val="22"/>
          <w:szCs w:val="22"/>
        </w:rPr>
      </w:pPr>
      <w:r w:rsidRPr="00AA0D01">
        <w:rPr>
          <w:rFonts w:ascii="Calibri" w:hAnsi="Calibri" w:cs="Calibri"/>
          <w:color w:val="000000" w:themeColor="text1"/>
          <w:sz w:val="22"/>
          <w:szCs w:val="22"/>
        </w:rPr>
        <w:t>Student Details</w:t>
      </w:r>
    </w:p>
    <w:p w14:paraId="0377FBED" w14:textId="77777777" w:rsidR="00D45D5F" w:rsidRPr="00AA0D01" w:rsidRDefault="00D45D5F" w:rsidP="00AA0D01">
      <w:pPr>
        <w:spacing w:line="360" w:lineRule="auto"/>
        <w:jc w:val="center"/>
        <w:rPr>
          <w:rFonts w:ascii="Calibri" w:hAnsi="Calibri" w:cs="Calibri"/>
          <w:color w:val="000000" w:themeColor="text1"/>
          <w:sz w:val="22"/>
          <w:szCs w:val="22"/>
        </w:rPr>
      </w:pPr>
      <w:r w:rsidRPr="00AA0D01">
        <w:rPr>
          <w:rFonts w:ascii="Calibri" w:hAnsi="Calibri" w:cs="Calibri"/>
          <w:color w:val="000000" w:themeColor="text1"/>
          <w:sz w:val="22"/>
          <w:szCs w:val="22"/>
        </w:rPr>
        <w:t>Liliana-Melania Gaina</w:t>
      </w:r>
    </w:p>
    <w:p w14:paraId="7F525D42" w14:textId="07A97F2B" w:rsidR="00BC7015" w:rsidRPr="00AA0D01" w:rsidRDefault="00D45D5F" w:rsidP="00AA0D01">
      <w:pPr>
        <w:spacing w:line="360" w:lineRule="auto"/>
        <w:jc w:val="center"/>
        <w:rPr>
          <w:rFonts w:ascii="Calibri" w:hAnsi="Calibri" w:cs="Calibri"/>
          <w:color w:val="000000" w:themeColor="text1"/>
          <w:sz w:val="22"/>
          <w:szCs w:val="22"/>
        </w:rPr>
      </w:pPr>
      <w:r w:rsidRPr="00AA0D01">
        <w:rPr>
          <w:rFonts w:ascii="Calibri" w:hAnsi="Calibri" w:cs="Calibri"/>
          <w:color w:val="000000" w:themeColor="text1"/>
          <w:sz w:val="22"/>
          <w:szCs w:val="22"/>
        </w:rPr>
        <w:t>Number: 2508297</w:t>
      </w:r>
    </w:p>
    <w:sdt>
      <w:sdtPr>
        <w:rPr>
          <w:rFonts w:ascii="Calibri" w:eastAsiaTheme="minorHAnsi" w:hAnsi="Calibri" w:cs="Calibri"/>
          <w:b w:val="0"/>
          <w:bCs w:val="0"/>
          <w:color w:val="000000" w:themeColor="text1"/>
          <w:kern w:val="2"/>
          <w:sz w:val="24"/>
          <w:szCs w:val="24"/>
          <w:lang w:val="en-CZ"/>
          <w14:ligatures w14:val="standardContextual"/>
        </w:rPr>
        <w:id w:val="37176751"/>
        <w:docPartObj>
          <w:docPartGallery w:val="Table of Contents"/>
          <w:docPartUnique/>
        </w:docPartObj>
      </w:sdtPr>
      <w:sdtEndPr>
        <w:rPr>
          <w:noProof/>
        </w:rPr>
      </w:sdtEndPr>
      <w:sdtContent>
        <w:p w14:paraId="69DB1FC1" w14:textId="00FA7CE1" w:rsidR="00BC7015" w:rsidRPr="00053BF2" w:rsidRDefault="00BC7015" w:rsidP="007B412F">
          <w:pPr>
            <w:pStyle w:val="TOCHeading"/>
            <w:spacing w:line="360" w:lineRule="auto"/>
            <w:jc w:val="both"/>
            <w:rPr>
              <w:rFonts w:ascii="Calibri" w:hAnsi="Calibri" w:cs="Calibri"/>
              <w:b w:val="0"/>
              <w:bCs w:val="0"/>
              <w:color w:val="000000" w:themeColor="text1"/>
              <w:sz w:val="24"/>
              <w:szCs w:val="24"/>
            </w:rPr>
          </w:pPr>
          <w:r w:rsidRPr="00053BF2">
            <w:rPr>
              <w:rFonts w:ascii="Calibri" w:hAnsi="Calibri" w:cs="Calibri"/>
              <w:b w:val="0"/>
              <w:bCs w:val="0"/>
              <w:color w:val="000000" w:themeColor="text1"/>
              <w:sz w:val="24"/>
              <w:szCs w:val="24"/>
            </w:rPr>
            <w:t>Table of Contents</w:t>
          </w:r>
        </w:p>
        <w:p w14:paraId="7485E276" w14:textId="714667F7" w:rsidR="00053BF2" w:rsidRPr="00053BF2" w:rsidRDefault="00BC7015">
          <w:pPr>
            <w:pStyle w:val="TOC2"/>
            <w:tabs>
              <w:tab w:val="right" w:leader="dot" w:pos="9350"/>
            </w:tabs>
            <w:rPr>
              <w:rFonts w:eastAsiaTheme="minorEastAsia"/>
              <w:b w:val="0"/>
              <w:bCs w:val="0"/>
              <w:noProof/>
              <w:sz w:val="24"/>
              <w:szCs w:val="24"/>
            </w:rPr>
          </w:pPr>
          <w:r w:rsidRPr="00053BF2">
            <w:rPr>
              <w:rFonts w:ascii="Calibri" w:hAnsi="Calibri" w:cs="Calibri"/>
              <w:b w:val="0"/>
              <w:bCs w:val="0"/>
              <w:color w:val="000000" w:themeColor="text1"/>
              <w:sz w:val="24"/>
              <w:szCs w:val="24"/>
            </w:rPr>
            <w:fldChar w:fldCharType="begin"/>
          </w:r>
          <w:r w:rsidRPr="00053BF2">
            <w:rPr>
              <w:rFonts w:ascii="Calibri" w:hAnsi="Calibri" w:cs="Calibri"/>
              <w:b w:val="0"/>
              <w:bCs w:val="0"/>
              <w:color w:val="000000" w:themeColor="text1"/>
              <w:sz w:val="24"/>
              <w:szCs w:val="24"/>
            </w:rPr>
            <w:instrText xml:space="preserve"> TOC \o "1-3" \h \z \u </w:instrText>
          </w:r>
          <w:r w:rsidRPr="00053BF2">
            <w:rPr>
              <w:rFonts w:ascii="Calibri" w:hAnsi="Calibri" w:cs="Calibri"/>
              <w:b w:val="0"/>
              <w:bCs w:val="0"/>
              <w:color w:val="000000" w:themeColor="text1"/>
              <w:sz w:val="24"/>
              <w:szCs w:val="24"/>
            </w:rPr>
            <w:fldChar w:fldCharType="separate"/>
          </w:r>
          <w:hyperlink w:anchor="_Toc232005393" w:history="1">
            <w:r w:rsidR="00053BF2" w:rsidRPr="00053BF2">
              <w:rPr>
                <w:rStyle w:val="Hyperlink"/>
                <w:rFonts w:ascii="Calibri" w:hAnsi="Calibri" w:cs="Calibri"/>
                <w:noProof/>
                <w:sz w:val="24"/>
                <w:szCs w:val="24"/>
              </w:rPr>
              <w:t>Executive Summary</w:t>
            </w:r>
            <w:r w:rsidR="00053BF2" w:rsidRPr="00053BF2">
              <w:rPr>
                <w:noProof/>
                <w:webHidden/>
                <w:sz w:val="24"/>
                <w:szCs w:val="24"/>
              </w:rPr>
              <w:tab/>
            </w:r>
            <w:r w:rsidR="00053BF2" w:rsidRPr="00053BF2">
              <w:rPr>
                <w:noProof/>
                <w:webHidden/>
                <w:sz w:val="24"/>
                <w:szCs w:val="24"/>
              </w:rPr>
              <w:fldChar w:fldCharType="begin"/>
            </w:r>
            <w:r w:rsidR="00053BF2" w:rsidRPr="00053BF2">
              <w:rPr>
                <w:noProof/>
                <w:webHidden/>
                <w:sz w:val="24"/>
                <w:szCs w:val="24"/>
              </w:rPr>
              <w:instrText xml:space="preserve"> PAGEREF _Toc232005393 \h </w:instrText>
            </w:r>
            <w:r w:rsidR="00053BF2" w:rsidRPr="00053BF2">
              <w:rPr>
                <w:noProof/>
                <w:webHidden/>
                <w:sz w:val="24"/>
                <w:szCs w:val="24"/>
              </w:rPr>
            </w:r>
            <w:r w:rsidR="00053BF2" w:rsidRPr="00053BF2">
              <w:rPr>
                <w:noProof/>
                <w:webHidden/>
                <w:sz w:val="24"/>
                <w:szCs w:val="24"/>
              </w:rPr>
              <w:fldChar w:fldCharType="separate"/>
            </w:r>
            <w:r w:rsidR="00053BF2" w:rsidRPr="00053BF2">
              <w:rPr>
                <w:noProof/>
                <w:webHidden/>
                <w:sz w:val="24"/>
                <w:szCs w:val="24"/>
              </w:rPr>
              <w:t>3</w:t>
            </w:r>
            <w:r w:rsidR="00053BF2" w:rsidRPr="00053BF2">
              <w:rPr>
                <w:noProof/>
                <w:webHidden/>
                <w:sz w:val="24"/>
                <w:szCs w:val="24"/>
              </w:rPr>
              <w:fldChar w:fldCharType="end"/>
            </w:r>
          </w:hyperlink>
        </w:p>
        <w:p w14:paraId="4F4DC074" w14:textId="28654382" w:rsidR="00053BF2" w:rsidRPr="00053BF2" w:rsidRDefault="00053BF2">
          <w:pPr>
            <w:pStyle w:val="TOC2"/>
            <w:tabs>
              <w:tab w:val="left" w:pos="720"/>
              <w:tab w:val="right" w:leader="dot" w:pos="9350"/>
            </w:tabs>
            <w:rPr>
              <w:rFonts w:eastAsiaTheme="minorEastAsia"/>
              <w:b w:val="0"/>
              <w:bCs w:val="0"/>
              <w:noProof/>
              <w:sz w:val="24"/>
              <w:szCs w:val="24"/>
            </w:rPr>
          </w:pPr>
          <w:hyperlink w:anchor="_Toc232005394" w:history="1">
            <w:r w:rsidRPr="00053BF2">
              <w:rPr>
                <w:rStyle w:val="Hyperlink"/>
                <w:rFonts w:ascii="Calibri" w:hAnsi="Calibri" w:cs="Calibri"/>
                <w:noProof/>
                <w:sz w:val="24"/>
                <w:szCs w:val="24"/>
              </w:rPr>
              <w:t>1.</w:t>
            </w:r>
            <w:r w:rsidRPr="00053BF2">
              <w:rPr>
                <w:rFonts w:eastAsiaTheme="minorEastAsia"/>
                <w:b w:val="0"/>
                <w:bCs w:val="0"/>
                <w:noProof/>
                <w:sz w:val="24"/>
                <w:szCs w:val="24"/>
              </w:rPr>
              <w:tab/>
            </w:r>
            <w:r w:rsidRPr="00053BF2">
              <w:rPr>
                <w:rStyle w:val="Hyperlink"/>
                <w:rFonts w:ascii="Calibri" w:hAnsi="Calibri" w:cs="Calibri"/>
                <w:noProof/>
                <w:sz w:val="24"/>
                <w:szCs w:val="24"/>
              </w:rPr>
              <w:t>Introduction</w:t>
            </w:r>
            <w:r w:rsidRPr="00053BF2">
              <w:rPr>
                <w:noProof/>
                <w:webHidden/>
                <w:sz w:val="24"/>
                <w:szCs w:val="24"/>
              </w:rPr>
              <w:tab/>
            </w:r>
            <w:r w:rsidRPr="00053BF2">
              <w:rPr>
                <w:noProof/>
                <w:webHidden/>
                <w:sz w:val="24"/>
                <w:szCs w:val="24"/>
              </w:rPr>
              <w:fldChar w:fldCharType="begin"/>
            </w:r>
            <w:r w:rsidRPr="00053BF2">
              <w:rPr>
                <w:noProof/>
                <w:webHidden/>
                <w:sz w:val="24"/>
                <w:szCs w:val="24"/>
              </w:rPr>
              <w:instrText xml:space="preserve"> PAGEREF _Toc232005394 \h </w:instrText>
            </w:r>
            <w:r w:rsidRPr="00053BF2">
              <w:rPr>
                <w:noProof/>
                <w:webHidden/>
                <w:sz w:val="24"/>
                <w:szCs w:val="24"/>
              </w:rPr>
            </w:r>
            <w:r w:rsidRPr="00053BF2">
              <w:rPr>
                <w:noProof/>
                <w:webHidden/>
                <w:sz w:val="24"/>
                <w:szCs w:val="24"/>
              </w:rPr>
              <w:fldChar w:fldCharType="separate"/>
            </w:r>
            <w:r w:rsidRPr="00053BF2">
              <w:rPr>
                <w:noProof/>
                <w:webHidden/>
                <w:sz w:val="24"/>
                <w:szCs w:val="24"/>
              </w:rPr>
              <w:t>4</w:t>
            </w:r>
            <w:r w:rsidRPr="00053BF2">
              <w:rPr>
                <w:noProof/>
                <w:webHidden/>
                <w:sz w:val="24"/>
                <w:szCs w:val="24"/>
              </w:rPr>
              <w:fldChar w:fldCharType="end"/>
            </w:r>
          </w:hyperlink>
        </w:p>
        <w:p w14:paraId="74DCF815" w14:textId="387084D7" w:rsidR="00053BF2" w:rsidRPr="00053BF2" w:rsidRDefault="00053BF2">
          <w:pPr>
            <w:pStyle w:val="TOC2"/>
            <w:tabs>
              <w:tab w:val="left" w:pos="720"/>
              <w:tab w:val="right" w:leader="dot" w:pos="9350"/>
            </w:tabs>
            <w:rPr>
              <w:rFonts w:eastAsiaTheme="minorEastAsia"/>
              <w:b w:val="0"/>
              <w:bCs w:val="0"/>
              <w:noProof/>
              <w:sz w:val="24"/>
              <w:szCs w:val="24"/>
            </w:rPr>
          </w:pPr>
          <w:hyperlink w:anchor="_Toc232005395" w:history="1">
            <w:r w:rsidRPr="00053BF2">
              <w:rPr>
                <w:rStyle w:val="Hyperlink"/>
                <w:rFonts w:ascii="Calibri" w:hAnsi="Calibri" w:cs="Calibri"/>
                <w:noProof/>
                <w:sz w:val="24"/>
                <w:szCs w:val="24"/>
              </w:rPr>
              <w:t>2.</w:t>
            </w:r>
            <w:r w:rsidRPr="00053BF2">
              <w:rPr>
                <w:rFonts w:eastAsiaTheme="minorEastAsia"/>
                <w:b w:val="0"/>
                <w:bCs w:val="0"/>
                <w:noProof/>
                <w:sz w:val="24"/>
                <w:szCs w:val="24"/>
              </w:rPr>
              <w:tab/>
            </w:r>
            <w:r w:rsidRPr="00053BF2">
              <w:rPr>
                <w:rStyle w:val="Hyperlink"/>
                <w:rFonts w:ascii="Calibri" w:hAnsi="Calibri" w:cs="Calibri"/>
                <w:noProof/>
                <w:sz w:val="24"/>
                <w:szCs w:val="24"/>
              </w:rPr>
              <w:t>Critical Appraisal of Current Marketing Activities</w:t>
            </w:r>
            <w:r w:rsidRPr="00053BF2">
              <w:rPr>
                <w:noProof/>
                <w:webHidden/>
                <w:sz w:val="24"/>
                <w:szCs w:val="24"/>
              </w:rPr>
              <w:tab/>
            </w:r>
            <w:r w:rsidRPr="00053BF2">
              <w:rPr>
                <w:noProof/>
                <w:webHidden/>
                <w:sz w:val="24"/>
                <w:szCs w:val="24"/>
              </w:rPr>
              <w:fldChar w:fldCharType="begin"/>
            </w:r>
            <w:r w:rsidRPr="00053BF2">
              <w:rPr>
                <w:noProof/>
                <w:webHidden/>
                <w:sz w:val="24"/>
                <w:szCs w:val="24"/>
              </w:rPr>
              <w:instrText xml:space="preserve"> PAGEREF _Toc232005395 \h </w:instrText>
            </w:r>
            <w:r w:rsidRPr="00053BF2">
              <w:rPr>
                <w:noProof/>
                <w:webHidden/>
                <w:sz w:val="24"/>
                <w:szCs w:val="24"/>
              </w:rPr>
            </w:r>
            <w:r w:rsidRPr="00053BF2">
              <w:rPr>
                <w:noProof/>
                <w:webHidden/>
                <w:sz w:val="24"/>
                <w:szCs w:val="24"/>
              </w:rPr>
              <w:fldChar w:fldCharType="separate"/>
            </w:r>
            <w:r w:rsidRPr="00053BF2">
              <w:rPr>
                <w:noProof/>
                <w:webHidden/>
                <w:sz w:val="24"/>
                <w:szCs w:val="24"/>
              </w:rPr>
              <w:t>5</w:t>
            </w:r>
            <w:r w:rsidRPr="00053BF2">
              <w:rPr>
                <w:noProof/>
                <w:webHidden/>
                <w:sz w:val="24"/>
                <w:szCs w:val="24"/>
              </w:rPr>
              <w:fldChar w:fldCharType="end"/>
            </w:r>
          </w:hyperlink>
        </w:p>
        <w:p w14:paraId="5C262494" w14:textId="09913EB3" w:rsidR="00053BF2" w:rsidRPr="00053BF2" w:rsidRDefault="00053BF2">
          <w:pPr>
            <w:pStyle w:val="TOC3"/>
            <w:tabs>
              <w:tab w:val="left" w:pos="1200"/>
              <w:tab w:val="right" w:leader="dot" w:pos="9350"/>
            </w:tabs>
            <w:rPr>
              <w:rFonts w:eastAsiaTheme="minorEastAsia"/>
              <w:noProof/>
              <w:sz w:val="24"/>
              <w:szCs w:val="24"/>
            </w:rPr>
          </w:pPr>
          <w:hyperlink w:anchor="_Toc232005396" w:history="1">
            <w:r w:rsidRPr="00053BF2">
              <w:rPr>
                <w:rStyle w:val="Hyperlink"/>
                <w:rFonts w:ascii="Calibri" w:hAnsi="Calibri" w:cs="Calibri"/>
                <w:noProof/>
                <w:sz w:val="24"/>
                <w:szCs w:val="24"/>
              </w:rPr>
              <w:t>2.1.</w:t>
            </w:r>
            <w:r w:rsidRPr="00053BF2">
              <w:rPr>
                <w:rFonts w:eastAsiaTheme="minorEastAsia"/>
                <w:noProof/>
                <w:sz w:val="24"/>
                <w:szCs w:val="24"/>
              </w:rPr>
              <w:tab/>
            </w:r>
            <w:r w:rsidRPr="00053BF2">
              <w:rPr>
                <w:rStyle w:val="Hyperlink"/>
                <w:rFonts w:ascii="Calibri" w:hAnsi="Calibri" w:cs="Calibri"/>
                <w:noProof/>
                <w:sz w:val="24"/>
                <w:szCs w:val="24"/>
              </w:rPr>
              <w:t>PESTLE Analysis</w:t>
            </w:r>
            <w:r w:rsidRPr="00053BF2">
              <w:rPr>
                <w:noProof/>
                <w:webHidden/>
                <w:sz w:val="24"/>
                <w:szCs w:val="24"/>
              </w:rPr>
              <w:tab/>
            </w:r>
            <w:r w:rsidRPr="00053BF2">
              <w:rPr>
                <w:noProof/>
                <w:webHidden/>
                <w:sz w:val="24"/>
                <w:szCs w:val="24"/>
              </w:rPr>
              <w:fldChar w:fldCharType="begin"/>
            </w:r>
            <w:r w:rsidRPr="00053BF2">
              <w:rPr>
                <w:noProof/>
                <w:webHidden/>
                <w:sz w:val="24"/>
                <w:szCs w:val="24"/>
              </w:rPr>
              <w:instrText xml:space="preserve"> PAGEREF _Toc232005396 \h </w:instrText>
            </w:r>
            <w:r w:rsidRPr="00053BF2">
              <w:rPr>
                <w:noProof/>
                <w:webHidden/>
                <w:sz w:val="24"/>
                <w:szCs w:val="24"/>
              </w:rPr>
            </w:r>
            <w:r w:rsidRPr="00053BF2">
              <w:rPr>
                <w:noProof/>
                <w:webHidden/>
                <w:sz w:val="24"/>
                <w:szCs w:val="24"/>
              </w:rPr>
              <w:fldChar w:fldCharType="separate"/>
            </w:r>
            <w:r w:rsidRPr="00053BF2">
              <w:rPr>
                <w:noProof/>
                <w:webHidden/>
                <w:sz w:val="24"/>
                <w:szCs w:val="24"/>
              </w:rPr>
              <w:t>5</w:t>
            </w:r>
            <w:r w:rsidRPr="00053BF2">
              <w:rPr>
                <w:noProof/>
                <w:webHidden/>
                <w:sz w:val="24"/>
                <w:szCs w:val="24"/>
              </w:rPr>
              <w:fldChar w:fldCharType="end"/>
            </w:r>
          </w:hyperlink>
        </w:p>
        <w:p w14:paraId="3E5631C9" w14:textId="58B085B2" w:rsidR="00053BF2" w:rsidRPr="00053BF2" w:rsidRDefault="00053BF2">
          <w:pPr>
            <w:pStyle w:val="TOC3"/>
            <w:tabs>
              <w:tab w:val="left" w:pos="1200"/>
              <w:tab w:val="right" w:leader="dot" w:pos="9350"/>
            </w:tabs>
            <w:rPr>
              <w:rFonts w:eastAsiaTheme="minorEastAsia"/>
              <w:noProof/>
              <w:sz w:val="24"/>
              <w:szCs w:val="24"/>
            </w:rPr>
          </w:pPr>
          <w:hyperlink w:anchor="_Toc232005397" w:history="1">
            <w:r w:rsidRPr="00053BF2">
              <w:rPr>
                <w:rStyle w:val="Hyperlink"/>
                <w:rFonts w:ascii="Calibri" w:hAnsi="Calibri" w:cs="Calibri"/>
                <w:noProof/>
                <w:sz w:val="24"/>
                <w:szCs w:val="24"/>
              </w:rPr>
              <w:t>2.2.</w:t>
            </w:r>
            <w:r w:rsidRPr="00053BF2">
              <w:rPr>
                <w:rFonts w:eastAsiaTheme="minorEastAsia"/>
                <w:noProof/>
                <w:sz w:val="24"/>
                <w:szCs w:val="24"/>
              </w:rPr>
              <w:tab/>
            </w:r>
            <w:r w:rsidRPr="00053BF2">
              <w:rPr>
                <w:rStyle w:val="Hyperlink"/>
                <w:rFonts w:ascii="Calibri" w:hAnsi="Calibri" w:cs="Calibri"/>
                <w:noProof/>
                <w:sz w:val="24"/>
                <w:szCs w:val="24"/>
              </w:rPr>
              <w:t>SWOT Analysis</w:t>
            </w:r>
            <w:r w:rsidRPr="00053BF2">
              <w:rPr>
                <w:noProof/>
                <w:webHidden/>
                <w:sz w:val="24"/>
                <w:szCs w:val="24"/>
              </w:rPr>
              <w:tab/>
            </w:r>
            <w:r w:rsidRPr="00053BF2">
              <w:rPr>
                <w:noProof/>
                <w:webHidden/>
                <w:sz w:val="24"/>
                <w:szCs w:val="24"/>
              </w:rPr>
              <w:fldChar w:fldCharType="begin"/>
            </w:r>
            <w:r w:rsidRPr="00053BF2">
              <w:rPr>
                <w:noProof/>
                <w:webHidden/>
                <w:sz w:val="24"/>
                <w:szCs w:val="24"/>
              </w:rPr>
              <w:instrText xml:space="preserve"> PAGEREF _Toc232005397 \h </w:instrText>
            </w:r>
            <w:r w:rsidRPr="00053BF2">
              <w:rPr>
                <w:noProof/>
                <w:webHidden/>
                <w:sz w:val="24"/>
                <w:szCs w:val="24"/>
              </w:rPr>
            </w:r>
            <w:r w:rsidRPr="00053BF2">
              <w:rPr>
                <w:noProof/>
                <w:webHidden/>
                <w:sz w:val="24"/>
                <w:szCs w:val="24"/>
              </w:rPr>
              <w:fldChar w:fldCharType="separate"/>
            </w:r>
            <w:r w:rsidRPr="00053BF2">
              <w:rPr>
                <w:noProof/>
                <w:webHidden/>
                <w:sz w:val="24"/>
                <w:szCs w:val="24"/>
              </w:rPr>
              <w:t>7</w:t>
            </w:r>
            <w:r w:rsidRPr="00053BF2">
              <w:rPr>
                <w:noProof/>
                <w:webHidden/>
                <w:sz w:val="24"/>
                <w:szCs w:val="24"/>
              </w:rPr>
              <w:fldChar w:fldCharType="end"/>
            </w:r>
          </w:hyperlink>
        </w:p>
        <w:p w14:paraId="0BC0B4B4" w14:textId="065A1F57" w:rsidR="00053BF2" w:rsidRPr="00053BF2" w:rsidRDefault="00053BF2">
          <w:pPr>
            <w:pStyle w:val="TOC2"/>
            <w:tabs>
              <w:tab w:val="left" w:pos="720"/>
              <w:tab w:val="right" w:leader="dot" w:pos="9350"/>
            </w:tabs>
            <w:rPr>
              <w:rFonts w:eastAsiaTheme="minorEastAsia"/>
              <w:b w:val="0"/>
              <w:bCs w:val="0"/>
              <w:noProof/>
              <w:sz w:val="24"/>
              <w:szCs w:val="24"/>
            </w:rPr>
          </w:pPr>
          <w:hyperlink w:anchor="_Toc232005398" w:history="1">
            <w:r w:rsidRPr="00053BF2">
              <w:rPr>
                <w:rStyle w:val="Hyperlink"/>
                <w:rFonts w:ascii="Calibri" w:hAnsi="Calibri" w:cs="Calibri"/>
                <w:noProof/>
                <w:sz w:val="24"/>
                <w:szCs w:val="24"/>
              </w:rPr>
              <w:t>3.</w:t>
            </w:r>
            <w:r w:rsidRPr="00053BF2">
              <w:rPr>
                <w:rFonts w:eastAsiaTheme="minorEastAsia"/>
                <w:b w:val="0"/>
                <w:bCs w:val="0"/>
                <w:noProof/>
                <w:sz w:val="24"/>
                <w:szCs w:val="24"/>
              </w:rPr>
              <w:tab/>
            </w:r>
            <w:r w:rsidRPr="00053BF2">
              <w:rPr>
                <w:rStyle w:val="Hyperlink"/>
                <w:rFonts w:ascii="Calibri" w:hAnsi="Calibri" w:cs="Calibri"/>
                <w:noProof/>
                <w:sz w:val="24"/>
                <w:szCs w:val="24"/>
              </w:rPr>
              <w:t>Internal and External Forces Driving Change</w:t>
            </w:r>
            <w:r w:rsidRPr="00053BF2">
              <w:rPr>
                <w:noProof/>
                <w:webHidden/>
                <w:sz w:val="24"/>
                <w:szCs w:val="24"/>
              </w:rPr>
              <w:tab/>
            </w:r>
            <w:r w:rsidRPr="00053BF2">
              <w:rPr>
                <w:noProof/>
                <w:webHidden/>
                <w:sz w:val="24"/>
                <w:szCs w:val="24"/>
              </w:rPr>
              <w:fldChar w:fldCharType="begin"/>
            </w:r>
            <w:r w:rsidRPr="00053BF2">
              <w:rPr>
                <w:noProof/>
                <w:webHidden/>
                <w:sz w:val="24"/>
                <w:szCs w:val="24"/>
              </w:rPr>
              <w:instrText xml:space="preserve"> PAGEREF _Toc232005398 \h </w:instrText>
            </w:r>
            <w:r w:rsidRPr="00053BF2">
              <w:rPr>
                <w:noProof/>
                <w:webHidden/>
                <w:sz w:val="24"/>
                <w:szCs w:val="24"/>
              </w:rPr>
            </w:r>
            <w:r w:rsidRPr="00053BF2">
              <w:rPr>
                <w:noProof/>
                <w:webHidden/>
                <w:sz w:val="24"/>
                <w:szCs w:val="24"/>
              </w:rPr>
              <w:fldChar w:fldCharType="separate"/>
            </w:r>
            <w:r w:rsidRPr="00053BF2">
              <w:rPr>
                <w:noProof/>
                <w:webHidden/>
                <w:sz w:val="24"/>
                <w:szCs w:val="24"/>
              </w:rPr>
              <w:t>10</w:t>
            </w:r>
            <w:r w:rsidRPr="00053BF2">
              <w:rPr>
                <w:noProof/>
                <w:webHidden/>
                <w:sz w:val="24"/>
                <w:szCs w:val="24"/>
              </w:rPr>
              <w:fldChar w:fldCharType="end"/>
            </w:r>
          </w:hyperlink>
        </w:p>
        <w:p w14:paraId="7AE11835" w14:textId="6D0B8C90" w:rsidR="00053BF2" w:rsidRPr="00053BF2" w:rsidRDefault="00053BF2">
          <w:pPr>
            <w:pStyle w:val="TOC3"/>
            <w:tabs>
              <w:tab w:val="left" w:pos="1200"/>
              <w:tab w:val="right" w:leader="dot" w:pos="9350"/>
            </w:tabs>
            <w:rPr>
              <w:rFonts w:eastAsiaTheme="minorEastAsia"/>
              <w:noProof/>
              <w:sz w:val="24"/>
              <w:szCs w:val="24"/>
            </w:rPr>
          </w:pPr>
          <w:hyperlink w:anchor="_Toc232005399" w:history="1">
            <w:r w:rsidRPr="00053BF2">
              <w:rPr>
                <w:rStyle w:val="Hyperlink"/>
                <w:rFonts w:ascii="Calibri" w:hAnsi="Calibri" w:cs="Calibri"/>
                <w:noProof/>
                <w:sz w:val="24"/>
                <w:szCs w:val="24"/>
              </w:rPr>
              <w:t>3.1.</w:t>
            </w:r>
            <w:r w:rsidRPr="00053BF2">
              <w:rPr>
                <w:rFonts w:eastAsiaTheme="minorEastAsia"/>
                <w:noProof/>
                <w:sz w:val="24"/>
                <w:szCs w:val="24"/>
              </w:rPr>
              <w:tab/>
            </w:r>
            <w:r w:rsidRPr="00053BF2">
              <w:rPr>
                <w:rStyle w:val="Hyperlink"/>
                <w:rFonts w:ascii="Calibri" w:hAnsi="Calibri" w:cs="Calibri"/>
                <w:noProof/>
                <w:sz w:val="24"/>
                <w:szCs w:val="24"/>
              </w:rPr>
              <w:t>Internal Drivers</w:t>
            </w:r>
            <w:r w:rsidRPr="00053BF2">
              <w:rPr>
                <w:noProof/>
                <w:webHidden/>
                <w:sz w:val="24"/>
                <w:szCs w:val="24"/>
              </w:rPr>
              <w:tab/>
            </w:r>
            <w:r w:rsidRPr="00053BF2">
              <w:rPr>
                <w:noProof/>
                <w:webHidden/>
                <w:sz w:val="24"/>
                <w:szCs w:val="24"/>
              </w:rPr>
              <w:fldChar w:fldCharType="begin"/>
            </w:r>
            <w:r w:rsidRPr="00053BF2">
              <w:rPr>
                <w:noProof/>
                <w:webHidden/>
                <w:sz w:val="24"/>
                <w:szCs w:val="24"/>
              </w:rPr>
              <w:instrText xml:space="preserve"> PAGEREF _Toc232005399 \h </w:instrText>
            </w:r>
            <w:r w:rsidRPr="00053BF2">
              <w:rPr>
                <w:noProof/>
                <w:webHidden/>
                <w:sz w:val="24"/>
                <w:szCs w:val="24"/>
              </w:rPr>
            </w:r>
            <w:r w:rsidRPr="00053BF2">
              <w:rPr>
                <w:noProof/>
                <w:webHidden/>
                <w:sz w:val="24"/>
                <w:szCs w:val="24"/>
              </w:rPr>
              <w:fldChar w:fldCharType="separate"/>
            </w:r>
            <w:r w:rsidRPr="00053BF2">
              <w:rPr>
                <w:noProof/>
                <w:webHidden/>
                <w:sz w:val="24"/>
                <w:szCs w:val="24"/>
              </w:rPr>
              <w:t>10</w:t>
            </w:r>
            <w:r w:rsidRPr="00053BF2">
              <w:rPr>
                <w:noProof/>
                <w:webHidden/>
                <w:sz w:val="24"/>
                <w:szCs w:val="24"/>
              </w:rPr>
              <w:fldChar w:fldCharType="end"/>
            </w:r>
          </w:hyperlink>
        </w:p>
        <w:p w14:paraId="286A99A6" w14:textId="317FA4D7" w:rsidR="00053BF2" w:rsidRPr="00053BF2" w:rsidRDefault="00053BF2">
          <w:pPr>
            <w:pStyle w:val="TOC3"/>
            <w:tabs>
              <w:tab w:val="left" w:pos="1200"/>
              <w:tab w:val="right" w:leader="dot" w:pos="9350"/>
            </w:tabs>
            <w:rPr>
              <w:rFonts w:eastAsiaTheme="minorEastAsia"/>
              <w:noProof/>
              <w:sz w:val="24"/>
              <w:szCs w:val="24"/>
            </w:rPr>
          </w:pPr>
          <w:hyperlink w:anchor="_Toc232005400" w:history="1">
            <w:r w:rsidRPr="00053BF2">
              <w:rPr>
                <w:rStyle w:val="Hyperlink"/>
                <w:rFonts w:ascii="Calibri" w:hAnsi="Calibri" w:cs="Calibri"/>
                <w:noProof/>
                <w:sz w:val="24"/>
                <w:szCs w:val="24"/>
              </w:rPr>
              <w:t>3.2.</w:t>
            </w:r>
            <w:r w:rsidRPr="00053BF2">
              <w:rPr>
                <w:rFonts w:eastAsiaTheme="minorEastAsia"/>
                <w:noProof/>
                <w:sz w:val="24"/>
                <w:szCs w:val="24"/>
              </w:rPr>
              <w:tab/>
            </w:r>
            <w:r w:rsidRPr="00053BF2">
              <w:rPr>
                <w:rStyle w:val="Hyperlink"/>
                <w:rFonts w:ascii="Calibri" w:hAnsi="Calibri" w:cs="Calibri"/>
                <w:noProof/>
                <w:sz w:val="24"/>
                <w:szCs w:val="24"/>
              </w:rPr>
              <w:t>External Drivers</w:t>
            </w:r>
            <w:r w:rsidRPr="00053BF2">
              <w:rPr>
                <w:noProof/>
                <w:webHidden/>
                <w:sz w:val="24"/>
                <w:szCs w:val="24"/>
              </w:rPr>
              <w:tab/>
            </w:r>
            <w:r w:rsidRPr="00053BF2">
              <w:rPr>
                <w:noProof/>
                <w:webHidden/>
                <w:sz w:val="24"/>
                <w:szCs w:val="24"/>
              </w:rPr>
              <w:fldChar w:fldCharType="begin"/>
            </w:r>
            <w:r w:rsidRPr="00053BF2">
              <w:rPr>
                <w:noProof/>
                <w:webHidden/>
                <w:sz w:val="24"/>
                <w:szCs w:val="24"/>
              </w:rPr>
              <w:instrText xml:space="preserve"> PAGEREF _Toc232005400 \h </w:instrText>
            </w:r>
            <w:r w:rsidRPr="00053BF2">
              <w:rPr>
                <w:noProof/>
                <w:webHidden/>
                <w:sz w:val="24"/>
                <w:szCs w:val="24"/>
              </w:rPr>
            </w:r>
            <w:r w:rsidRPr="00053BF2">
              <w:rPr>
                <w:noProof/>
                <w:webHidden/>
                <w:sz w:val="24"/>
                <w:szCs w:val="24"/>
              </w:rPr>
              <w:fldChar w:fldCharType="separate"/>
            </w:r>
            <w:r w:rsidRPr="00053BF2">
              <w:rPr>
                <w:noProof/>
                <w:webHidden/>
                <w:sz w:val="24"/>
                <w:szCs w:val="24"/>
              </w:rPr>
              <w:t>11</w:t>
            </w:r>
            <w:r w:rsidRPr="00053BF2">
              <w:rPr>
                <w:noProof/>
                <w:webHidden/>
                <w:sz w:val="24"/>
                <w:szCs w:val="24"/>
              </w:rPr>
              <w:fldChar w:fldCharType="end"/>
            </w:r>
          </w:hyperlink>
        </w:p>
        <w:p w14:paraId="1C953A77" w14:textId="2079058E" w:rsidR="00053BF2" w:rsidRPr="00053BF2" w:rsidRDefault="00053BF2">
          <w:pPr>
            <w:pStyle w:val="TOC3"/>
            <w:tabs>
              <w:tab w:val="left" w:pos="1200"/>
              <w:tab w:val="right" w:leader="dot" w:pos="9350"/>
            </w:tabs>
            <w:rPr>
              <w:rFonts w:eastAsiaTheme="minorEastAsia"/>
              <w:noProof/>
              <w:sz w:val="24"/>
              <w:szCs w:val="24"/>
            </w:rPr>
          </w:pPr>
          <w:hyperlink w:anchor="_Toc232005401" w:history="1">
            <w:r w:rsidRPr="00053BF2">
              <w:rPr>
                <w:rStyle w:val="Hyperlink"/>
                <w:rFonts w:ascii="Calibri" w:hAnsi="Calibri" w:cs="Calibri"/>
                <w:noProof/>
                <w:sz w:val="24"/>
                <w:szCs w:val="24"/>
              </w:rPr>
              <w:t>3.3.</w:t>
            </w:r>
            <w:r w:rsidRPr="00053BF2">
              <w:rPr>
                <w:rFonts w:eastAsiaTheme="minorEastAsia"/>
                <w:noProof/>
                <w:sz w:val="24"/>
                <w:szCs w:val="24"/>
              </w:rPr>
              <w:tab/>
            </w:r>
            <w:r w:rsidRPr="00053BF2">
              <w:rPr>
                <w:rStyle w:val="Hyperlink"/>
                <w:rFonts w:ascii="Calibri" w:hAnsi="Calibri" w:cs="Calibri"/>
                <w:noProof/>
                <w:sz w:val="24"/>
                <w:szCs w:val="24"/>
              </w:rPr>
              <w:t>Consumer Behaviour in the Digital Age</w:t>
            </w:r>
            <w:r w:rsidRPr="00053BF2">
              <w:rPr>
                <w:noProof/>
                <w:webHidden/>
                <w:sz w:val="24"/>
                <w:szCs w:val="24"/>
              </w:rPr>
              <w:tab/>
            </w:r>
            <w:r w:rsidRPr="00053BF2">
              <w:rPr>
                <w:noProof/>
                <w:webHidden/>
                <w:sz w:val="24"/>
                <w:szCs w:val="24"/>
              </w:rPr>
              <w:fldChar w:fldCharType="begin"/>
            </w:r>
            <w:r w:rsidRPr="00053BF2">
              <w:rPr>
                <w:noProof/>
                <w:webHidden/>
                <w:sz w:val="24"/>
                <w:szCs w:val="24"/>
              </w:rPr>
              <w:instrText xml:space="preserve"> PAGEREF _Toc232005401 \h </w:instrText>
            </w:r>
            <w:r w:rsidRPr="00053BF2">
              <w:rPr>
                <w:noProof/>
                <w:webHidden/>
                <w:sz w:val="24"/>
                <w:szCs w:val="24"/>
              </w:rPr>
            </w:r>
            <w:r w:rsidRPr="00053BF2">
              <w:rPr>
                <w:noProof/>
                <w:webHidden/>
                <w:sz w:val="24"/>
                <w:szCs w:val="24"/>
              </w:rPr>
              <w:fldChar w:fldCharType="separate"/>
            </w:r>
            <w:r w:rsidRPr="00053BF2">
              <w:rPr>
                <w:noProof/>
                <w:webHidden/>
                <w:sz w:val="24"/>
                <w:szCs w:val="24"/>
              </w:rPr>
              <w:t>11</w:t>
            </w:r>
            <w:r w:rsidRPr="00053BF2">
              <w:rPr>
                <w:noProof/>
                <w:webHidden/>
                <w:sz w:val="24"/>
                <w:szCs w:val="24"/>
              </w:rPr>
              <w:fldChar w:fldCharType="end"/>
            </w:r>
          </w:hyperlink>
        </w:p>
        <w:p w14:paraId="23F0B3CF" w14:textId="151D0AF4" w:rsidR="00053BF2" w:rsidRPr="00053BF2" w:rsidRDefault="00053BF2">
          <w:pPr>
            <w:pStyle w:val="TOC2"/>
            <w:tabs>
              <w:tab w:val="left" w:pos="720"/>
              <w:tab w:val="right" w:leader="dot" w:pos="9350"/>
            </w:tabs>
            <w:rPr>
              <w:rFonts w:eastAsiaTheme="minorEastAsia"/>
              <w:b w:val="0"/>
              <w:bCs w:val="0"/>
              <w:noProof/>
              <w:sz w:val="24"/>
              <w:szCs w:val="24"/>
            </w:rPr>
          </w:pPr>
          <w:hyperlink w:anchor="_Toc232005402" w:history="1">
            <w:r w:rsidRPr="00053BF2">
              <w:rPr>
                <w:rStyle w:val="Hyperlink"/>
                <w:rFonts w:ascii="Calibri" w:hAnsi="Calibri" w:cs="Calibri"/>
                <w:noProof/>
                <w:sz w:val="24"/>
                <w:szCs w:val="24"/>
              </w:rPr>
              <w:t>4.</w:t>
            </w:r>
            <w:r w:rsidRPr="00053BF2">
              <w:rPr>
                <w:rFonts w:eastAsiaTheme="minorEastAsia"/>
                <w:b w:val="0"/>
                <w:bCs w:val="0"/>
                <w:noProof/>
                <w:sz w:val="24"/>
                <w:szCs w:val="24"/>
              </w:rPr>
              <w:tab/>
            </w:r>
            <w:r w:rsidRPr="00053BF2">
              <w:rPr>
                <w:rStyle w:val="Hyperlink"/>
                <w:rFonts w:ascii="Calibri" w:hAnsi="Calibri" w:cs="Calibri"/>
                <w:noProof/>
                <w:sz w:val="24"/>
                <w:szCs w:val="24"/>
              </w:rPr>
              <w:t>Future Developments in Marketing</w:t>
            </w:r>
            <w:r w:rsidRPr="00053BF2">
              <w:rPr>
                <w:noProof/>
                <w:webHidden/>
                <w:sz w:val="24"/>
                <w:szCs w:val="24"/>
              </w:rPr>
              <w:tab/>
            </w:r>
            <w:r w:rsidRPr="00053BF2">
              <w:rPr>
                <w:noProof/>
                <w:webHidden/>
                <w:sz w:val="24"/>
                <w:szCs w:val="24"/>
              </w:rPr>
              <w:fldChar w:fldCharType="begin"/>
            </w:r>
            <w:r w:rsidRPr="00053BF2">
              <w:rPr>
                <w:noProof/>
                <w:webHidden/>
                <w:sz w:val="24"/>
                <w:szCs w:val="24"/>
              </w:rPr>
              <w:instrText xml:space="preserve"> PAGEREF _Toc232005402 \h </w:instrText>
            </w:r>
            <w:r w:rsidRPr="00053BF2">
              <w:rPr>
                <w:noProof/>
                <w:webHidden/>
                <w:sz w:val="24"/>
                <w:szCs w:val="24"/>
              </w:rPr>
            </w:r>
            <w:r w:rsidRPr="00053BF2">
              <w:rPr>
                <w:noProof/>
                <w:webHidden/>
                <w:sz w:val="24"/>
                <w:szCs w:val="24"/>
              </w:rPr>
              <w:fldChar w:fldCharType="separate"/>
            </w:r>
            <w:r w:rsidRPr="00053BF2">
              <w:rPr>
                <w:noProof/>
                <w:webHidden/>
                <w:sz w:val="24"/>
                <w:szCs w:val="24"/>
              </w:rPr>
              <w:t>12</w:t>
            </w:r>
            <w:r w:rsidRPr="00053BF2">
              <w:rPr>
                <w:noProof/>
                <w:webHidden/>
                <w:sz w:val="24"/>
                <w:szCs w:val="24"/>
              </w:rPr>
              <w:fldChar w:fldCharType="end"/>
            </w:r>
          </w:hyperlink>
        </w:p>
        <w:p w14:paraId="642ED81A" w14:textId="45A8654C" w:rsidR="00053BF2" w:rsidRPr="00053BF2" w:rsidRDefault="00053BF2">
          <w:pPr>
            <w:pStyle w:val="TOC3"/>
            <w:tabs>
              <w:tab w:val="left" w:pos="1200"/>
              <w:tab w:val="right" w:leader="dot" w:pos="9350"/>
            </w:tabs>
            <w:rPr>
              <w:rFonts w:eastAsiaTheme="minorEastAsia"/>
              <w:noProof/>
              <w:sz w:val="24"/>
              <w:szCs w:val="24"/>
            </w:rPr>
          </w:pPr>
          <w:hyperlink w:anchor="_Toc232005403" w:history="1">
            <w:r w:rsidRPr="00053BF2">
              <w:rPr>
                <w:rStyle w:val="Hyperlink"/>
                <w:rFonts w:ascii="Calibri" w:hAnsi="Calibri" w:cs="Calibri"/>
                <w:noProof/>
                <w:sz w:val="24"/>
                <w:szCs w:val="24"/>
              </w:rPr>
              <w:t>4.1.</w:t>
            </w:r>
            <w:r w:rsidRPr="00053BF2">
              <w:rPr>
                <w:rFonts w:eastAsiaTheme="minorEastAsia"/>
                <w:noProof/>
                <w:sz w:val="24"/>
                <w:szCs w:val="24"/>
              </w:rPr>
              <w:tab/>
            </w:r>
            <w:r w:rsidRPr="00053BF2">
              <w:rPr>
                <w:rStyle w:val="Hyperlink"/>
                <w:rFonts w:ascii="Calibri" w:hAnsi="Calibri" w:cs="Calibri"/>
                <w:noProof/>
                <w:sz w:val="24"/>
                <w:szCs w:val="24"/>
              </w:rPr>
              <w:t>AI-Driven Personalisation</w:t>
            </w:r>
            <w:r w:rsidRPr="00053BF2">
              <w:rPr>
                <w:noProof/>
                <w:webHidden/>
                <w:sz w:val="24"/>
                <w:szCs w:val="24"/>
              </w:rPr>
              <w:tab/>
            </w:r>
            <w:r w:rsidRPr="00053BF2">
              <w:rPr>
                <w:noProof/>
                <w:webHidden/>
                <w:sz w:val="24"/>
                <w:szCs w:val="24"/>
              </w:rPr>
              <w:fldChar w:fldCharType="begin"/>
            </w:r>
            <w:r w:rsidRPr="00053BF2">
              <w:rPr>
                <w:noProof/>
                <w:webHidden/>
                <w:sz w:val="24"/>
                <w:szCs w:val="24"/>
              </w:rPr>
              <w:instrText xml:space="preserve"> PAGEREF _Toc232005403 \h </w:instrText>
            </w:r>
            <w:r w:rsidRPr="00053BF2">
              <w:rPr>
                <w:noProof/>
                <w:webHidden/>
                <w:sz w:val="24"/>
                <w:szCs w:val="24"/>
              </w:rPr>
            </w:r>
            <w:r w:rsidRPr="00053BF2">
              <w:rPr>
                <w:noProof/>
                <w:webHidden/>
                <w:sz w:val="24"/>
                <w:szCs w:val="24"/>
              </w:rPr>
              <w:fldChar w:fldCharType="separate"/>
            </w:r>
            <w:r w:rsidRPr="00053BF2">
              <w:rPr>
                <w:noProof/>
                <w:webHidden/>
                <w:sz w:val="24"/>
                <w:szCs w:val="24"/>
              </w:rPr>
              <w:t>12</w:t>
            </w:r>
            <w:r w:rsidRPr="00053BF2">
              <w:rPr>
                <w:noProof/>
                <w:webHidden/>
                <w:sz w:val="24"/>
                <w:szCs w:val="24"/>
              </w:rPr>
              <w:fldChar w:fldCharType="end"/>
            </w:r>
          </w:hyperlink>
        </w:p>
        <w:p w14:paraId="7425375B" w14:textId="684FDFA4" w:rsidR="00053BF2" w:rsidRPr="00053BF2" w:rsidRDefault="00053BF2">
          <w:pPr>
            <w:pStyle w:val="TOC3"/>
            <w:tabs>
              <w:tab w:val="left" w:pos="1200"/>
              <w:tab w:val="right" w:leader="dot" w:pos="9350"/>
            </w:tabs>
            <w:rPr>
              <w:rFonts w:eastAsiaTheme="minorEastAsia"/>
              <w:noProof/>
              <w:sz w:val="24"/>
              <w:szCs w:val="24"/>
            </w:rPr>
          </w:pPr>
          <w:hyperlink w:anchor="_Toc232005404" w:history="1">
            <w:r w:rsidRPr="00053BF2">
              <w:rPr>
                <w:rStyle w:val="Hyperlink"/>
                <w:rFonts w:ascii="Calibri" w:hAnsi="Calibri" w:cs="Calibri"/>
                <w:noProof/>
                <w:sz w:val="24"/>
                <w:szCs w:val="24"/>
              </w:rPr>
              <w:t>4.2.</w:t>
            </w:r>
            <w:r w:rsidRPr="00053BF2">
              <w:rPr>
                <w:rFonts w:eastAsiaTheme="minorEastAsia"/>
                <w:noProof/>
                <w:sz w:val="24"/>
                <w:szCs w:val="24"/>
              </w:rPr>
              <w:tab/>
            </w:r>
            <w:r w:rsidRPr="00053BF2">
              <w:rPr>
                <w:rStyle w:val="Hyperlink"/>
                <w:rFonts w:ascii="Calibri" w:hAnsi="Calibri" w:cs="Calibri"/>
                <w:noProof/>
                <w:sz w:val="24"/>
                <w:szCs w:val="24"/>
              </w:rPr>
              <w:t>ESG-Driven Branding</w:t>
            </w:r>
            <w:r w:rsidRPr="00053BF2">
              <w:rPr>
                <w:noProof/>
                <w:webHidden/>
                <w:sz w:val="24"/>
                <w:szCs w:val="24"/>
              </w:rPr>
              <w:tab/>
            </w:r>
            <w:r w:rsidRPr="00053BF2">
              <w:rPr>
                <w:noProof/>
                <w:webHidden/>
                <w:sz w:val="24"/>
                <w:szCs w:val="24"/>
              </w:rPr>
              <w:fldChar w:fldCharType="begin"/>
            </w:r>
            <w:r w:rsidRPr="00053BF2">
              <w:rPr>
                <w:noProof/>
                <w:webHidden/>
                <w:sz w:val="24"/>
                <w:szCs w:val="24"/>
              </w:rPr>
              <w:instrText xml:space="preserve"> PAGEREF _Toc232005404 \h </w:instrText>
            </w:r>
            <w:r w:rsidRPr="00053BF2">
              <w:rPr>
                <w:noProof/>
                <w:webHidden/>
                <w:sz w:val="24"/>
                <w:szCs w:val="24"/>
              </w:rPr>
            </w:r>
            <w:r w:rsidRPr="00053BF2">
              <w:rPr>
                <w:noProof/>
                <w:webHidden/>
                <w:sz w:val="24"/>
                <w:szCs w:val="24"/>
              </w:rPr>
              <w:fldChar w:fldCharType="separate"/>
            </w:r>
            <w:r w:rsidRPr="00053BF2">
              <w:rPr>
                <w:noProof/>
                <w:webHidden/>
                <w:sz w:val="24"/>
                <w:szCs w:val="24"/>
              </w:rPr>
              <w:t>13</w:t>
            </w:r>
            <w:r w:rsidRPr="00053BF2">
              <w:rPr>
                <w:noProof/>
                <w:webHidden/>
                <w:sz w:val="24"/>
                <w:szCs w:val="24"/>
              </w:rPr>
              <w:fldChar w:fldCharType="end"/>
            </w:r>
          </w:hyperlink>
        </w:p>
        <w:p w14:paraId="52C99D10" w14:textId="47926FA5" w:rsidR="00053BF2" w:rsidRPr="00053BF2" w:rsidRDefault="00053BF2">
          <w:pPr>
            <w:pStyle w:val="TOC3"/>
            <w:tabs>
              <w:tab w:val="left" w:pos="1200"/>
              <w:tab w:val="right" w:leader="dot" w:pos="9350"/>
            </w:tabs>
            <w:rPr>
              <w:rFonts w:eastAsiaTheme="minorEastAsia"/>
              <w:noProof/>
              <w:sz w:val="24"/>
              <w:szCs w:val="24"/>
            </w:rPr>
          </w:pPr>
          <w:hyperlink w:anchor="_Toc232005405" w:history="1">
            <w:r w:rsidRPr="00053BF2">
              <w:rPr>
                <w:rStyle w:val="Hyperlink"/>
                <w:rFonts w:ascii="Calibri" w:hAnsi="Calibri" w:cs="Calibri"/>
                <w:noProof/>
                <w:sz w:val="24"/>
                <w:szCs w:val="24"/>
              </w:rPr>
              <w:t>4.3.</w:t>
            </w:r>
            <w:r w:rsidRPr="00053BF2">
              <w:rPr>
                <w:rFonts w:eastAsiaTheme="minorEastAsia"/>
                <w:noProof/>
                <w:sz w:val="24"/>
                <w:szCs w:val="24"/>
              </w:rPr>
              <w:tab/>
            </w:r>
            <w:r w:rsidRPr="00053BF2">
              <w:rPr>
                <w:rStyle w:val="Hyperlink"/>
                <w:rFonts w:ascii="Calibri" w:hAnsi="Calibri" w:cs="Calibri"/>
                <w:noProof/>
                <w:sz w:val="24"/>
                <w:szCs w:val="24"/>
              </w:rPr>
              <w:t>Privacy, Ethics and Competitiveness</w:t>
            </w:r>
            <w:r w:rsidRPr="00053BF2">
              <w:rPr>
                <w:noProof/>
                <w:webHidden/>
                <w:sz w:val="24"/>
                <w:szCs w:val="24"/>
              </w:rPr>
              <w:tab/>
            </w:r>
            <w:r w:rsidRPr="00053BF2">
              <w:rPr>
                <w:noProof/>
                <w:webHidden/>
                <w:sz w:val="24"/>
                <w:szCs w:val="24"/>
              </w:rPr>
              <w:fldChar w:fldCharType="begin"/>
            </w:r>
            <w:r w:rsidRPr="00053BF2">
              <w:rPr>
                <w:noProof/>
                <w:webHidden/>
                <w:sz w:val="24"/>
                <w:szCs w:val="24"/>
              </w:rPr>
              <w:instrText xml:space="preserve"> PAGEREF _Toc232005405 \h </w:instrText>
            </w:r>
            <w:r w:rsidRPr="00053BF2">
              <w:rPr>
                <w:noProof/>
                <w:webHidden/>
                <w:sz w:val="24"/>
                <w:szCs w:val="24"/>
              </w:rPr>
            </w:r>
            <w:r w:rsidRPr="00053BF2">
              <w:rPr>
                <w:noProof/>
                <w:webHidden/>
                <w:sz w:val="24"/>
                <w:szCs w:val="24"/>
              </w:rPr>
              <w:fldChar w:fldCharType="separate"/>
            </w:r>
            <w:r w:rsidRPr="00053BF2">
              <w:rPr>
                <w:noProof/>
                <w:webHidden/>
                <w:sz w:val="24"/>
                <w:szCs w:val="24"/>
              </w:rPr>
              <w:t>13</w:t>
            </w:r>
            <w:r w:rsidRPr="00053BF2">
              <w:rPr>
                <w:noProof/>
                <w:webHidden/>
                <w:sz w:val="24"/>
                <w:szCs w:val="24"/>
              </w:rPr>
              <w:fldChar w:fldCharType="end"/>
            </w:r>
          </w:hyperlink>
        </w:p>
        <w:p w14:paraId="1B9B4429" w14:textId="28842FDE" w:rsidR="00053BF2" w:rsidRPr="00053BF2" w:rsidRDefault="00053BF2">
          <w:pPr>
            <w:pStyle w:val="TOC2"/>
            <w:tabs>
              <w:tab w:val="left" w:pos="720"/>
              <w:tab w:val="right" w:leader="dot" w:pos="9350"/>
            </w:tabs>
            <w:rPr>
              <w:rFonts w:eastAsiaTheme="minorEastAsia"/>
              <w:b w:val="0"/>
              <w:bCs w:val="0"/>
              <w:noProof/>
              <w:sz w:val="24"/>
              <w:szCs w:val="24"/>
            </w:rPr>
          </w:pPr>
          <w:hyperlink w:anchor="_Toc232005406" w:history="1">
            <w:r w:rsidRPr="00053BF2">
              <w:rPr>
                <w:rStyle w:val="Hyperlink"/>
                <w:rFonts w:ascii="Calibri" w:hAnsi="Calibri" w:cs="Calibri"/>
                <w:noProof/>
                <w:sz w:val="24"/>
                <w:szCs w:val="24"/>
              </w:rPr>
              <w:t>5.</w:t>
            </w:r>
            <w:r w:rsidRPr="00053BF2">
              <w:rPr>
                <w:rFonts w:eastAsiaTheme="minorEastAsia"/>
                <w:b w:val="0"/>
                <w:bCs w:val="0"/>
                <w:noProof/>
                <w:sz w:val="24"/>
                <w:szCs w:val="24"/>
              </w:rPr>
              <w:tab/>
            </w:r>
            <w:r w:rsidRPr="00053BF2">
              <w:rPr>
                <w:rStyle w:val="Hyperlink"/>
                <w:rFonts w:ascii="Calibri" w:hAnsi="Calibri" w:cs="Calibri"/>
                <w:noProof/>
                <w:sz w:val="24"/>
                <w:szCs w:val="24"/>
              </w:rPr>
              <w:t>Recommendations</w:t>
            </w:r>
            <w:r w:rsidRPr="00053BF2">
              <w:rPr>
                <w:noProof/>
                <w:webHidden/>
                <w:sz w:val="24"/>
                <w:szCs w:val="24"/>
              </w:rPr>
              <w:tab/>
            </w:r>
            <w:r w:rsidRPr="00053BF2">
              <w:rPr>
                <w:noProof/>
                <w:webHidden/>
                <w:sz w:val="24"/>
                <w:szCs w:val="24"/>
              </w:rPr>
              <w:fldChar w:fldCharType="begin"/>
            </w:r>
            <w:r w:rsidRPr="00053BF2">
              <w:rPr>
                <w:noProof/>
                <w:webHidden/>
                <w:sz w:val="24"/>
                <w:szCs w:val="24"/>
              </w:rPr>
              <w:instrText xml:space="preserve"> PAGEREF _Toc232005406 \h </w:instrText>
            </w:r>
            <w:r w:rsidRPr="00053BF2">
              <w:rPr>
                <w:noProof/>
                <w:webHidden/>
                <w:sz w:val="24"/>
                <w:szCs w:val="24"/>
              </w:rPr>
            </w:r>
            <w:r w:rsidRPr="00053BF2">
              <w:rPr>
                <w:noProof/>
                <w:webHidden/>
                <w:sz w:val="24"/>
                <w:szCs w:val="24"/>
              </w:rPr>
              <w:fldChar w:fldCharType="separate"/>
            </w:r>
            <w:r w:rsidRPr="00053BF2">
              <w:rPr>
                <w:noProof/>
                <w:webHidden/>
                <w:sz w:val="24"/>
                <w:szCs w:val="24"/>
              </w:rPr>
              <w:t>14</w:t>
            </w:r>
            <w:r w:rsidRPr="00053BF2">
              <w:rPr>
                <w:noProof/>
                <w:webHidden/>
                <w:sz w:val="24"/>
                <w:szCs w:val="24"/>
              </w:rPr>
              <w:fldChar w:fldCharType="end"/>
            </w:r>
          </w:hyperlink>
        </w:p>
        <w:p w14:paraId="2E92881A" w14:textId="4829F89A" w:rsidR="00053BF2" w:rsidRPr="00053BF2" w:rsidRDefault="00053BF2">
          <w:pPr>
            <w:pStyle w:val="TOC2"/>
            <w:tabs>
              <w:tab w:val="left" w:pos="720"/>
              <w:tab w:val="right" w:leader="dot" w:pos="9350"/>
            </w:tabs>
            <w:rPr>
              <w:rFonts w:eastAsiaTheme="minorEastAsia"/>
              <w:b w:val="0"/>
              <w:bCs w:val="0"/>
              <w:noProof/>
              <w:sz w:val="24"/>
              <w:szCs w:val="24"/>
            </w:rPr>
          </w:pPr>
          <w:hyperlink w:anchor="_Toc232005407" w:history="1">
            <w:r w:rsidRPr="00053BF2">
              <w:rPr>
                <w:rStyle w:val="Hyperlink"/>
                <w:rFonts w:ascii="Calibri" w:hAnsi="Calibri" w:cs="Calibri"/>
                <w:noProof/>
                <w:sz w:val="24"/>
                <w:szCs w:val="24"/>
              </w:rPr>
              <w:t>6.</w:t>
            </w:r>
            <w:r w:rsidRPr="00053BF2">
              <w:rPr>
                <w:rFonts w:eastAsiaTheme="minorEastAsia"/>
                <w:b w:val="0"/>
                <w:bCs w:val="0"/>
                <w:noProof/>
                <w:sz w:val="24"/>
                <w:szCs w:val="24"/>
              </w:rPr>
              <w:tab/>
            </w:r>
            <w:r w:rsidRPr="00053BF2">
              <w:rPr>
                <w:rStyle w:val="Hyperlink"/>
                <w:rFonts w:ascii="Calibri" w:hAnsi="Calibri" w:cs="Calibri"/>
                <w:noProof/>
                <w:sz w:val="24"/>
                <w:szCs w:val="24"/>
              </w:rPr>
              <w:t>Conclusion</w:t>
            </w:r>
            <w:r w:rsidRPr="00053BF2">
              <w:rPr>
                <w:noProof/>
                <w:webHidden/>
                <w:sz w:val="24"/>
                <w:szCs w:val="24"/>
              </w:rPr>
              <w:tab/>
            </w:r>
            <w:r w:rsidRPr="00053BF2">
              <w:rPr>
                <w:noProof/>
                <w:webHidden/>
                <w:sz w:val="24"/>
                <w:szCs w:val="24"/>
              </w:rPr>
              <w:fldChar w:fldCharType="begin"/>
            </w:r>
            <w:r w:rsidRPr="00053BF2">
              <w:rPr>
                <w:noProof/>
                <w:webHidden/>
                <w:sz w:val="24"/>
                <w:szCs w:val="24"/>
              </w:rPr>
              <w:instrText xml:space="preserve"> PAGEREF _Toc232005407 \h </w:instrText>
            </w:r>
            <w:r w:rsidRPr="00053BF2">
              <w:rPr>
                <w:noProof/>
                <w:webHidden/>
                <w:sz w:val="24"/>
                <w:szCs w:val="24"/>
              </w:rPr>
            </w:r>
            <w:r w:rsidRPr="00053BF2">
              <w:rPr>
                <w:noProof/>
                <w:webHidden/>
                <w:sz w:val="24"/>
                <w:szCs w:val="24"/>
              </w:rPr>
              <w:fldChar w:fldCharType="separate"/>
            </w:r>
            <w:r w:rsidRPr="00053BF2">
              <w:rPr>
                <w:noProof/>
                <w:webHidden/>
                <w:sz w:val="24"/>
                <w:szCs w:val="24"/>
              </w:rPr>
              <w:t>16</w:t>
            </w:r>
            <w:r w:rsidRPr="00053BF2">
              <w:rPr>
                <w:noProof/>
                <w:webHidden/>
                <w:sz w:val="24"/>
                <w:szCs w:val="24"/>
              </w:rPr>
              <w:fldChar w:fldCharType="end"/>
            </w:r>
          </w:hyperlink>
        </w:p>
        <w:p w14:paraId="467C118E" w14:textId="7B6BAAED" w:rsidR="00053BF2" w:rsidRPr="00053BF2" w:rsidRDefault="00053BF2">
          <w:pPr>
            <w:pStyle w:val="TOC2"/>
            <w:tabs>
              <w:tab w:val="right" w:leader="dot" w:pos="9350"/>
            </w:tabs>
            <w:rPr>
              <w:rFonts w:eastAsiaTheme="minorEastAsia"/>
              <w:b w:val="0"/>
              <w:bCs w:val="0"/>
              <w:noProof/>
              <w:sz w:val="24"/>
              <w:szCs w:val="24"/>
            </w:rPr>
          </w:pPr>
          <w:hyperlink w:anchor="_Toc232005408" w:history="1">
            <w:r w:rsidRPr="00053BF2">
              <w:rPr>
                <w:rStyle w:val="Hyperlink"/>
                <w:rFonts w:ascii="Calibri" w:hAnsi="Calibri" w:cs="Calibri"/>
                <w:noProof/>
                <w:sz w:val="24"/>
                <w:szCs w:val="24"/>
              </w:rPr>
              <w:t>References</w:t>
            </w:r>
            <w:r w:rsidRPr="00053BF2">
              <w:rPr>
                <w:noProof/>
                <w:webHidden/>
                <w:sz w:val="24"/>
                <w:szCs w:val="24"/>
              </w:rPr>
              <w:tab/>
            </w:r>
            <w:r w:rsidRPr="00053BF2">
              <w:rPr>
                <w:noProof/>
                <w:webHidden/>
                <w:sz w:val="24"/>
                <w:szCs w:val="24"/>
              </w:rPr>
              <w:fldChar w:fldCharType="begin"/>
            </w:r>
            <w:r w:rsidRPr="00053BF2">
              <w:rPr>
                <w:noProof/>
                <w:webHidden/>
                <w:sz w:val="24"/>
                <w:szCs w:val="24"/>
              </w:rPr>
              <w:instrText xml:space="preserve"> PAGEREF _Toc232005408 \h </w:instrText>
            </w:r>
            <w:r w:rsidRPr="00053BF2">
              <w:rPr>
                <w:noProof/>
                <w:webHidden/>
                <w:sz w:val="24"/>
                <w:szCs w:val="24"/>
              </w:rPr>
            </w:r>
            <w:r w:rsidRPr="00053BF2">
              <w:rPr>
                <w:noProof/>
                <w:webHidden/>
                <w:sz w:val="24"/>
                <w:szCs w:val="24"/>
              </w:rPr>
              <w:fldChar w:fldCharType="separate"/>
            </w:r>
            <w:r w:rsidRPr="00053BF2">
              <w:rPr>
                <w:noProof/>
                <w:webHidden/>
                <w:sz w:val="24"/>
                <w:szCs w:val="24"/>
              </w:rPr>
              <w:t>17</w:t>
            </w:r>
            <w:r w:rsidRPr="00053BF2">
              <w:rPr>
                <w:noProof/>
                <w:webHidden/>
                <w:sz w:val="24"/>
                <w:szCs w:val="24"/>
              </w:rPr>
              <w:fldChar w:fldCharType="end"/>
            </w:r>
          </w:hyperlink>
        </w:p>
        <w:p w14:paraId="165E2F18" w14:textId="20BA52B3" w:rsidR="00BC7015" w:rsidRPr="00AA0D01" w:rsidRDefault="00BC7015" w:rsidP="007B412F">
          <w:pPr>
            <w:spacing w:line="360" w:lineRule="auto"/>
            <w:jc w:val="both"/>
            <w:rPr>
              <w:rFonts w:ascii="Calibri" w:hAnsi="Calibri" w:cs="Calibri"/>
              <w:color w:val="000000" w:themeColor="text1"/>
            </w:rPr>
          </w:pPr>
          <w:r w:rsidRPr="00053BF2">
            <w:rPr>
              <w:rFonts w:ascii="Calibri" w:hAnsi="Calibri" w:cs="Calibri"/>
              <w:noProof/>
              <w:color w:val="000000" w:themeColor="text1"/>
            </w:rPr>
            <w:fldChar w:fldCharType="end"/>
          </w:r>
        </w:p>
      </w:sdtContent>
    </w:sdt>
    <w:p w14:paraId="5DC246C8" w14:textId="77777777" w:rsidR="00BC7015" w:rsidRPr="00AA0D01" w:rsidRDefault="00BC7015" w:rsidP="007B412F">
      <w:pPr>
        <w:pStyle w:val="Heading2"/>
        <w:spacing w:line="360" w:lineRule="auto"/>
        <w:jc w:val="both"/>
        <w:rPr>
          <w:rFonts w:ascii="Calibri" w:hAnsi="Calibri" w:cs="Calibri"/>
          <w:color w:val="000000" w:themeColor="text1"/>
          <w:sz w:val="24"/>
          <w:szCs w:val="24"/>
        </w:rPr>
      </w:pPr>
    </w:p>
    <w:p w14:paraId="124F73F5" w14:textId="77777777" w:rsidR="00BC7015" w:rsidRPr="00AA0D01" w:rsidRDefault="00BC7015" w:rsidP="007B412F">
      <w:pPr>
        <w:spacing w:line="360" w:lineRule="auto"/>
        <w:jc w:val="both"/>
        <w:rPr>
          <w:rFonts w:ascii="Calibri" w:hAnsi="Calibri" w:cs="Calibri"/>
          <w:color w:val="000000" w:themeColor="text1"/>
        </w:rPr>
      </w:pPr>
    </w:p>
    <w:p w14:paraId="68DC7C6F" w14:textId="77777777" w:rsidR="0075519E" w:rsidRPr="00AA0D01" w:rsidRDefault="0075519E" w:rsidP="007B412F">
      <w:pPr>
        <w:spacing w:line="360" w:lineRule="auto"/>
        <w:jc w:val="both"/>
        <w:rPr>
          <w:rFonts w:ascii="Calibri" w:hAnsi="Calibri" w:cs="Calibri"/>
          <w:color w:val="000000" w:themeColor="text1"/>
        </w:rPr>
      </w:pPr>
    </w:p>
    <w:p w14:paraId="77A0B07E" w14:textId="77777777" w:rsidR="0075519E" w:rsidRPr="00AA0D01" w:rsidRDefault="0075519E" w:rsidP="007B412F">
      <w:pPr>
        <w:spacing w:line="360" w:lineRule="auto"/>
        <w:jc w:val="both"/>
        <w:rPr>
          <w:rFonts w:ascii="Calibri" w:hAnsi="Calibri" w:cs="Calibri"/>
          <w:color w:val="000000" w:themeColor="text1"/>
          <w:lang w:val="en-GB"/>
        </w:rPr>
      </w:pPr>
    </w:p>
    <w:p w14:paraId="6D43E011" w14:textId="77777777" w:rsidR="0075519E" w:rsidRPr="00AA0D01" w:rsidRDefault="0075519E" w:rsidP="007B412F">
      <w:pPr>
        <w:spacing w:line="360" w:lineRule="auto"/>
        <w:jc w:val="both"/>
        <w:rPr>
          <w:rFonts w:ascii="Calibri" w:hAnsi="Calibri" w:cs="Calibri"/>
          <w:color w:val="000000" w:themeColor="text1"/>
        </w:rPr>
      </w:pPr>
    </w:p>
    <w:p w14:paraId="1B45DFDB" w14:textId="77777777" w:rsidR="004D2ED3" w:rsidRPr="00AA0D01" w:rsidRDefault="004D2ED3" w:rsidP="007B412F">
      <w:pPr>
        <w:pStyle w:val="Heading1"/>
        <w:spacing w:line="360" w:lineRule="auto"/>
        <w:jc w:val="both"/>
        <w:rPr>
          <w:rFonts w:ascii="Calibri" w:hAnsi="Calibri" w:cs="Calibri"/>
          <w:color w:val="000000" w:themeColor="text1"/>
          <w:sz w:val="24"/>
          <w:szCs w:val="24"/>
        </w:rPr>
        <w:sectPr w:rsidR="004D2ED3" w:rsidRPr="00AA0D01" w:rsidSect="00731E12">
          <w:headerReference w:type="default" r:id="rId8"/>
          <w:pgSz w:w="12240" w:h="15840"/>
          <w:pgMar w:top="1701" w:right="1440" w:bottom="1701" w:left="1440" w:header="720" w:footer="720" w:gutter="0"/>
          <w:cols w:space="720"/>
          <w:noEndnote/>
        </w:sectPr>
      </w:pPr>
    </w:p>
    <w:p w14:paraId="6779F19B" w14:textId="77777777" w:rsidR="005D6FFB" w:rsidRPr="00AA0D01" w:rsidRDefault="005D6FFB" w:rsidP="007B412F">
      <w:pPr>
        <w:pStyle w:val="Heading2"/>
        <w:spacing w:line="360" w:lineRule="auto"/>
        <w:jc w:val="both"/>
        <w:rPr>
          <w:rFonts w:ascii="Calibri" w:hAnsi="Calibri" w:cs="Calibri"/>
          <w:b/>
          <w:bCs/>
          <w:color w:val="000000" w:themeColor="text1"/>
          <w:sz w:val="28"/>
          <w:szCs w:val="28"/>
        </w:rPr>
      </w:pPr>
      <w:bookmarkStart w:id="0" w:name="_Toc232005393"/>
      <w:r w:rsidRPr="00AA0D01">
        <w:rPr>
          <w:rFonts w:ascii="Calibri" w:hAnsi="Calibri" w:cs="Calibri"/>
          <w:b/>
          <w:bCs/>
          <w:color w:val="000000" w:themeColor="text1"/>
          <w:sz w:val="28"/>
          <w:szCs w:val="28"/>
        </w:rPr>
        <w:lastRenderedPageBreak/>
        <w:t>Executive Summary</w:t>
      </w:r>
      <w:bookmarkEnd w:id="0"/>
    </w:p>
    <w:p w14:paraId="4C36AF15" w14:textId="77777777" w:rsidR="005D6FFB" w:rsidRPr="00AA0D01" w:rsidRDefault="005D6FFB" w:rsidP="00AA0D01">
      <w:pPr>
        <w:spacing w:line="360" w:lineRule="auto"/>
        <w:jc w:val="both"/>
        <w:rPr>
          <w:rFonts w:ascii="Calibri" w:hAnsi="Calibri" w:cs="Calibri"/>
        </w:rPr>
      </w:pPr>
      <w:r w:rsidRPr="00AA0D01">
        <w:rPr>
          <w:rFonts w:ascii="Calibri" w:hAnsi="Calibri" w:cs="Calibri"/>
        </w:rPr>
        <w:t>This report critically evaluates the marketing function of Tesco plc within the context of a rapidly changing retail environment characterised by technological innovation, evolving consumer expectations and increasing sustainability pressures. The analysis examines Tesco’s current marketing activities, the internal and external forces driving marketing change, and future developments likely to influence organisational competitiveness.</w:t>
      </w:r>
    </w:p>
    <w:p w14:paraId="68E7A86B" w14:textId="77777777" w:rsidR="005D6FFB" w:rsidRPr="00AA0D01" w:rsidRDefault="005D6FFB" w:rsidP="00AA0D01">
      <w:pPr>
        <w:spacing w:line="360" w:lineRule="auto"/>
        <w:jc w:val="both"/>
        <w:rPr>
          <w:rFonts w:ascii="Calibri" w:hAnsi="Calibri" w:cs="Calibri"/>
        </w:rPr>
      </w:pPr>
      <w:r w:rsidRPr="00AA0D01">
        <w:rPr>
          <w:rFonts w:ascii="Calibri" w:hAnsi="Calibri" w:cs="Calibri"/>
        </w:rPr>
        <w:t>The report identifies Tesco’s key strengths as its strong brand equity, extensive customer insight capabilities through the Clubcard loyalty programme, and well-developed omnichannel infrastructure. SWOT and Segmentation, Targeting and Positioning (STP) analyses demonstrate that Tesco effectively delivers customer value through personalised marketing, convenience and value-based propositions. However, challenges remain regarding increasing competition from discount retailers, dependence on customer data, and the need to maintain customer trust in an increasingly regulated digital environment.</w:t>
      </w:r>
    </w:p>
    <w:p w14:paraId="1A351160" w14:textId="77777777" w:rsidR="005D6FFB" w:rsidRPr="00AA0D01" w:rsidRDefault="005D6FFB" w:rsidP="00AA0D01">
      <w:pPr>
        <w:spacing w:line="360" w:lineRule="auto"/>
        <w:jc w:val="both"/>
        <w:rPr>
          <w:rFonts w:ascii="Calibri" w:hAnsi="Calibri" w:cs="Calibri"/>
        </w:rPr>
      </w:pPr>
      <w:r w:rsidRPr="00AA0D01">
        <w:rPr>
          <w:rFonts w:ascii="Calibri" w:hAnsi="Calibri" w:cs="Calibri"/>
        </w:rPr>
        <w:t>The analysis further highlights the impact of technological developments such as artificial intelligence, predictive analytics, big data and digital transformation on marketing practice. Changing consumer behaviour, sustainability expectations and regulatory requirements relating to data privacy continue to reshape Tesco’s marketing environment. Future marketing success is expected to depend on the organisation’s ability to balance innovation with ethical responsibility, particularly in relation to AI-driven personalisation, ESG-focused branding and responsible data governance.</w:t>
      </w:r>
    </w:p>
    <w:p w14:paraId="6706D6EE" w14:textId="7F6E3A3F" w:rsidR="00AA0D01" w:rsidRPr="00AA0D01" w:rsidRDefault="005D6FFB" w:rsidP="007B412F">
      <w:pPr>
        <w:spacing w:line="360" w:lineRule="auto"/>
        <w:jc w:val="both"/>
        <w:rPr>
          <w:rFonts w:ascii="Calibri" w:hAnsi="Calibri" w:cs="Calibri"/>
        </w:rPr>
      </w:pPr>
      <w:r w:rsidRPr="00AA0D01">
        <w:rPr>
          <w:rFonts w:ascii="Calibri" w:hAnsi="Calibri" w:cs="Calibri"/>
        </w:rPr>
        <w:t>To support long-term effectiveness and sustainability, four recommendations are proposed. These include strengthening AI governance, enhancing the transparency of sustainability communications, adopting privacy-by-design marketing practices, and expanding predictive analytics across online and offline channels. Collectively, these recommendations aim to strengthen customer trust, improve marketing effectiveness and support Tesco’s long-term competitive advantage within the evolving retail sector.</w:t>
      </w:r>
    </w:p>
    <w:p w14:paraId="4D50FF4C" w14:textId="407CC2DA" w:rsidR="005D6FFB" w:rsidRPr="00AA0D01" w:rsidRDefault="005D6FFB" w:rsidP="007B412F">
      <w:pPr>
        <w:pStyle w:val="Heading2"/>
        <w:numPr>
          <w:ilvl w:val="0"/>
          <w:numId w:val="4"/>
        </w:numPr>
        <w:spacing w:line="360" w:lineRule="auto"/>
        <w:jc w:val="both"/>
        <w:rPr>
          <w:rFonts w:ascii="Calibri" w:hAnsi="Calibri" w:cs="Calibri"/>
          <w:b/>
          <w:bCs/>
          <w:color w:val="000000" w:themeColor="text1"/>
          <w:sz w:val="28"/>
          <w:szCs w:val="28"/>
        </w:rPr>
      </w:pPr>
      <w:bookmarkStart w:id="1" w:name="_Toc232005394"/>
      <w:r w:rsidRPr="00AA0D01">
        <w:rPr>
          <w:rFonts w:ascii="Calibri" w:hAnsi="Calibri" w:cs="Calibri"/>
          <w:b/>
          <w:bCs/>
          <w:color w:val="000000" w:themeColor="text1"/>
          <w:sz w:val="28"/>
          <w:szCs w:val="28"/>
        </w:rPr>
        <w:lastRenderedPageBreak/>
        <w:t>Introduction</w:t>
      </w:r>
      <w:bookmarkEnd w:id="1"/>
    </w:p>
    <w:p w14:paraId="375EEF0F" w14:textId="77777777" w:rsidR="005D6FFB" w:rsidRPr="00AA0D01" w:rsidRDefault="005D6FFB" w:rsidP="00AA0D01">
      <w:pPr>
        <w:spacing w:line="360" w:lineRule="auto"/>
        <w:jc w:val="both"/>
        <w:rPr>
          <w:rFonts w:ascii="Calibri" w:hAnsi="Calibri" w:cs="Calibri"/>
        </w:rPr>
      </w:pPr>
      <w:r w:rsidRPr="00AA0D01">
        <w:rPr>
          <w:rFonts w:ascii="Calibri" w:hAnsi="Calibri" w:cs="Calibri"/>
        </w:rPr>
        <w:t>The retail sector is characterised by intense competition, changing consumer expectations and rapid technological development. In this environment, marketing has evolved beyond promotion to become a strategic organisational function concerned with customer value creation, relationship management, brand development and long-term sustainability. Effective marketing enables organisations to respond to market change, identify opportunities and maintain competitive advantage in increasingly complex markets (Kotler, Keller and Chernev, 2025). Digital transformation has become a central feature of modern marketing practice, requiring organisations to continually adapt to changing technologies, customer expectations and competitive conditions (Chaffey and Ellis-Chadwick, 2024).</w:t>
      </w:r>
    </w:p>
    <w:p w14:paraId="5005F43B" w14:textId="77777777" w:rsidR="005D6FFB" w:rsidRPr="00AA0D01" w:rsidRDefault="005D6FFB" w:rsidP="00AA0D01">
      <w:pPr>
        <w:spacing w:line="360" w:lineRule="auto"/>
        <w:jc w:val="both"/>
        <w:rPr>
          <w:rFonts w:ascii="Calibri" w:hAnsi="Calibri" w:cs="Calibri"/>
        </w:rPr>
      </w:pPr>
      <w:r w:rsidRPr="00AA0D01">
        <w:rPr>
          <w:rFonts w:ascii="Calibri" w:hAnsi="Calibri" w:cs="Calibri"/>
        </w:rPr>
        <w:t>Tesco plc provides a relevant case for evaluating marketing change in the digital era. As one of the United Kingdom's largest retailers, Tesco serves customers through a combination of large stores, convenience outlets, online shopping platforms and mobile applications. The company focuses on delivering value, quality and convenience while strengthening customer loyalty through initiatives such as Clubcard (Tesco plc, 2025). Its use of customer data and investment in digital infrastructure have positioned Tesco as a major example of data-driven retail marketing.</w:t>
      </w:r>
    </w:p>
    <w:p w14:paraId="0F7756D9" w14:textId="77777777" w:rsidR="005D6FFB" w:rsidRPr="00AA0D01" w:rsidRDefault="005D6FFB" w:rsidP="00AA0D01">
      <w:pPr>
        <w:spacing w:line="360" w:lineRule="auto"/>
        <w:jc w:val="both"/>
        <w:rPr>
          <w:rFonts w:ascii="Calibri" w:hAnsi="Calibri" w:cs="Calibri"/>
        </w:rPr>
      </w:pPr>
      <w:r w:rsidRPr="00AA0D01">
        <w:rPr>
          <w:rFonts w:ascii="Calibri" w:hAnsi="Calibri" w:cs="Calibri"/>
        </w:rPr>
        <w:t>However, Tesco also operates within a challenging environment. Competition from discount retailers has increased price pressure, while consumers expect more personalised, convenient and ethical shopping experiences. At the same time, the growing use of customer data raises issues relating to privacy, transparency and trust. Sustainability expectations are also reshaping retail marketing, as consumers, regulators and investors increasingly expect organisations to demonstrate responsible environmental and social practices.</w:t>
      </w:r>
    </w:p>
    <w:p w14:paraId="1D7BDE8B" w14:textId="10F9C829" w:rsidR="005D6FFB" w:rsidRPr="00AA0D01" w:rsidRDefault="005D6FFB" w:rsidP="00AA0D01">
      <w:pPr>
        <w:spacing w:line="360" w:lineRule="auto"/>
        <w:jc w:val="both"/>
        <w:rPr>
          <w:rFonts w:ascii="Calibri" w:hAnsi="Calibri" w:cs="Calibri"/>
        </w:rPr>
      </w:pPr>
      <w:r w:rsidRPr="00AA0D01">
        <w:rPr>
          <w:rFonts w:ascii="Calibri" w:hAnsi="Calibri" w:cs="Calibri"/>
        </w:rPr>
        <w:t xml:space="preserve">This report critically evaluates Tesco's marketing function by assessing its current marketing activities, analysing the internal and external forces driving change, and examining future developments likely to influence marketing strategy. In line with the assessment brief, the report applies two key frameworks, SWOT and Segmentation, Targeting and Positioning (STP), supported by customer insight and digital metrics. This focused approach enables a deeper critical </w:t>
      </w:r>
      <w:r w:rsidRPr="00AA0D01">
        <w:rPr>
          <w:rFonts w:ascii="Calibri" w:hAnsi="Calibri" w:cs="Calibri"/>
        </w:rPr>
        <w:lastRenderedPageBreak/>
        <w:t>evaluation of Tesco's ability to deliver customer value, strengthen brand equity and maintain organisational competitiveness in the digital era.</w:t>
      </w:r>
    </w:p>
    <w:p w14:paraId="32BDE331" w14:textId="77777777" w:rsidR="00AA0D01" w:rsidRPr="00AA0D01" w:rsidRDefault="00AA0D01" w:rsidP="00AA0D01">
      <w:pPr>
        <w:pStyle w:val="NormalWeb"/>
        <w:spacing w:line="360" w:lineRule="auto"/>
        <w:jc w:val="both"/>
        <w:rPr>
          <w:rFonts w:ascii="Calibri" w:hAnsi="Calibri" w:cs="Calibri"/>
          <w:color w:val="000000"/>
        </w:rPr>
      </w:pPr>
    </w:p>
    <w:p w14:paraId="34152A60" w14:textId="18672E3F" w:rsidR="005D6FFB" w:rsidRPr="00AA0D01" w:rsidRDefault="005D6FFB" w:rsidP="00AA0D01">
      <w:pPr>
        <w:pStyle w:val="Heading2"/>
        <w:numPr>
          <w:ilvl w:val="0"/>
          <w:numId w:val="4"/>
        </w:numPr>
        <w:spacing w:line="360" w:lineRule="auto"/>
        <w:jc w:val="both"/>
        <w:rPr>
          <w:rFonts w:ascii="Calibri" w:hAnsi="Calibri" w:cs="Calibri"/>
          <w:b/>
          <w:bCs/>
          <w:color w:val="000000" w:themeColor="text1"/>
          <w:sz w:val="28"/>
          <w:szCs w:val="28"/>
        </w:rPr>
      </w:pPr>
      <w:bookmarkStart w:id="2" w:name="_Toc232005395"/>
      <w:r w:rsidRPr="00AA0D01">
        <w:rPr>
          <w:rFonts w:ascii="Calibri" w:hAnsi="Calibri" w:cs="Calibri"/>
          <w:b/>
          <w:bCs/>
          <w:color w:val="000000" w:themeColor="text1"/>
          <w:sz w:val="28"/>
          <w:szCs w:val="28"/>
        </w:rPr>
        <w:t>Critical Appraisal of Current Marketing Activities</w:t>
      </w:r>
      <w:bookmarkEnd w:id="2"/>
    </w:p>
    <w:p w14:paraId="67DD5116" w14:textId="7844952C" w:rsidR="007B412F" w:rsidRPr="00AA0D01" w:rsidRDefault="007B412F" w:rsidP="00053BF2">
      <w:pPr>
        <w:pStyle w:val="Heading3"/>
        <w:numPr>
          <w:ilvl w:val="1"/>
          <w:numId w:val="4"/>
        </w:numPr>
        <w:spacing w:line="360" w:lineRule="auto"/>
        <w:jc w:val="both"/>
        <w:rPr>
          <w:rFonts w:ascii="Calibri" w:hAnsi="Calibri" w:cs="Calibri"/>
          <w:color w:val="000000" w:themeColor="text1"/>
          <w:sz w:val="24"/>
          <w:szCs w:val="24"/>
        </w:rPr>
      </w:pPr>
      <w:bookmarkStart w:id="3" w:name="_Toc232005396"/>
      <w:r w:rsidRPr="00AA0D01">
        <w:rPr>
          <w:rFonts w:ascii="Calibri" w:hAnsi="Calibri" w:cs="Calibri"/>
          <w:color w:val="000000" w:themeColor="text1"/>
          <w:sz w:val="24"/>
          <w:szCs w:val="24"/>
        </w:rPr>
        <w:t>PESTLE Analysis</w:t>
      </w:r>
      <w:bookmarkEnd w:id="3"/>
    </w:p>
    <w:p w14:paraId="307C9F7F" w14:textId="77777777" w:rsidR="007B412F" w:rsidRPr="00AA0D01" w:rsidRDefault="007B412F" w:rsidP="00053BF2">
      <w:pPr>
        <w:spacing w:line="360" w:lineRule="auto"/>
        <w:jc w:val="both"/>
        <w:rPr>
          <w:rFonts w:ascii="Calibri" w:hAnsi="Calibri" w:cs="Calibri"/>
        </w:rPr>
      </w:pPr>
      <w:r w:rsidRPr="00AA0D01">
        <w:rPr>
          <w:rFonts w:ascii="Calibri" w:hAnsi="Calibri" w:cs="Calibri"/>
        </w:rPr>
        <w:t>PESTLE analysis provides a structured framework for evaluating the macro-environmental factors influencing Tesco's marketing activities. Although the framework does not fully capture the complexity of market interactions, it is useful for identifying external forces that shape strategic decision-making and marketing effectiveness (Johnson et al., 2023).</w:t>
      </w:r>
    </w:p>
    <w:p w14:paraId="37FF9132" w14:textId="77777777" w:rsidR="007B412F" w:rsidRPr="00053BF2" w:rsidRDefault="007B412F" w:rsidP="00053BF2">
      <w:pPr>
        <w:spacing w:line="360" w:lineRule="auto"/>
        <w:jc w:val="both"/>
        <w:rPr>
          <w:rFonts w:ascii="Calibri" w:hAnsi="Calibri" w:cs="Calibri"/>
          <w:b/>
          <w:bCs/>
        </w:rPr>
      </w:pPr>
      <w:r w:rsidRPr="00053BF2">
        <w:rPr>
          <w:rFonts w:ascii="Calibri" w:hAnsi="Calibri" w:cs="Calibri"/>
          <w:b/>
          <w:bCs/>
        </w:rPr>
        <w:t>Political and Legal Factors</w:t>
      </w:r>
    </w:p>
    <w:p w14:paraId="6271FEA2" w14:textId="77777777" w:rsidR="007B412F" w:rsidRPr="00AA0D01" w:rsidRDefault="007B412F" w:rsidP="00053BF2">
      <w:pPr>
        <w:spacing w:line="360" w:lineRule="auto"/>
        <w:jc w:val="both"/>
        <w:rPr>
          <w:rFonts w:ascii="Calibri" w:hAnsi="Calibri" w:cs="Calibri"/>
        </w:rPr>
      </w:pPr>
      <w:r w:rsidRPr="00AA0D01">
        <w:rPr>
          <w:rFonts w:ascii="Calibri" w:hAnsi="Calibri" w:cs="Calibri"/>
        </w:rPr>
        <w:t>Political and regulatory developments have a significant influence on Tesco's marketing activities. Data protection legislation, particularly UK GDPR, places strict requirements on the collection, storage and use of customer information (Information Commissioner's Office, 2024). As Tesco relies heavily on customer insight generated through Clubcard, compliance with data protection regulations is essential for maintaining customer trust and avoiding reputational damage. In addition, increasing regulatory scrutiny of environmental claims means that sustainability communications must be transparent and evidence-based.</w:t>
      </w:r>
    </w:p>
    <w:p w14:paraId="4A427407" w14:textId="77777777" w:rsidR="007B412F" w:rsidRPr="00053BF2" w:rsidRDefault="007B412F" w:rsidP="00053BF2">
      <w:pPr>
        <w:spacing w:line="360" w:lineRule="auto"/>
        <w:jc w:val="both"/>
        <w:rPr>
          <w:rFonts w:ascii="Calibri" w:hAnsi="Calibri" w:cs="Calibri"/>
          <w:b/>
          <w:bCs/>
        </w:rPr>
      </w:pPr>
      <w:r w:rsidRPr="00053BF2">
        <w:rPr>
          <w:rFonts w:ascii="Calibri" w:hAnsi="Calibri" w:cs="Calibri"/>
          <w:b/>
          <w:bCs/>
        </w:rPr>
        <w:t>Economic Factors</w:t>
      </w:r>
    </w:p>
    <w:p w14:paraId="726A0EF3" w14:textId="77777777" w:rsidR="007B412F" w:rsidRPr="00AA0D01" w:rsidRDefault="007B412F" w:rsidP="00053BF2">
      <w:pPr>
        <w:spacing w:line="360" w:lineRule="auto"/>
        <w:jc w:val="both"/>
        <w:rPr>
          <w:rFonts w:ascii="Calibri" w:hAnsi="Calibri" w:cs="Calibri"/>
        </w:rPr>
      </w:pPr>
      <w:r w:rsidRPr="00AA0D01">
        <w:rPr>
          <w:rFonts w:ascii="Calibri" w:hAnsi="Calibri" w:cs="Calibri"/>
        </w:rPr>
        <w:t>Economic conditions directly affect consumer purchasing behaviour and retail marketing strategies. Ongoing cost-of-living pressures have increased consumer price sensitivity, encouraging greater demand for discounts, loyalty rewards and value-focused propositions. Tesco has responded through initiatives such as Clubcard Prices and Aldi Price Match, which support customer retention while helping the organisation remain competitive within a challenging market environment (Tesco plc, 2025). However, sustained price competition may place pressure on profitability and brand differentiation.</w:t>
      </w:r>
    </w:p>
    <w:p w14:paraId="69CC7B62" w14:textId="77777777" w:rsidR="007B412F" w:rsidRPr="00053BF2" w:rsidRDefault="007B412F" w:rsidP="00053BF2">
      <w:pPr>
        <w:spacing w:line="360" w:lineRule="auto"/>
        <w:jc w:val="both"/>
        <w:rPr>
          <w:rFonts w:ascii="Calibri" w:hAnsi="Calibri" w:cs="Calibri"/>
          <w:b/>
          <w:bCs/>
        </w:rPr>
      </w:pPr>
      <w:r w:rsidRPr="00053BF2">
        <w:rPr>
          <w:rFonts w:ascii="Calibri" w:hAnsi="Calibri" w:cs="Calibri"/>
          <w:b/>
          <w:bCs/>
        </w:rPr>
        <w:lastRenderedPageBreak/>
        <w:t>Social Factors</w:t>
      </w:r>
    </w:p>
    <w:p w14:paraId="64A64939" w14:textId="77777777" w:rsidR="007B412F" w:rsidRPr="00AA0D01" w:rsidRDefault="007B412F" w:rsidP="00053BF2">
      <w:pPr>
        <w:spacing w:line="360" w:lineRule="auto"/>
        <w:jc w:val="both"/>
        <w:rPr>
          <w:rFonts w:ascii="Calibri" w:hAnsi="Calibri" w:cs="Calibri"/>
        </w:rPr>
      </w:pPr>
      <w:r w:rsidRPr="00AA0D01">
        <w:rPr>
          <w:rFonts w:ascii="Calibri" w:hAnsi="Calibri" w:cs="Calibri"/>
        </w:rPr>
        <w:t>Changing consumer expectations are reshaping Tesco's marketing priorities. Customers increasingly value convenience, personalisation, ethical business practices and sustainability. Consumers are also becoming more conscious of how organisations use personal data and expect greater transparency regarding privacy and responsible business conduct (Kotler, Kartajaya and Setiawan, 2021). These trends require Tesco to balance commercial objectives with broader stakeholder expectations.</w:t>
      </w:r>
    </w:p>
    <w:p w14:paraId="5A53FBC1" w14:textId="77777777" w:rsidR="007B412F" w:rsidRPr="00053BF2" w:rsidRDefault="007B412F" w:rsidP="00053BF2">
      <w:pPr>
        <w:spacing w:line="360" w:lineRule="auto"/>
        <w:jc w:val="both"/>
        <w:rPr>
          <w:rFonts w:ascii="Calibri" w:hAnsi="Calibri" w:cs="Calibri"/>
          <w:b/>
          <w:bCs/>
        </w:rPr>
      </w:pPr>
      <w:r w:rsidRPr="00053BF2">
        <w:rPr>
          <w:rFonts w:ascii="Calibri" w:hAnsi="Calibri" w:cs="Calibri"/>
          <w:b/>
          <w:bCs/>
        </w:rPr>
        <w:t>Technological Factors</w:t>
      </w:r>
    </w:p>
    <w:p w14:paraId="62EDF21A" w14:textId="77777777" w:rsidR="007B412F" w:rsidRPr="00AA0D01" w:rsidRDefault="007B412F" w:rsidP="00053BF2">
      <w:pPr>
        <w:spacing w:line="360" w:lineRule="auto"/>
        <w:jc w:val="both"/>
        <w:rPr>
          <w:rFonts w:ascii="Calibri" w:hAnsi="Calibri" w:cs="Calibri"/>
        </w:rPr>
      </w:pPr>
      <w:r w:rsidRPr="00AA0D01">
        <w:rPr>
          <w:rFonts w:ascii="Calibri" w:hAnsi="Calibri" w:cs="Calibri"/>
        </w:rPr>
        <w:t>Technological innovation remains one of the most significant drivers of marketing change. Developments in artificial intelligence, predictive analytics, mobile applications and digital commerce have transformed how Tesco engages with customers and delivers personalised experiences (Davenport et al., 2020). Continued investment in digital infrastructure enables Tesco to strengthen customer relationships, improve decision-making and enhance operational efficiency.</w:t>
      </w:r>
    </w:p>
    <w:p w14:paraId="5D6DCB3A" w14:textId="77777777" w:rsidR="007B412F" w:rsidRPr="00053BF2" w:rsidRDefault="007B412F" w:rsidP="00053BF2">
      <w:pPr>
        <w:spacing w:line="360" w:lineRule="auto"/>
        <w:jc w:val="both"/>
        <w:rPr>
          <w:rFonts w:ascii="Calibri" w:hAnsi="Calibri" w:cs="Calibri"/>
          <w:b/>
          <w:bCs/>
        </w:rPr>
      </w:pPr>
      <w:r w:rsidRPr="00053BF2">
        <w:rPr>
          <w:rFonts w:ascii="Calibri" w:hAnsi="Calibri" w:cs="Calibri"/>
          <w:b/>
          <w:bCs/>
        </w:rPr>
        <w:t>Environmental Factors</w:t>
      </w:r>
    </w:p>
    <w:p w14:paraId="581A4C9B" w14:textId="77777777" w:rsidR="007B412F" w:rsidRPr="00AA0D01" w:rsidRDefault="007B412F" w:rsidP="00053BF2">
      <w:pPr>
        <w:spacing w:line="360" w:lineRule="auto"/>
        <w:jc w:val="both"/>
        <w:rPr>
          <w:rFonts w:ascii="Calibri" w:hAnsi="Calibri" w:cs="Calibri"/>
        </w:rPr>
      </w:pPr>
      <w:r w:rsidRPr="00AA0D01">
        <w:rPr>
          <w:rFonts w:ascii="Calibri" w:hAnsi="Calibri" w:cs="Calibri"/>
        </w:rPr>
        <w:t>Environmental sustainability has become an increasingly important influence on consumer behaviour and corporate reputation. Tesco's commitments to carbon reduction, responsible sourcing and food waste reduction reflect growing stakeholder expectations for sustainable business practices. Effective communication of these initiatives can strengthen brand equity, provided that environmental claims are supported by measurable evidence and transparent reporting (United Nations, 2023).</w:t>
      </w:r>
    </w:p>
    <w:p w14:paraId="03F9BCAA" w14:textId="77777777" w:rsidR="007B412F" w:rsidRPr="00053BF2" w:rsidRDefault="007B412F" w:rsidP="00053BF2">
      <w:pPr>
        <w:spacing w:line="360" w:lineRule="auto"/>
        <w:jc w:val="both"/>
        <w:rPr>
          <w:rFonts w:ascii="Calibri" w:hAnsi="Calibri" w:cs="Calibri"/>
          <w:b/>
          <w:bCs/>
        </w:rPr>
      </w:pPr>
      <w:r w:rsidRPr="00053BF2">
        <w:rPr>
          <w:rFonts w:ascii="Calibri" w:hAnsi="Calibri" w:cs="Calibri"/>
          <w:b/>
          <w:bCs/>
        </w:rPr>
        <w:t>Critical Evaluation</w:t>
      </w:r>
    </w:p>
    <w:p w14:paraId="1EC77DE2" w14:textId="77777777" w:rsidR="007B412F" w:rsidRPr="00AA0D01" w:rsidRDefault="007B412F" w:rsidP="00053BF2">
      <w:pPr>
        <w:spacing w:line="360" w:lineRule="auto"/>
        <w:jc w:val="both"/>
        <w:rPr>
          <w:rFonts w:ascii="Calibri" w:hAnsi="Calibri" w:cs="Calibri"/>
        </w:rPr>
      </w:pPr>
      <w:r w:rsidRPr="00AA0D01">
        <w:rPr>
          <w:rFonts w:ascii="Calibri" w:hAnsi="Calibri" w:cs="Calibri"/>
        </w:rPr>
        <w:t xml:space="preserve">Overall, the PESTLE analysis highlights that Tesco's marketing function is increasingly influenced by external economic, technological, regulatory and sustainability-related pressures. While these developments create opportunities for innovation and customer engagement, they also increase organisational responsibility. Tesco's long-term marketing success will depend on its ability to </w:t>
      </w:r>
      <w:r w:rsidRPr="00AA0D01">
        <w:rPr>
          <w:rFonts w:ascii="Calibri" w:hAnsi="Calibri" w:cs="Calibri"/>
        </w:rPr>
        <w:lastRenderedPageBreak/>
        <w:t>adapt strategically to these macro-environmental changes while maintaining customer trust and delivering sustainable value.</w:t>
      </w:r>
    </w:p>
    <w:p w14:paraId="2502D4E2" w14:textId="77777777" w:rsidR="007B412F" w:rsidRPr="00AA0D01" w:rsidRDefault="007B412F" w:rsidP="00053BF2">
      <w:pPr>
        <w:spacing w:line="360" w:lineRule="auto"/>
        <w:jc w:val="both"/>
        <w:rPr>
          <w:rFonts w:ascii="Calibri" w:hAnsi="Calibri" w:cs="Calibri"/>
        </w:rPr>
      </w:pPr>
    </w:p>
    <w:p w14:paraId="2B078157" w14:textId="165EC667" w:rsidR="005D6FFB" w:rsidRPr="00AA0D01" w:rsidRDefault="007B412F" w:rsidP="00053BF2">
      <w:pPr>
        <w:pStyle w:val="Heading3"/>
        <w:numPr>
          <w:ilvl w:val="1"/>
          <w:numId w:val="4"/>
        </w:numPr>
        <w:spacing w:line="360" w:lineRule="auto"/>
        <w:jc w:val="both"/>
        <w:rPr>
          <w:rFonts w:ascii="Calibri" w:hAnsi="Calibri" w:cs="Calibri"/>
          <w:color w:val="000000" w:themeColor="text1"/>
          <w:sz w:val="24"/>
          <w:szCs w:val="24"/>
        </w:rPr>
      </w:pPr>
      <w:r w:rsidRPr="00AA0D01">
        <w:rPr>
          <w:rFonts w:ascii="Calibri" w:hAnsi="Calibri" w:cs="Calibri"/>
          <w:color w:val="000000" w:themeColor="text1"/>
          <w:sz w:val="24"/>
          <w:szCs w:val="24"/>
        </w:rPr>
        <w:t xml:space="preserve"> </w:t>
      </w:r>
      <w:bookmarkStart w:id="4" w:name="_Toc232005397"/>
      <w:r w:rsidR="005D6FFB" w:rsidRPr="00AA0D01">
        <w:rPr>
          <w:rFonts w:ascii="Calibri" w:hAnsi="Calibri" w:cs="Calibri"/>
          <w:color w:val="000000" w:themeColor="text1"/>
          <w:sz w:val="24"/>
          <w:szCs w:val="24"/>
        </w:rPr>
        <w:t>SWOT Analysis</w:t>
      </w:r>
      <w:bookmarkEnd w:id="4"/>
    </w:p>
    <w:p w14:paraId="59F99FA0" w14:textId="77777777" w:rsidR="005D6FFB" w:rsidRPr="00AA0D01" w:rsidRDefault="005D6FFB" w:rsidP="00053BF2">
      <w:pPr>
        <w:spacing w:line="360" w:lineRule="auto"/>
        <w:jc w:val="both"/>
        <w:rPr>
          <w:rFonts w:ascii="Calibri" w:hAnsi="Calibri" w:cs="Calibri"/>
        </w:rPr>
      </w:pPr>
      <w:r w:rsidRPr="00AA0D01">
        <w:rPr>
          <w:rFonts w:ascii="Calibri" w:hAnsi="Calibri" w:cs="Calibri"/>
        </w:rPr>
        <w:t>SWOT analysis is used to evaluate Tesco's key internal strengths and weaknesses alongside the external opportunities and threats affecting its marketing activities. Although SWOT can oversimplify complex market conditions, it remains useful when applied critically because it highlights how internal capabilities interact with external pressures (Kotler, Keller and Chernev, 2025).</w:t>
      </w:r>
    </w:p>
    <w:p w14:paraId="586D9FBB" w14:textId="77777777" w:rsidR="005D6FFB" w:rsidRPr="00053BF2" w:rsidRDefault="005D6FFB" w:rsidP="00053BF2">
      <w:pPr>
        <w:pStyle w:val="Heading4"/>
        <w:spacing w:line="360" w:lineRule="auto"/>
        <w:jc w:val="both"/>
        <w:rPr>
          <w:rFonts w:ascii="Calibri" w:hAnsi="Calibri" w:cs="Calibri"/>
          <w:b/>
          <w:bCs/>
          <w:i w:val="0"/>
          <w:iCs w:val="0"/>
          <w:color w:val="000000"/>
        </w:rPr>
      </w:pPr>
      <w:r w:rsidRPr="00053BF2">
        <w:rPr>
          <w:rFonts w:ascii="Calibri" w:hAnsi="Calibri" w:cs="Calibri"/>
          <w:b/>
          <w:bCs/>
          <w:i w:val="0"/>
          <w:iCs w:val="0"/>
          <w:color w:val="000000"/>
        </w:rPr>
        <w:t>Strengths</w:t>
      </w:r>
    </w:p>
    <w:p w14:paraId="0095A446" w14:textId="77777777" w:rsidR="005D6FFB" w:rsidRPr="00AA0D01" w:rsidRDefault="005D6FFB" w:rsidP="00053BF2">
      <w:pPr>
        <w:spacing w:line="360" w:lineRule="auto"/>
        <w:jc w:val="both"/>
        <w:rPr>
          <w:rFonts w:ascii="Calibri" w:hAnsi="Calibri" w:cs="Calibri"/>
        </w:rPr>
      </w:pPr>
      <w:r w:rsidRPr="00AA0D01">
        <w:rPr>
          <w:rFonts w:ascii="Calibri" w:hAnsi="Calibri" w:cs="Calibri"/>
        </w:rPr>
        <w:t>Tesco's strongest marketing assets are its brand equity, customer insight capabilities and omnichannel infrastructure. Strong brand recognition supports customer trust and loyalty, reducing perceived risk and encouraging repeat purchasing (Keller, 2013). This is particularly important in grocery retail, where consumers often make frequent and habitual purchasing decisions.</w:t>
      </w:r>
    </w:p>
    <w:p w14:paraId="07CBD505" w14:textId="77777777" w:rsidR="005D6FFB" w:rsidRPr="00AA0D01" w:rsidRDefault="005D6FFB" w:rsidP="00053BF2">
      <w:pPr>
        <w:spacing w:line="360" w:lineRule="auto"/>
        <w:jc w:val="both"/>
        <w:rPr>
          <w:rFonts w:ascii="Calibri" w:hAnsi="Calibri" w:cs="Calibri"/>
        </w:rPr>
      </w:pPr>
      <w:r w:rsidRPr="00AA0D01">
        <w:rPr>
          <w:rFonts w:ascii="Calibri" w:hAnsi="Calibri" w:cs="Calibri"/>
        </w:rPr>
        <w:t>The Clubcard loyalty programme is another major strength. It enables Tesco to collect and analyse customer purchasing behaviour, allowing the organisation to personalise offers, target promotions and improve customer relationship management. According to Tesco plc (2024), continued investment in digital platforms, loyalty programmes and customer analytics has been central to the organisation's strategy for strengthening customer engagement and maintaining market leadership. Data-driven personalisation can strengthen engagement and retention when customers perceive clear value from the interaction (Kumar et al., 2019). In Tesco's case, Clubcard Prices also reinforce the brand's value proposition during periods of economic pressure.</w:t>
      </w:r>
    </w:p>
    <w:p w14:paraId="31B7CE27" w14:textId="77777777" w:rsidR="005D6FFB" w:rsidRPr="00AA0D01" w:rsidRDefault="005D6FFB" w:rsidP="00053BF2">
      <w:pPr>
        <w:spacing w:line="360" w:lineRule="auto"/>
        <w:jc w:val="both"/>
        <w:rPr>
          <w:rFonts w:ascii="Calibri" w:hAnsi="Calibri" w:cs="Calibri"/>
        </w:rPr>
      </w:pPr>
      <w:r w:rsidRPr="00AA0D01">
        <w:rPr>
          <w:rFonts w:ascii="Calibri" w:hAnsi="Calibri" w:cs="Calibri"/>
        </w:rPr>
        <w:t xml:space="preserve">Tesco's omnichannel presence further strengthens its marketing effectiveness. The integration of physical stores, online shopping, click-and-collect services and mobile applications enables customers to interact with the brand across multiple touchpoints. This supports convenience and </w:t>
      </w:r>
      <w:r w:rsidRPr="00AA0D01">
        <w:rPr>
          <w:rFonts w:ascii="Calibri" w:hAnsi="Calibri" w:cs="Calibri"/>
        </w:rPr>
        <w:lastRenderedPageBreak/>
        <w:t>customer experience, which are increasingly important drivers of loyalty in digital retail environments (Lemon and Verhoef, 2016).</w:t>
      </w:r>
    </w:p>
    <w:p w14:paraId="736C6905" w14:textId="77777777" w:rsidR="005D6FFB" w:rsidRPr="00AA0D01" w:rsidRDefault="005D6FFB" w:rsidP="00053BF2">
      <w:pPr>
        <w:spacing w:line="360" w:lineRule="auto"/>
        <w:jc w:val="both"/>
        <w:rPr>
          <w:rFonts w:ascii="Calibri" w:hAnsi="Calibri" w:cs="Calibri"/>
        </w:rPr>
      </w:pPr>
      <w:r w:rsidRPr="00AA0D01">
        <w:rPr>
          <w:rFonts w:ascii="Calibri" w:hAnsi="Calibri" w:cs="Calibri"/>
        </w:rPr>
        <w:t>However, these strengths do not automatically guarantee sustainable competitive advantage. Many competitors are developing similar loyalty schemes, digital platforms and customer analytics capabilities. Consequently, Tesco's advantage depends not simply on possessing customer data, but on using that data more effectively than competitors to create meaningful customer value.</w:t>
      </w:r>
    </w:p>
    <w:p w14:paraId="2105EBE0" w14:textId="77777777" w:rsidR="005D6FFB" w:rsidRPr="00053BF2" w:rsidRDefault="005D6FFB" w:rsidP="00053BF2">
      <w:pPr>
        <w:pStyle w:val="Heading4"/>
        <w:spacing w:line="360" w:lineRule="auto"/>
        <w:jc w:val="both"/>
        <w:rPr>
          <w:rFonts w:ascii="Calibri" w:hAnsi="Calibri" w:cs="Calibri"/>
          <w:b/>
          <w:bCs/>
          <w:i w:val="0"/>
          <w:iCs w:val="0"/>
          <w:color w:val="000000"/>
        </w:rPr>
      </w:pPr>
      <w:r w:rsidRPr="00053BF2">
        <w:rPr>
          <w:rFonts w:ascii="Calibri" w:hAnsi="Calibri" w:cs="Calibri"/>
          <w:b/>
          <w:bCs/>
          <w:i w:val="0"/>
          <w:iCs w:val="0"/>
          <w:color w:val="000000"/>
        </w:rPr>
        <w:t>Weaknesses</w:t>
      </w:r>
    </w:p>
    <w:p w14:paraId="7B36C6C4" w14:textId="77777777" w:rsidR="005D6FFB" w:rsidRPr="00AA0D01" w:rsidRDefault="005D6FFB" w:rsidP="00053BF2">
      <w:pPr>
        <w:spacing w:line="360" w:lineRule="auto"/>
        <w:jc w:val="both"/>
        <w:rPr>
          <w:rFonts w:ascii="Calibri" w:hAnsi="Calibri" w:cs="Calibri"/>
        </w:rPr>
      </w:pPr>
      <w:r w:rsidRPr="00AA0D01">
        <w:rPr>
          <w:rFonts w:ascii="Calibri" w:hAnsi="Calibri" w:cs="Calibri"/>
        </w:rPr>
        <w:t>One weakness is Tesco's dependence on the mature UK grocery market. While market leadership provides stability, a saturated market limits opportunities for major growth and increases reliance on customer retention. This places pressure on Tesco's marketing function to deepen loyalty and defend market share rather than relying on expansion alone.</w:t>
      </w:r>
    </w:p>
    <w:p w14:paraId="7F743799" w14:textId="77777777" w:rsidR="005D6FFB" w:rsidRPr="00AA0D01" w:rsidRDefault="005D6FFB" w:rsidP="00053BF2">
      <w:pPr>
        <w:spacing w:line="360" w:lineRule="auto"/>
        <w:jc w:val="both"/>
        <w:rPr>
          <w:rFonts w:ascii="Calibri" w:hAnsi="Calibri" w:cs="Calibri"/>
        </w:rPr>
      </w:pPr>
      <w:r w:rsidRPr="00AA0D01">
        <w:rPr>
          <w:rFonts w:ascii="Calibri" w:hAnsi="Calibri" w:cs="Calibri"/>
        </w:rPr>
        <w:t>A second weakness concerns the organisation's dependence on customer data. Although data-driven marketing allows more precise targeting, it can create tensions between personalisation and privacy. Consumers are increasingly aware of how organisations collect and use personal information, and this can affect trust if data practices are perceived as intrusive or unclear (Martin and Murphy, 2017).</w:t>
      </w:r>
    </w:p>
    <w:p w14:paraId="2885E617" w14:textId="77777777" w:rsidR="005D6FFB" w:rsidRPr="00AA0D01" w:rsidRDefault="005D6FFB" w:rsidP="00053BF2">
      <w:pPr>
        <w:spacing w:line="360" w:lineRule="auto"/>
        <w:jc w:val="both"/>
        <w:rPr>
          <w:rFonts w:ascii="Calibri" w:hAnsi="Calibri" w:cs="Calibri"/>
        </w:rPr>
      </w:pPr>
      <w:r w:rsidRPr="00AA0D01">
        <w:rPr>
          <w:rFonts w:ascii="Calibri" w:hAnsi="Calibri" w:cs="Calibri"/>
        </w:rPr>
        <w:t>Tesco's value-based positioning also creates a potential weakness. Campaigns such as Clubcard Prices and Aldi Price Match help to attract price-sensitive customers, but they may also reduce differentiation if consumers associate Tesco mainly with discounts. Over time, excessive emphasis on price could weaken the brand's broader associations with quality, service and sustainability.</w:t>
      </w:r>
    </w:p>
    <w:p w14:paraId="33D8BD6C" w14:textId="77777777" w:rsidR="005D6FFB" w:rsidRPr="00053BF2" w:rsidRDefault="005D6FFB" w:rsidP="00053BF2">
      <w:pPr>
        <w:pStyle w:val="Heading4"/>
        <w:spacing w:line="360" w:lineRule="auto"/>
        <w:jc w:val="both"/>
        <w:rPr>
          <w:rFonts w:ascii="Calibri" w:hAnsi="Calibri" w:cs="Calibri"/>
          <w:b/>
          <w:bCs/>
          <w:i w:val="0"/>
          <w:iCs w:val="0"/>
          <w:color w:val="000000"/>
        </w:rPr>
      </w:pPr>
      <w:r w:rsidRPr="00053BF2">
        <w:rPr>
          <w:rFonts w:ascii="Calibri" w:hAnsi="Calibri" w:cs="Calibri"/>
          <w:b/>
          <w:bCs/>
          <w:i w:val="0"/>
          <w:iCs w:val="0"/>
          <w:color w:val="000000"/>
        </w:rPr>
        <w:t>Opportunities</w:t>
      </w:r>
    </w:p>
    <w:p w14:paraId="1CE7B380" w14:textId="7E63F97D" w:rsidR="005D6FFB" w:rsidRPr="00AA0D01" w:rsidRDefault="005D6FFB" w:rsidP="00053BF2">
      <w:pPr>
        <w:spacing w:line="360" w:lineRule="auto"/>
        <w:jc w:val="both"/>
        <w:rPr>
          <w:rFonts w:ascii="Calibri" w:hAnsi="Calibri" w:cs="Calibri"/>
        </w:rPr>
      </w:pPr>
      <w:r w:rsidRPr="00AA0D01">
        <w:rPr>
          <w:rFonts w:ascii="Calibri" w:hAnsi="Calibri" w:cs="Calibri"/>
        </w:rPr>
        <w:t>Technological development presents significant opportunities for Tesco's marketing function. Artificial intelligence, predictive analytics and machine learning can improve customer insight, personalise communications and increase promotional effectiveness (Davenport et al., 2020). Tesco is well</w:t>
      </w:r>
      <w:r w:rsidR="00053BF2">
        <w:rPr>
          <w:rFonts w:ascii="Calibri" w:hAnsi="Calibri" w:cs="Calibri"/>
        </w:rPr>
        <w:t>-</w:t>
      </w:r>
      <w:r w:rsidRPr="00AA0D01">
        <w:rPr>
          <w:rFonts w:ascii="Calibri" w:hAnsi="Calibri" w:cs="Calibri"/>
        </w:rPr>
        <w:t xml:space="preserve">positioned to benefit from these developments because Clubcard and digital </w:t>
      </w:r>
      <w:r w:rsidRPr="00AA0D01">
        <w:rPr>
          <w:rFonts w:ascii="Calibri" w:hAnsi="Calibri" w:cs="Calibri"/>
        </w:rPr>
        <w:lastRenderedPageBreak/>
        <w:t>platforms provide extensive first-party customer data. Industry evidence suggests that AI-enabled retailing will continue to reshape customer engagement, operational efficiency and personalisation capabilities across the sector (Huang and Rust, 2021; Davenport et al., 2020).</w:t>
      </w:r>
    </w:p>
    <w:p w14:paraId="7FDDF21D" w14:textId="77777777" w:rsidR="005D6FFB" w:rsidRPr="00AA0D01" w:rsidRDefault="005D6FFB" w:rsidP="00053BF2">
      <w:pPr>
        <w:spacing w:line="360" w:lineRule="auto"/>
        <w:jc w:val="both"/>
        <w:rPr>
          <w:rFonts w:ascii="Calibri" w:hAnsi="Calibri" w:cs="Calibri"/>
        </w:rPr>
      </w:pPr>
      <w:r w:rsidRPr="00AA0D01">
        <w:rPr>
          <w:rFonts w:ascii="Calibri" w:hAnsi="Calibri" w:cs="Calibri"/>
        </w:rPr>
        <w:t>Sustainability also represents an important marketing opportunity. Consumers increasingly expect retailers to demonstrate genuine environmental and social responsibility. Tesco's initiatives relating to carbon reduction, food waste reduction and responsible sourcing can strengthen brand equity if communicated transparently and supported by measurable progress (Kotler, Kartajaya and Setiawan, 2021).</w:t>
      </w:r>
    </w:p>
    <w:p w14:paraId="009E40B8" w14:textId="77777777" w:rsidR="005D6FFB" w:rsidRPr="00AA0D01" w:rsidRDefault="005D6FFB" w:rsidP="00053BF2">
      <w:pPr>
        <w:spacing w:line="360" w:lineRule="auto"/>
        <w:jc w:val="both"/>
        <w:rPr>
          <w:rFonts w:ascii="Calibri" w:hAnsi="Calibri" w:cs="Calibri"/>
        </w:rPr>
      </w:pPr>
      <w:r w:rsidRPr="00AA0D01">
        <w:rPr>
          <w:rFonts w:ascii="Calibri" w:hAnsi="Calibri" w:cs="Calibri"/>
        </w:rPr>
        <w:t>Another opportunity lies in retail media. Retailers are increasingly using customer insight and digital platforms to offer advertising opportunities to suppliers. Tesco's customer data and digital channels could therefore support new revenue streams while strengthening supplier relationships. However, this must be managed carefully to avoid over-commercialising customer data or undermining trust.</w:t>
      </w:r>
    </w:p>
    <w:p w14:paraId="522581D3" w14:textId="77777777" w:rsidR="005D6FFB" w:rsidRPr="00053BF2" w:rsidRDefault="005D6FFB" w:rsidP="00053BF2">
      <w:pPr>
        <w:pStyle w:val="Heading4"/>
        <w:spacing w:line="360" w:lineRule="auto"/>
        <w:jc w:val="both"/>
        <w:rPr>
          <w:rFonts w:ascii="Calibri" w:hAnsi="Calibri" w:cs="Calibri"/>
          <w:b/>
          <w:bCs/>
          <w:i w:val="0"/>
          <w:iCs w:val="0"/>
          <w:color w:val="000000"/>
        </w:rPr>
      </w:pPr>
      <w:r w:rsidRPr="00053BF2">
        <w:rPr>
          <w:rFonts w:ascii="Calibri" w:hAnsi="Calibri" w:cs="Calibri"/>
          <w:b/>
          <w:bCs/>
          <w:i w:val="0"/>
          <w:iCs w:val="0"/>
          <w:color w:val="000000"/>
        </w:rPr>
        <w:t>Threats</w:t>
      </w:r>
    </w:p>
    <w:p w14:paraId="03F2513A" w14:textId="77777777" w:rsidR="005D6FFB" w:rsidRPr="00AA0D01" w:rsidRDefault="005D6FFB" w:rsidP="00053BF2">
      <w:pPr>
        <w:spacing w:line="360" w:lineRule="auto"/>
        <w:jc w:val="both"/>
        <w:rPr>
          <w:rFonts w:ascii="Calibri" w:hAnsi="Calibri" w:cs="Calibri"/>
        </w:rPr>
      </w:pPr>
      <w:r w:rsidRPr="00AA0D01">
        <w:rPr>
          <w:rFonts w:ascii="Calibri" w:hAnsi="Calibri" w:cs="Calibri"/>
        </w:rPr>
        <w:t>Tesco faces significant threats from discount retailers such as Aldi and Lidl, which continue to compete strongly on price and operational efficiency. This places pressure on Tesco to maintain affordability while protecting profitability and brand differentiation. Recent market data demonstrates the continued growth of discount retailers within the UK grocery market, increasing pressure on established supermarket brands (Kantar, 2025; McKinsey &amp; Company, 2025).</w:t>
      </w:r>
    </w:p>
    <w:p w14:paraId="0222C749" w14:textId="77777777" w:rsidR="005D6FFB" w:rsidRPr="00AA0D01" w:rsidRDefault="005D6FFB" w:rsidP="00053BF2">
      <w:pPr>
        <w:spacing w:line="360" w:lineRule="auto"/>
        <w:jc w:val="both"/>
        <w:rPr>
          <w:rFonts w:ascii="Calibri" w:hAnsi="Calibri" w:cs="Calibri"/>
        </w:rPr>
      </w:pPr>
      <w:r w:rsidRPr="00AA0D01">
        <w:rPr>
          <w:rFonts w:ascii="Calibri" w:hAnsi="Calibri" w:cs="Calibri"/>
        </w:rPr>
        <w:t>Data privacy represents another major threat. The use of personal data in marketing is increasingly scrutinised by consumers and regulators. UK GDPR places clear responsibilities on organisations regarding the collection, storage and use of customer information (Information Commissioner's Office, 2024). Any failure to manage customer data responsibly could damage Tesco's reputation and weaken customer loyalty.</w:t>
      </w:r>
    </w:p>
    <w:p w14:paraId="0B43EB41" w14:textId="77777777" w:rsidR="005D6FFB" w:rsidRDefault="005D6FFB" w:rsidP="00053BF2">
      <w:pPr>
        <w:spacing w:line="360" w:lineRule="auto"/>
        <w:jc w:val="both"/>
        <w:rPr>
          <w:rFonts w:ascii="Calibri" w:hAnsi="Calibri" w:cs="Calibri"/>
        </w:rPr>
      </w:pPr>
      <w:r w:rsidRPr="00AA0D01">
        <w:rPr>
          <w:rFonts w:ascii="Calibri" w:hAnsi="Calibri" w:cs="Calibri"/>
        </w:rPr>
        <w:t xml:space="preserve">Sustainability communication also presents reputational risk. Consumers and regulators increasingly challenge environmental claims that appear vague or exaggerated. If Tesco's </w:t>
      </w:r>
      <w:r w:rsidRPr="00AA0D01">
        <w:rPr>
          <w:rFonts w:ascii="Calibri" w:hAnsi="Calibri" w:cs="Calibri"/>
        </w:rPr>
        <w:lastRenderedPageBreak/>
        <w:t>sustainability marketing is not clearly supported by evidence, the organisation could face accusations of greenwashing, which may undermine trust and brand credibility.</w:t>
      </w:r>
    </w:p>
    <w:p w14:paraId="5D62621C" w14:textId="77777777" w:rsidR="00053BF2" w:rsidRPr="00AA0D01" w:rsidRDefault="00053BF2" w:rsidP="00053BF2">
      <w:pPr>
        <w:spacing w:line="360" w:lineRule="auto"/>
        <w:jc w:val="both"/>
        <w:rPr>
          <w:rFonts w:ascii="Calibri" w:hAnsi="Calibri" w:cs="Calibri"/>
        </w:rPr>
      </w:pPr>
    </w:p>
    <w:p w14:paraId="08FB46D7" w14:textId="767B3DE8" w:rsidR="005D6FFB" w:rsidRPr="00AA0D01" w:rsidRDefault="005D6FFB" w:rsidP="007B412F">
      <w:pPr>
        <w:pStyle w:val="Heading2"/>
        <w:numPr>
          <w:ilvl w:val="0"/>
          <w:numId w:val="4"/>
        </w:numPr>
        <w:spacing w:line="360" w:lineRule="auto"/>
        <w:jc w:val="both"/>
        <w:rPr>
          <w:rFonts w:ascii="Calibri" w:hAnsi="Calibri" w:cs="Calibri"/>
          <w:b/>
          <w:bCs/>
          <w:color w:val="000000" w:themeColor="text1"/>
          <w:sz w:val="28"/>
          <w:szCs w:val="28"/>
        </w:rPr>
      </w:pPr>
      <w:bookmarkStart w:id="5" w:name="_Toc232005398"/>
      <w:r w:rsidRPr="00AA0D01">
        <w:rPr>
          <w:rFonts w:ascii="Calibri" w:hAnsi="Calibri" w:cs="Calibri"/>
          <w:b/>
          <w:bCs/>
          <w:color w:val="000000" w:themeColor="text1"/>
          <w:sz w:val="28"/>
          <w:szCs w:val="28"/>
        </w:rPr>
        <w:t>Internal and External Forces Driving Change</w:t>
      </w:r>
      <w:bookmarkEnd w:id="5"/>
    </w:p>
    <w:p w14:paraId="2AD95A08" w14:textId="77777777" w:rsidR="005D6FFB" w:rsidRPr="00AA0D01" w:rsidRDefault="005D6FFB" w:rsidP="00053BF2">
      <w:pPr>
        <w:spacing w:line="360" w:lineRule="auto"/>
        <w:jc w:val="both"/>
        <w:rPr>
          <w:rFonts w:ascii="Calibri" w:hAnsi="Calibri" w:cs="Calibri"/>
        </w:rPr>
      </w:pPr>
      <w:r w:rsidRPr="00AA0D01">
        <w:rPr>
          <w:rFonts w:ascii="Calibri" w:hAnsi="Calibri" w:cs="Calibri"/>
        </w:rPr>
        <w:t>Tesco's marketing function is shaped by both internal organisational capabilities and external market pressures. These forces require continuous adaptation to maintain customer relevance and competitive advantage.</w:t>
      </w:r>
    </w:p>
    <w:p w14:paraId="6F5FBA06" w14:textId="4A7EF2DB" w:rsidR="005D6FFB" w:rsidRPr="00AA0D01" w:rsidRDefault="005D6FFB" w:rsidP="00053BF2">
      <w:pPr>
        <w:pStyle w:val="Heading3"/>
        <w:numPr>
          <w:ilvl w:val="1"/>
          <w:numId w:val="4"/>
        </w:numPr>
        <w:spacing w:line="360" w:lineRule="auto"/>
        <w:jc w:val="both"/>
        <w:rPr>
          <w:rFonts w:ascii="Calibri" w:hAnsi="Calibri" w:cs="Calibri"/>
          <w:color w:val="000000" w:themeColor="text1"/>
          <w:sz w:val="24"/>
          <w:szCs w:val="24"/>
        </w:rPr>
      </w:pPr>
      <w:bookmarkStart w:id="6" w:name="_Toc232005399"/>
      <w:r w:rsidRPr="00AA0D01">
        <w:rPr>
          <w:rFonts w:ascii="Calibri" w:hAnsi="Calibri" w:cs="Calibri"/>
          <w:color w:val="000000" w:themeColor="text1"/>
          <w:sz w:val="24"/>
          <w:szCs w:val="24"/>
        </w:rPr>
        <w:t>Internal Drivers</w:t>
      </w:r>
      <w:bookmarkEnd w:id="6"/>
    </w:p>
    <w:p w14:paraId="46705F35" w14:textId="77777777" w:rsidR="005D6FFB" w:rsidRPr="00AA0D01" w:rsidRDefault="005D6FFB" w:rsidP="00053BF2">
      <w:pPr>
        <w:spacing w:line="360" w:lineRule="auto"/>
        <w:jc w:val="both"/>
        <w:rPr>
          <w:rFonts w:ascii="Calibri" w:hAnsi="Calibri" w:cs="Calibri"/>
        </w:rPr>
      </w:pPr>
      <w:r w:rsidRPr="00AA0D01">
        <w:rPr>
          <w:rFonts w:ascii="Calibri" w:hAnsi="Calibri" w:cs="Calibri"/>
        </w:rPr>
        <w:t>A key internal driver is Tesco's customer-centric strategy, reflected in continued investment in Clubcard, personalised marketing and omnichannel retailing. During periods of economic uncertainty, the organisation has prioritised value and convenience, demonstrating how strategic objectives directly influence marketing decisions (Kotler, Keller and Chernev, 2025).</w:t>
      </w:r>
    </w:p>
    <w:p w14:paraId="600144CD" w14:textId="77777777" w:rsidR="005D6FFB" w:rsidRPr="00AA0D01" w:rsidRDefault="005D6FFB" w:rsidP="00053BF2">
      <w:pPr>
        <w:spacing w:line="360" w:lineRule="auto"/>
        <w:jc w:val="both"/>
        <w:rPr>
          <w:rFonts w:ascii="Calibri" w:hAnsi="Calibri" w:cs="Calibri"/>
        </w:rPr>
      </w:pPr>
      <w:r w:rsidRPr="00AA0D01">
        <w:rPr>
          <w:rFonts w:ascii="Calibri" w:hAnsi="Calibri" w:cs="Calibri"/>
        </w:rPr>
        <w:t>Tesco also benefits from strong organisational capabilities, including customer analytics, digital infrastructure and supply chain expertise. The extensive customer data generated through Clubcard supports more effective decision-making and personalised customer engagement (Davenport et al., 2020). However, technology alone does not create competitive advantage. Long-term success depends on organisational learning, innovation and the ability to translate insight into meaningful customer value.</w:t>
      </w:r>
    </w:p>
    <w:p w14:paraId="2BB9506E" w14:textId="77777777" w:rsidR="005D6FFB" w:rsidRPr="00AA0D01" w:rsidRDefault="005D6FFB" w:rsidP="00053BF2">
      <w:pPr>
        <w:spacing w:line="360" w:lineRule="auto"/>
        <w:jc w:val="both"/>
        <w:rPr>
          <w:rFonts w:ascii="Calibri" w:hAnsi="Calibri" w:cs="Calibri"/>
        </w:rPr>
      </w:pPr>
      <w:r w:rsidRPr="00AA0D01">
        <w:rPr>
          <w:rFonts w:ascii="Calibri" w:hAnsi="Calibri" w:cs="Calibri"/>
        </w:rPr>
        <w:t>Digital transformation remains another significant driver of change. Investments in e-commerce, mobile applications and automated fulfilment systems have improved customer convenience and strengthened Tesco's omnichannel offering. Nevertheless, rapid technological change requires continuous investment and adaptation. Research suggests that organisations successfully integrating digital transformation into strategic planning are more likely to sustain long-term competitive advantage (Chaffey and Ellis-Chadwick, 2024; Johnson et al., 2023).</w:t>
      </w:r>
    </w:p>
    <w:p w14:paraId="7F4F4B46" w14:textId="04B560D3" w:rsidR="005D6FFB" w:rsidRPr="00AA0D01" w:rsidRDefault="005D6FFB" w:rsidP="00053BF2">
      <w:pPr>
        <w:pStyle w:val="Heading3"/>
        <w:numPr>
          <w:ilvl w:val="1"/>
          <w:numId w:val="4"/>
        </w:numPr>
        <w:spacing w:line="360" w:lineRule="auto"/>
        <w:jc w:val="both"/>
        <w:rPr>
          <w:rFonts w:ascii="Calibri" w:hAnsi="Calibri" w:cs="Calibri"/>
          <w:color w:val="000000" w:themeColor="text1"/>
          <w:sz w:val="24"/>
          <w:szCs w:val="24"/>
        </w:rPr>
      </w:pPr>
      <w:bookmarkStart w:id="7" w:name="_Toc232005400"/>
      <w:r w:rsidRPr="00AA0D01">
        <w:rPr>
          <w:rFonts w:ascii="Calibri" w:hAnsi="Calibri" w:cs="Calibri"/>
          <w:color w:val="000000" w:themeColor="text1"/>
          <w:sz w:val="24"/>
          <w:szCs w:val="24"/>
        </w:rPr>
        <w:lastRenderedPageBreak/>
        <w:t>External Drivers</w:t>
      </w:r>
      <w:bookmarkEnd w:id="7"/>
    </w:p>
    <w:p w14:paraId="2007A8EE" w14:textId="77777777" w:rsidR="005D6FFB" w:rsidRPr="00AA0D01" w:rsidRDefault="005D6FFB" w:rsidP="00053BF2">
      <w:pPr>
        <w:spacing w:line="360" w:lineRule="auto"/>
        <w:jc w:val="both"/>
        <w:rPr>
          <w:rFonts w:ascii="Calibri" w:hAnsi="Calibri" w:cs="Calibri"/>
        </w:rPr>
      </w:pPr>
      <w:r w:rsidRPr="00AA0D01">
        <w:rPr>
          <w:rFonts w:ascii="Calibri" w:hAnsi="Calibri" w:cs="Calibri"/>
        </w:rPr>
        <w:t>Artificial intelligence, big data and social media have transformed contemporary marketing practice. AI enables more sophisticated customer insight, predictive analytics and personalised communication, while big data improves targeting accuracy and demand forecasting (Davenport et al., 2020; Wedel and Kannan, 2016). These developments reflect wider changes within the global digital economy, where data-driven business models increasingly shape organisational competitiveness (Organisation for Economic Co-operation and Development, 2024). However, concerns regarding privacy, transparency and algorithmic bias create governance challenges.</w:t>
      </w:r>
    </w:p>
    <w:p w14:paraId="60E86689" w14:textId="77777777" w:rsidR="005D6FFB" w:rsidRPr="00AA0D01" w:rsidRDefault="005D6FFB" w:rsidP="00053BF2">
      <w:pPr>
        <w:spacing w:line="360" w:lineRule="auto"/>
        <w:jc w:val="both"/>
        <w:rPr>
          <w:rFonts w:ascii="Calibri" w:hAnsi="Calibri" w:cs="Calibri"/>
        </w:rPr>
      </w:pPr>
      <w:r w:rsidRPr="00AA0D01">
        <w:rPr>
          <w:rFonts w:ascii="Calibri" w:hAnsi="Calibri" w:cs="Calibri"/>
        </w:rPr>
        <w:t>Social media has increased opportunities for engagement but has also heightened reputational risk. Customer opinions can rapidly influence brand perception, requiring organisations to monitor and respond to public sentiment more effectively (Chaffey and Ellis-Chadwick, 2024).</w:t>
      </w:r>
    </w:p>
    <w:p w14:paraId="4EB278D3" w14:textId="77777777" w:rsidR="005D6FFB" w:rsidRPr="00AA0D01" w:rsidRDefault="005D6FFB" w:rsidP="00053BF2">
      <w:pPr>
        <w:spacing w:line="360" w:lineRule="auto"/>
        <w:jc w:val="both"/>
        <w:rPr>
          <w:rFonts w:ascii="Calibri" w:hAnsi="Calibri" w:cs="Calibri"/>
        </w:rPr>
      </w:pPr>
      <w:r w:rsidRPr="00AA0D01">
        <w:rPr>
          <w:rFonts w:ascii="Calibri" w:hAnsi="Calibri" w:cs="Calibri"/>
        </w:rPr>
        <w:t>Sustainability pressures and regulatory developments also influence marketing strategy. Consumers, regulators and investors increasingly expect organisations to demonstrate responsible environmental and social practices. Regulations such as UK GDPR have increased accountability regarding customer data management, making trust and transparency increasingly important competitive factors (Information Commissioner's Office, 2024).</w:t>
      </w:r>
    </w:p>
    <w:p w14:paraId="2FD21570" w14:textId="16DAFC76" w:rsidR="005D6FFB" w:rsidRPr="00AA0D01" w:rsidRDefault="005D6FFB" w:rsidP="00053BF2">
      <w:pPr>
        <w:pStyle w:val="Heading3"/>
        <w:numPr>
          <w:ilvl w:val="1"/>
          <w:numId w:val="4"/>
        </w:numPr>
        <w:spacing w:line="360" w:lineRule="auto"/>
        <w:jc w:val="both"/>
        <w:rPr>
          <w:rFonts w:ascii="Calibri" w:hAnsi="Calibri" w:cs="Calibri"/>
          <w:color w:val="000000" w:themeColor="text1"/>
          <w:sz w:val="24"/>
          <w:szCs w:val="24"/>
        </w:rPr>
      </w:pPr>
      <w:bookmarkStart w:id="8" w:name="_Toc232005401"/>
      <w:r w:rsidRPr="00AA0D01">
        <w:rPr>
          <w:rFonts w:ascii="Calibri" w:hAnsi="Calibri" w:cs="Calibri"/>
          <w:color w:val="000000" w:themeColor="text1"/>
          <w:sz w:val="24"/>
          <w:szCs w:val="24"/>
        </w:rPr>
        <w:t>Consumer Behaviour in the Digital Age</w:t>
      </w:r>
      <w:bookmarkEnd w:id="8"/>
    </w:p>
    <w:p w14:paraId="298D3AE9" w14:textId="77777777" w:rsidR="005D6FFB" w:rsidRPr="00AA0D01" w:rsidRDefault="005D6FFB" w:rsidP="00053BF2">
      <w:pPr>
        <w:spacing w:line="360" w:lineRule="auto"/>
        <w:jc w:val="both"/>
        <w:rPr>
          <w:rFonts w:ascii="Calibri" w:hAnsi="Calibri" w:cs="Calibri"/>
        </w:rPr>
      </w:pPr>
      <w:r w:rsidRPr="00AA0D01">
        <w:rPr>
          <w:rFonts w:ascii="Calibri" w:hAnsi="Calibri" w:cs="Calibri"/>
        </w:rPr>
        <w:t>Contemporary consumers expect seamless omnichannel experiences, personalised interactions and immediate access to information. Purchasing decisions are increasingly influenced by ethical conduct, sustainability performance and data privacy practices. As a result, customer value is no longer determined solely by price and product quality but also by trust, convenience and brand authenticity. Research indicates that consumers increasingly evaluate brands according to both functional value and broader social impact considerations (European Commission, 2024; Kotler, Kartajaya and Setiawan, 2021).</w:t>
      </w:r>
    </w:p>
    <w:p w14:paraId="2A19D297" w14:textId="77777777" w:rsidR="005D6FFB" w:rsidRPr="00AA0D01" w:rsidRDefault="005D6FFB" w:rsidP="00053BF2">
      <w:pPr>
        <w:spacing w:line="360" w:lineRule="auto"/>
        <w:jc w:val="both"/>
        <w:rPr>
          <w:rFonts w:ascii="Calibri" w:hAnsi="Calibri" w:cs="Calibri"/>
        </w:rPr>
      </w:pPr>
      <w:r w:rsidRPr="00AA0D01">
        <w:rPr>
          <w:rFonts w:ascii="Calibri" w:hAnsi="Calibri" w:cs="Calibri"/>
        </w:rPr>
        <w:t xml:space="preserve">Tesco has responded positively through investment in digital services, personalised marketing and sustainability initiatives. However, consumer expectations continue to evolve rapidly. Maintaining </w:t>
      </w:r>
      <w:r w:rsidRPr="00AA0D01">
        <w:rPr>
          <w:rFonts w:ascii="Calibri" w:hAnsi="Calibri" w:cs="Calibri"/>
        </w:rPr>
        <w:lastRenderedPageBreak/>
        <w:t>customer trust while embracing technological innovation remains one of the organisation's most significant challenges.</w:t>
      </w:r>
    </w:p>
    <w:p w14:paraId="3BB0AB72" w14:textId="77777777" w:rsidR="005D6FFB" w:rsidRPr="00053BF2" w:rsidRDefault="005D6FFB" w:rsidP="00053BF2">
      <w:pPr>
        <w:spacing w:line="360" w:lineRule="auto"/>
        <w:jc w:val="both"/>
        <w:rPr>
          <w:rFonts w:ascii="Calibri" w:hAnsi="Calibri" w:cs="Calibri"/>
          <w:b/>
          <w:bCs/>
        </w:rPr>
      </w:pPr>
      <w:r w:rsidRPr="00053BF2">
        <w:rPr>
          <w:rFonts w:ascii="Calibri" w:hAnsi="Calibri" w:cs="Calibri"/>
          <w:b/>
          <w:bCs/>
        </w:rPr>
        <w:t>Critical Evaluation</w:t>
      </w:r>
    </w:p>
    <w:p w14:paraId="03ADFDEC" w14:textId="77777777" w:rsidR="005D6FFB" w:rsidRDefault="005D6FFB" w:rsidP="00053BF2">
      <w:pPr>
        <w:spacing w:line="360" w:lineRule="auto"/>
        <w:jc w:val="both"/>
        <w:rPr>
          <w:rFonts w:ascii="Calibri" w:hAnsi="Calibri" w:cs="Calibri"/>
        </w:rPr>
      </w:pPr>
      <w:r w:rsidRPr="00AA0D01">
        <w:rPr>
          <w:rFonts w:ascii="Calibri" w:hAnsi="Calibri" w:cs="Calibri"/>
        </w:rPr>
        <w:t>Tesco's marketing environment is shaped by interconnected internal and external forces. Strong customer insight capabilities and digital infrastructure provide a foundation for adaptation, while technological innovation, regulation and changing consumer behaviour continue to reshape marketing practice. Consequently, long-term success will depend on balancing innovation, customer value and ethical responsibility.</w:t>
      </w:r>
    </w:p>
    <w:p w14:paraId="0D2095ED" w14:textId="77777777" w:rsidR="00053BF2" w:rsidRPr="00AA0D01" w:rsidRDefault="00053BF2" w:rsidP="00053BF2">
      <w:pPr>
        <w:spacing w:line="360" w:lineRule="auto"/>
        <w:jc w:val="both"/>
        <w:rPr>
          <w:rFonts w:ascii="Calibri" w:hAnsi="Calibri" w:cs="Calibri"/>
        </w:rPr>
      </w:pPr>
    </w:p>
    <w:p w14:paraId="44F3017A" w14:textId="601F0F63" w:rsidR="005D6FFB" w:rsidRPr="00AA0D01" w:rsidRDefault="005D6FFB" w:rsidP="007B412F">
      <w:pPr>
        <w:pStyle w:val="Heading2"/>
        <w:numPr>
          <w:ilvl w:val="0"/>
          <w:numId w:val="4"/>
        </w:numPr>
        <w:spacing w:line="360" w:lineRule="auto"/>
        <w:jc w:val="both"/>
        <w:rPr>
          <w:rFonts w:ascii="Calibri" w:hAnsi="Calibri" w:cs="Calibri"/>
          <w:b/>
          <w:bCs/>
          <w:color w:val="000000" w:themeColor="text1"/>
          <w:sz w:val="28"/>
          <w:szCs w:val="28"/>
        </w:rPr>
      </w:pPr>
      <w:bookmarkStart w:id="9" w:name="_Toc232005402"/>
      <w:r w:rsidRPr="00AA0D01">
        <w:rPr>
          <w:rFonts w:ascii="Calibri" w:hAnsi="Calibri" w:cs="Calibri"/>
          <w:b/>
          <w:bCs/>
          <w:color w:val="000000" w:themeColor="text1"/>
          <w:sz w:val="28"/>
          <w:szCs w:val="28"/>
        </w:rPr>
        <w:t>Future Developments in Marketing</w:t>
      </w:r>
      <w:bookmarkEnd w:id="9"/>
    </w:p>
    <w:p w14:paraId="398C8EBF" w14:textId="77777777" w:rsidR="005D6FFB" w:rsidRPr="00AA0D01" w:rsidRDefault="005D6FFB" w:rsidP="00053BF2">
      <w:pPr>
        <w:spacing w:line="360" w:lineRule="auto"/>
        <w:jc w:val="both"/>
        <w:rPr>
          <w:rFonts w:ascii="Calibri" w:hAnsi="Calibri" w:cs="Calibri"/>
        </w:rPr>
      </w:pPr>
      <w:r w:rsidRPr="00AA0D01">
        <w:rPr>
          <w:rFonts w:ascii="Calibri" w:hAnsi="Calibri" w:cs="Calibri"/>
        </w:rPr>
        <w:t>Future marketing success will depend on Tesco's ability to combine technological innovation with ethical and sustainable business practices.</w:t>
      </w:r>
    </w:p>
    <w:p w14:paraId="604CFEAA" w14:textId="35410CAB" w:rsidR="005D6FFB" w:rsidRPr="00AA0D01" w:rsidRDefault="005D6FFB" w:rsidP="00053BF2">
      <w:pPr>
        <w:pStyle w:val="Heading3"/>
        <w:numPr>
          <w:ilvl w:val="1"/>
          <w:numId w:val="4"/>
        </w:numPr>
        <w:spacing w:line="360" w:lineRule="auto"/>
        <w:jc w:val="both"/>
        <w:rPr>
          <w:rFonts w:ascii="Calibri" w:hAnsi="Calibri" w:cs="Calibri"/>
          <w:color w:val="000000" w:themeColor="text1"/>
          <w:sz w:val="24"/>
          <w:szCs w:val="24"/>
        </w:rPr>
      </w:pPr>
      <w:bookmarkStart w:id="10" w:name="_Toc232005403"/>
      <w:r w:rsidRPr="00AA0D01">
        <w:rPr>
          <w:rFonts w:ascii="Calibri" w:hAnsi="Calibri" w:cs="Calibri"/>
          <w:color w:val="000000" w:themeColor="text1"/>
          <w:sz w:val="24"/>
          <w:szCs w:val="24"/>
        </w:rPr>
        <w:t>AI-Driven Personalisation</w:t>
      </w:r>
      <w:bookmarkEnd w:id="10"/>
    </w:p>
    <w:p w14:paraId="04D2B254" w14:textId="77777777" w:rsidR="005D6FFB" w:rsidRPr="00AA0D01" w:rsidRDefault="005D6FFB" w:rsidP="00053BF2">
      <w:pPr>
        <w:spacing w:line="360" w:lineRule="auto"/>
        <w:jc w:val="both"/>
        <w:rPr>
          <w:rFonts w:ascii="Calibri" w:hAnsi="Calibri" w:cs="Calibri"/>
        </w:rPr>
      </w:pPr>
      <w:r w:rsidRPr="00AA0D01">
        <w:rPr>
          <w:rFonts w:ascii="Calibri" w:hAnsi="Calibri" w:cs="Calibri"/>
        </w:rPr>
        <w:t>Artificial intelligence and predictive analytics are expected to play an increasingly important role in customer engagement. Tesco can utilise AI to improve recommendations, personalise promotions and enhance service efficiency (Davenport et al., 2020). The integration of Clubcard data with predictive analytics could enable more tailored customer experiences and stronger customer loyalty (Kumar et al., 2019). Industry forecasts suggest that AI will become increasingly embedded within customer experience management and retail decision-making processes (McKinsey Global Institute, 2023; Huang and Rust, 2021).</w:t>
      </w:r>
    </w:p>
    <w:p w14:paraId="220FE994" w14:textId="77777777" w:rsidR="005D6FFB" w:rsidRPr="00AA0D01" w:rsidRDefault="005D6FFB" w:rsidP="00053BF2">
      <w:pPr>
        <w:spacing w:line="360" w:lineRule="auto"/>
        <w:jc w:val="both"/>
        <w:rPr>
          <w:rFonts w:ascii="Calibri" w:hAnsi="Calibri" w:cs="Calibri"/>
        </w:rPr>
      </w:pPr>
      <w:r w:rsidRPr="00AA0D01">
        <w:rPr>
          <w:rFonts w:ascii="Calibri" w:hAnsi="Calibri" w:cs="Calibri"/>
        </w:rPr>
        <w:t>However, increased personalisation raises concerns regarding privacy, transparency and algorithmic bias (Huang and Rust, 2021). The "personalisation paradox" suggests that consumers desire tailored experiences while simultaneously seeking greater privacy protection (Ameen et al., 2021). Therefore, successful implementation will require robust governance and transparent data practices.</w:t>
      </w:r>
    </w:p>
    <w:p w14:paraId="57809AEC" w14:textId="30EAA45E" w:rsidR="005D6FFB" w:rsidRPr="00AA0D01" w:rsidRDefault="005D6FFB" w:rsidP="00053BF2">
      <w:pPr>
        <w:pStyle w:val="Heading3"/>
        <w:numPr>
          <w:ilvl w:val="1"/>
          <w:numId w:val="4"/>
        </w:numPr>
        <w:spacing w:line="360" w:lineRule="auto"/>
        <w:jc w:val="both"/>
        <w:rPr>
          <w:rFonts w:ascii="Calibri" w:hAnsi="Calibri" w:cs="Calibri"/>
          <w:color w:val="000000" w:themeColor="text1"/>
          <w:sz w:val="24"/>
          <w:szCs w:val="24"/>
        </w:rPr>
      </w:pPr>
      <w:bookmarkStart w:id="11" w:name="_Toc232005404"/>
      <w:r w:rsidRPr="00AA0D01">
        <w:rPr>
          <w:rFonts w:ascii="Calibri" w:hAnsi="Calibri" w:cs="Calibri"/>
          <w:color w:val="000000" w:themeColor="text1"/>
          <w:sz w:val="24"/>
          <w:szCs w:val="24"/>
        </w:rPr>
        <w:lastRenderedPageBreak/>
        <w:t>ESG-Driven Branding</w:t>
      </w:r>
      <w:bookmarkEnd w:id="11"/>
    </w:p>
    <w:p w14:paraId="7BC4267F" w14:textId="77777777" w:rsidR="005D6FFB" w:rsidRPr="00AA0D01" w:rsidRDefault="005D6FFB" w:rsidP="00053BF2">
      <w:pPr>
        <w:spacing w:line="360" w:lineRule="auto"/>
        <w:jc w:val="both"/>
        <w:rPr>
          <w:rFonts w:ascii="Calibri" w:hAnsi="Calibri" w:cs="Calibri"/>
        </w:rPr>
      </w:pPr>
      <w:r w:rsidRPr="00AA0D01">
        <w:rPr>
          <w:rFonts w:ascii="Calibri" w:hAnsi="Calibri" w:cs="Calibri"/>
        </w:rPr>
        <w:t>Environmental, Social and Governance (ESG) considerations are likely to become increasingly important within marketing strategy. Tesco's sustainability initiatives have the potential to strengthen brand equity and stakeholder trust, particularly among younger consumers who increasingly consider environmental and social impacts when making purchasing decisions. ESG performance is also expected to influence future workforce expectations, investment decisions and consumer behaviour (World Economic Forum, 2024; United Nations, 2023).</w:t>
      </w:r>
    </w:p>
    <w:p w14:paraId="2F05E361" w14:textId="77777777" w:rsidR="005D6FFB" w:rsidRPr="00AA0D01" w:rsidRDefault="005D6FFB" w:rsidP="00053BF2">
      <w:pPr>
        <w:spacing w:line="360" w:lineRule="auto"/>
        <w:jc w:val="both"/>
        <w:rPr>
          <w:rFonts w:ascii="Calibri" w:hAnsi="Calibri" w:cs="Calibri"/>
        </w:rPr>
      </w:pPr>
      <w:r w:rsidRPr="00AA0D01">
        <w:rPr>
          <w:rFonts w:ascii="Calibri" w:hAnsi="Calibri" w:cs="Calibri"/>
        </w:rPr>
        <w:t>However, sustainability communication must remain evidence-based. Growing scrutiny of environmental claims means organisations risk reputational damage if stakeholders perceive sustainability messaging as exaggerated or misleading.</w:t>
      </w:r>
    </w:p>
    <w:p w14:paraId="0FF0C2DA" w14:textId="0685AD14" w:rsidR="005D6FFB" w:rsidRPr="00AA0D01" w:rsidRDefault="005D6FFB" w:rsidP="00053BF2">
      <w:pPr>
        <w:pStyle w:val="Heading3"/>
        <w:numPr>
          <w:ilvl w:val="1"/>
          <w:numId w:val="4"/>
        </w:numPr>
        <w:spacing w:line="360" w:lineRule="auto"/>
        <w:jc w:val="both"/>
        <w:rPr>
          <w:rFonts w:ascii="Calibri" w:hAnsi="Calibri" w:cs="Calibri"/>
          <w:color w:val="000000" w:themeColor="text1"/>
          <w:sz w:val="24"/>
          <w:szCs w:val="24"/>
        </w:rPr>
      </w:pPr>
      <w:bookmarkStart w:id="12" w:name="_Toc232005405"/>
      <w:r w:rsidRPr="00AA0D01">
        <w:rPr>
          <w:rFonts w:ascii="Calibri" w:hAnsi="Calibri" w:cs="Calibri"/>
          <w:color w:val="000000" w:themeColor="text1"/>
          <w:sz w:val="24"/>
          <w:szCs w:val="24"/>
        </w:rPr>
        <w:t>Privacy, Ethics and Competitiveness</w:t>
      </w:r>
      <w:bookmarkEnd w:id="12"/>
    </w:p>
    <w:p w14:paraId="226FEB08" w14:textId="77777777" w:rsidR="005D6FFB" w:rsidRPr="00AA0D01" w:rsidRDefault="005D6FFB" w:rsidP="00053BF2">
      <w:pPr>
        <w:spacing w:line="360" w:lineRule="auto"/>
        <w:jc w:val="both"/>
        <w:rPr>
          <w:rFonts w:ascii="Calibri" w:hAnsi="Calibri" w:cs="Calibri"/>
        </w:rPr>
      </w:pPr>
      <w:r w:rsidRPr="00AA0D01">
        <w:rPr>
          <w:rFonts w:ascii="Calibri" w:hAnsi="Calibri" w:cs="Calibri"/>
        </w:rPr>
        <w:t>Privacy and ethics are expected to become central strategic issues within marketing. Organisations that demonstrate responsible data governance and transparency are more likely to gain competitive advantage through stronger customer trust (Martin and Murphy, 2017; Information Commissioner's Office, 2024).</w:t>
      </w:r>
    </w:p>
    <w:p w14:paraId="3A985079" w14:textId="77777777" w:rsidR="005D6FFB" w:rsidRPr="00AA0D01" w:rsidRDefault="005D6FFB" w:rsidP="00053BF2">
      <w:pPr>
        <w:spacing w:line="360" w:lineRule="auto"/>
        <w:jc w:val="both"/>
        <w:rPr>
          <w:rFonts w:ascii="Calibri" w:hAnsi="Calibri" w:cs="Calibri"/>
        </w:rPr>
      </w:pPr>
      <w:r w:rsidRPr="00AA0D01">
        <w:rPr>
          <w:rFonts w:ascii="Calibri" w:hAnsi="Calibri" w:cs="Calibri"/>
        </w:rPr>
        <w:t>As technological capabilities become more widely available, sustainable competitive advantage will depend less on technology itself and more on how effectively organisations use technology to create customer value while maintaining trust. For Tesco, future competitiveness will rely on balancing innovation, sustainability and ethical responsibility.</w:t>
      </w:r>
    </w:p>
    <w:p w14:paraId="0053FF23" w14:textId="77777777" w:rsidR="005D6FFB" w:rsidRPr="00053BF2" w:rsidRDefault="005D6FFB" w:rsidP="00053BF2">
      <w:pPr>
        <w:spacing w:line="360" w:lineRule="auto"/>
        <w:jc w:val="both"/>
        <w:rPr>
          <w:rFonts w:ascii="Calibri" w:hAnsi="Calibri" w:cs="Calibri"/>
          <w:b/>
          <w:bCs/>
        </w:rPr>
      </w:pPr>
      <w:r w:rsidRPr="00053BF2">
        <w:rPr>
          <w:rFonts w:ascii="Calibri" w:hAnsi="Calibri" w:cs="Calibri"/>
          <w:b/>
          <w:bCs/>
        </w:rPr>
        <w:t>Critical Evaluation</w:t>
      </w:r>
    </w:p>
    <w:p w14:paraId="316F98A3" w14:textId="77777777" w:rsidR="005D6FFB" w:rsidRPr="00AA0D01" w:rsidRDefault="005D6FFB" w:rsidP="00053BF2">
      <w:pPr>
        <w:spacing w:line="360" w:lineRule="auto"/>
        <w:jc w:val="both"/>
        <w:rPr>
          <w:rFonts w:ascii="Calibri" w:hAnsi="Calibri" w:cs="Calibri"/>
        </w:rPr>
      </w:pPr>
      <w:r w:rsidRPr="00AA0D01">
        <w:rPr>
          <w:rFonts w:ascii="Calibri" w:hAnsi="Calibri" w:cs="Calibri"/>
        </w:rPr>
        <w:t>Future developments present significant opportunities for Tesco to improve marketing effectiveness through AI, personalisation and sustainability-led branding. However, these opportunities also increase organisational responsibility. Competitive advantage will increasingly depend on the ability to integrate innovation with transparency, accountability and stakeholder trust.</w:t>
      </w:r>
    </w:p>
    <w:p w14:paraId="6B23599F" w14:textId="7B2155A1" w:rsidR="007B412F" w:rsidRPr="00AA0D01" w:rsidRDefault="007B412F" w:rsidP="00053BF2">
      <w:pPr>
        <w:pStyle w:val="Heading2"/>
        <w:numPr>
          <w:ilvl w:val="0"/>
          <w:numId w:val="4"/>
        </w:numPr>
        <w:spacing w:line="360" w:lineRule="auto"/>
        <w:jc w:val="both"/>
        <w:rPr>
          <w:rFonts w:ascii="Calibri" w:hAnsi="Calibri" w:cs="Calibri"/>
          <w:b/>
          <w:bCs/>
          <w:color w:val="000000" w:themeColor="text1"/>
          <w:sz w:val="28"/>
          <w:szCs w:val="28"/>
        </w:rPr>
      </w:pPr>
      <w:bookmarkStart w:id="13" w:name="_Toc232005406"/>
      <w:r w:rsidRPr="00AA0D01">
        <w:rPr>
          <w:rFonts w:ascii="Calibri" w:hAnsi="Calibri" w:cs="Calibri"/>
          <w:b/>
          <w:bCs/>
          <w:color w:val="000000" w:themeColor="text1"/>
          <w:sz w:val="28"/>
          <w:szCs w:val="28"/>
        </w:rPr>
        <w:lastRenderedPageBreak/>
        <w:t>Recommendations</w:t>
      </w:r>
      <w:bookmarkEnd w:id="13"/>
    </w:p>
    <w:p w14:paraId="7FE1371B" w14:textId="77777777" w:rsidR="00AA0D01" w:rsidRPr="00053BF2" w:rsidRDefault="007B412F" w:rsidP="00053BF2">
      <w:pPr>
        <w:rPr>
          <w:rFonts w:ascii="Calibri" w:hAnsi="Calibri" w:cs="Calibri"/>
          <w:b/>
          <w:bCs/>
        </w:rPr>
      </w:pPr>
      <w:r w:rsidRPr="00053BF2">
        <w:rPr>
          <w:rFonts w:ascii="Calibri" w:hAnsi="Calibri" w:cs="Calibri"/>
          <w:b/>
          <w:bCs/>
        </w:rPr>
        <w:t>Strengthen AI Governance</w:t>
      </w:r>
    </w:p>
    <w:p w14:paraId="098EC931" w14:textId="38DFE1AB" w:rsidR="007B412F" w:rsidRPr="00AA0D01" w:rsidRDefault="007B412F" w:rsidP="00053BF2">
      <w:pPr>
        <w:spacing w:line="360" w:lineRule="auto"/>
        <w:jc w:val="both"/>
        <w:rPr>
          <w:rFonts w:ascii="Calibri" w:hAnsi="Calibri" w:cs="Calibri"/>
          <w:color w:val="000000" w:themeColor="text1"/>
          <w:sz w:val="28"/>
          <w:szCs w:val="28"/>
        </w:rPr>
      </w:pPr>
      <w:r w:rsidRPr="00AA0D01">
        <w:rPr>
          <w:rFonts w:ascii="Calibri" w:hAnsi="Calibri" w:cs="Calibri"/>
        </w:rPr>
        <w:t>Tesco should establish a formal AI governance framework to ensure transparency, accountability and ethical decision-making in customer-facing marketing activities (Huang and Rust, 2021). As the organisation increasingly relies on AI-driven personalisation and predictive analytics, robust governance mechanisms will be required to manage risks associated with algorithmic bias, privacy concerns and regulatory compliance. The framework should include regular audits, clear accountability structures and transparent communication regarding the use of AI within marketing processes. By demonstrating responsible AI practices, Tesco can strengthen customer trust, reduce reputational risk and support the long-term sustainability of data-driven marketing initiatives.</w:t>
      </w:r>
    </w:p>
    <w:p w14:paraId="45C922A2" w14:textId="1C61C1CB" w:rsidR="007B412F" w:rsidRPr="00053BF2" w:rsidRDefault="007B412F" w:rsidP="00053BF2">
      <w:pPr>
        <w:rPr>
          <w:rFonts w:ascii="Calibri" w:hAnsi="Calibri" w:cs="Calibri"/>
          <w:b/>
          <w:bCs/>
        </w:rPr>
      </w:pPr>
      <w:r w:rsidRPr="00053BF2">
        <w:rPr>
          <w:rFonts w:ascii="Calibri" w:hAnsi="Calibri" w:cs="Calibri"/>
          <w:b/>
          <w:bCs/>
        </w:rPr>
        <w:t>Enhance Sustainability Communication</w:t>
      </w:r>
    </w:p>
    <w:p w14:paraId="504285C8" w14:textId="77777777" w:rsidR="007B412F" w:rsidRPr="00AA0D01" w:rsidRDefault="007B412F" w:rsidP="00053BF2">
      <w:pPr>
        <w:spacing w:line="360" w:lineRule="auto"/>
        <w:jc w:val="both"/>
        <w:rPr>
          <w:rFonts w:ascii="Calibri" w:hAnsi="Calibri" w:cs="Calibri"/>
        </w:rPr>
      </w:pPr>
      <w:r w:rsidRPr="00AA0D01">
        <w:rPr>
          <w:rFonts w:ascii="Calibri" w:hAnsi="Calibri" w:cs="Calibri"/>
        </w:rPr>
        <w:t>Tesco should ensure that all sustainability-related marketing claims are supported by measurable outcomes, independently verified evidence and clear performance indicators (United Nations, 2023). Growing stakeholder scrutiny means that unsupported environmental claims can damage brand credibility and create accusations of greenwashing. The organisation should therefore communicate sustainability achievements through transparent reporting and evidence-based messaging. Greater transparency would reinforce stakeholder trust, strengthen brand equity and support Tesco's positioning as a responsible and sustainable retailer.</w:t>
      </w:r>
    </w:p>
    <w:p w14:paraId="231316D6" w14:textId="6D543BD9" w:rsidR="007B412F" w:rsidRPr="00053BF2" w:rsidRDefault="007B412F" w:rsidP="00053BF2">
      <w:pPr>
        <w:rPr>
          <w:rFonts w:ascii="Calibri" w:hAnsi="Calibri" w:cs="Calibri"/>
          <w:b/>
          <w:bCs/>
        </w:rPr>
      </w:pPr>
      <w:r w:rsidRPr="00053BF2">
        <w:rPr>
          <w:rFonts w:ascii="Calibri" w:hAnsi="Calibri" w:cs="Calibri"/>
          <w:b/>
          <w:bCs/>
        </w:rPr>
        <w:t>Adopt Privacy-by-Design Marketing</w:t>
      </w:r>
    </w:p>
    <w:p w14:paraId="2E5FC6AB" w14:textId="77777777" w:rsidR="007B412F" w:rsidRPr="00AA0D01" w:rsidRDefault="007B412F" w:rsidP="00053BF2">
      <w:pPr>
        <w:spacing w:line="360" w:lineRule="auto"/>
        <w:jc w:val="both"/>
        <w:rPr>
          <w:rFonts w:ascii="Calibri" w:hAnsi="Calibri" w:cs="Calibri"/>
        </w:rPr>
      </w:pPr>
      <w:r w:rsidRPr="00AA0D01">
        <w:rPr>
          <w:rFonts w:ascii="Calibri" w:hAnsi="Calibri" w:cs="Calibri"/>
        </w:rPr>
        <w:t xml:space="preserve">Privacy considerations should be embedded into the design and implementation of all digital marketing activities rather than treated as a compliance requirement alone (Information Commissioner's Office, 2024). Tesco should simplify consent mechanisms, improve transparency regarding data collection and provide customers with greater control over how their personal information is used. These measures would support compliance with evolving regulatory requirements while strengthening customer confidence in Tesco's use of data. In an increasingly </w:t>
      </w:r>
      <w:r w:rsidRPr="00AA0D01">
        <w:rPr>
          <w:rFonts w:ascii="Calibri" w:hAnsi="Calibri" w:cs="Calibri"/>
        </w:rPr>
        <w:lastRenderedPageBreak/>
        <w:t>privacy-conscious environment, responsible data management can act as a source of competitive advantage by reinforcing customer loyalty and trust.</w:t>
      </w:r>
    </w:p>
    <w:p w14:paraId="2B554711" w14:textId="5388D487" w:rsidR="007B412F" w:rsidRPr="00053BF2" w:rsidRDefault="007B412F" w:rsidP="00053BF2">
      <w:pPr>
        <w:rPr>
          <w:rFonts w:ascii="Calibri" w:hAnsi="Calibri" w:cs="Calibri"/>
          <w:b/>
          <w:bCs/>
        </w:rPr>
      </w:pPr>
      <w:r w:rsidRPr="00053BF2">
        <w:rPr>
          <w:rFonts w:ascii="Calibri" w:hAnsi="Calibri" w:cs="Calibri"/>
          <w:b/>
          <w:bCs/>
        </w:rPr>
        <w:t>Expand Predictive Analytics Across Channels</w:t>
      </w:r>
    </w:p>
    <w:p w14:paraId="019432D1" w14:textId="77777777" w:rsidR="007B412F" w:rsidRDefault="007B412F" w:rsidP="00053BF2">
      <w:pPr>
        <w:spacing w:line="360" w:lineRule="auto"/>
        <w:jc w:val="both"/>
        <w:rPr>
          <w:rFonts w:ascii="Calibri" w:hAnsi="Calibri" w:cs="Calibri"/>
        </w:rPr>
      </w:pPr>
      <w:r w:rsidRPr="00AA0D01">
        <w:rPr>
          <w:rFonts w:ascii="Calibri" w:hAnsi="Calibri" w:cs="Calibri"/>
        </w:rPr>
        <w:t>Tesco should further integrate predictive analytics across online and offline channels to create more personalised and seamless customer experiences (Kumar et al., 2019; Davenport et al., 2020). Enhanced integration of Clubcard data, online shopping behaviour and in-store purchasing patterns would enable more accurate forecasting of customer needs and preferences. This would improve the relevance of promotions, increase marketing efficiency and support stronger customer engagement. Furthermore, a more connected omnichannel experience would help Tesco differentiate itself from competitors by delivering greater convenience, consistency and value throughout the customer journey.</w:t>
      </w:r>
    </w:p>
    <w:p w14:paraId="209619A6" w14:textId="77777777" w:rsidR="00053BF2" w:rsidRDefault="00053BF2" w:rsidP="00053BF2">
      <w:pPr>
        <w:spacing w:line="360" w:lineRule="auto"/>
        <w:jc w:val="both"/>
        <w:rPr>
          <w:rFonts w:ascii="Calibri" w:hAnsi="Calibri" w:cs="Calibri"/>
        </w:rPr>
      </w:pPr>
    </w:p>
    <w:p w14:paraId="28547C29" w14:textId="77777777" w:rsidR="00053BF2" w:rsidRDefault="00053BF2" w:rsidP="00053BF2">
      <w:pPr>
        <w:spacing w:line="360" w:lineRule="auto"/>
        <w:jc w:val="both"/>
        <w:rPr>
          <w:rFonts w:ascii="Calibri" w:hAnsi="Calibri" w:cs="Calibri"/>
        </w:rPr>
      </w:pPr>
    </w:p>
    <w:p w14:paraId="5F011DF2" w14:textId="77777777" w:rsidR="00053BF2" w:rsidRDefault="00053BF2" w:rsidP="00053BF2">
      <w:pPr>
        <w:spacing w:line="360" w:lineRule="auto"/>
        <w:jc w:val="both"/>
        <w:rPr>
          <w:rFonts w:ascii="Calibri" w:hAnsi="Calibri" w:cs="Calibri"/>
        </w:rPr>
      </w:pPr>
    </w:p>
    <w:p w14:paraId="60541EF6" w14:textId="77777777" w:rsidR="00053BF2" w:rsidRDefault="00053BF2" w:rsidP="00053BF2">
      <w:pPr>
        <w:spacing w:line="360" w:lineRule="auto"/>
        <w:jc w:val="both"/>
        <w:rPr>
          <w:rFonts w:ascii="Calibri" w:hAnsi="Calibri" w:cs="Calibri"/>
        </w:rPr>
      </w:pPr>
    </w:p>
    <w:p w14:paraId="532A19A9" w14:textId="77777777" w:rsidR="00053BF2" w:rsidRDefault="00053BF2" w:rsidP="00053BF2">
      <w:pPr>
        <w:spacing w:line="360" w:lineRule="auto"/>
        <w:jc w:val="both"/>
        <w:rPr>
          <w:rFonts w:ascii="Calibri" w:hAnsi="Calibri" w:cs="Calibri"/>
        </w:rPr>
      </w:pPr>
    </w:p>
    <w:p w14:paraId="74FF9FE5" w14:textId="77777777" w:rsidR="00053BF2" w:rsidRDefault="00053BF2" w:rsidP="00053BF2">
      <w:pPr>
        <w:spacing w:line="360" w:lineRule="auto"/>
        <w:jc w:val="both"/>
        <w:rPr>
          <w:rFonts w:ascii="Calibri" w:hAnsi="Calibri" w:cs="Calibri"/>
        </w:rPr>
      </w:pPr>
    </w:p>
    <w:p w14:paraId="13D12956" w14:textId="77777777" w:rsidR="00053BF2" w:rsidRDefault="00053BF2" w:rsidP="00053BF2">
      <w:pPr>
        <w:spacing w:line="360" w:lineRule="auto"/>
        <w:jc w:val="both"/>
        <w:rPr>
          <w:rFonts w:ascii="Calibri" w:hAnsi="Calibri" w:cs="Calibri"/>
        </w:rPr>
      </w:pPr>
    </w:p>
    <w:p w14:paraId="422B44FD" w14:textId="77777777" w:rsidR="00053BF2" w:rsidRDefault="00053BF2" w:rsidP="00053BF2">
      <w:pPr>
        <w:spacing w:line="360" w:lineRule="auto"/>
        <w:jc w:val="both"/>
        <w:rPr>
          <w:rFonts w:ascii="Calibri" w:hAnsi="Calibri" w:cs="Calibri"/>
        </w:rPr>
      </w:pPr>
    </w:p>
    <w:p w14:paraId="09A05F01" w14:textId="77777777" w:rsidR="00053BF2" w:rsidRDefault="00053BF2" w:rsidP="00053BF2">
      <w:pPr>
        <w:spacing w:line="360" w:lineRule="auto"/>
        <w:jc w:val="both"/>
        <w:rPr>
          <w:rFonts w:ascii="Calibri" w:hAnsi="Calibri" w:cs="Calibri"/>
        </w:rPr>
      </w:pPr>
    </w:p>
    <w:p w14:paraId="620C29B6" w14:textId="77777777" w:rsidR="00053BF2" w:rsidRPr="00AA0D01" w:rsidRDefault="00053BF2" w:rsidP="00053BF2">
      <w:pPr>
        <w:spacing w:line="360" w:lineRule="auto"/>
        <w:jc w:val="both"/>
        <w:rPr>
          <w:rFonts w:ascii="Calibri" w:hAnsi="Calibri" w:cs="Calibri"/>
        </w:rPr>
      </w:pPr>
    </w:p>
    <w:p w14:paraId="7B035666" w14:textId="20183EDB" w:rsidR="005D6FFB" w:rsidRPr="00AA0D01" w:rsidRDefault="005D6FFB" w:rsidP="00053BF2">
      <w:pPr>
        <w:pStyle w:val="Heading2"/>
        <w:numPr>
          <w:ilvl w:val="0"/>
          <w:numId w:val="4"/>
        </w:numPr>
        <w:spacing w:line="360" w:lineRule="auto"/>
        <w:jc w:val="both"/>
        <w:rPr>
          <w:rFonts w:ascii="Calibri" w:hAnsi="Calibri" w:cs="Calibri"/>
          <w:b/>
          <w:bCs/>
          <w:color w:val="000000" w:themeColor="text1"/>
          <w:sz w:val="28"/>
          <w:szCs w:val="28"/>
        </w:rPr>
      </w:pPr>
      <w:bookmarkStart w:id="14" w:name="_Toc232005407"/>
      <w:r w:rsidRPr="00AA0D01">
        <w:rPr>
          <w:rFonts w:ascii="Calibri" w:hAnsi="Calibri" w:cs="Calibri"/>
          <w:b/>
          <w:bCs/>
          <w:color w:val="000000" w:themeColor="text1"/>
          <w:sz w:val="28"/>
          <w:szCs w:val="28"/>
        </w:rPr>
        <w:lastRenderedPageBreak/>
        <w:t>Conclusion</w:t>
      </w:r>
      <w:bookmarkEnd w:id="14"/>
    </w:p>
    <w:p w14:paraId="4A166E4E" w14:textId="77777777" w:rsidR="005D6FFB" w:rsidRPr="00AA0D01" w:rsidRDefault="005D6FFB" w:rsidP="00053BF2">
      <w:pPr>
        <w:spacing w:line="360" w:lineRule="auto"/>
        <w:jc w:val="both"/>
        <w:rPr>
          <w:rFonts w:ascii="Calibri" w:hAnsi="Calibri" w:cs="Calibri"/>
        </w:rPr>
      </w:pPr>
      <w:r w:rsidRPr="00AA0D01">
        <w:rPr>
          <w:rFonts w:ascii="Calibri" w:hAnsi="Calibri" w:cs="Calibri"/>
        </w:rPr>
        <w:t>This report has critically evaluated Tesco's marketing function by examining current marketing activities, the drivers of marketing change and future strategic developments. The analysis identified significant strengths, including strong brand equity, advanced customer insight capabilities and an effective omnichannel presence.</w:t>
      </w:r>
    </w:p>
    <w:p w14:paraId="59928BDD" w14:textId="77777777" w:rsidR="005D6FFB" w:rsidRPr="00AA0D01" w:rsidRDefault="005D6FFB" w:rsidP="00053BF2">
      <w:pPr>
        <w:spacing w:line="360" w:lineRule="auto"/>
        <w:jc w:val="both"/>
        <w:rPr>
          <w:rFonts w:ascii="Calibri" w:hAnsi="Calibri" w:cs="Calibri"/>
        </w:rPr>
      </w:pPr>
      <w:r w:rsidRPr="00AA0D01">
        <w:rPr>
          <w:rFonts w:ascii="Calibri" w:hAnsi="Calibri" w:cs="Calibri"/>
        </w:rPr>
        <w:t>However, Tesco operates within a rapidly changing environment characterised by technological innovation, evolving consumer expectations, increased regulatory scrutiny and growing sustainability concerns. Whilst developments such as AI and predictive analytics create opportunities to enhance customer value, they also introduce challenges relating to privacy, trust and ethical governance. These developments support wider academic arguments that marketing is evolving from a primarily promotional function towards one focused on customer relationships, data management and sustainable value creation (Rust, 2020).</w:t>
      </w:r>
    </w:p>
    <w:p w14:paraId="660C7BD8" w14:textId="77777777" w:rsidR="005D6FFB" w:rsidRPr="00AA0D01" w:rsidRDefault="005D6FFB" w:rsidP="00053BF2">
      <w:pPr>
        <w:spacing w:line="360" w:lineRule="auto"/>
        <w:jc w:val="both"/>
        <w:rPr>
          <w:rFonts w:ascii="Calibri" w:hAnsi="Calibri" w:cs="Calibri"/>
        </w:rPr>
      </w:pPr>
      <w:r w:rsidRPr="00AA0D01">
        <w:rPr>
          <w:rFonts w:ascii="Calibri" w:hAnsi="Calibri" w:cs="Calibri"/>
        </w:rPr>
        <w:t>Overall, Tesco is well positioned to maintain market leadership. Nevertheless, long-term success will depend on its ability to balance innovation with responsible marketing practices, ensuring that technological advancement supports customer trust, sustainable value creation and organisational competitiveness.</w:t>
      </w:r>
    </w:p>
    <w:p w14:paraId="6D6DF66A" w14:textId="4E3CAE65" w:rsidR="002616EC" w:rsidRPr="00AA0D01" w:rsidRDefault="002616EC" w:rsidP="007B412F">
      <w:pPr>
        <w:pStyle w:val="NormalWeb"/>
        <w:spacing w:line="360" w:lineRule="auto"/>
        <w:jc w:val="both"/>
        <w:rPr>
          <w:rFonts w:ascii="Calibri" w:hAnsi="Calibri" w:cs="Calibri"/>
          <w:color w:val="000000"/>
        </w:rPr>
        <w:sectPr w:rsidR="002616EC" w:rsidRPr="00AA0D01" w:rsidSect="00731E12">
          <w:pgSz w:w="12240" w:h="15840"/>
          <w:pgMar w:top="1701" w:right="1440" w:bottom="1701" w:left="1440" w:header="720" w:footer="720" w:gutter="0"/>
          <w:cols w:space="720"/>
          <w:noEndnote/>
        </w:sectPr>
      </w:pPr>
    </w:p>
    <w:p w14:paraId="3AD8C4C4" w14:textId="29015F7B" w:rsidR="00053BF2" w:rsidRPr="00053BF2" w:rsidRDefault="00AC107E" w:rsidP="00053BF2">
      <w:pPr>
        <w:pStyle w:val="Heading2"/>
        <w:spacing w:line="360" w:lineRule="auto"/>
        <w:jc w:val="both"/>
        <w:rPr>
          <w:rFonts w:ascii="Calibri" w:hAnsi="Calibri" w:cs="Calibri"/>
          <w:b/>
          <w:bCs/>
          <w:color w:val="000000" w:themeColor="text1"/>
          <w:sz w:val="28"/>
          <w:szCs w:val="28"/>
        </w:rPr>
      </w:pPr>
      <w:bookmarkStart w:id="15" w:name="_Toc232005408"/>
      <w:r w:rsidRPr="00AA0D01">
        <w:rPr>
          <w:rFonts w:ascii="Calibri" w:hAnsi="Calibri" w:cs="Calibri"/>
          <w:b/>
          <w:bCs/>
          <w:color w:val="000000" w:themeColor="text1"/>
          <w:sz w:val="28"/>
          <w:szCs w:val="28"/>
        </w:rPr>
        <w:lastRenderedPageBreak/>
        <w:t>References</w:t>
      </w:r>
      <w:bookmarkEnd w:id="15"/>
    </w:p>
    <w:p w14:paraId="7CE290A0" w14:textId="77777777"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Ameen, N., Tarhini, A., Reppel, A. and Anand, A. (2021) ‘Customer experiences in the age of artificial intelligence’,</w:t>
      </w:r>
      <w:r w:rsidRPr="00AA0D01">
        <w:rPr>
          <w:rStyle w:val="apple-converted-space"/>
          <w:rFonts w:ascii="Calibri" w:hAnsi="Calibri" w:cs="Calibri"/>
          <w:color w:val="000000"/>
        </w:rPr>
        <w:t> </w:t>
      </w:r>
      <w:r w:rsidRPr="00AA0D01">
        <w:rPr>
          <w:rStyle w:val="Emphasis"/>
          <w:rFonts w:ascii="Calibri" w:hAnsi="Calibri" w:cs="Calibri"/>
          <w:color w:val="000000"/>
        </w:rPr>
        <w:t>Computers in Human Behavior</w:t>
      </w:r>
      <w:r w:rsidRPr="00AA0D01">
        <w:rPr>
          <w:rFonts w:ascii="Calibri" w:hAnsi="Calibri" w:cs="Calibri"/>
          <w:color w:val="000000"/>
        </w:rPr>
        <w:t>, 114, 106548. Available at:</w:t>
      </w:r>
      <w:r w:rsidRPr="00AA0D01">
        <w:rPr>
          <w:rStyle w:val="apple-converted-space"/>
          <w:rFonts w:ascii="Calibri" w:hAnsi="Calibri" w:cs="Calibri"/>
          <w:color w:val="000000"/>
        </w:rPr>
        <w:t> </w:t>
      </w:r>
      <w:hyperlink r:id="rId9" w:history="1">
        <w:r w:rsidRPr="00AA0D01">
          <w:rPr>
            <w:rStyle w:val="Hyperlink"/>
            <w:rFonts w:ascii="Calibri" w:hAnsi="Calibri" w:cs="Calibri"/>
          </w:rPr>
          <w:t>https://doi.org/10.1016/j.chb.2020.106548</w:t>
        </w:r>
      </w:hyperlink>
    </w:p>
    <w:p w14:paraId="1AD356B1" w14:textId="77777777"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Booms, B.H. and Bitner, M.J. (1981) ‘Marketing strategies and organisation structures for service firms’, in Donnelly, J.H. and George, W.R. (eds.)</w:t>
      </w:r>
      <w:r w:rsidRPr="00AA0D01">
        <w:rPr>
          <w:rStyle w:val="apple-converted-space"/>
          <w:rFonts w:ascii="Calibri" w:hAnsi="Calibri" w:cs="Calibri"/>
          <w:color w:val="000000"/>
        </w:rPr>
        <w:t> </w:t>
      </w:r>
      <w:r w:rsidRPr="00AA0D01">
        <w:rPr>
          <w:rStyle w:val="Emphasis"/>
          <w:rFonts w:ascii="Calibri" w:hAnsi="Calibri" w:cs="Calibri"/>
          <w:color w:val="000000"/>
        </w:rPr>
        <w:t>Marketing of Services</w:t>
      </w:r>
      <w:r w:rsidRPr="00AA0D01">
        <w:rPr>
          <w:rFonts w:ascii="Calibri" w:hAnsi="Calibri" w:cs="Calibri"/>
          <w:color w:val="000000"/>
        </w:rPr>
        <w:t>. Chicago: American Marketing Association, pp. 47–51.</w:t>
      </w:r>
    </w:p>
    <w:p w14:paraId="38B194D9" w14:textId="77777777"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Chaffey, D. and Ellis-Chadwick, F. (2024)</w:t>
      </w:r>
      <w:r w:rsidRPr="00AA0D01">
        <w:rPr>
          <w:rStyle w:val="apple-converted-space"/>
          <w:rFonts w:ascii="Calibri" w:hAnsi="Calibri" w:cs="Calibri"/>
          <w:color w:val="000000"/>
        </w:rPr>
        <w:t> </w:t>
      </w:r>
      <w:r w:rsidRPr="00AA0D01">
        <w:rPr>
          <w:rStyle w:val="Emphasis"/>
          <w:rFonts w:ascii="Calibri" w:hAnsi="Calibri" w:cs="Calibri"/>
          <w:color w:val="000000"/>
        </w:rPr>
        <w:t>Digital Marketing</w:t>
      </w:r>
      <w:r w:rsidRPr="00AA0D01">
        <w:rPr>
          <w:rFonts w:ascii="Calibri" w:hAnsi="Calibri" w:cs="Calibri"/>
          <w:color w:val="000000"/>
        </w:rPr>
        <w:t>. 9th edn. Harlow: Pearson.</w:t>
      </w:r>
    </w:p>
    <w:p w14:paraId="0FA82CCA" w14:textId="77777777"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Chui, M., Hazan, E., Roberts, R., Singla, A., Smaje, K., Sukharevsky, A., Yee, L. and Zemmel, R. (2023)</w:t>
      </w:r>
      <w:r w:rsidRPr="00AA0D01">
        <w:rPr>
          <w:rStyle w:val="apple-converted-space"/>
          <w:rFonts w:ascii="Calibri" w:hAnsi="Calibri" w:cs="Calibri"/>
          <w:color w:val="000000"/>
        </w:rPr>
        <w:t> </w:t>
      </w:r>
      <w:r w:rsidRPr="00AA0D01">
        <w:rPr>
          <w:rStyle w:val="Emphasis"/>
          <w:rFonts w:ascii="Calibri" w:hAnsi="Calibri" w:cs="Calibri"/>
          <w:color w:val="000000"/>
        </w:rPr>
        <w:t>The Economic Potential of Generative AI: The Next Productivity Frontier</w:t>
      </w:r>
      <w:r w:rsidRPr="00AA0D01">
        <w:rPr>
          <w:rFonts w:ascii="Calibri" w:hAnsi="Calibri" w:cs="Calibri"/>
          <w:color w:val="000000"/>
        </w:rPr>
        <w:t>. McKinsey Global Institute. Available at:</w:t>
      </w:r>
      <w:r w:rsidRPr="00AA0D01">
        <w:rPr>
          <w:rStyle w:val="apple-converted-space"/>
          <w:rFonts w:ascii="Calibri" w:hAnsi="Calibri" w:cs="Calibri"/>
          <w:color w:val="000000"/>
        </w:rPr>
        <w:t> </w:t>
      </w:r>
      <w:hyperlink r:id="rId10" w:history="1">
        <w:r w:rsidRPr="00AA0D01">
          <w:rPr>
            <w:rStyle w:val="Hyperlink"/>
            <w:rFonts w:ascii="Calibri" w:hAnsi="Calibri" w:cs="Calibri"/>
          </w:rPr>
          <w:t>https://www.mckinsey.com/capabilities/mckinsey-digital/our-insights/the-economic-potential-of-generative-ai-the-next-productivity-frontier</w:t>
        </w:r>
      </w:hyperlink>
      <w:r w:rsidRPr="00AA0D01">
        <w:rPr>
          <w:rStyle w:val="apple-converted-space"/>
          <w:rFonts w:ascii="Calibri" w:hAnsi="Calibri" w:cs="Calibri"/>
          <w:color w:val="000000"/>
        </w:rPr>
        <w:t> </w:t>
      </w:r>
      <w:r w:rsidRPr="00AA0D01">
        <w:rPr>
          <w:rFonts w:ascii="Calibri" w:hAnsi="Calibri" w:cs="Calibri"/>
          <w:color w:val="000000"/>
        </w:rPr>
        <w:t>(Accessed: 4 June 2026).</w:t>
      </w:r>
    </w:p>
    <w:p w14:paraId="41CB00B3" w14:textId="77777777"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Davenport, T., Guha, A., Grewal, D. and Bressgott, T. (2020) ‘How artificial intelligence will change the future of marketing’,</w:t>
      </w:r>
      <w:r w:rsidRPr="00AA0D01">
        <w:rPr>
          <w:rStyle w:val="apple-converted-space"/>
          <w:rFonts w:ascii="Calibri" w:hAnsi="Calibri" w:cs="Calibri"/>
          <w:color w:val="000000"/>
        </w:rPr>
        <w:t> </w:t>
      </w:r>
      <w:r w:rsidRPr="00AA0D01">
        <w:rPr>
          <w:rStyle w:val="Emphasis"/>
          <w:rFonts w:ascii="Calibri" w:hAnsi="Calibri" w:cs="Calibri"/>
          <w:color w:val="000000"/>
        </w:rPr>
        <w:t>Journal of the Academy of Marketing Science</w:t>
      </w:r>
      <w:r w:rsidRPr="00AA0D01">
        <w:rPr>
          <w:rFonts w:ascii="Calibri" w:hAnsi="Calibri" w:cs="Calibri"/>
          <w:color w:val="000000"/>
        </w:rPr>
        <w:t>, 48(1), pp. 24–42. Available at:</w:t>
      </w:r>
      <w:r w:rsidRPr="00AA0D01">
        <w:rPr>
          <w:rStyle w:val="apple-converted-space"/>
          <w:rFonts w:ascii="Calibri" w:hAnsi="Calibri" w:cs="Calibri"/>
          <w:color w:val="000000"/>
        </w:rPr>
        <w:t> </w:t>
      </w:r>
      <w:hyperlink r:id="rId11" w:history="1">
        <w:r w:rsidRPr="00AA0D01">
          <w:rPr>
            <w:rStyle w:val="Hyperlink"/>
            <w:rFonts w:ascii="Calibri" w:hAnsi="Calibri" w:cs="Calibri"/>
          </w:rPr>
          <w:t>https://doi.org/10.1007/s11747-019-00696-0</w:t>
        </w:r>
      </w:hyperlink>
    </w:p>
    <w:p w14:paraId="23E6992A" w14:textId="77777777"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European Commission (2024)</w:t>
      </w:r>
      <w:r w:rsidRPr="00AA0D01">
        <w:rPr>
          <w:rStyle w:val="apple-converted-space"/>
          <w:rFonts w:ascii="Calibri" w:hAnsi="Calibri" w:cs="Calibri"/>
          <w:color w:val="000000"/>
        </w:rPr>
        <w:t> </w:t>
      </w:r>
      <w:r w:rsidRPr="00AA0D01">
        <w:rPr>
          <w:rStyle w:val="Emphasis"/>
          <w:rFonts w:ascii="Calibri" w:hAnsi="Calibri" w:cs="Calibri"/>
          <w:color w:val="000000"/>
        </w:rPr>
        <w:t>Consumer Conditions Scoreboard 2024</w:t>
      </w:r>
      <w:r w:rsidRPr="00AA0D01">
        <w:rPr>
          <w:rFonts w:ascii="Calibri" w:hAnsi="Calibri" w:cs="Calibri"/>
          <w:color w:val="000000"/>
        </w:rPr>
        <w:t>. Brussels: European Commission. Available at:</w:t>
      </w:r>
      <w:r w:rsidRPr="00AA0D01">
        <w:rPr>
          <w:rStyle w:val="apple-converted-space"/>
          <w:rFonts w:ascii="Calibri" w:hAnsi="Calibri" w:cs="Calibri"/>
          <w:color w:val="000000"/>
        </w:rPr>
        <w:t> </w:t>
      </w:r>
      <w:hyperlink r:id="rId12" w:history="1">
        <w:r w:rsidRPr="00AA0D01">
          <w:rPr>
            <w:rStyle w:val="Hyperlink"/>
            <w:rFonts w:ascii="Calibri" w:hAnsi="Calibri" w:cs="Calibri"/>
          </w:rPr>
          <w:t>https://commission.europa.eu</w:t>
        </w:r>
      </w:hyperlink>
      <w:r w:rsidRPr="00AA0D01">
        <w:rPr>
          <w:rStyle w:val="apple-converted-space"/>
          <w:rFonts w:ascii="Calibri" w:hAnsi="Calibri" w:cs="Calibri"/>
          <w:color w:val="000000"/>
        </w:rPr>
        <w:t> </w:t>
      </w:r>
      <w:r w:rsidRPr="00AA0D01">
        <w:rPr>
          <w:rFonts w:ascii="Calibri" w:hAnsi="Calibri" w:cs="Calibri"/>
          <w:color w:val="000000"/>
        </w:rPr>
        <w:t>(Accessed: 5 June 2026).</w:t>
      </w:r>
    </w:p>
    <w:p w14:paraId="608E9455" w14:textId="77777777"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Huang, M.-H. and Rust, R.T. (2021) ‘A strategic framework for artificial intelligence in marketing’,</w:t>
      </w:r>
      <w:r w:rsidRPr="00AA0D01">
        <w:rPr>
          <w:rStyle w:val="apple-converted-space"/>
          <w:rFonts w:ascii="Calibri" w:hAnsi="Calibri" w:cs="Calibri"/>
          <w:color w:val="000000"/>
        </w:rPr>
        <w:t> </w:t>
      </w:r>
      <w:r w:rsidRPr="00AA0D01">
        <w:rPr>
          <w:rStyle w:val="Emphasis"/>
          <w:rFonts w:ascii="Calibri" w:hAnsi="Calibri" w:cs="Calibri"/>
          <w:color w:val="000000"/>
        </w:rPr>
        <w:t>Journal of the Academy of Marketing Science</w:t>
      </w:r>
      <w:r w:rsidRPr="00AA0D01">
        <w:rPr>
          <w:rFonts w:ascii="Calibri" w:hAnsi="Calibri" w:cs="Calibri"/>
          <w:color w:val="000000"/>
        </w:rPr>
        <w:t>, 49(1), pp. 30–50. Available at:</w:t>
      </w:r>
      <w:r w:rsidRPr="00AA0D01">
        <w:rPr>
          <w:rStyle w:val="apple-converted-space"/>
          <w:rFonts w:ascii="Calibri" w:hAnsi="Calibri" w:cs="Calibri"/>
          <w:color w:val="000000"/>
        </w:rPr>
        <w:t> </w:t>
      </w:r>
      <w:hyperlink r:id="rId13" w:history="1">
        <w:r w:rsidRPr="00AA0D01">
          <w:rPr>
            <w:rStyle w:val="Hyperlink"/>
            <w:rFonts w:ascii="Calibri" w:hAnsi="Calibri" w:cs="Calibri"/>
          </w:rPr>
          <w:t>https://doi.org/10.1007/s11747-020-00749-9</w:t>
        </w:r>
      </w:hyperlink>
    </w:p>
    <w:p w14:paraId="58DD63EF" w14:textId="77777777"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Information Commissioner’s Office (2024)</w:t>
      </w:r>
      <w:r w:rsidRPr="00AA0D01">
        <w:rPr>
          <w:rStyle w:val="apple-converted-space"/>
          <w:rFonts w:ascii="Calibri" w:hAnsi="Calibri" w:cs="Calibri"/>
          <w:color w:val="000000"/>
        </w:rPr>
        <w:t> </w:t>
      </w:r>
      <w:r w:rsidRPr="00AA0D01">
        <w:rPr>
          <w:rStyle w:val="Emphasis"/>
          <w:rFonts w:ascii="Calibri" w:hAnsi="Calibri" w:cs="Calibri"/>
          <w:color w:val="000000"/>
        </w:rPr>
        <w:t>Guide to UK GDPR</w:t>
      </w:r>
      <w:r w:rsidRPr="00AA0D01">
        <w:rPr>
          <w:rFonts w:ascii="Calibri" w:hAnsi="Calibri" w:cs="Calibri"/>
          <w:color w:val="000000"/>
        </w:rPr>
        <w:t>. Wilmslow: ICO. Available at:</w:t>
      </w:r>
      <w:r w:rsidRPr="00AA0D01">
        <w:rPr>
          <w:rStyle w:val="apple-converted-space"/>
          <w:rFonts w:ascii="Calibri" w:hAnsi="Calibri" w:cs="Calibri"/>
          <w:color w:val="000000"/>
        </w:rPr>
        <w:t> </w:t>
      </w:r>
      <w:hyperlink r:id="rId14" w:history="1">
        <w:r w:rsidRPr="00AA0D01">
          <w:rPr>
            <w:rStyle w:val="Hyperlink"/>
            <w:rFonts w:ascii="Calibri" w:hAnsi="Calibri" w:cs="Calibri"/>
          </w:rPr>
          <w:t>https://ico.org.uk/for-organi</w:t>
        </w:r>
        <w:r w:rsidRPr="00AA0D01">
          <w:rPr>
            <w:rStyle w:val="Hyperlink"/>
            <w:rFonts w:ascii="Calibri" w:hAnsi="Calibri" w:cs="Calibri"/>
          </w:rPr>
          <w:t>s</w:t>
        </w:r>
        <w:r w:rsidRPr="00AA0D01">
          <w:rPr>
            <w:rStyle w:val="Hyperlink"/>
            <w:rFonts w:ascii="Calibri" w:hAnsi="Calibri" w:cs="Calibri"/>
          </w:rPr>
          <w:t>ations/uk-gdpr-guidance-and-resources</w:t>
        </w:r>
      </w:hyperlink>
      <w:r w:rsidRPr="00AA0D01">
        <w:rPr>
          <w:rStyle w:val="apple-converted-space"/>
          <w:rFonts w:ascii="Calibri" w:hAnsi="Calibri" w:cs="Calibri"/>
          <w:color w:val="000000"/>
        </w:rPr>
        <w:t> </w:t>
      </w:r>
      <w:r w:rsidRPr="00AA0D01">
        <w:rPr>
          <w:rFonts w:ascii="Calibri" w:hAnsi="Calibri" w:cs="Calibri"/>
          <w:color w:val="000000"/>
        </w:rPr>
        <w:t>(Accessed: 2 June 2026).</w:t>
      </w:r>
    </w:p>
    <w:p w14:paraId="404FA69C" w14:textId="0ACCCCFD"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Johnson, G., Whittington, R., Scholes, K., Angwin, D. and Regnér, P. (2023)</w:t>
      </w:r>
      <w:r w:rsidRPr="00AA0D01">
        <w:rPr>
          <w:rStyle w:val="apple-converted-space"/>
          <w:rFonts w:ascii="Calibri" w:hAnsi="Calibri" w:cs="Calibri"/>
          <w:color w:val="000000"/>
        </w:rPr>
        <w:t> </w:t>
      </w:r>
      <w:r w:rsidRPr="00AA0D01">
        <w:rPr>
          <w:rStyle w:val="apple-converted-space"/>
          <w:rFonts w:ascii="Calibri" w:hAnsi="Calibri" w:cs="Calibri"/>
          <w:color w:val="000000"/>
        </w:rPr>
        <w:t xml:space="preserve">. </w:t>
      </w:r>
      <w:r w:rsidRPr="00AA0D01">
        <w:rPr>
          <w:rStyle w:val="Emphasis"/>
          <w:rFonts w:ascii="Calibri" w:hAnsi="Calibri" w:cs="Calibri"/>
          <w:color w:val="000000"/>
        </w:rPr>
        <w:t>Exploring Strategy</w:t>
      </w:r>
      <w:r w:rsidRPr="00AA0D01">
        <w:rPr>
          <w:rFonts w:ascii="Calibri" w:hAnsi="Calibri" w:cs="Calibri"/>
          <w:color w:val="000000"/>
        </w:rPr>
        <w:t>. 13th edn. Harlow: Pearson.</w:t>
      </w:r>
    </w:p>
    <w:p w14:paraId="4AB77FE5" w14:textId="77777777"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lastRenderedPageBreak/>
        <w:t>Kantar (2025)</w:t>
      </w:r>
      <w:r w:rsidRPr="00AA0D01">
        <w:rPr>
          <w:rStyle w:val="apple-converted-space"/>
          <w:rFonts w:ascii="Calibri" w:hAnsi="Calibri" w:cs="Calibri"/>
          <w:color w:val="000000"/>
        </w:rPr>
        <w:t> </w:t>
      </w:r>
      <w:r w:rsidRPr="00AA0D01">
        <w:rPr>
          <w:rStyle w:val="Emphasis"/>
          <w:rFonts w:ascii="Calibri" w:hAnsi="Calibri" w:cs="Calibri"/>
          <w:color w:val="000000"/>
        </w:rPr>
        <w:t>Grocery Market Share Great Britain</w:t>
      </w:r>
      <w:r w:rsidRPr="00AA0D01">
        <w:rPr>
          <w:rFonts w:ascii="Calibri" w:hAnsi="Calibri" w:cs="Calibri"/>
          <w:color w:val="000000"/>
        </w:rPr>
        <w:t>. London: Kantar. Available at:</w:t>
      </w:r>
      <w:r w:rsidRPr="00AA0D01">
        <w:rPr>
          <w:rStyle w:val="apple-converted-space"/>
          <w:rFonts w:ascii="Calibri" w:hAnsi="Calibri" w:cs="Calibri"/>
          <w:color w:val="000000"/>
        </w:rPr>
        <w:t> </w:t>
      </w:r>
      <w:hyperlink r:id="rId15" w:history="1">
        <w:r w:rsidRPr="00AA0D01">
          <w:rPr>
            <w:rStyle w:val="Hyperlink"/>
            <w:rFonts w:ascii="Calibri" w:hAnsi="Calibri" w:cs="Calibri"/>
          </w:rPr>
          <w:t>https://www.kantar.com/uki/inspiration/fmcg/grocery-market-share</w:t>
        </w:r>
      </w:hyperlink>
      <w:r w:rsidRPr="00AA0D01">
        <w:rPr>
          <w:rStyle w:val="apple-converted-space"/>
          <w:rFonts w:ascii="Calibri" w:hAnsi="Calibri" w:cs="Calibri"/>
          <w:color w:val="000000"/>
        </w:rPr>
        <w:t> </w:t>
      </w:r>
      <w:r w:rsidRPr="00AA0D01">
        <w:rPr>
          <w:rFonts w:ascii="Calibri" w:hAnsi="Calibri" w:cs="Calibri"/>
          <w:color w:val="000000"/>
        </w:rPr>
        <w:t>(Accessed: 4 June 2026).</w:t>
      </w:r>
    </w:p>
    <w:p w14:paraId="7CB24A21" w14:textId="77777777"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Keller, K.L. (2013)</w:t>
      </w:r>
      <w:r w:rsidRPr="00AA0D01">
        <w:rPr>
          <w:rStyle w:val="apple-converted-space"/>
          <w:rFonts w:ascii="Calibri" w:hAnsi="Calibri" w:cs="Calibri"/>
          <w:color w:val="000000"/>
        </w:rPr>
        <w:t> </w:t>
      </w:r>
      <w:r w:rsidRPr="00AA0D01">
        <w:rPr>
          <w:rStyle w:val="Emphasis"/>
          <w:rFonts w:ascii="Calibri" w:hAnsi="Calibri" w:cs="Calibri"/>
          <w:color w:val="000000"/>
        </w:rPr>
        <w:t>Strategic Brand Management</w:t>
      </w:r>
      <w:r w:rsidRPr="00AA0D01">
        <w:rPr>
          <w:rFonts w:ascii="Calibri" w:hAnsi="Calibri" w:cs="Calibri"/>
          <w:color w:val="000000"/>
        </w:rPr>
        <w:t>. 4th edn. Harlow: Pearson.</w:t>
      </w:r>
    </w:p>
    <w:p w14:paraId="5ED2E14D" w14:textId="615D1AD3"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Kotler, P., Kartajaya, H. and Setiawan, I. (2021)</w:t>
      </w:r>
      <w:r w:rsidRPr="00AA0D01">
        <w:rPr>
          <w:rStyle w:val="apple-converted-space"/>
          <w:rFonts w:ascii="Calibri" w:hAnsi="Calibri" w:cs="Calibri"/>
          <w:color w:val="000000"/>
        </w:rPr>
        <w:t> </w:t>
      </w:r>
      <w:r w:rsidRPr="00AA0D01">
        <w:rPr>
          <w:rStyle w:val="apple-converted-space"/>
          <w:rFonts w:ascii="Calibri" w:hAnsi="Calibri" w:cs="Calibri"/>
          <w:color w:val="000000"/>
        </w:rPr>
        <w:t xml:space="preserve">. </w:t>
      </w:r>
      <w:r w:rsidRPr="00AA0D01">
        <w:rPr>
          <w:rStyle w:val="Emphasis"/>
          <w:rFonts w:ascii="Calibri" w:hAnsi="Calibri" w:cs="Calibri"/>
          <w:color w:val="000000"/>
        </w:rPr>
        <w:t>Marketing 5.0: Technology for Humanity</w:t>
      </w:r>
      <w:r w:rsidRPr="00AA0D01">
        <w:rPr>
          <w:rFonts w:ascii="Calibri" w:hAnsi="Calibri" w:cs="Calibri"/>
          <w:color w:val="000000"/>
        </w:rPr>
        <w:t>. Hoboken, NJ: Wiley.</w:t>
      </w:r>
    </w:p>
    <w:p w14:paraId="5B1A36FD" w14:textId="2B2B9560"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Kotler, P., Keller, K.L. and Chernev, A. (2025)</w:t>
      </w:r>
      <w:r w:rsidRPr="00AA0D01">
        <w:rPr>
          <w:rStyle w:val="apple-converted-space"/>
          <w:rFonts w:ascii="Calibri" w:hAnsi="Calibri" w:cs="Calibri"/>
          <w:color w:val="000000"/>
        </w:rPr>
        <w:t> </w:t>
      </w:r>
      <w:r w:rsidRPr="00AA0D01">
        <w:rPr>
          <w:rStyle w:val="apple-converted-space"/>
          <w:rFonts w:ascii="Calibri" w:hAnsi="Calibri" w:cs="Calibri"/>
          <w:color w:val="000000"/>
        </w:rPr>
        <w:t xml:space="preserve">. </w:t>
      </w:r>
      <w:r w:rsidRPr="00AA0D01">
        <w:rPr>
          <w:rStyle w:val="Emphasis"/>
          <w:rFonts w:ascii="Calibri" w:hAnsi="Calibri" w:cs="Calibri"/>
          <w:color w:val="000000"/>
        </w:rPr>
        <w:t>Marketing Management</w:t>
      </w:r>
      <w:r w:rsidRPr="00AA0D01">
        <w:rPr>
          <w:rFonts w:ascii="Calibri" w:hAnsi="Calibri" w:cs="Calibri"/>
          <w:color w:val="000000"/>
        </w:rPr>
        <w:t>. 17th edn. Harlow: Pearson.</w:t>
      </w:r>
    </w:p>
    <w:p w14:paraId="17BC76F5" w14:textId="77777777"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Kumar, V., Rajan, B., Venkatesan, R. and Lecinski, J. (2019) ‘Understanding the role of artificial intelligence in personalized engagement marketing’,</w:t>
      </w:r>
      <w:r w:rsidRPr="00AA0D01">
        <w:rPr>
          <w:rStyle w:val="apple-converted-space"/>
          <w:rFonts w:ascii="Calibri" w:hAnsi="Calibri" w:cs="Calibri"/>
          <w:color w:val="000000"/>
        </w:rPr>
        <w:t> </w:t>
      </w:r>
      <w:r w:rsidRPr="00AA0D01">
        <w:rPr>
          <w:rStyle w:val="Emphasis"/>
          <w:rFonts w:ascii="Calibri" w:hAnsi="Calibri" w:cs="Calibri"/>
          <w:color w:val="000000"/>
        </w:rPr>
        <w:t>California Management Review</w:t>
      </w:r>
      <w:r w:rsidRPr="00AA0D01">
        <w:rPr>
          <w:rFonts w:ascii="Calibri" w:hAnsi="Calibri" w:cs="Calibri"/>
          <w:color w:val="000000"/>
        </w:rPr>
        <w:t>, 61(4), pp. 135–155. Available at:</w:t>
      </w:r>
      <w:r w:rsidRPr="00AA0D01">
        <w:rPr>
          <w:rStyle w:val="apple-converted-space"/>
          <w:rFonts w:ascii="Calibri" w:hAnsi="Calibri" w:cs="Calibri"/>
          <w:color w:val="000000"/>
        </w:rPr>
        <w:t> </w:t>
      </w:r>
      <w:hyperlink r:id="rId16" w:history="1">
        <w:r w:rsidRPr="00AA0D01">
          <w:rPr>
            <w:rStyle w:val="Hyperlink"/>
            <w:rFonts w:ascii="Calibri" w:hAnsi="Calibri" w:cs="Calibri"/>
          </w:rPr>
          <w:t>https://doi.org/10.1177/0008125619859317</w:t>
        </w:r>
      </w:hyperlink>
    </w:p>
    <w:p w14:paraId="342C4FD3" w14:textId="77777777"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Lemon, K.N. and Verhoef, P.C. (2016) ‘Understanding customer experience throughout the customer journey’,</w:t>
      </w:r>
      <w:r w:rsidRPr="00AA0D01">
        <w:rPr>
          <w:rStyle w:val="apple-converted-space"/>
          <w:rFonts w:ascii="Calibri" w:hAnsi="Calibri" w:cs="Calibri"/>
          <w:color w:val="000000"/>
        </w:rPr>
        <w:t> </w:t>
      </w:r>
      <w:r w:rsidRPr="00AA0D01">
        <w:rPr>
          <w:rStyle w:val="Emphasis"/>
          <w:rFonts w:ascii="Calibri" w:hAnsi="Calibri" w:cs="Calibri"/>
          <w:color w:val="000000"/>
        </w:rPr>
        <w:t>Journal of Marketing</w:t>
      </w:r>
      <w:r w:rsidRPr="00AA0D01">
        <w:rPr>
          <w:rFonts w:ascii="Calibri" w:hAnsi="Calibri" w:cs="Calibri"/>
          <w:color w:val="000000"/>
        </w:rPr>
        <w:t>, 80(6), pp. 69–96. Available at:</w:t>
      </w:r>
      <w:r w:rsidRPr="00AA0D01">
        <w:rPr>
          <w:rStyle w:val="apple-converted-space"/>
          <w:rFonts w:ascii="Calibri" w:hAnsi="Calibri" w:cs="Calibri"/>
          <w:color w:val="000000"/>
        </w:rPr>
        <w:t> </w:t>
      </w:r>
      <w:hyperlink r:id="rId17" w:history="1">
        <w:r w:rsidRPr="00AA0D01">
          <w:rPr>
            <w:rStyle w:val="Hyperlink"/>
            <w:rFonts w:ascii="Calibri" w:hAnsi="Calibri" w:cs="Calibri"/>
          </w:rPr>
          <w:t>https://doi.org/10.1509/jm.15.0420</w:t>
        </w:r>
      </w:hyperlink>
    </w:p>
    <w:p w14:paraId="22FF1BAF" w14:textId="77777777"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Martin, K.D. and Murphy, P.E. (2017) ‘The role of data privacy in marketing’,</w:t>
      </w:r>
      <w:r w:rsidRPr="00AA0D01">
        <w:rPr>
          <w:rStyle w:val="apple-converted-space"/>
          <w:rFonts w:ascii="Calibri" w:hAnsi="Calibri" w:cs="Calibri"/>
          <w:color w:val="000000"/>
        </w:rPr>
        <w:t> </w:t>
      </w:r>
      <w:r w:rsidRPr="00AA0D01">
        <w:rPr>
          <w:rStyle w:val="Emphasis"/>
          <w:rFonts w:ascii="Calibri" w:hAnsi="Calibri" w:cs="Calibri"/>
          <w:color w:val="000000"/>
        </w:rPr>
        <w:t>Journal of the Academy of Marketing Science</w:t>
      </w:r>
      <w:r w:rsidRPr="00AA0D01">
        <w:rPr>
          <w:rFonts w:ascii="Calibri" w:hAnsi="Calibri" w:cs="Calibri"/>
          <w:color w:val="000000"/>
        </w:rPr>
        <w:t>, 45(2), pp. 135–155. Available at:</w:t>
      </w:r>
      <w:r w:rsidRPr="00AA0D01">
        <w:rPr>
          <w:rStyle w:val="apple-converted-space"/>
          <w:rFonts w:ascii="Calibri" w:hAnsi="Calibri" w:cs="Calibri"/>
          <w:color w:val="000000"/>
        </w:rPr>
        <w:t> </w:t>
      </w:r>
      <w:hyperlink r:id="rId18" w:history="1">
        <w:r w:rsidRPr="00AA0D01">
          <w:rPr>
            <w:rStyle w:val="Hyperlink"/>
            <w:rFonts w:ascii="Calibri" w:hAnsi="Calibri" w:cs="Calibri"/>
          </w:rPr>
          <w:t>https://doi.org/10.1007/s11747-016-0495-4</w:t>
        </w:r>
      </w:hyperlink>
    </w:p>
    <w:p w14:paraId="2FD5CDBC" w14:textId="77777777"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McKinsey &amp; Company (2025)</w:t>
      </w:r>
      <w:r w:rsidRPr="00AA0D01">
        <w:rPr>
          <w:rStyle w:val="apple-converted-space"/>
          <w:rFonts w:ascii="Calibri" w:hAnsi="Calibri" w:cs="Calibri"/>
          <w:color w:val="000000"/>
        </w:rPr>
        <w:t> </w:t>
      </w:r>
      <w:r w:rsidRPr="00AA0D01">
        <w:rPr>
          <w:rStyle w:val="Emphasis"/>
          <w:rFonts w:ascii="Calibri" w:hAnsi="Calibri" w:cs="Calibri"/>
          <w:color w:val="000000"/>
        </w:rPr>
        <w:t>The State of Grocery Retail 2025</w:t>
      </w:r>
      <w:r w:rsidRPr="00AA0D01">
        <w:rPr>
          <w:rFonts w:ascii="Calibri" w:hAnsi="Calibri" w:cs="Calibri"/>
          <w:color w:val="000000"/>
        </w:rPr>
        <w:t>. Available at:</w:t>
      </w:r>
      <w:r w:rsidRPr="00AA0D01">
        <w:rPr>
          <w:rStyle w:val="apple-converted-space"/>
          <w:rFonts w:ascii="Calibri" w:hAnsi="Calibri" w:cs="Calibri"/>
          <w:color w:val="000000"/>
        </w:rPr>
        <w:t> </w:t>
      </w:r>
      <w:hyperlink r:id="rId19" w:history="1">
        <w:r w:rsidRPr="00AA0D01">
          <w:rPr>
            <w:rStyle w:val="Hyperlink"/>
            <w:rFonts w:ascii="Calibri" w:hAnsi="Calibri" w:cs="Calibri"/>
          </w:rPr>
          <w:t>https://www.mckinsey.com</w:t>
        </w:r>
      </w:hyperlink>
      <w:r w:rsidRPr="00AA0D01">
        <w:rPr>
          <w:rStyle w:val="apple-converted-space"/>
          <w:rFonts w:ascii="Calibri" w:hAnsi="Calibri" w:cs="Calibri"/>
          <w:color w:val="000000"/>
        </w:rPr>
        <w:t> </w:t>
      </w:r>
      <w:r w:rsidRPr="00AA0D01">
        <w:rPr>
          <w:rFonts w:ascii="Calibri" w:hAnsi="Calibri" w:cs="Calibri"/>
          <w:color w:val="000000"/>
        </w:rPr>
        <w:t>(Accessed: 5 June 2026).</w:t>
      </w:r>
    </w:p>
    <w:p w14:paraId="384271E0" w14:textId="77777777"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Organisation for Economic Co-operation and Development (2024)</w:t>
      </w:r>
      <w:r w:rsidRPr="00AA0D01">
        <w:rPr>
          <w:rStyle w:val="apple-converted-space"/>
          <w:rFonts w:ascii="Calibri" w:hAnsi="Calibri" w:cs="Calibri"/>
          <w:color w:val="000000"/>
        </w:rPr>
        <w:t> </w:t>
      </w:r>
      <w:r w:rsidRPr="00AA0D01">
        <w:rPr>
          <w:rStyle w:val="Emphasis"/>
          <w:rFonts w:ascii="Calibri" w:hAnsi="Calibri" w:cs="Calibri"/>
          <w:color w:val="000000"/>
        </w:rPr>
        <w:t>OECD Digital Economy Outlook 2024</w:t>
      </w:r>
      <w:r w:rsidRPr="00AA0D01">
        <w:rPr>
          <w:rFonts w:ascii="Calibri" w:hAnsi="Calibri" w:cs="Calibri"/>
          <w:color w:val="000000"/>
        </w:rPr>
        <w:t>. Paris: OECD Publishing. Available at:</w:t>
      </w:r>
      <w:r w:rsidRPr="00AA0D01">
        <w:rPr>
          <w:rStyle w:val="apple-converted-space"/>
          <w:rFonts w:ascii="Calibri" w:hAnsi="Calibri" w:cs="Calibri"/>
          <w:color w:val="000000"/>
        </w:rPr>
        <w:t> </w:t>
      </w:r>
      <w:hyperlink r:id="rId20" w:history="1">
        <w:r w:rsidRPr="00AA0D01">
          <w:rPr>
            <w:rStyle w:val="Hyperlink"/>
            <w:rFonts w:ascii="Calibri" w:hAnsi="Calibri" w:cs="Calibri"/>
          </w:rPr>
          <w:t>https://www.oecd.org/digital/oecd</w:t>
        </w:r>
        <w:r w:rsidRPr="00AA0D01">
          <w:rPr>
            <w:rStyle w:val="Hyperlink"/>
            <w:rFonts w:ascii="Calibri" w:hAnsi="Calibri" w:cs="Calibri"/>
          </w:rPr>
          <w:t>-</w:t>
        </w:r>
        <w:r w:rsidRPr="00AA0D01">
          <w:rPr>
            <w:rStyle w:val="Hyperlink"/>
            <w:rFonts w:ascii="Calibri" w:hAnsi="Calibri" w:cs="Calibri"/>
          </w:rPr>
          <w:t>digital-economy-outlook</w:t>
        </w:r>
      </w:hyperlink>
      <w:r w:rsidRPr="00AA0D01">
        <w:rPr>
          <w:rStyle w:val="apple-converted-space"/>
          <w:rFonts w:ascii="Calibri" w:hAnsi="Calibri" w:cs="Calibri"/>
          <w:color w:val="000000"/>
        </w:rPr>
        <w:t> </w:t>
      </w:r>
      <w:r w:rsidRPr="00AA0D01">
        <w:rPr>
          <w:rFonts w:ascii="Calibri" w:hAnsi="Calibri" w:cs="Calibri"/>
          <w:color w:val="000000"/>
        </w:rPr>
        <w:t>(Accessed: 2 June 2026).</w:t>
      </w:r>
    </w:p>
    <w:p w14:paraId="68176A46" w14:textId="77777777"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Rust, R.T. (2020) ‘The future of marketing’,</w:t>
      </w:r>
      <w:r w:rsidRPr="00AA0D01">
        <w:rPr>
          <w:rStyle w:val="apple-converted-space"/>
          <w:rFonts w:ascii="Calibri" w:hAnsi="Calibri" w:cs="Calibri"/>
          <w:color w:val="000000"/>
        </w:rPr>
        <w:t> </w:t>
      </w:r>
      <w:r w:rsidRPr="00AA0D01">
        <w:rPr>
          <w:rStyle w:val="Emphasis"/>
          <w:rFonts w:ascii="Calibri" w:hAnsi="Calibri" w:cs="Calibri"/>
          <w:color w:val="000000"/>
        </w:rPr>
        <w:t>International Journal of Research in Marketing</w:t>
      </w:r>
      <w:r w:rsidRPr="00AA0D01">
        <w:rPr>
          <w:rFonts w:ascii="Calibri" w:hAnsi="Calibri" w:cs="Calibri"/>
          <w:color w:val="000000"/>
        </w:rPr>
        <w:t>, 37(1), pp. 15–26. Available at:</w:t>
      </w:r>
      <w:r w:rsidRPr="00AA0D01">
        <w:rPr>
          <w:rStyle w:val="apple-converted-space"/>
          <w:rFonts w:ascii="Calibri" w:hAnsi="Calibri" w:cs="Calibri"/>
          <w:color w:val="000000"/>
        </w:rPr>
        <w:t> </w:t>
      </w:r>
      <w:hyperlink r:id="rId21" w:history="1">
        <w:r w:rsidRPr="00AA0D01">
          <w:rPr>
            <w:rStyle w:val="Hyperlink"/>
            <w:rFonts w:ascii="Calibri" w:hAnsi="Calibri" w:cs="Calibri"/>
          </w:rPr>
          <w:t>https://doi.org/10.1016/j.ijresmar.2019.10.002</w:t>
        </w:r>
      </w:hyperlink>
    </w:p>
    <w:p w14:paraId="6554FFB4" w14:textId="77777777"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Rust, R.T., Lemon, K.N. and Zeithaml, V.A. (2004) ‘Return on marketing: Using customer equity to focus marketing strategy’,</w:t>
      </w:r>
      <w:r w:rsidRPr="00AA0D01">
        <w:rPr>
          <w:rStyle w:val="apple-converted-space"/>
          <w:rFonts w:ascii="Calibri" w:hAnsi="Calibri" w:cs="Calibri"/>
          <w:color w:val="000000"/>
        </w:rPr>
        <w:t> </w:t>
      </w:r>
      <w:r w:rsidRPr="00AA0D01">
        <w:rPr>
          <w:rStyle w:val="Emphasis"/>
          <w:rFonts w:ascii="Calibri" w:hAnsi="Calibri" w:cs="Calibri"/>
          <w:color w:val="000000"/>
        </w:rPr>
        <w:t>Journal of Marketing</w:t>
      </w:r>
      <w:r w:rsidRPr="00AA0D01">
        <w:rPr>
          <w:rFonts w:ascii="Calibri" w:hAnsi="Calibri" w:cs="Calibri"/>
          <w:color w:val="000000"/>
        </w:rPr>
        <w:t>, 68(1), pp. 109–127. Available at:</w:t>
      </w:r>
      <w:r w:rsidRPr="00AA0D01">
        <w:rPr>
          <w:rStyle w:val="apple-converted-space"/>
          <w:rFonts w:ascii="Calibri" w:hAnsi="Calibri" w:cs="Calibri"/>
          <w:color w:val="000000"/>
        </w:rPr>
        <w:t> </w:t>
      </w:r>
      <w:hyperlink r:id="rId22" w:history="1">
        <w:r w:rsidRPr="00AA0D01">
          <w:rPr>
            <w:rStyle w:val="Hyperlink"/>
            <w:rFonts w:ascii="Calibri" w:hAnsi="Calibri" w:cs="Calibri"/>
          </w:rPr>
          <w:t>https://doi.org/10.1509/jmkg.68.1.109.24030</w:t>
        </w:r>
      </w:hyperlink>
    </w:p>
    <w:p w14:paraId="08E29B66" w14:textId="77777777"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lastRenderedPageBreak/>
        <w:t>Tesco plc (2024)</w:t>
      </w:r>
      <w:r w:rsidRPr="00AA0D01">
        <w:rPr>
          <w:rStyle w:val="apple-converted-space"/>
          <w:rFonts w:ascii="Calibri" w:hAnsi="Calibri" w:cs="Calibri"/>
          <w:color w:val="000000"/>
        </w:rPr>
        <w:t> </w:t>
      </w:r>
      <w:r w:rsidRPr="00AA0D01">
        <w:rPr>
          <w:rStyle w:val="Emphasis"/>
          <w:rFonts w:ascii="Calibri" w:hAnsi="Calibri" w:cs="Calibri"/>
          <w:color w:val="000000"/>
        </w:rPr>
        <w:t>Annual Report and Financial Statements 2024</w:t>
      </w:r>
      <w:r w:rsidRPr="00AA0D01">
        <w:rPr>
          <w:rFonts w:ascii="Calibri" w:hAnsi="Calibri" w:cs="Calibri"/>
          <w:color w:val="000000"/>
        </w:rPr>
        <w:t>. Welwyn Garden City: Tesco plc. Available at:</w:t>
      </w:r>
      <w:r w:rsidRPr="00AA0D01">
        <w:rPr>
          <w:rStyle w:val="apple-converted-space"/>
          <w:rFonts w:ascii="Calibri" w:hAnsi="Calibri" w:cs="Calibri"/>
          <w:color w:val="000000"/>
        </w:rPr>
        <w:t> </w:t>
      </w:r>
      <w:hyperlink r:id="rId23" w:history="1">
        <w:r w:rsidRPr="00AA0D01">
          <w:rPr>
            <w:rStyle w:val="Hyperlink"/>
            <w:rFonts w:ascii="Calibri" w:hAnsi="Calibri" w:cs="Calibri"/>
          </w:rPr>
          <w:t>https://www.tescoplc.com/investors/reports-results-and-presentations/annual-report</w:t>
        </w:r>
        <w:r w:rsidRPr="00AA0D01">
          <w:rPr>
            <w:rStyle w:val="Hyperlink"/>
            <w:rFonts w:ascii="Calibri" w:hAnsi="Calibri" w:cs="Calibri"/>
          </w:rPr>
          <w:t>-</w:t>
        </w:r>
        <w:r w:rsidRPr="00AA0D01">
          <w:rPr>
            <w:rStyle w:val="Hyperlink"/>
            <w:rFonts w:ascii="Calibri" w:hAnsi="Calibri" w:cs="Calibri"/>
          </w:rPr>
          <w:t>2024</w:t>
        </w:r>
      </w:hyperlink>
      <w:r w:rsidRPr="00AA0D01">
        <w:rPr>
          <w:rStyle w:val="apple-converted-space"/>
          <w:rFonts w:ascii="Calibri" w:hAnsi="Calibri" w:cs="Calibri"/>
          <w:color w:val="000000"/>
        </w:rPr>
        <w:t> </w:t>
      </w:r>
      <w:r w:rsidRPr="00AA0D01">
        <w:rPr>
          <w:rFonts w:ascii="Calibri" w:hAnsi="Calibri" w:cs="Calibri"/>
          <w:color w:val="000000"/>
        </w:rPr>
        <w:t>(Accessed: 2 June 2026).</w:t>
      </w:r>
    </w:p>
    <w:p w14:paraId="787046F5" w14:textId="77777777"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Tesco plc (2025)</w:t>
      </w:r>
      <w:r w:rsidRPr="00AA0D01">
        <w:rPr>
          <w:rStyle w:val="apple-converted-space"/>
          <w:rFonts w:ascii="Calibri" w:hAnsi="Calibri" w:cs="Calibri"/>
          <w:color w:val="000000"/>
        </w:rPr>
        <w:t> </w:t>
      </w:r>
      <w:r w:rsidRPr="00AA0D01">
        <w:rPr>
          <w:rStyle w:val="Emphasis"/>
          <w:rFonts w:ascii="Calibri" w:hAnsi="Calibri" w:cs="Calibri"/>
          <w:color w:val="000000"/>
        </w:rPr>
        <w:t>Annual Report and Financial Statements 2025</w:t>
      </w:r>
      <w:r w:rsidRPr="00AA0D01">
        <w:rPr>
          <w:rFonts w:ascii="Calibri" w:hAnsi="Calibri" w:cs="Calibri"/>
          <w:color w:val="000000"/>
        </w:rPr>
        <w:t>. Welwyn Garden City: Tesco plc. Available at:</w:t>
      </w:r>
      <w:r w:rsidRPr="00AA0D01">
        <w:rPr>
          <w:rStyle w:val="apple-converted-space"/>
          <w:rFonts w:ascii="Calibri" w:hAnsi="Calibri" w:cs="Calibri"/>
          <w:color w:val="000000"/>
        </w:rPr>
        <w:t> </w:t>
      </w:r>
      <w:hyperlink r:id="rId24" w:history="1">
        <w:r w:rsidRPr="00AA0D01">
          <w:rPr>
            <w:rStyle w:val="Hyperlink"/>
            <w:rFonts w:ascii="Calibri" w:hAnsi="Calibri" w:cs="Calibri"/>
          </w:rPr>
          <w:t>https://www.tescoplc.com/investors/reports-results-and-presentations/annual-report-2025</w:t>
        </w:r>
      </w:hyperlink>
      <w:r w:rsidRPr="00AA0D01">
        <w:rPr>
          <w:rStyle w:val="apple-converted-space"/>
          <w:rFonts w:ascii="Calibri" w:hAnsi="Calibri" w:cs="Calibri"/>
          <w:color w:val="000000"/>
        </w:rPr>
        <w:t> </w:t>
      </w:r>
      <w:r w:rsidRPr="00AA0D01">
        <w:rPr>
          <w:rFonts w:ascii="Calibri" w:hAnsi="Calibri" w:cs="Calibri"/>
          <w:color w:val="000000"/>
        </w:rPr>
        <w:t>(Accessed: 4 June 2026).</w:t>
      </w:r>
    </w:p>
    <w:p w14:paraId="065F19F9" w14:textId="77777777"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Tesco plc (2025)</w:t>
      </w:r>
      <w:r w:rsidRPr="00AA0D01">
        <w:rPr>
          <w:rStyle w:val="apple-converted-space"/>
          <w:rFonts w:ascii="Calibri" w:hAnsi="Calibri" w:cs="Calibri"/>
          <w:color w:val="000000"/>
        </w:rPr>
        <w:t> </w:t>
      </w:r>
      <w:r w:rsidRPr="00AA0D01">
        <w:rPr>
          <w:rStyle w:val="Emphasis"/>
          <w:rFonts w:ascii="Calibri" w:hAnsi="Calibri" w:cs="Calibri"/>
          <w:color w:val="000000"/>
        </w:rPr>
        <w:t>Sustainability Report 2024/25</w:t>
      </w:r>
      <w:r w:rsidRPr="00AA0D01">
        <w:rPr>
          <w:rFonts w:ascii="Calibri" w:hAnsi="Calibri" w:cs="Calibri"/>
          <w:color w:val="000000"/>
        </w:rPr>
        <w:t>. Welwyn Garden City: Tesco plc. Available at:</w:t>
      </w:r>
      <w:r w:rsidRPr="00AA0D01">
        <w:rPr>
          <w:rStyle w:val="apple-converted-space"/>
          <w:rFonts w:ascii="Calibri" w:hAnsi="Calibri" w:cs="Calibri"/>
          <w:color w:val="000000"/>
        </w:rPr>
        <w:t> </w:t>
      </w:r>
      <w:hyperlink r:id="rId25" w:history="1">
        <w:r w:rsidRPr="00AA0D01">
          <w:rPr>
            <w:rStyle w:val="Hyperlink"/>
            <w:rFonts w:ascii="Calibri" w:hAnsi="Calibri" w:cs="Calibri"/>
          </w:rPr>
          <w:t>https://www.tescoplc.com/sustainability-report-2025</w:t>
        </w:r>
      </w:hyperlink>
      <w:r w:rsidRPr="00AA0D01">
        <w:rPr>
          <w:rStyle w:val="apple-converted-space"/>
          <w:rFonts w:ascii="Calibri" w:hAnsi="Calibri" w:cs="Calibri"/>
          <w:color w:val="000000"/>
        </w:rPr>
        <w:t> </w:t>
      </w:r>
      <w:r w:rsidRPr="00AA0D01">
        <w:rPr>
          <w:rFonts w:ascii="Calibri" w:hAnsi="Calibri" w:cs="Calibri"/>
          <w:color w:val="000000"/>
        </w:rPr>
        <w:t>(Accessed: 5 June 2026).</w:t>
      </w:r>
    </w:p>
    <w:p w14:paraId="09740767" w14:textId="77777777"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United Nations (2023)</w:t>
      </w:r>
      <w:r w:rsidRPr="00AA0D01">
        <w:rPr>
          <w:rStyle w:val="apple-converted-space"/>
          <w:rFonts w:ascii="Calibri" w:hAnsi="Calibri" w:cs="Calibri"/>
          <w:color w:val="000000"/>
        </w:rPr>
        <w:t> </w:t>
      </w:r>
      <w:r w:rsidRPr="00AA0D01">
        <w:rPr>
          <w:rStyle w:val="Emphasis"/>
          <w:rFonts w:ascii="Calibri" w:hAnsi="Calibri" w:cs="Calibri"/>
          <w:color w:val="000000"/>
        </w:rPr>
        <w:t>The Sustainable Development Goals Report 2023</w:t>
      </w:r>
      <w:r w:rsidRPr="00AA0D01">
        <w:rPr>
          <w:rFonts w:ascii="Calibri" w:hAnsi="Calibri" w:cs="Calibri"/>
          <w:color w:val="000000"/>
        </w:rPr>
        <w:t>. New York: United Nations. Available at:</w:t>
      </w:r>
      <w:r w:rsidRPr="00AA0D01">
        <w:rPr>
          <w:rStyle w:val="apple-converted-space"/>
          <w:rFonts w:ascii="Calibri" w:hAnsi="Calibri" w:cs="Calibri"/>
          <w:color w:val="000000"/>
        </w:rPr>
        <w:t> </w:t>
      </w:r>
      <w:hyperlink r:id="rId26" w:history="1">
        <w:r w:rsidRPr="00AA0D01">
          <w:rPr>
            <w:rStyle w:val="Hyperlink"/>
            <w:rFonts w:ascii="Calibri" w:hAnsi="Calibri" w:cs="Calibri"/>
          </w:rPr>
          <w:t>https://unstats.un.org/sdgs/report/2023</w:t>
        </w:r>
      </w:hyperlink>
      <w:r w:rsidRPr="00AA0D01">
        <w:rPr>
          <w:rStyle w:val="apple-converted-space"/>
          <w:rFonts w:ascii="Calibri" w:hAnsi="Calibri" w:cs="Calibri"/>
          <w:color w:val="000000"/>
        </w:rPr>
        <w:t> </w:t>
      </w:r>
      <w:r w:rsidRPr="00AA0D01">
        <w:rPr>
          <w:rFonts w:ascii="Calibri" w:hAnsi="Calibri" w:cs="Calibri"/>
          <w:color w:val="000000"/>
        </w:rPr>
        <w:t>(Accessed: 2 June 2026).</w:t>
      </w:r>
    </w:p>
    <w:p w14:paraId="434CB8C2" w14:textId="77777777"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Wedel, M. and Kannan, P.K. (2016) ‘Marketing analytics for data-rich environments’,</w:t>
      </w:r>
      <w:r w:rsidRPr="00AA0D01">
        <w:rPr>
          <w:rStyle w:val="apple-converted-space"/>
          <w:rFonts w:ascii="Calibri" w:hAnsi="Calibri" w:cs="Calibri"/>
          <w:color w:val="000000"/>
        </w:rPr>
        <w:t> </w:t>
      </w:r>
      <w:r w:rsidRPr="00AA0D01">
        <w:rPr>
          <w:rStyle w:val="Emphasis"/>
          <w:rFonts w:ascii="Calibri" w:hAnsi="Calibri" w:cs="Calibri"/>
          <w:color w:val="000000"/>
        </w:rPr>
        <w:t>Journal of Marketing</w:t>
      </w:r>
      <w:r w:rsidRPr="00AA0D01">
        <w:rPr>
          <w:rFonts w:ascii="Calibri" w:hAnsi="Calibri" w:cs="Calibri"/>
          <w:color w:val="000000"/>
        </w:rPr>
        <w:t>, 80(6), pp. 97–121. Available at:</w:t>
      </w:r>
      <w:r w:rsidRPr="00AA0D01">
        <w:rPr>
          <w:rStyle w:val="apple-converted-space"/>
          <w:rFonts w:ascii="Calibri" w:hAnsi="Calibri" w:cs="Calibri"/>
          <w:color w:val="000000"/>
        </w:rPr>
        <w:t> </w:t>
      </w:r>
      <w:hyperlink r:id="rId27" w:history="1">
        <w:r w:rsidRPr="00AA0D01">
          <w:rPr>
            <w:rStyle w:val="Hyperlink"/>
            <w:rFonts w:ascii="Calibri" w:hAnsi="Calibri" w:cs="Calibri"/>
          </w:rPr>
          <w:t>https://doi.org/10.1509/jm.15.0413</w:t>
        </w:r>
      </w:hyperlink>
    </w:p>
    <w:p w14:paraId="7158C91C" w14:textId="77777777" w:rsidR="005D6FFB" w:rsidRPr="00AA0D01" w:rsidRDefault="005D6FFB" w:rsidP="00053BF2">
      <w:pPr>
        <w:pStyle w:val="NormalWeb"/>
        <w:numPr>
          <w:ilvl w:val="0"/>
          <w:numId w:val="3"/>
        </w:numPr>
        <w:spacing w:line="360" w:lineRule="auto"/>
        <w:ind w:left="360"/>
        <w:rPr>
          <w:rFonts w:ascii="Calibri" w:hAnsi="Calibri" w:cs="Calibri"/>
          <w:color w:val="000000"/>
        </w:rPr>
      </w:pPr>
      <w:r w:rsidRPr="00AA0D01">
        <w:rPr>
          <w:rFonts w:ascii="Calibri" w:hAnsi="Calibri" w:cs="Calibri"/>
          <w:color w:val="000000"/>
        </w:rPr>
        <w:t>World Economic Forum (2024)</w:t>
      </w:r>
      <w:r w:rsidRPr="00AA0D01">
        <w:rPr>
          <w:rStyle w:val="apple-converted-space"/>
          <w:rFonts w:ascii="Calibri" w:hAnsi="Calibri" w:cs="Calibri"/>
          <w:color w:val="000000"/>
        </w:rPr>
        <w:t> </w:t>
      </w:r>
      <w:r w:rsidRPr="00AA0D01">
        <w:rPr>
          <w:rStyle w:val="Emphasis"/>
          <w:rFonts w:ascii="Calibri" w:hAnsi="Calibri" w:cs="Calibri"/>
          <w:color w:val="000000"/>
        </w:rPr>
        <w:t>Future of Jobs Report 2024</w:t>
      </w:r>
      <w:r w:rsidRPr="00AA0D01">
        <w:rPr>
          <w:rFonts w:ascii="Calibri" w:hAnsi="Calibri" w:cs="Calibri"/>
          <w:color w:val="000000"/>
        </w:rPr>
        <w:t>. Geneva: World Economic Forum. Available at:</w:t>
      </w:r>
      <w:r w:rsidRPr="00AA0D01">
        <w:rPr>
          <w:rStyle w:val="apple-converted-space"/>
          <w:rFonts w:ascii="Calibri" w:hAnsi="Calibri" w:cs="Calibri"/>
          <w:color w:val="000000"/>
        </w:rPr>
        <w:t> </w:t>
      </w:r>
      <w:hyperlink r:id="rId28" w:history="1">
        <w:r w:rsidRPr="00AA0D01">
          <w:rPr>
            <w:rStyle w:val="Hyperlink"/>
            <w:rFonts w:ascii="Calibri" w:hAnsi="Calibri" w:cs="Calibri"/>
          </w:rPr>
          <w:t>https://www.weforum.org/reports/the-future-of-jobs-report-2024</w:t>
        </w:r>
      </w:hyperlink>
      <w:r w:rsidRPr="00AA0D01">
        <w:rPr>
          <w:rStyle w:val="apple-converted-space"/>
          <w:rFonts w:ascii="Calibri" w:hAnsi="Calibri" w:cs="Calibri"/>
          <w:color w:val="000000"/>
        </w:rPr>
        <w:t> </w:t>
      </w:r>
      <w:r w:rsidRPr="00AA0D01">
        <w:rPr>
          <w:rFonts w:ascii="Calibri" w:hAnsi="Calibri" w:cs="Calibri"/>
          <w:color w:val="000000"/>
        </w:rPr>
        <w:t>(Accessed: 4 June 2026).</w:t>
      </w:r>
    </w:p>
    <w:p w14:paraId="31EEEFEF" w14:textId="5AC1B556" w:rsidR="006D2FCB" w:rsidRPr="00AA0D01" w:rsidRDefault="006D2FCB" w:rsidP="00053BF2">
      <w:pPr>
        <w:spacing w:line="360" w:lineRule="auto"/>
        <w:rPr>
          <w:rFonts w:ascii="Calibri" w:hAnsi="Calibri" w:cs="Calibri"/>
          <w:color w:val="000000" w:themeColor="text1"/>
        </w:rPr>
      </w:pPr>
    </w:p>
    <w:sectPr w:rsidR="006D2FCB" w:rsidRPr="00AA0D01" w:rsidSect="00731E12">
      <w:pgSz w:w="12240" w:h="15840"/>
      <w:pgMar w:top="1701" w:right="1440" w:bottom="1701"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3872C" w14:textId="77777777" w:rsidR="00997249" w:rsidRDefault="00997249" w:rsidP="00086D38">
      <w:pPr>
        <w:spacing w:after="0" w:line="240" w:lineRule="auto"/>
      </w:pPr>
      <w:r>
        <w:separator/>
      </w:r>
    </w:p>
  </w:endnote>
  <w:endnote w:type="continuationSeparator" w:id="0">
    <w:p w14:paraId="46D2615E" w14:textId="77777777" w:rsidR="00997249" w:rsidRDefault="00997249" w:rsidP="00086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EE96E" w14:textId="77777777" w:rsidR="00997249" w:rsidRDefault="00997249" w:rsidP="00086D38">
      <w:pPr>
        <w:spacing w:after="0" w:line="240" w:lineRule="auto"/>
      </w:pPr>
      <w:r>
        <w:separator/>
      </w:r>
    </w:p>
  </w:footnote>
  <w:footnote w:type="continuationSeparator" w:id="0">
    <w:p w14:paraId="7C6C868F" w14:textId="77777777" w:rsidR="00997249" w:rsidRDefault="00997249" w:rsidP="00086D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A018B" w14:textId="1EE94463" w:rsidR="00731E12" w:rsidRDefault="00731E12" w:rsidP="00731E12">
    <w:pPr>
      <w:pStyle w:val="Header"/>
      <w:ind w:left="-284" w:firstLine="284"/>
    </w:pPr>
    <w:r>
      <w:rPr>
        <w:noProof/>
      </w:rPr>
      <w:drawing>
        <wp:anchor distT="0" distB="0" distL="114300" distR="114300" simplePos="0" relativeHeight="251658240" behindDoc="1" locked="0" layoutInCell="1" allowOverlap="1" wp14:anchorId="438AE0AB" wp14:editId="6AD21B54">
          <wp:simplePos x="0" y="0"/>
          <wp:positionH relativeFrom="column">
            <wp:posOffset>-567863</wp:posOffset>
          </wp:positionH>
          <wp:positionV relativeFrom="paragraph">
            <wp:posOffset>-179647</wp:posOffset>
          </wp:positionV>
          <wp:extent cx="1205230" cy="399415"/>
          <wp:effectExtent l="0" t="0" r="1270" b="0"/>
          <wp:wrapNone/>
          <wp:docPr id="849723590" name="Picture 1" descr="Prifysgol Cymru Y Drindod Dewi Sant (University of Wales Trinity Saint  David) – UniNet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UniNet proj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5230" cy="399415"/>
                  </a:xfrm>
                  <a:prstGeom prst="rect">
                    <a:avLst/>
                  </a:prstGeom>
                  <a:noFill/>
                  <a:ln>
                    <a:noFill/>
                  </a:ln>
                </pic:spPr>
              </pic:pic>
            </a:graphicData>
          </a:graphic>
          <wp14:sizeRelV relativeFrom="margin">
            <wp14:pctHeight>0</wp14:pctHeight>
          </wp14:sizeRelV>
        </wp:anchor>
      </w:drawing>
    </w:r>
    <w:r>
      <w:fldChar w:fldCharType="begin"/>
    </w:r>
    <w:r>
      <w:instrText xml:space="preserve"> INCLUDEPICTURE "/Users/cristianbatrinu/Library/Group Containers/UBF8T346G9.ms/WebArchiveCopyPasteTempFiles/com.microsoft.Word/16_uwtsd_logo.png" \* MERGEFORMATINET </w:instrText>
    </w:r>
    <w:r>
      <w:fldChar w:fldCharType="separate"/>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863693"/>
    <w:multiLevelType w:val="hybridMultilevel"/>
    <w:tmpl w:val="D2B620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132538"/>
    <w:multiLevelType w:val="hybridMultilevel"/>
    <w:tmpl w:val="1ADCD8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1603F4"/>
    <w:multiLevelType w:val="hybridMultilevel"/>
    <w:tmpl w:val="A6824E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49D0355"/>
    <w:multiLevelType w:val="multilevel"/>
    <w:tmpl w:val="6E344030"/>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142992180">
    <w:abstractNumId w:val="1"/>
  </w:num>
  <w:num w:numId="2" w16cid:durableId="1532569683">
    <w:abstractNumId w:val="0"/>
  </w:num>
  <w:num w:numId="3" w16cid:durableId="1439907842">
    <w:abstractNumId w:val="2"/>
  </w:num>
  <w:num w:numId="4" w16cid:durableId="100119840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805"/>
    <w:rsid w:val="00007844"/>
    <w:rsid w:val="00010625"/>
    <w:rsid w:val="0001655D"/>
    <w:rsid w:val="00053BF2"/>
    <w:rsid w:val="000724A1"/>
    <w:rsid w:val="0008213F"/>
    <w:rsid w:val="000858DF"/>
    <w:rsid w:val="00086D38"/>
    <w:rsid w:val="00097DD5"/>
    <w:rsid w:val="000D7DB7"/>
    <w:rsid w:val="00101186"/>
    <w:rsid w:val="00131B2F"/>
    <w:rsid w:val="001E412F"/>
    <w:rsid w:val="002118FC"/>
    <w:rsid w:val="00231566"/>
    <w:rsid w:val="002557C2"/>
    <w:rsid w:val="00257B7C"/>
    <w:rsid w:val="002616EC"/>
    <w:rsid w:val="0028288E"/>
    <w:rsid w:val="002B2A12"/>
    <w:rsid w:val="002D1F45"/>
    <w:rsid w:val="003620FC"/>
    <w:rsid w:val="003D3B2B"/>
    <w:rsid w:val="00427624"/>
    <w:rsid w:val="004834AF"/>
    <w:rsid w:val="004D2ED3"/>
    <w:rsid w:val="004E4A0E"/>
    <w:rsid w:val="004F0900"/>
    <w:rsid w:val="00546C60"/>
    <w:rsid w:val="005D6FFB"/>
    <w:rsid w:val="005E2A98"/>
    <w:rsid w:val="005F7A18"/>
    <w:rsid w:val="0064394D"/>
    <w:rsid w:val="00681496"/>
    <w:rsid w:val="006B16C1"/>
    <w:rsid w:val="006D2FCB"/>
    <w:rsid w:val="0072628C"/>
    <w:rsid w:val="00731E12"/>
    <w:rsid w:val="00732FF9"/>
    <w:rsid w:val="0075519E"/>
    <w:rsid w:val="007A170B"/>
    <w:rsid w:val="007B412F"/>
    <w:rsid w:val="008218A8"/>
    <w:rsid w:val="008233A1"/>
    <w:rsid w:val="008275B1"/>
    <w:rsid w:val="008467C9"/>
    <w:rsid w:val="00912743"/>
    <w:rsid w:val="00997249"/>
    <w:rsid w:val="009B1691"/>
    <w:rsid w:val="00A53691"/>
    <w:rsid w:val="00A56038"/>
    <w:rsid w:val="00A61F12"/>
    <w:rsid w:val="00AA0D01"/>
    <w:rsid w:val="00AA1C2E"/>
    <w:rsid w:val="00AB1606"/>
    <w:rsid w:val="00AC107E"/>
    <w:rsid w:val="00AD462B"/>
    <w:rsid w:val="00AE30F7"/>
    <w:rsid w:val="00B425E7"/>
    <w:rsid w:val="00BC7015"/>
    <w:rsid w:val="00BD2684"/>
    <w:rsid w:val="00C15BA2"/>
    <w:rsid w:val="00C24BF0"/>
    <w:rsid w:val="00C33209"/>
    <w:rsid w:val="00C37F29"/>
    <w:rsid w:val="00C975E6"/>
    <w:rsid w:val="00CD5765"/>
    <w:rsid w:val="00CF6313"/>
    <w:rsid w:val="00D21FAD"/>
    <w:rsid w:val="00D2402A"/>
    <w:rsid w:val="00D367C1"/>
    <w:rsid w:val="00D45D5F"/>
    <w:rsid w:val="00D651F9"/>
    <w:rsid w:val="00DA2B5E"/>
    <w:rsid w:val="00DA3F8F"/>
    <w:rsid w:val="00E162EE"/>
    <w:rsid w:val="00E75805"/>
    <w:rsid w:val="00EE706A"/>
    <w:rsid w:val="00F059A3"/>
    <w:rsid w:val="00F50F98"/>
    <w:rsid w:val="00FA19A0"/>
  </w:rsids>
  <m:mathPr>
    <m:mathFont m:val="Cambria Math"/>
    <m:brkBin m:val="before"/>
    <m:brkBinSub m:val="--"/>
    <m:smallFrac m:val="0"/>
    <m:dispDef/>
    <m:lMargin m:val="0"/>
    <m:rMargin m:val="0"/>
    <m:defJc m:val="centerGroup"/>
    <m:wrapIndent m:val="1440"/>
    <m:intLim m:val="subSup"/>
    <m:naryLim m:val="undOvr"/>
  </m:mathPr>
  <w:themeFontLang w:val="en-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8618D"/>
  <w15:chartTrackingRefBased/>
  <w15:docId w15:val="{C5442352-AD8F-FF4A-A753-76898D855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8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758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758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758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58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58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58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58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58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8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758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758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758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58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58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58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58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5805"/>
    <w:rPr>
      <w:rFonts w:eastAsiaTheme="majorEastAsia" w:cstheme="majorBidi"/>
      <w:color w:val="272727" w:themeColor="text1" w:themeTint="D8"/>
    </w:rPr>
  </w:style>
  <w:style w:type="paragraph" w:styleId="Title">
    <w:name w:val="Title"/>
    <w:basedOn w:val="Normal"/>
    <w:next w:val="Normal"/>
    <w:link w:val="TitleChar"/>
    <w:uiPriority w:val="10"/>
    <w:qFormat/>
    <w:rsid w:val="00E758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58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58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58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5805"/>
    <w:pPr>
      <w:spacing w:before="160"/>
      <w:jc w:val="center"/>
    </w:pPr>
    <w:rPr>
      <w:i/>
      <w:iCs/>
      <w:color w:val="404040" w:themeColor="text1" w:themeTint="BF"/>
    </w:rPr>
  </w:style>
  <w:style w:type="character" w:customStyle="1" w:styleId="QuoteChar">
    <w:name w:val="Quote Char"/>
    <w:basedOn w:val="DefaultParagraphFont"/>
    <w:link w:val="Quote"/>
    <w:uiPriority w:val="29"/>
    <w:rsid w:val="00E75805"/>
    <w:rPr>
      <w:i/>
      <w:iCs/>
      <w:color w:val="404040" w:themeColor="text1" w:themeTint="BF"/>
    </w:rPr>
  </w:style>
  <w:style w:type="paragraph" w:styleId="ListParagraph">
    <w:name w:val="List Paragraph"/>
    <w:basedOn w:val="Normal"/>
    <w:uiPriority w:val="34"/>
    <w:qFormat/>
    <w:rsid w:val="00E75805"/>
    <w:pPr>
      <w:ind w:left="720"/>
      <w:contextualSpacing/>
    </w:pPr>
  </w:style>
  <w:style w:type="character" w:styleId="IntenseEmphasis">
    <w:name w:val="Intense Emphasis"/>
    <w:basedOn w:val="DefaultParagraphFont"/>
    <w:uiPriority w:val="21"/>
    <w:qFormat/>
    <w:rsid w:val="00E75805"/>
    <w:rPr>
      <w:i/>
      <w:iCs/>
      <w:color w:val="0F4761" w:themeColor="accent1" w:themeShade="BF"/>
    </w:rPr>
  </w:style>
  <w:style w:type="paragraph" w:styleId="IntenseQuote">
    <w:name w:val="Intense Quote"/>
    <w:basedOn w:val="Normal"/>
    <w:next w:val="Normal"/>
    <w:link w:val="IntenseQuoteChar"/>
    <w:uiPriority w:val="30"/>
    <w:qFormat/>
    <w:rsid w:val="00E758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5805"/>
    <w:rPr>
      <w:i/>
      <w:iCs/>
      <w:color w:val="0F4761" w:themeColor="accent1" w:themeShade="BF"/>
    </w:rPr>
  </w:style>
  <w:style w:type="character" w:styleId="IntenseReference">
    <w:name w:val="Intense Reference"/>
    <w:basedOn w:val="DefaultParagraphFont"/>
    <w:uiPriority w:val="32"/>
    <w:qFormat/>
    <w:rsid w:val="00E75805"/>
    <w:rPr>
      <w:b/>
      <w:bCs/>
      <w:smallCaps/>
      <w:color w:val="0F4761" w:themeColor="accent1" w:themeShade="BF"/>
      <w:spacing w:val="5"/>
    </w:rPr>
  </w:style>
  <w:style w:type="paragraph" w:styleId="NormalWeb">
    <w:name w:val="Normal (Web)"/>
    <w:basedOn w:val="Normal"/>
    <w:uiPriority w:val="99"/>
    <w:unhideWhenUsed/>
    <w:rsid w:val="006B16C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6B16C1"/>
    <w:rPr>
      <w:b/>
      <w:bCs/>
    </w:rPr>
  </w:style>
  <w:style w:type="character" w:styleId="Hyperlink">
    <w:name w:val="Hyperlink"/>
    <w:basedOn w:val="DefaultParagraphFont"/>
    <w:uiPriority w:val="99"/>
    <w:unhideWhenUsed/>
    <w:rsid w:val="006B16C1"/>
    <w:rPr>
      <w:color w:val="0000FF"/>
      <w:u w:val="single"/>
    </w:rPr>
  </w:style>
  <w:style w:type="character" w:styleId="FollowedHyperlink">
    <w:name w:val="FollowedHyperlink"/>
    <w:basedOn w:val="DefaultParagraphFont"/>
    <w:uiPriority w:val="99"/>
    <w:semiHidden/>
    <w:unhideWhenUsed/>
    <w:rsid w:val="00681496"/>
    <w:rPr>
      <w:color w:val="96607D" w:themeColor="followedHyperlink"/>
      <w:u w:val="single"/>
    </w:rPr>
  </w:style>
  <w:style w:type="character" w:styleId="UnresolvedMention">
    <w:name w:val="Unresolved Mention"/>
    <w:basedOn w:val="DefaultParagraphFont"/>
    <w:uiPriority w:val="99"/>
    <w:semiHidden/>
    <w:unhideWhenUsed/>
    <w:rsid w:val="002D1F45"/>
    <w:rPr>
      <w:color w:val="605E5C"/>
      <w:shd w:val="clear" w:color="auto" w:fill="E1DFDD"/>
    </w:rPr>
  </w:style>
  <w:style w:type="character" w:customStyle="1" w:styleId="given-name">
    <w:name w:val="given-name"/>
    <w:basedOn w:val="DefaultParagraphFont"/>
    <w:rsid w:val="00EE706A"/>
  </w:style>
  <w:style w:type="character" w:customStyle="1" w:styleId="apple-converted-space">
    <w:name w:val="apple-converted-space"/>
    <w:basedOn w:val="DefaultParagraphFont"/>
    <w:rsid w:val="00EE706A"/>
  </w:style>
  <w:style w:type="character" w:customStyle="1" w:styleId="text">
    <w:name w:val="text"/>
    <w:basedOn w:val="DefaultParagraphFont"/>
    <w:rsid w:val="00EE706A"/>
  </w:style>
  <w:style w:type="character" w:customStyle="1" w:styleId="author-ref">
    <w:name w:val="author-ref"/>
    <w:basedOn w:val="DefaultParagraphFont"/>
    <w:rsid w:val="00EE706A"/>
  </w:style>
  <w:style w:type="character" w:styleId="Emphasis">
    <w:name w:val="Emphasis"/>
    <w:basedOn w:val="DefaultParagraphFont"/>
    <w:uiPriority w:val="20"/>
    <w:qFormat/>
    <w:rsid w:val="00FA19A0"/>
    <w:rPr>
      <w:i/>
      <w:iCs/>
    </w:rPr>
  </w:style>
  <w:style w:type="paragraph" w:styleId="Header">
    <w:name w:val="header"/>
    <w:basedOn w:val="Normal"/>
    <w:link w:val="HeaderChar"/>
    <w:uiPriority w:val="99"/>
    <w:unhideWhenUsed/>
    <w:rsid w:val="00086D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6D38"/>
  </w:style>
  <w:style w:type="paragraph" w:styleId="Footer">
    <w:name w:val="footer"/>
    <w:basedOn w:val="Normal"/>
    <w:link w:val="FooterChar"/>
    <w:uiPriority w:val="99"/>
    <w:unhideWhenUsed/>
    <w:rsid w:val="00086D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6D38"/>
  </w:style>
  <w:style w:type="paragraph" w:styleId="TOCHeading">
    <w:name w:val="TOC Heading"/>
    <w:basedOn w:val="Heading1"/>
    <w:next w:val="Normal"/>
    <w:uiPriority w:val="39"/>
    <w:unhideWhenUsed/>
    <w:qFormat/>
    <w:rsid w:val="00BC7015"/>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BC7015"/>
    <w:pPr>
      <w:spacing w:before="120" w:after="0"/>
      <w:ind w:left="240"/>
    </w:pPr>
    <w:rPr>
      <w:b/>
      <w:bCs/>
      <w:sz w:val="22"/>
      <w:szCs w:val="22"/>
    </w:rPr>
  </w:style>
  <w:style w:type="paragraph" w:styleId="TOC3">
    <w:name w:val="toc 3"/>
    <w:basedOn w:val="Normal"/>
    <w:next w:val="Normal"/>
    <w:autoRedefine/>
    <w:uiPriority w:val="39"/>
    <w:unhideWhenUsed/>
    <w:rsid w:val="00BC7015"/>
    <w:pPr>
      <w:spacing w:after="0"/>
      <w:ind w:left="480"/>
    </w:pPr>
    <w:rPr>
      <w:sz w:val="20"/>
      <w:szCs w:val="20"/>
    </w:rPr>
  </w:style>
  <w:style w:type="paragraph" w:styleId="TOC1">
    <w:name w:val="toc 1"/>
    <w:basedOn w:val="Normal"/>
    <w:next w:val="Normal"/>
    <w:autoRedefine/>
    <w:uiPriority w:val="39"/>
    <w:unhideWhenUsed/>
    <w:rsid w:val="00BC7015"/>
    <w:pPr>
      <w:spacing w:before="120" w:after="0"/>
    </w:pPr>
    <w:rPr>
      <w:b/>
      <w:bCs/>
      <w:i/>
      <w:iCs/>
    </w:rPr>
  </w:style>
  <w:style w:type="paragraph" w:styleId="TOC4">
    <w:name w:val="toc 4"/>
    <w:basedOn w:val="Normal"/>
    <w:next w:val="Normal"/>
    <w:autoRedefine/>
    <w:uiPriority w:val="39"/>
    <w:semiHidden/>
    <w:unhideWhenUsed/>
    <w:rsid w:val="00BC7015"/>
    <w:pPr>
      <w:spacing w:after="0"/>
      <w:ind w:left="720"/>
    </w:pPr>
    <w:rPr>
      <w:sz w:val="20"/>
      <w:szCs w:val="20"/>
    </w:rPr>
  </w:style>
  <w:style w:type="paragraph" w:styleId="TOC5">
    <w:name w:val="toc 5"/>
    <w:basedOn w:val="Normal"/>
    <w:next w:val="Normal"/>
    <w:autoRedefine/>
    <w:uiPriority w:val="39"/>
    <w:semiHidden/>
    <w:unhideWhenUsed/>
    <w:rsid w:val="00BC7015"/>
    <w:pPr>
      <w:spacing w:after="0"/>
      <w:ind w:left="960"/>
    </w:pPr>
    <w:rPr>
      <w:sz w:val="20"/>
      <w:szCs w:val="20"/>
    </w:rPr>
  </w:style>
  <w:style w:type="paragraph" w:styleId="TOC6">
    <w:name w:val="toc 6"/>
    <w:basedOn w:val="Normal"/>
    <w:next w:val="Normal"/>
    <w:autoRedefine/>
    <w:uiPriority w:val="39"/>
    <w:semiHidden/>
    <w:unhideWhenUsed/>
    <w:rsid w:val="00BC7015"/>
    <w:pPr>
      <w:spacing w:after="0"/>
      <w:ind w:left="1200"/>
    </w:pPr>
    <w:rPr>
      <w:sz w:val="20"/>
      <w:szCs w:val="20"/>
    </w:rPr>
  </w:style>
  <w:style w:type="paragraph" w:styleId="TOC7">
    <w:name w:val="toc 7"/>
    <w:basedOn w:val="Normal"/>
    <w:next w:val="Normal"/>
    <w:autoRedefine/>
    <w:uiPriority w:val="39"/>
    <w:semiHidden/>
    <w:unhideWhenUsed/>
    <w:rsid w:val="00BC7015"/>
    <w:pPr>
      <w:spacing w:after="0"/>
      <w:ind w:left="1440"/>
    </w:pPr>
    <w:rPr>
      <w:sz w:val="20"/>
      <w:szCs w:val="20"/>
    </w:rPr>
  </w:style>
  <w:style w:type="paragraph" w:styleId="TOC8">
    <w:name w:val="toc 8"/>
    <w:basedOn w:val="Normal"/>
    <w:next w:val="Normal"/>
    <w:autoRedefine/>
    <w:uiPriority w:val="39"/>
    <w:semiHidden/>
    <w:unhideWhenUsed/>
    <w:rsid w:val="00BC7015"/>
    <w:pPr>
      <w:spacing w:after="0"/>
      <w:ind w:left="1680"/>
    </w:pPr>
    <w:rPr>
      <w:sz w:val="20"/>
      <w:szCs w:val="20"/>
    </w:rPr>
  </w:style>
  <w:style w:type="paragraph" w:styleId="TOC9">
    <w:name w:val="toc 9"/>
    <w:basedOn w:val="Normal"/>
    <w:next w:val="Normal"/>
    <w:autoRedefine/>
    <w:uiPriority w:val="39"/>
    <w:semiHidden/>
    <w:unhideWhenUsed/>
    <w:rsid w:val="00BC7015"/>
    <w:pPr>
      <w:spacing w:after="0"/>
      <w:ind w:left="1920"/>
    </w:pPr>
    <w:rPr>
      <w:sz w:val="20"/>
      <w:szCs w:val="20"/>
    </w:rPr>
  </w:style>
  <w:style w:type="character" w:styleId="SubtleEmphasis">
    <w:name w:val="Subtle Emphasis"/>
    <w:basedOn w:val="DefaultParagraphFont"/>
    <w:uiPriority w:val="19"/>
    <w:qFormat/>
    <w:rsid w:val="0075519E"/>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doi.org/10.1007/s11747-020-00749-9" TargetMode="External"/><Relationship Id="rId18" Type="http://schemas.openxmlformats.org/officeDocument/2006/relationships/hyperlink" Target="https://doi.org/10.1007/s11747-016-0495-4" TargetMode="External"/><Relationship Id="rId26" Type="http://schemas.openxmlformats.org/officeDocument/2006/relationships/hyperlink" Target="https://unstats.un.org/sdgs/report/2023" TargetMode="External"/><Relationship Id="rId3" Type="http://schemas.openxmlformats.org/officeDocument/2006/relationships/styles" Target="styles.xml"/><Relationship Id="rId21" Type="http://schemas.openxmlformats.org/officeDocument/2006/relationships/hyperlink" Target="https://doi.org/10.1016/j.ijresmar.2019.10.002" TargetMode="External"/><Relationship Id="rId7" Type="http://schemas.openxmlformats.org/officeDocument/2006/relationships/endnotes" Target="endnotes.xml"/><Relationship Id="rId12" Type="http://schemas.openxmlformats.org/officeDocument/2006/relationships/hyperlink" Target="https://commission.europa.eu/" TargetMode="External"/><Relationship Id="rId17" Type="http://schemas.openxmlformats.org/officeDocument/2006/relationships/hyperlink" Target="https://doi.org/10.1509/jm.15.0420" TargetMode="External"/><Relationship Id="rId25" Type="http://schemas.openxmlformats.org/officeDocument/2006/relationships/hyperlink" Target="https://www.tescoplc.com/sustainability-report-2025" TargetMode="External"/><Relationship Id="rId2" Type="http://schemas.openxmlformats.org/officeDocument/2006/relationships/numbering" Target="numbering.xml"/><Relationship Id="rId16" Type="http://schemas.openxmlformats.org/officeDocument/2006/relationships/hyperlink" Target="https://doi.org/10.1177/0008125619859317" TargetMode="External"/><Relationship Id="rId20" Type="http://schemas.openxmlformats.org/officeDocument/2006/relationships/hyperlink" Target="https://www.oecd.org/digital/oecd-digital-economy-outloo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1747-019-00696-0" TargetMode="External"/><Relationship Id="rId24" Type="http://schemas.openxmlformats.org/officeDocument/2006/relationships/hyperlink" Target="https://www.tescoplc.com/investors/reports-results-and-presentations/annual-report-2025" TargetMode="External"/><Relationship Id="rId5" Type="http://schemas.openxmlformats.org/officeDocument/2006/relationships/webSettings" Target="webSettings.xml"/><Relationship Id="rId15" Type="http://schemas.openxmlformats.org/officeDocument/2006/relationships/hyperlink" Target="https://www.kantar.com/uki/inspiration/fmcg/grocery-market-share" TargetMode="External"/><Relationship Id="rId23" Type="http://schemas.openxmlformats.org/officeDocument/2006/relationships/hyperlink" Target="https://www.tescoplc.com/investors/reports-results-and-presentations/annual-report-2024" TargetMode="External"/><Relationship Id="rId28" Type="http://schemas.openxmlformats.org/officeDocument/2006/relationships/hyperlink" Target="https://www.weforum.org/reports/the-future-of-jobs-report-2024" TargetMode="External"/><Relationship Id="rId10" Type="http://schemas.openxmlformats.org/officeDocument/2006/relationships/hyperlink" Target="https://www.mckinsey.com/capabilities/mckinsey-digital/our-insights/the-economic-potential-of-generative-ai-the-next-productivity-frontier" TargetMode="External"/><Relationship Id="rId19" Type="http://schemas.openxmlformats.org/officeDocument/2006/relationships/hyperlink" Target="https://www.mckinsey.com/" TargetMode="External"/><Relationship Id="rId4" Type="http://schemas.openxmlformats.org/officeDocument/2006/relationships/settings" Target="settings.xml"/><Relationship Id="rId9" Type="http://schemas.openxmlformats.org/officeDocument/2006/relationships/hyperlink" Target="https://doi.org/10.1016/j.chb.2020.106548" TargetMode="External"/><Relationship Id="rId14" Type="http://schemas.openxmlformats.org/officeDocument/2006/relationships/hyperlink" Target="https://ico.org.uk/for-organisations/uk-gdpr-guidance-and-resources" TargetMode="External"/><Relationship Id="rId22" Type="http://schemas.openxmlformats.org/officeDocument/2006/relationships/hyperlink" Target="https://doi.org/10.1509/jmkg.68.1.109.24030" TargetMode="External"/><Relationship Id="rId27" Type="http://schemas.openxmlformats.org/officeDocument/2006/relationships/hyperlink" Target="https://doi.org/10.1509/jm.15.0413"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1FF1457-6249-524F-99BF-ECC2F9EA4E98}">
  <we:reference id="wa200001011" version="1.2.0.0" store="en-US"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19DA3-C4BC-AC46-A828-C2A58DDBC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19</Pages>
  <Words>5128</Words>
  <Characters>29234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MOV Memories</dc:creator>
  <cp:keywords/>
  <dc:description/>
  <cp:lastModifiedBy>MOV Memories</cp:lastModifiedBy>
  <cp:revision>12</cp:revision>
  <dcterms:created xsi:type="dcterms:W3CDTF">2026-04-05T11:59:00Z</dcterms:created>
  <dcterms:modified xsi:type="dcterms:W3CDTF">2026-06-10T14:37:00Z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documentId_4617</vt:lpwstr>
  </property>
  <property fmtid="{D5CDD505-2E9C-101B-9397-08002B2CF9AE}" pid="3" name="grammarly_documentContext">
    <vt:lpwstr>{"goals":["inform","describe"],"domain":"academic","emotions":["analytical"],"dialect":"british","audience":"expert","style":"formal"}</vt:lpwstr>
  </property>
  <property fmtid="{D5CDD505-2E9C-101B-9397-08002B2CF9AE}" pid="4" name="GrammarlyDocumentId">
    <vt:lpwstr>fe298d9589a8a17f7a41f760559a727d4e0223f4f909658f38973f5058bbbb61</vt:lpwstr>
  </property>
</Properties>
</file>