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The Spartan Decline.</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Up until the inevitable fall of the Spartans, it is clear that as a whole they were an extremely powerful Polis. When the exact date of their decline did in fact happen is unknown, however, this is because it is not sure what was the exact reason for the decline to have happened to begin with. Many ancient sources and modern scholars all have different ideas as to why or how the Spartan decline actually happened.</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Aristotle’s Politics, Aristotle states that his belief for the Spartan decline was that there was a general population decline</w:t>
      </w:r>
      <w:r w:rsidDel="00000000" w:rsidR="00000000" w:rsidRPr="00000000">
        <w:rPr>
          <w:vertAlign w:val="superscript"/>
        </w:rPr>
        <w:footnoteReference w:customMarkFollows="0" w:id="0"/>
      </w:r>
      <w:r w:rsidDel="00000000" w:rsidR="00000000" w:rsidRPr="00000000">
        <w:rPr>
          <w:rtl w:val="0"/>
        </w:rPr>
        <w:t xml:space="preserve">, meaning that towards the end of the Spartan’s time, there was not as many Spartans in the population as there had once been in the past. In his work, he states that despite the Spartan’s being able to supply around ‘thirty thousand heavy-armed troopers’, they only appeared to have under one thousand. </w:t>
      </w:r>
      <w:r w:rsidDel="00000000" w:rsidR="00000000" w:rsidRPr="00000000">
        <w:rPr>
          <w:vertAlign w:val="superscript"/>
        </w:rPr>
        <w:footnoteReference w:customMarkFollows="0" w:id="1"/>
      </w:r>
      <w:r w:rsidDel="00000000" w:rsidR="00000000" w:rsidRPr="00000000">
        <w:rPr>
          <w:rtl w:val="0"/>
        </w:rPr>
        <w:t xml:space="preserve"> This is in context to the number of Spartan’s which marched into the battle of Plataea which took place in 479 BC. </w:t>
      </w:r>
      <w:r w:rsidDel="00000000" w:rsidR="00000000" w:rsidRPr="00000000">
        <w:rPr>
          <w:vertAlign w:val="superscript"/>
        </w:rPr>
        <w:footnoteReference w:customMarkFollows="0" w:id="2"/>
      </w:r>
      <w:r w:rsidDel="00000000" w:rsidR="00000000" w:rsidRPr="00000000">
        <w:rPr>
          <w:rtl w:val="0"/>
        </w:rPr>
        <w:t xml:space="preserve"> Aristotle goes on to say that it was to be expected that the states male population should have been ‘kept up’ due to the need of males for the Spartan Army (Spartiates). </w:t>
      </w:r>
      <w:r w:rsidDel="00000000" w:rsidR="00000000" w:rsidRPr="00000000">
        <w:rPr>
          <w:vertAlign w:val="superscript"/>
        </w:rPr>
        <w:footnoteReference w:customMarkFollows="0" w:id="3"/>
      </w:r>
      <w:r w:rsidDel="00000000" w:rsidR="00000000" w:rsidRPr="00000000">
        <w:rPr>
          <w:rtl w:val="0"/>
        </w:rPr>
        <w:t xml:space="preserve"> Cawkwell discuss’ how, in ‘Thucydides’ calculations’ surrounding the First Mantinea, the Spartan Army should have atleast contained, or equalled to between 2,100 and 2,500, but not over. </w:t>
      </w:r>
      <w:r w:rsidDel="00000000" w:rsidR="00000000" w:rsidRPr="00000000">
        <w:rPr>
          <w:vertAlign w:val="superscript"/>
        </w:rPr>
        <w:footnoteReference w:customMarkFollows="0" w:id="4"/>
      </w:r>
      <w:r w:rsidDel="00000000" w:rsidR="00000000" w:rsidRPr="00000000">
        <w:rPr>
          <w:rtl w:val="0"/>
        </w:rPr>
        <w:t xml:space="preserve"> However, Cawkwell continues on to mention that Thucydides’ calculations have been questioned in the past, suggesting that the exact number will remain unknown and questionable. </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Due to this, it can be a suggestion for the reason for the Spartan Decline. The suggestion being that there was not enough, or as many male children born as frequently or as common as they once had which, in a sense, would have affected the size of the army and how well they would have been able to fight and potentially defeat whoever they were fighting against. This is also a problem as it would have meant a major population decrease overall, adding that to the numerous deaths that occured due to battles against other armies. Thus making it relatively difficult to calculate the exact closest number of citizens.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Another argument that is also rooted with the idea of the Spartan population, but rather than the decline as a whole, it is argued that perhaps towards the end of the Spartan empire and society as a whole, they used more and more non-Spartan soldiers to fight in battles, which could have been prisoners of war or people who may not have had citizenship but were expendable to the Spartans. Cawkwell states that after a ‘non-Spartiate force’ was brought to Thrace by Brasidas, the Spartans started to utilize more and more forces of non-Spartiates for military purposes. </w:t>
      </w:r>
      <w:r w:rsidDel="00000000" w:rsidR="00000000" w:rsidRPr="00000000">
        <w:rPr>
          <w:vertAlign w:val="superscript"/>
        </w:rPr>
        <w:footnoteReference w:customMarkFollows="0" w:id="6"/>
      </w:r>
      <w:r w:rsidDel="00000000" w:rsidR="00000000" w:rsidRPr="00000000">
        <w:rPr>
          <w:rtl w:val="0"/>
        </w:rPr>
        <w:t xml:space="preserve"> They were used to ‘swell’ the number of members in the military, making it appear to enemies that they still have a larger amount of Spartans to fight them. </w:t>
      </w:r>
      <w:r w:rsidDel="00000000" w:rsidR="00000000" w:rsidRPr="00000000">
        <w:rPr>
          <w:vertAlign w:val="superscript"/>
        </w:rPr>
        <w:footnoteReference w:customMarkFollows="0" w:id="7"/>
      </w:r>
      <w:r w:rsidDel="00000000" w:rsidR="00000000" w:rsidRPr="00000000">
        <w:rPr>
          <w:rtl w:val="0"/>
        </w:rPr>
        <w:t xml:space="preserve">It is believed that in theory, as the size of the Spartan population decreased, there was an immense rise in the ‘Inferior’ population, both inside and outside of the military. </w:t>
      </w:r>
      <w:r w:rsidDel="00000000" w:rsidR="00000000" w:rsidRPr="00000000">
        <w:rPr>
          <w:vertAlign w:val="superscript"/>
        </w:rPr>
        <w:footnoteReference w:customMarkFollows="0" w:id="8"/>
      </w:r>
      <w:r w:rsidDel="00000000" w:rsidR="00000000" w:rsidRPr="00000000">
        <w:rPr>
          <w:rtl w:val="0"/>
        </w:rPr>
        <w:t xml:space="preserve"> It is also speculated that it was not infertility that caused the decline in the population, but rather the cost and inequality of living and properties meant that a lot of Spartans could not afford to stay, opting to leave rather than stay. </w:t>
      </w:r>
      <w:r w:rsidDel="00000000" w:rsidR="00000000" w:rsidRPr="00000000">
        <w:rPr>
          <w:vertAlign w:val="superscript"/>
        </w:rPr>
        <w:footnoteReference w:customMarkFollows="0" w:id="9"/>
      </w:r>
      <w:r w:rsidDel="00000000" w:rsidR="00000000" w:rsidRPr="00000000">
        <w:rPr>
          <w:rtl w:val="0"/>
        </w:rPr>
        <w:t xml:space="preserve"> Another reason for the influx of Inferiors was due to them not having the same rights as Spartans; they had no rights, meaning they were disposable and could be used for whatever and whenever the Spartans needed them. </w:t>
      </w:r>
      <w:r w:rsidDel="00000000" w:rsidR="00000000" w:rsidRPr="00000000">
        <w:rPr>
          <w:vertAlign w:val="superscript"/>
        </w:rPr>
        <w:footnoteReference w:customMarkFollows="0" w:id="10"/>
      </w:r>
      <w:r w:rsidDel="00000000" w:rsidR="00000000" w:rsidRPr="00000000">
        <w:rPr>
          <w:rtl w:val="0"/>
        </w:rPr>
        <w:t xml:space="preserve"> It was clear that there was a decline in Spartan citizens, but it can be said that perhaps the decline was steady. </w:t>
      </w:r>
      <w:r w:rsidDel="00000000" w:rsidR="00000000" w:rsidRPr="00000000">
        <w:rPr>
          <w:vertAlign w:val="superscript"/>
        </w:rPr>
        <w:footnoteReference w:customMarkFollows="0" w:id="11"/>
      </w:r>
      <w:r w:rsidDel="00000000" w:rsidR="00000000" w:rsidRPr="00000000">
        <w:rPr>
          <w:rtl w:val="0"/>
        </w:rPr>
        <w:t xml:space="preserve"> It is believed that roughly sixty years after the Persian Wars, the population had decreased around ‘sixty-nine to seventy-three per cent’, while around fifty years after 418, the population dropped ‘between sixty and fifty-four per cent’. </w:t>
      </w:r>
      <w:r w:rsidDel="00000000" w:rsidR="00000000" w:rsidRPr="00000000">
        <w:rPr>
          <w:vertAlign w:val="superscript"/>
        </w:rPr>
        <w:footnoteReference w:customMarkFollows="0" w:id="12"/>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second possible reason for the eventual decline of Sparta could have been their defeat at Leuctra. Usually, the Spartan army had been quite large, wanting to be one of the biggest military states in the ancient world. However, by the time they were to battle at Leuctra, Sparta's army was dwindling, their numbers were smaller than ever. </w:t>
      </w:r>
      <w:r w:rsidDel="00000000" w:rsidR="00000000" w:rsidRPr="00000000">
        <w:rPr>
          <w:vertAlign w:val="superscript"/>
        </w:rPr>
        <w:footnoteReference w:customMarkFollows="0" w:id="13"/>
      </w:r>
      <w:r w:rsidDel="00000000" w:rsidR="00000000" w:rsidRPr="00000000">
        <w:rPr>
          <w:rtl w:val="0"/>
        </w:rPr>
        <w:t xml:space="preserve"> Despite the amount of training they had done for all sorts of battles, due to their small size, they were incredibly weaker than what they had once been before. </w:t>
      </w:r>
      <w:r w:rsidDel="00000000" w:rsidR="00000000" w:rsidRPr="00000000">
        <w:rPr>
          <w:vertAlign w:val="superscript"/>
        </w:rPr>
        <w:footnoteReference w:customMarkFollows="0" w:id="14"/>
      </w:r>
      <w:r w:rsidDel="00000000" w:rsidR="00000000" w:rsidRPr="00000000">
        <w:rPr>
          <w:rtl w:val="0"/>
        </w:rPr>
        <w:t xml:space="preserve"> This could be both physically and mentally weaker also as, due to their few numbers, perhaps not every member of the army felt as if they stood a chance against any very large group of people. Sparta had always had larger numbers in her military, so this must have been a shock to them to have such little numbers when in comparison to other years.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According to many accounts, we can see that the defeat at Leuctra was one of the downfalls of Sparta. Jones states that at this battle, ‘the Spartans were well and truly beaten’, and an estimated four hundred Spartans were lost to the battle. </w:t>
      </w:r>
      <w:r w:rsidDel="00000000" w:rsidR="00000000" w:rsidRPr="00000000">
        <w:rPr>
          <w:vertAlign w:val="superscript"/>
        </w:rPr>
        <w:footnoteReference w:customMarkFollows="0" w:id="15"/>
      </w:r>
      <w:r w:rsidDel="00000000" w:rsidR="00000000" w:rsidRPr="00000000">
        <w:rPr>
          <w:rtl w:val="0"/>
        </w:rPr>
        <w:t xml:space="preserve"> With around seven hundred ‘of age’ Spartans who fought at Leuctra, as well as a rough estimate of three hundred and fifty other of age fighters, Jones states that due to the amount of people who had died, at least one third were of age to fight and be apart of the army. </w:t>
      </w:r>
      <w:r w:rsidDel="00000000" w:rsidR="00000000" w:rsidRPr="00000000">
        <w:rPr>
          <w:vertAlign w:val="superscript"/>
        </w:rPr>
        <w:footnoteReference w:customMarkFollows="0" w:id="16"/>
      </w:r>
      <w:r w:rsidDel="00000000" w:rsidR="00000000" w:rsidRPr="00000000">
        <w:rPr>
          <w:rtl w:val="0"/>
        </w:rPr>
        <w:t xml:space="preserve"> It was said that Sparta was never able to recover from her defeat at Leuctra. </w:t>
      </w:r>
      <w:r w:rsidDel="00000000" w:rsidR="00000000" w:rsidRPr="00000000">
        <w:rPr>
          <w:vertAlign w:val="superscript"/>
        </w:rPr>
        <w:footnoteReference w:customMarkFollows="0" w:id="17"/>
      </w:r>
      <w:r w:rsidDel="00000000" w:rsidR="00000000" w:rsidRPr="00000000">
        <w:rPr>
          <w:rtl w:val="0"/>
        </w:rPr>
        <w:t xml:space="preserve"> Carthledge and Spawforth both mention that Aristotle described that they, the Spartans, had no power against the immense manpower which ultimately destroyed them in a ‘single blow’. </w:t>
      </w:r>
      <w:r w:rsidDel="00000000" w:rsidR="00000000" w:rsidRPr="00000000">
        <w:rPr>
          <w:vertAlign w:val="superscript"/>
        </w:rPr>
        <w:footnoteReference w:customMarkFollows="0" w:id="18"/>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Sparta’s society had also changed dramatically over the fifty years before the loss at Leuctra, but they did not change their strategies. </w:t>
      </w:r>
      <w:r w:rsidDel="00000000" w:rsidR="00000000" w:rsidRPr="00000000">
        <w:rPr>
          <w:vertAlign w:val="superscript"/>
        </w:rPr>
        <w:footnoteReference w:customMarkFollows="0" w:id="19"/>
      </w:r>
      <w:r w:rsidDel="00000000" w:rsidR="00000000" w:rsidRPr="00000000">
        <w:rPr>
          <w:rtl w:val="0"/>
        </w:rPr>
        <w:t xml:space="preserve"> With the Kings of Sparta still commanding the military, they had not changed much since the rulers before them, meaning that their skills and ways of thinking were still relatively set in the past. </w:t>
      </w:r>
      <w:r w:rsidDel="00000000" w:rsidR="00000000" w:rsidRPr="00000000">
        <w:rPr>
          <w:vertAlign w:val="superscript"/>
        </w:rPr>
        <w:footnoteReference w:customMarkFollows="0" w:id="20"/>
      </w:r>
      <w:r w:rsidDel="00000000" w:rsidR="00000000" w:rsidRPr="00000000">
        <w:rPr>
          <w:rtl w:val="0"/>
        </w:rPr>
        <w:t xml:space="preserve"> Perhaps if they had decided to try out different tactics and ways to fight, ambush and attack, as well as defend, they may have been able to stand against the immense manpower, instead they chose to ignore the changing of the art of war. </w:t>
      </w:r>
      <w:r w:rsidDel="00000000" w:rsidR="00000000" w:rsidRPr="00000000">
        <w:rPr>
          <w:vertAlign w:val="superscript"/>
        </w:rPr>
        <w:footnoteReference w:customMarkFollows="0" w:id="21"/>
      </w:r>
      <w:r w:rsidDel="00000000" w:rsidR="00000000" w:rsidRPr="00000000">
        <w:rPr>
          <w:rtl w:val="0"/>
        </w:rPr>
        <w:t xml:space="preserve">Her ways of war had stayed relatively the same for years while all over Greece, things had been changing and adapting to fit with the new influx and cultures surrounding them. </w:t>
      </w:r>
      <w:r w:rsidDel="00000000" w:rsidR="00000000" w:rsidRPr="00000000">
        <w:rPr>
          <w:vertAlign w:val="superscript"/>
        </w:rPr>
        <w:footnoteReference w:customMarkFollows="0" w:id="22"/>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In conclusion, there was a multitude of reasons as to why and how the Spartan empire declined as it did. However, the ability to pinpoint the exact reason is difficult. This is mainly due to how a lot of different changes were happening across Greece and across the ancient world entirely. Although, it can be argued that the theory of a decreasing population of Spartans would have played a valuable role in any theory discussing the downfall and decline of the Spartan empire. The idea that there was just not enough Spartans can fit in to almost every theory.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This can be seen in the argument that the defeat of Leuctra would lead to the inevitable fall of the empire. This was because, as stated before, at least a third of age soldiers died. This suggests that there probably would have been older, in terms of the ancient world, more weaker members of the army which would have affected their fighting ability. This would make sense as to why they were practically defeated with a ‘single blow’.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However, it is obvious that the defeat at Leuctra did cause a multitude of problems after. This is because, once again, they as a society were never able to recover. This meant that Sparta would never return to her former glory again, due to her failure to adapt and change to suit what they needed to do in order to have some sort of chance to defend themselves in a better and more effective way.</w:t>
      </w:r>
    </w:p>
    <w:p w:rsidR="00000000" w:rsidDel="00000000" w:rsidP="00000000" w:rsidRDefault="00000000" w:rsidRPr="00000000" w14:paraId="00000016">
      <w:pPr>
        <w:jc w:val="center"/>
        <w:rPr>
          <w:b w:val="1"/>
          <w:u w:val="single"/>
        </w:rPr>
      </w:pPr>
      <w:r w:rsidDel="00000000" w:rsidR="00000000" w:rsidRPr="00000000">
        <w:rPr>
          <w:rtl w:val="0"/>
        </w:rPr>
      </w:r>
    </w:p>
    <w:p w:rsidR="00000000" w:rsidDel="00000000" w:rsidP="00000000" w:rsidRDefault="00000000" w:rsidRPr="00000000" w14:paraId="00000017">
      <w:pPr>
        <w:jc w:val="center"/>
        <w:rPr>
          <w:b w:val="1"/>
          <w:u w:val="single"/>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b w:val="1"/>
          <w:rtl w:val="0"/>
        </w:rPr>
        <w:t xml:space="preserve">Bibliography.</w:t>
      </w:r>
    </w:p>
    <w:p w:rsidR="00000000" w:rsidDel="00000000" w:rsidP="00000000" w:rsidRDefault="00000000" w:rsidRPr="00000000" w14:paraId="00000023">
      <w:pPr>
        <w:rPr>
          <w:b w:val="1"/>
          <w:u w:val="single"/>
        </w:rPr>
      </w:pPr>
      <w:r w:rsidDel="00000000" w:rsidR="00000000" w:rsidRPr="00000000">
        <w:rPr>
          <w:b w:val="1"/>
          <w:u w:val="single"/>
          <w:rtl w:val="0"/>
        </w:rPr>
        <w:t xml:space="preserve">Ancient Sources.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Aristotle. Politics.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u w:val="single"/>
        </w:rPr>
      </w:pPr>
      <w:r w:rsidDel="00000000" w:rsidR="00000000" w:rsidRPr="00000000">
        <w:rPr>
          <w:b w:val="1"/>
          <w:u w:val="single"/>
          <w:rtl w:val="0"/>
        </w:rPr>
        <w:t xml:space="preserve">Modern.</w:t>
      </w:r>
    </w:p>
    <w:p w:rsidR="00000000" w:rsidDel="00000000" w:rsidP="00000000" w:rsidRDefault="00000000" w:rsidRPr="00000000" w14:paraId="00000028">
      <w:pPr>
        <w:rPr>
          <w:b w:val="1"/>
          <w:u w:val="single"/>
        </w:rPr>
      </w:pPr>
      <w:r w:rsidDel="00000000" w:rsidR="00000000" w:rsidRPr="00000000">
        <w:rPr>
          <w:rtl w:val="0"/>
        </w:rPr>
      </w:r>
    </w:p>
    <w:p w:rsidR="00000000" w:rsidDel="00000000" w:rsidP="00000000" w:rsidRDefault="00000000" w:rsidRPr="00000000" w14:paraId="00000029">
      <w:pPr>
        <w:rPr>
          <w:highlight w:val="white"/>
        </w:rPr>
      </w:pPr>
      <w:r w:rsidDel="00000000" w:rsidR="00000000" w:rsidRPr="00000000">
        <w:rPr>
          <w:highlight w:val="white"/>
          <w:rtl w:val="0"/>
        </w:rPr>
        <w:t xml:space="preserve">Cartledge, Spawforth, &amp; Spawforth, Antony. (1989). </w:t>
      </w:r>
      <w:r w:rsidDel="00000000" w:rsidR="00000000" w:rsidRPr="00000000">
        <w:rPr>
          <w:i w:val="1"/>
          <w:highlight w:val="white"/>
          <w:rtl w:val="0"/>
        </w:rPr>
        <w:t xml:space="preserve">Hellenistic and Roman Sparta : A tale of two cities</w:t>
      </w:r>
      <w:r w:rsidDel="00000000" w:rsidR="00000000" w:rsidRPr="00000000">
        <w:rPr>
          <w:highlight w:val="white"/>
          <w:rtl w:val="0"/>
        </w:rPr>
        <w:t xml:space="preserve"> (States and cities of ancient Greece). London: Routledge.</w:t>
      </w:r>
    </w:p>
    <w:p w:rsidR="00000000" w:rsidDel="00000000" w:rsidP="00000000" w:rsidRDefault="00000000" w:rsidRPr="00000000" w14:paraId="0000002A">
      <w:pPr>
        <w:rPr>
          <w:highlight w:val="white"/>
        </w:rPr>
      </w:pPr>
      <w:r w:rsidDel="00000000" w:rsidR="00000000" w:rsidRPr="00000000">
        <w:rPr>
          <w:rtl w:val="0"/>
        </w:rPr>
      </w:r>
    </w:p>
    <w:p w:rsidR="00000000" w:rsidDel="00000000" w:rsidP="00000000" w:rsidRDefault="00000000" w:rsidRPr="00000000" w14:paraId="0000002B">
      <w:pPr>
        <w:rPr>
          <w:highlight w:val="white"/>
        </w:rPr>
      </w:pPr>
      <w:r w:rsidDel="00000000" w:rsidR="00000000" w:rsidRPr="00000000">
        <w:rPr>
          <w:highlight w:val="white"/>
          <w:rtl w:val="0"/>
        </w:rPr>
        <w:t xml:space="preserve">Jones, A. (1967). </w:t>
      </w:r>
      <w:r w:rsidDel="00000000" w:rsidR="00000000" w:rsidRPr="00000000">
        <w:rPr>
          <w:i w:val="1"/>
          <w:highlight w:val="white"/>
          <w:rtl w:val="0"/>
        </w:rPr>
        <w:t xml:space="preserve">Sparta</w:t>
      </w:r>
      <w:r w:rsidDel="00000000" w:rsidR="00000000" w:rsidRPr="00000000">
        <w:rPr>
          <w:highlight w:val="white"/>
          <w:rtl w:val="0"/>
        </w:rPr>
        <w:t xml:space="preserve">. Oxford: Blackwell.</w:t>
      </w:r>
    </w:p>
    <w:p w:rsidR="00000000" w:rsidDel="00000000" w:rsidP="00000000" w:rsidRDefault="00000000" w:rsidRPr="00000000" w14:paraId="0000002C">
      <w:pPr>
        <w:rPr>
          <w:highlight w:val="white"/>
        </w:rPr>
      </w:pPr>
      <w:r w:rsidDel="00000000" w:rsidR="00000000" w:rsidRPr="00000000">
        <w:rPr>
          <w:rtl w:val="0"/>
        </w:rPr>
      </w:r>
    </w:p>
    <w:p w:rsidR="00000000" w:rsidDel="00000000" w:rsidP="00000000" w:rsidRDefault="00000000" w:rsidRPr="00000000" w14:paraId="0000002D">
      <w:pPr>
        <w:rPr>
          <w:highlight w:val="white"/>
        </w:rPr>
      </w:pPr>
      <w:r w:rsidDel="00000000" w:rsidR="00000000" w:rsidRPr="00000000">
        <w:rPr>
          <w:highlight w:val="white"/>
          <w:rtl w:val="0"/>
        </w:rPr>
        <w:t xml:space="preserve">Whitby, &amp; Whitby, Michael. (2002). </w:t>
      </w:r>
      <w:r w:rsidDel="00000000" w:rsidR="00000000" w:rsidRPr="00000000">
        <w:rPr>
          <w:i w:val="1"/>
          <w:highlight w:val="white"/>
          <w:rtl w:val="0"/>
        </w:rPr>
        <w:t xml:space="preserve">Sparta</w:t>
      </w:r>
      <w:r w:rsidDel="00000000" w:rsidR="00000000" w:rsidRPr="00000000">
        <w:rPr>
          <w:highlight w:val="white"/>
          <w:rtl w:val="0"/>
        </w:rPr>
        <w:t xml:space="preserve"> (Edinburgh readings on the ancient world). Edinburgh: Edinburgh University Press.</w:t>
      </w:r>
    </w:p>
    <w:p w:rsidR="00000000" w:rsidDel="00000000" w:rsidP="00000000" w:rsidRDefault="00000000" w:rsidRPr="00000000" w14:paraId="0000002E">
      <w:pPr>
        <w:rPr>
          <w:color w:val="3a3a3a"/>
          <w:sz w:val="23"/>
          <w:szCs w:val="23"/>
          <w:highlight w:val="white"/>
        </w:rPr>
      </w:pPr>
      <w:r w:rsidDel="00000000" w:rsidR="00000000" w:rsidRPr="00000000">
        <w:rPr>
          <w:rtl w:val="0"/>
        </w:rPr>
      </w:r>
    </w:p>
    <w:p w:rsidR="00000000" w:rsidDel="00000000" w:rsidP="00000000" w:rsidRDefault="00000000" w:rsidRPr="00000000" w14:paraId="0000002F">
      <w:pPr>
        <w:rPr>
          <w:color w:val="3a3a3a"/>
          <w:sz w:val="23"/>
          <w:szCs w:val="23"/>
          <w:highlight w:val="white"/>
        </w:rPr>
      </w:pPr>
      <w:r w:rsidDel="00000000" w:rsidR="00000000" w:rsidRPr="00000000">
        <w:rPr>
          <w:rtl w:val="0"/>
        </w:rPr>
      </w:r>
    </w:p>
    <w:p w:rsidR="00000000" w:rsidDel="00000000" w:rsidP="00000000" w:rsidRDefault="00000000" w:rsidRPr="00000000" w14:paraId="00000030">
      <w:pPr>
        <w:rPr>
          <w:color w:val="3a3a3a"/>
          <w:sz w:val="23"/>
          <w:szCs w:val="23"/>
          <w:highlight w:val="white"/>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 </w:t>
      </w:r>
      <w:r w:rsidDel="00000000" w:rsidR="00000000" w:rsidRPr="00000000">
        <w:rPr>
          <w:i w:val="1"/>
          <w:sz w:val="20"/>
          <w:szCs w:val="20"/>
          <w:rtl w:val="0"/>
        </w:rPr>
        <w:t xml:space="preserve">Pol</w:t>
      </w:r>
      <w:r w:rsidDel="00000000" w:rsidR="00000000" w:rsidRPr="00000000">
        <w:rPr>
          <w:sz w:val="20"/>
          <w:szCs w:val="20"/>
          <w:rtl w:val="0"/>
        </w:rPr>
        <w:t xml:space="preserve">. 1270a29-b6.</w:t>
      </w:r>
    </w:p>
  </w:footnote>
  <w:footnote w:id="1">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 </w:t>
      </w:r>
      <w:r w:rsidDel="00000000" w:rsidR="00000000" w:rsidRPr="00000000">
        <w:rPr>
          <w:i w:val="1"/>
          <w:sz w:val="20"/>
          <w:szCs w:val="20"/>
          <w:rtl w:val="0"/>
        </w:rPr>
        <w:t xml:space="preserve">Pol</w:t>
      </w:r>
      <w:r w:rsidDel="00000000" w:rsidR="00000000" w:rsidRPr="00000000">
        <w:rPr>
          <w:sz w:val="20"/>
          <w:szCs w:val="20"/>
          <w:rtl w:val="0"/>
        </w:rPr>
        <w:t xml:space="preserve">. 1270a29-b6.</w:t>
      </w:r>
    </w:p>
  </w:footnote>
  <w:footnote w:id="2">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p.237.</w:t>
      </w:r>
    </w:p>
  </w:footnote>
  <w:footnote w:id="3">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Ari. </w:t>
      </w:r>
      <w:r w:rsidDel="00000000" w:rsidR="00000000" w:rsidRPr="00000000">
        <w:rPr>
          <w:i w:val="1"/>
          <w:sz w:val="20"/>
          <w:szCs w:val="20"/>
          <w:rtl w:val="0"/>
        </w:rPr>
        <w:t xml:space="preserve">Pol</w:t>
      </w:r>
      <w:r w:rsidDel="00000000" w:rsidR="00000000" w:rsidRPr="00000000">
        <w:rPr>
          <w:sz w:val="20"/>
          <w:szCs w:val="20"/>
          <w:rtl w:val="0"/>
        </w:rPr>
        <w:t xml:space="preserve">. 1270a29-b6.</w:t>
      </w:r>
    </w:p>
  </w:footnote>
  <w:footnote w:id="4">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p.237..</w:t>
      </w:r>
    </w:p>
  </w:footnote>
  <w:footnote w:id="5">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p.237.</w:t>
      </w:r>
    </w:p>
  </w:footnote>
  <w:footnote w:id="6">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p.241.</w:t>
      </w:r>
    </w:p>
  </w:footnote>
  <w:footnote w:id="8">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p.241.</w:t>
      </w:r>
    </w:p>
  </w:footnote>
  <w:footnote w:id="9">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p.241.</w:t>
      </w:r>
    </w:p>
  </w:footnote>
  <w:footnote w:id="10">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p242.</w:t>
      </w:r>
    </w:p>
  </w:footnote>
  <w:footnote w:id="11">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p.243.</w:t>
      </w:r>
    </w:p>
  </w:footnote>
  <w:footnote w:id="12">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p.243.</w:t>
      </w:r>
    </w:p>
  </w:footnote>
  <w:footnote w:id="1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p.253.</w:t>
      </w:r>
    </w:p>
  </w:footnote>
  <w:footnote w:id="14">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p.253.</w:t>
      </w:r>
    </w:p>
  </w:footnote>
  <w:footnote w:id="1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Jones. 1967. p.128.</w:t>
      </w:r>
    </w:p>
  </w:footnote>
  <w:footnote w:id="16">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Jones. 1967. p.129-30.</w:t>
      </w:r>
    </w:p>
  </w:footnote>
  <w:footnote w:id="17">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Cartledge. Spawforth. 1989. p.6.</w:t>
      </w:r>
    </w:p>
  </w:footnote>
  <w:footnote w:id="18">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Cartledge. Spawforth. 1989. p.6.</w:t>
      </w:r>
    </w:p>
  </w:footnote>
  <w:footnote w:id="19">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p.257.</w:t>
      </w:r>
    </w:p>
  </w:footnote>
  <w:footnote w:id="20">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p.257.</w:t>
      </w:r>
    </w:p>
  </w:footnote>
  <w:footnote w:id="21">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p.257.</w:t>
      </w:r>
    </w:p>
  </w:footnote>
  <w:footnote w:id="2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p.257.</w:t>
      </w:r>
    </w:p>
  </w:footnote>
  <w:footnote w:id="7">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Whitby. 2002. p.241.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