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FFBB16" w14:textId="77777777" w:rsidR="00AB35A9" w:rsidRPr="001146A7" w:rsidRDefault="00504E8B" w:rsidP="001146A7">
      <w:pPr>
        <w:pStyle w:val="Title"/>
        <w:jc w:val="center"/>
        <w:rPr>
          <w:rFonts w:ascii="Segoe UI Light" w:hAnsi="Segoe UI Light"/>
          <w:b/>
        </w:rPr>
      </w:pPr>
      <w:r w:rsidRPr="001146A7">
        <w:rPr>
          <w:rFonts w:ascii="Segoe UI Light" w:hAnsi="Segoe UI Light"/>
          <w:b/>
        </w:rPr>
        <w:t xml:space="preserve">Differences between </w:t>
      </w:r>
      <w:r w:rsidRPr="001146A7">
        <w:rPr>
          <w:rFonts w:ascii="Segoe UI Light" w:hAnsi="Segoe UI Light"/>
          <w:b/>
          <w:color w:val="318B98" w:themeColor="accent5" w:themeShade="BF"/>
        </w:rPr>
        <w:t>description</w:t>
      </w:r>
      <w:r w:rsidRPr="001146A7">
        <w:rPr>
          <w:rFonts w:ascii="Segoe UI Light" w:hAnsi="Segoe UI Light"/>
          <w:b/>
        </w:rPr>
        <w:t xml:space="preserve"> and </w:t>
      </w:r>
      <w:r w:rsidRPr="001146A7">
        <w:rPr>
          <w:rFonts w:ascii="Segoe UI Light" w:hAnsi="Segoe UI Light"/>
          <w:b/>
          <w:color w:val="3E762A" w:themeColor="accent1" w:themeShade="BF"/>
        </w:rPr>
        <w:t>critical analysis</w:t>
      </w:r>
    </w:p>
    <w:p w14:paraId="18FFBB17" w14:textId="77777777" w:rsidR="00504E8B" w:rsidRDefault="00504E8B" w:rsidP="00BF10FD">
      <w:pPr>
        <w:rPr>
          <w:rFonts w:ascii="Segoe UI" w:hAnsi="Segoe UI" w:cs="Segoe UI"/>
        </w:rPr>
      </w:pPr>
      <w:r>
        <w:rPr>
          <w:rFonts w:ascii="Arial" w:hAnsi="Arial" w:cs="Arial"/>
          <w:b/>
        </w:rPr>
        <w:br/>
      </w:r>
      <w:r w:rsidR="00F77A38" w:rsidRPr="001146A7">
        <w:rPr>
          <w:rFonts w:ascii="Segoe UI" w:hAnsi="Segoe UI" w:cs="Segoe UI"/>
        </w:rPr>
        <w:t xml:space="preserve">This table </w:t>
      </w:r>
      <w:r w:rsidRPr="001146A7">
        <w:rPr>
          <w:rFonts w:ascii="Segoe UI" w:hAnsi="Segoe UI" w:cs="Segoe UI"/>
        </w:rPr>
        <w:t>outlines the key features of each genre to help you in your reading and writing.</w:t>
      </w:r>
    </w:p>
    <w:p w14:paraId="18FFBB18" w14:textId="77777777" w:rsidR="00BF10FD" w:rsidRPr="00BF10FD" w:rsidRDefault="00355DDC" w:rsidP="00BF10FD">
      <w:pPr>
        <w:rPr>
          <w:rFonts w:ascii="Segoe UI" w:hAnsi="Segoe UI" w:cs="Segoe UI"/>
          <w:b/>
          <w:color w:val="2A4F1C" w:themeColor="accent1" w:themeShade="80"/>
        </w:rPr>
      </w:pPr>
      <w:r>
        <w:rPr>
          <w:rFonts w:ascii="Segoe UI" w:hAnsi="Segoe UI" w:cs="Segoe UI"/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8FFBB7B" wp14:editId="18FFBB7C">
                <wp:simplePos x="0" y="0"/>
                <wp:positionH relativeFrom="margin">
                  <wp:align>left</wp:align>
                </wp:positionH>
                <wp:positionV relativeFrom="paragraph">
                  <wp:posOffset>236220</wp:posOffset>
                </wp:positionV>
                <wp:extent cx="5867400" cy="0"/>
                <wp:effectExtent l="38100" t="76200" r="19050" b="952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67400" cy="0"/>
                        </a:xfrm>
                        <a:prstGeom prst="straightConnector1">
                          <a:avLst/>
                        </a:prstGeom>
                        <a:ln w="19050"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21ED12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0;margin-top:18.6pt;width:462pt;height:0;z-index:25166028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" strokecolor="#549e39 [3204]" strokeweight="1.5pt">
                <v:stroke startarrow="block" endarrow="block" joinstyle="miter"/>
                <w10:wrap anchorx="margin"/>
              </v:shape>
            </w:pict>
          </mc:Fallback>
        </mc:AlternateContent>
      </w:r>
      <w:r w:rsidR="00BF10FD" w:rsidRPr="00BF10FD">
        <w:rPr>
          <w:rFonts w:ascii="Segoe UI" w:hAnsi="Segoe UI" w:cs="Segoe UI"/>
          <w:b/>
          <w:color w:val="044458" w:themeColor="accent6" w:themeShade="80"/>
        </w:rPr>
        <w:t xml:space="preserve">Description </w:t>
      </w:r>
      <w:r w:rsidR="00BF10FD" w:rsidRPr="00BF10FD">
        <w:rPr>
          <w:rFonts w:ascii="Segoe UI" w:hAnsi="Segoe UI" w:cs="Segoe UI"/>
          <w:b/>
          <w:color w:val="044458" w:themeColor="accent6" w:themeShade="80"/>
        </w:rPr>
        <w:tab/>
      </w:r>
      <w:r w:rsidR="00BF10FD" w:rsidRPr="00BF10FD">
        <w:rPr>
          <w:rFonts w:ascii="Segoe UI" w:hAnsi="Segoe UI" w:cs="Segoe UI"/>
          <w:b/>
        </w:rPr>
        <w:tab/>
      </w:r>
      <w:r w:rsidR="00BF10FD" w:rsidRPr="00BF10FD">
        <w:rPr>
          <w:rFonts w:ascii="Segoe UI" w:hAnsi="Segoe UI" w:cs="Segoe UI"/>
          <w:b/>
        </w:rPr>
        <w:tab/>
      </w:r>
      <w:r w:rsidR="00BF10FD" w:rsidRPr="00BF10FD">
        <w:rPr>
          <w:rFonts w:ascii="Segoe UI" w:hAnsi="Segoe UI" w:cs="Segoe UI"/>
          <w:b/>
        </w:rPr>
        <w:tab/>
        <w:t xml:space="preserve">        </w:t>
      </w:r>
      <w:r w:rsidR="00BF10FD" w:rsidRPr="00BF10FD">
        <w:rPr>
          <w:rFonts w:ascii="Segoe UI" w:hAnsi="Segoe UI" w:cs="Segoe UI"/>
          <w:b/>
          <w:color w:val="CC6600"/>
        </w:rPr>
        <w:t>Analysis</w:t>
      </w:r>
      <w:r w:rsidR="00BF10FD" w:rsidRPr="00BF10FD">
        <w:rPr>
          <w:rFonts w:ascii="Segoe UI" w:hAnsi="Segoe UI" w:cs="Segoe UI"/>
          <w:b/>
          <w:color w:val="CC6600"/>
        </w:rPr>
        <w:tab/>
      </w:r>
      <w:r w:rsidR="00BF10FD">
        <w:rPr>
          <w:rFonts w:ascii="Segoe UI" w:hAnsi="Segoe UI" w:cs="Segoe UI"/>
        </w:rPr>
        <w:tab/>
      </w:r>
      <w:r w:rsidR="00BF10FD">
        <w:rPr>
          <w:rFonts w:ascii="Segoe UI" w:hAnsi="Segoe UI" w:cs="Segoe UI"/>
        </w:rPr>
        <w:tab/>
      </w:r>
      <w:r w:rsidR="00BF10FD">
        <w:rPr>
          <w:rFonts w:ascii="Segoe UI" w:hAnsi="Segoe UI" w:cs="Segoe UI"/>
        </w:rPr>
        <w:tab/>
      </w:r>
      <w:r w:rsidR="00BF10FD">
        <w:rPr>
          <w:rFonts w:ascii="Segoe UI" w:hAnsi="Segoe UI" w:cs="Segoe UI"/>
        </w:rPr>
        <w:tab/>
      </w:r>
      <w:r w:rsidR="00BF10FD" w:rsidRPr="00BF10FD">
        <w:rPr>
          <w:rFonts w:ascii="Segoe UI" w:hAnsi="Segoe UI" w:cs="Segoe UI"/>
          <w:b/>
          <w:color w:val="2A4F1C" w:themeColor="accent1" w:themeShade="80"/>
        </w:rPr>
        <w:t xml:space="preserve">       Evaluation</w:t>
      </w:r>
    </w:p>
    <w:p w14:paraId="18FFBB19" w14:textId="77777777" w:rsidR="00BF10FD" w:rsidRPr="001146A7" w:rsidRDefault="00BF10FD" w:rsidP="00BF10FD">
      <w:pPr>
        <w:rPr>
          <w:rFonts w:ascii="Segoe UI" w:hAnsi="Segoe UI" w:cs="Segoe UI"/>
        </w:rPr>
      </w:pPr>
    </w:p>
    <w:tbl>
      <w:tblPr>
        <w:tblStyle w:val="TableGridLight"/>
        <w:tblW w:w="0" w:type="auto"/>
        <w:tblBorders>
          <w:top w:val="single" w:sz="12" w:space="0" w:color="A6A6A6" w:themeColor="background1" w:themeShade="A6"/>
          <w:left w:val="single" w:sz="12" w:space="0" w:color="A6A6A6" w:themeColor="background1" w:themeShade="A6"/>
          <w:bottom w:val="single" w:sz="12" w:space="0" w:color="A6A6A6" w:themeColor="background1" w:themeShade="A6"/>
          <w:right w:val="single" w:sz="12" w:space="0" w:color="A6A6A6" w:themeColor="background1" w:themeShade="A6"/>
          <w:insideH w:val="single" w:sz="12" w:space="0" w:color="A6A6A6" w:themeColor="background1" w:themeShade="A6"/>
          <w:insideV w:val="single" w:sz="12" w:space="0" w:color="A6A6A6" w:themeColor="background1" w:themeShade="A6"/>
        </w:tblBorders>
        <w:tblLook w:val="01E0" w:firstRow="1" w:lastRow="1" w:firstColumn="1" w:lastColumn="1" w:noHBand="0" w:noVBand="0"/>
      </w:tblPr>
      <w:tblGrid>
        <w:gridCol w:w="4380"/>
        <w:gridCol w:w="283"/>
        <w:gridCol w:w="4667"/>
      </w:tblGrid>
      <w:tr w:rsidR="00504E8B" w:rsidRPr="00B94A36" w14:paraId="18FFBB1C" w14:textId="77777777" w:rsidTr="00504E8B">
        <w:trPr>
          <w:trHeight w:val="262"/>
        </w:trPr>
        <w:tc>
          <w:tcPr>
            <w:tcW w:w="9330" w:type="dxa"/>
            <w:gridSpan w:val="3"/>
            <w:shd w:val="clear" w:color="auto" w:fill="FFFFFF" w:themeFill="background1"/>
          </w:tcPr>
          <w:p w14:paraId="18FFBB1A" w14:textId="77777777" w:rsidR="00504E8B" w:rsidRDefault="00504E8B" w:rsidP="000C08E7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B94A36">
              <w:rPr>
                <w:rFonts w:ascii="Arial" w:hAnsi="Arial" w:cs="Arial"/>
                <w:b/>
                <w:sz w:val="20"/>
                <w:szCs w:val="20"/>
              </w:rPr>
              <w:t>The key features of…</w:t>
            </w:r>
          </w:p>
          <w:p w14:paraId="18FFBB1B" w14:textId="77777777" w:rsidR="00504E8B" w:rsidRPr="00B94A36" w:rsidRDefault="00504E8B" w:rsidP="000C08E7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504E8B" w:rsidRPr="00B94A36" w14:paraId="18FFBB22" w14:textId="77777777" w:rsidTr="00504E8B">
        <w:trPr>
          <w:trHeight w:val="279"/>
        </w:trPr>
        <w:tc>
          <w:tcPr>
            <w:tcW w:w="4380" w:type="dxa"/>
            <w:shd w:val="clear" w:color="auto" w:fill="B6E1E7" w:themeFill="accent5" w:themeFillTint="66"/>
          </w:tcPr>
          <w:p w14:paraId="18FFBB1D" w14:textId="77777777" w:rsidR="003C3674" w:rsidRPr="003C3674" w:rsidRDefault="00504E8B" w:rsidP="003C3674">
            <w:pPr>
              <w:jc w:val="center"/>
              <w:rPr>
                <w:rFonts w:ascii="Segoe UI" w:hAnsi="Segoe UI" w:cs="Segoe UI"/>
                <w:b/>
                <w:color w:val="044458" w:themeColor="accent6" w:themeShade="80"/>
                <w:sz w:val="20"/>
                <w:szCs w:val="20"/>
              </w:rPr>
            </w:pPr>
            <w:r w:rsidRPr="003C3674">
              <w:rPr>
                <w:rFonts w:ascii="Segoe UI" w:hAnsi="Segoe UI" w:cs="Segoe UI"/>
                <w:b/>
                <w:color w:val="044458" w:themeColor="accent6" w:themeShade="80"/>
                <w:sz w:val="20"/>
                <w:szCs w:val="20"/>
              </w:rPr>
              <w:t>Descriptive writing</w:t>
            </w:r>
            <w:r w:rsidR="003C3674" w:rsidRPr="003C3674">
              <w:rPr>
                <w:rFonts w:ascii="Segoe UI" w:hAnsi="Segoe UI" w:cs="Segoe UI"/>
                <w:b/>
                <w:color w:val="044458" w:themeColor="accent6" w:themeShade="80"/>
                <w:sz w:val="20"/>
                <w:szCs w:val="20"/>
              </w:rPr>
              <w:t xml:space="preserve"> </w:t>
            </w:r>
          </w:p>
          <w:p w14:paraId="18FFBB1E" w14:textId="77777777" w:rsidR="00504E8B" w:rsidRPr="001146A7" w:rsidRDefault="003C3674" w:rsidP="003C3674">
            <w:pPr>
              <w:jc w:val="center"/>
              <w:rPr>
                <w:rFonts w:ascii="Segoe UI" w:hAnsi="Segoe UI" w:cs="Segoe UI"/>
                <w:b/>
                <w:sz w:val="20"/>
                <w:szCs w:val="20"/>
              </w:rPr>
            </w:pPr>
            <w:r w:rsidRPr="003C3674">
              <w:rPr>
                <w:rFonts w:ascii="Segoe UI" w:hAnsi="Segoe UI" w:cs="Segoe UI"/>
                <w:b/>
                <w:color w:val="044458" w:themeColor="accent6" w:themeShade="80"/>
                <w:sz w:val="20"/>
                <w:szCs w:val="20"/>
              </w:rPr>
              <w:t>Mostly d</w:t>
            </w:r>
          </w:p>
        </w:tc>
        <w:tc>
          <w:tcPr>
            <w:tcW w:w="283" w:type="dxa"/>
            <w:vMerge w:val="restart"/>
            <w:shd w:val="clear" w:color="auto" w:fill="FFFFFF" w:themeFill="background1"/>
          </w:tcPr>
          <w:p w14:paraId="18FFBB1F" w14:textId="77777777" w:rsidR="00504E8B" w:rsidRPr="001146A7" w:rsidRDefault="00504E8B" w:rsidP="000C08E7">
            <w:pPr>
              <w:jc w:val="center"/>
              <w:rPr>
                <w:rFonts w:ascii="Segoe UI" w:hAnsi="Segoe UI" w:cs="Segoe UI"/>
                <w:b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D1E7A8" w:themeFill="accent2" w:themeFillTint="66"/>
          </w:tcPr>
          <w:p w14:paraId="18FFBB20" w14:textId="77777777" w:rsidR="00504E8B" w:rsidRPr="003C3674" w:rsidRDefault="00504E8B" w:rsidP="000C08E7">
            <w:pPr>
              <w:jc w:val="center"/>
              <w:rPr>
                <w:rFonts w:ascii="Segoe UI" w:hAnsi="Segoe UI" w:cs="Segoe UI"/>
                <w:b/>
                <w:color w:val="2A4F1C" w:themeColor="accent1" w:themeShade="80"/>
                <w:sz w:val="20"/>
                <w:szCs w:val="20"/>
              </w:rPr>
            </w:pPr>
            <w:r w:rsidRPr="003C3674">
              <w:rPr>
                <w:rFonts w:ascii="Segoe UI" w:hAnsi="Segoe UI" w:cs="Segoe UI"/>
                <w:b/>
                <w:color w:val="2A4F1C" w:themeColor="accent1" w:themeShade="80"/>
                <w:sz w:val="20"/>
                <w:szCs w:val="20"/>
              </w:rPr>
              <w:t>Critical Analytical Writing</w:t>
            </w:r>
          </w:p>
          <w:p w14:paraId="18FFBB21" w14:textId="77777777" w:rsidR="003C3674" w:rsidRPr="001146A7" w:rsidRDefault="003C3674" w:rsidP="003C3674">
            <w:pPr>
              <w:jc w:val="center"/>
              <w:rPr>
                <w:rFonts w:ascii="Segoe UI" w:hAnsi="Segoe UI" w:cs="Segoe UI"/>
                <w:b/>
                <w:sz w:val="20"/>
                <w:szCs w:val="20"/>
              </w:rPr>
            </w:pPr>
            <w:r w:rsidRPr="003C3674">
              <w:rPr>
                <w:rFonts w:ascii="Segoe UI" w:hAnsi="Segoe UI" w:cs="Segoe UI"/>
                <w:b/>
                <w:color w:val="2A4F1C" w:themeColor="accent1" w:themeShade="80"/>
                <w:sz w:val="20"/>
                <w:szCs w:val="20"/>
              </w:rPr>
              <w:t>Mostly a and e</w:t>
            </w:r>
          </w:p>
        </w:tc>
      </w:tr>
      <w:tr w:rsidR="00504E8B" w:rsidRPr="00B94A36" w14:paraId="18FFBB27" w14:textId="77777777" w:rsidTr="00504E8B">
        <w:trPr>
          <w:trHeight w:val="244"/>
        </w:trPr>
        <w:tc>
          <w:tcPr>
            <w:tcW w:w="4380" w:type="dxa"/>
            <w:shd w:val="clear" w:color="auto" w:fill="DAF0F3" w:themeFill="accent5" w:themeFillTint="33"/>
          </w:tcPr>
          <w:p w14:paraId="18FFBB23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what happened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  <w:p w14:paraId="18FFBB24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25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26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Identifies the significance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(e)</w:t>
            </w:r>
          </w:p>
        </w:tc>
      </w:tr>
      <w:tr w:rsidR="00504E8B" w:rsidRPr="00B94A36" w14:paraId="18FFBB2C" w14:textId="77777777" w:rsidTr="00504E8B">
        <w:trPr>
          <w:trHeight w:val="262"/>
        </w:trPr>
        <w:tc>
          <w:tcPr>
            <w:tcW w:w="4380" w:type="dxa"/>
            <w:shd w:val="clear" w:color="auto" w:fill="DAF0F3" w:themeFill="accent5" w:themeFillTint="33"/>
          </w:tcPr>
          <w:p w14:paraId="18FFBB28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what something is like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  <w:p w14:paraId="18FFBB29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2A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2B" w14:textId="77777777" w:rsidR="00504E8B" w:rsidRPr="001146A7" w:rsidRDefault="00504E8B" w:rsidP="003C3674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Evaluates strengths and weaknesses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(e)</w:t>
            </w:r>
          </w:p>
        </w:tc>
      </w:tr>
      <w:tr w:rsidR="00504E8B" w:rsidRPr="00B94A36" w14:paraId="18FFBB30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2D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Gives the story so far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2E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2F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Weighs one piece of information against another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35" w14:textId="77777777" w:rsidTr="00504E8B">
        <w:trPr>
          <w:trHeight w:val="262"/>
        </w:trPr>
        <w:tc>
          <w:tcPr>
            <w:tcW w:w="4380" w:type="dxa"/>
            <w:shd w:val="clear" w:color="auto" w:fill="DAF0F3" w:themeFill="accent5" w:themeFillTint="33"/>
          </w:tcPr>
          <w:p w14:paraId="18FFBB31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the order in which things happened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  <w:p w14:paraId="18FFBB32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33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34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Makes reasoned judgements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3A" w14:textId="77777777" w:rsidTr="00504E8B">
        <w:trPr>
          <w:trHeight w:val="244"/>
        </w:trPr>
        <w:tc>
          <w:tcPr>
            <w:tcW w:w="4380" w:type="dxa"/>
            <w:shd w:val="clear" w:color="auto" w:fill="DAF0F3" w:themeFill="accent5" w:themeFillTint="33"/>
          </w:tcPr>
          <w:p w14:paraId="18FFBB36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Says how to do something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and a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>)</w:t>
            </w:r>
          </w:p>
          <w:p w14:paraId="18FFBB37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38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39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Argues a case according to the evidence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3E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3B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Explains what a theory says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3C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3D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Shows why something is relevant or suitable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(a)</w:t>
            </w:r>
          </w:p>
        </w:tc>
      </w:tr>
      <w:tr w:rsidR="00504E8B" w:rsidRPr="00B94A36" w14:paraId="18FFBB43" w14:textId="77777777" w:rsidTr="00504E8B">
        <w:trPr>
          <w:trHeight w:val="262"/>
        </w:trPr>
        <w:tc>
          <w:tcPr>
            <w:tcW w:w="4380" w:type="dxa"/>
            <w:shd w:val="clear" w:color="auto" w:fill="DAF0F3" w:themeFill="accent5" w:themeFillTint="33"/>
          </w:tcPr>
          <w:p w14:paraId="18FFBB3F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Explains how something works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and a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>)</w:t>
            </w:r>
          </w:p>
          <w:p w14:paraId="18FFBB40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41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42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Indicates why something will work (best)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47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44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Notes the method used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45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46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Identifies whether something is appropriate or suitable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(a)</w:t>
            </w:r>
          </w:p>
        </w:tc>
      </w:tr>
      <w:tr w:rsidR="00504E8B" w:rsidRPr="00B94A36" w14:paraId="18FFBB4C" w14:textId="77777777" w:rsidTr="00504E8B">
        <w:trPr>
          <w:trHeight w:val="262"/>
        </w:trPr>
        <w:tc>
          <w:tcPr>
            <w:tcW w:w="4380" w:type="dxa"/>
            <w:shd w:val="clear" w:color="auto" w:fill="DAF0F3" w:themeFill="accent5" w:themeFillTint="33"/>
          </w:tcPr>
          <w:p w14:paraId="18FFBB48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Says when something occurred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  <w:p w14:paraId="18FFBB49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4A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4B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Identifies why the timing is of importance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(a)</w:t>
            </w:r>
          </w:p>
        </w:tc>
      </w:tr>
      <w:tr w:rsidR="00504E8B" w:rsidRPr="00B94A36" w14:paraId="18FFBB50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4D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the different components</w:t>
            </w:r>
            <w:r w:rsidR="001146A7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4E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4F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Weighs up the importance of component parts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55" w14:textId="77777777" w:rsidTr="00504E8B">
        <w:trPr>
          <w:trHeight w:val="244"/>
        </w:trPr>
        <w:tc>
          <w:tcPr>
            <w:tcW w:w="4380" w:type="dxa"/>
            <w:shd w:val="clear" w:color="auto" w:fill="DAF0F3" w:themeFill="accent5" w:themeFillTint="33"/>
          </w:tcPr>
          <w:p w14:paraId="18FFBB51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options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(d and a)</w:t>
            </w:r>
          </w:p>
          <w:p w14:paraId="18FFBB52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53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54" w14:textId="77777777" w:rsidR="00504E8B" w:rsidRPr="001146A7" w:rsidRDefault="00504E8B" w:rsidP="003C3674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Gives reasons for selecting each option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(a)</w:t>
            </w:r>
          </w:p>
        </w:tc>
      </w:tr>
      <w:tr w:rsidR="00504E8B" w:rsidRPr="00B94A36" w14:paraId="18FFBB59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56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Lists details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57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58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Evaluates the relative significance of details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(e)</w:t>
            </w:r>
          </w:p>
        </w:tc>
      </w:tr>
      <w:tr w:rsidR="00504E8B" w:rsidRPr="00B94A36" w14:paraId="18FFBB5D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5A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Lists in any order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5B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5C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Structures information in order of importance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 and e)</w:t>
            </w:r>
          </w:p>
        </w:tc>
      </w:tr>
      <w:tr w:rsidR="00504E8B" w:rsidRPr="00B94A36" w14:paraId="18FFBB61" w14:textId="77777777" w:rsidTr="00504E8B">
        <w:trPr>
          <w:trHeight w:val="524"/>
        </w:trPr>
        <w:tc>
          <w:tcPr>
            <w:tcW w:w="4380" w:type="dxa"/>
            <w:shd w:val="clear" w:color="auto" w:fill="DAF0F3" w:themeFill="accent5" w:themeFillTint="33"/>
          </w:tcPr>
          <w:p w14:paraId="18FFBB5E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States links between items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(d and a)</w:t>
            </w: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5F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60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Shows the relevance of links between pieces of information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(a)</w:t>
            </w:r>
          </w:p>
        </w:tc>
      </w:tr>
      <w:tr w:rsidR="00504E8B" w:rsidRPr="00B94A36" w14:paraId="18FFBB66" w14:textId="77777777" w:rsidTr="00504E8B">
        <w:trPr>
          <w:trHeight w:val="244"/>
        </w:trPr>
        <w:tc>
          <w:tcPr>
            <w:tcW w:w="4380" w:type="dxa"/>
            <w:shd w:val="clear" w:color="auto" w:fill="DAF0F3" w:themeFill="accent5" w:themeFillTint="33"/>
          </w:tcPr>
          <w:p w14:paraId="18FFBB62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Gives information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(d)</w:t>
            </w:r>
          </w:p>
          <w:p w14:paraId="18FFBB63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283" w:type="dxa"/>
            <w:vMerge/>
            <w:shd w:val="clear" w:color="auto" w:fill="FFFFFF" w:themeFill="background1"/>
          </w:tcPr>
          <w:p w14:paraId="18FFBB64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</w:p>
        </w:tc>
        <w:tc>
          <w:tcPr>
            <w:tcW w:w="4667" w:type="dxa"/>
            <w:shd w:val="clear" w:color="auto" w:fill="E8F3D3" w:themeFill="accent2" w:themeFillTint="33"/>
          </w:tcPr>
          <w:p w14:paraId="18FFBB65" w14:textId="77777777" w:rsidR="00504E8B" w:rsidRPr="001146A7" w:rsidRDefault="00504E8B" w:rsidP="000C08E7">
            <w:pPr>
              <w:jc w:val="both"/>
              <w:rPr>
                <w:rFonts w:ascii="Segoe UI" w:hAnsi="Segoe UI" w:cs="Segoe UI"/>
                <w:sz w:val="20"/>
                <w:szCs w:val="20"/>
              </w:rPr>
            </w:pPr>
            <w:r w:rsidRPr="001146A7">
              <w:rPr>
                <w:rFonts w:ascii="Segoe UI" w:hAnsi="Segoe UI" w:cs="Segoe UI"/>
                <w:sz w:val="20"/>
                <w:szCs w:val="20"/>
              </w:rPr>
              <w:t>Draws conclusions</w:t>
            </w:r>
            <w:r w:rsidR="003C3674">
              <w:rPr>
                <w:rFonts w:ascii="Segoe UI" w:hAnsi="Segoe UI" w:cs="Segoe UI"/>
                <w:sz w:val="20"/>
                <w:szCs w:val="20"/>
              </w:rPr>
              <w:t xml:space="preserve"> (e)</w:t>
            </w:r>
          </w:p>
        </w:tc>
      </w:tr>
    </w:tbl>
    <w:p w14:paraId="18FFBB67" w14:textId="77777777" w:rsidR="00B81F9F" w:rsidRDefault="00B81F9F" w:rsidP="00504E8B">
      <w:pPr>
        <w:jc w:val="both"/>
        <w:rPr>
          <w:rFonts w:ascii="Segoe UI" w:hAnsi="Segoe UI" w:cs="Segoe UI"/>
        </w:rPr>
      </w:pPr>
    </w:p>
    <w:p w14:paraId="18FFBB68" w14:textId="77777777" w:rsidR="00504E8B" w:rsidRPr="001146A7" w:rsidRDefault="00F77A38" w:rsidP="00504E8B">
      <w:pPr>
        <w:jc w:val="both"/>
        <w:rPr>
          <w:rFonts w:ascii="Segoe UI" w:hAnsi="Segoe UI" w:cs="Segoe UI"/>
        </w:rPr>
      </w:pPr>
      <w:r w:rsidRPr="001146A7">
        <w:rPr>
          <w:rFonts w:ascii="Segoe UI" w:hAnsi="Segoe UI" w:cs="Segoe UI"/>
        </w:rPr>
        <w:t xml:space="preserve">Use the table to help you decide which styles of writing appear in the samples overleaf. Support your choice by highlighting the features you can identify in each sample. </w:t>
      </w:r>
    </w:p>
    <w:p w14:paraId="18FFBB69" w14:textId="77777777" w:rsidR="00504E8B" w:rsidRDefault="00504E8B" w:rsidP="00504E8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Examples of writing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242"/>
      </w:tblGrid>
      <w:tr w:rsidR="00504E8B" w:rsidRPr="002415AA" w14:paraId="18FFBB6E" w14:textId="77777777" w:rsidTr="000C08E7">
        <w:tc>
          <w:tcPr>
            <w:tcW w:w="9242" w:type="dxa"/>
          </w:tcPr>
          <w:p w14:paraId="18FFBB6A" w14:textId="77777777" w:rsidR="00FB7F05" w:rsidRPr="00FB7F05" w:rsidRDefault="00FB7F05" w:rsidP="00FB7F05">
            <w:pPr>
              <w:rPr>
                <w:rFonts w:ascii="Arial" w:hAnsi="Arial" w:cs="Arial"/>
                <w:sz w:val="4"/>
                <w:szCs w:val="4"/>
                <w:lang w:val="en-GB"/>
              </w:rPr>
            </w:pPr>
          </w:p>
          <w:p w14:paraId="18FFBB6B" w14:textId="77777777" w:rsidR="00FB7F05" w:rsidRPr="00FB7F05" w:rsidRDefault="00FB7F05" w:rsidP="00FB7F05">
            <w:pPr>
              <w:rPr>
                <w:rFonts w:ascii="Arial" w:hAnsi="Arial" w:cs="Arial"/>
                <w:lang w:val="en-GB"/>
              </w:rPr>
            </w:pPr>
            <w:r w:rsidRPr="00FB7F05">
              <w:rPr>
                <w:rFonts w:ascii="Arial" w:hAnsi="Arial" w:cs="Arial"/>
                <w:lang w:val="en-GB"/>
              </w:rPr>
              <w:t xml:space="preserve">Parahoo et al (2000) </w:t>
            </w:r>
            <w:r w:rsidRPr="00FB7F05">
              <w:rPr>
                <w:rFonts w:ascii="Arial" w:hAnsi="Arial" w:cs="Arial"/>
                <w:b/>
                <w:bCs/>
                <w:color w:val="FF0000"/>
                <w:lang w:val="en-GB"/>
              </w:rPr>
              <w:t>investigated</w:t>
            </w:r>
            <w:r w:rsidRPr="00FB7F05">
              <w:rPr>
                <w:rFonts w:ascii="Arial" w:hAnsi="Arial" w:cs="Arial"/>
                <w:color w:val="FF0000"/>
                <w:lang w:val="en-GB"/>
              </w:rPr>
              <w:t xml:space="preserve"> </w:t>
            </w:r>
            <w:r w:rsidRPr="00FB7F05">
              <w:rPr>
                <w:rFonts w:ascii="Arial" w:hAnsi="Arial" w:cs="Arial"/>
                <w:lang w:val="en-GB"/>
              </w:rPr>
              <w:t xml:space="preserve">the extent to which learning disability nurses in Northern Ireland used research in their practice. They also </w:t>
            </w:r>
            <w:r w:rsidRPr="00FB7F05">
              <w:rPr>
                <w:rFonts w:ascii="Arial" w:hAnsi="Arial" w:cs="Arial"/>
                <w:b/>
                <w:bCs/>
                <w:color w:val="FF0000"/>
                <w:lang w:val="en-GB"/>
              </w:rPr>
              <w:t>examined</w:t>
            </w:r>
            <w:r w:rsidRPr="00FB7F05">
              <w:rPr>
                <w:rFonts w:ascii="Arial" w:hAnsi="Arial" w:cs="Arial"/>
                <w:b/>
                <w:bCs/>
                <w:lang w:val="en-GB"/>
              </w:rPr>
              <w:t xml:space="preserve"> </w:t>
            </w:r>
            <w:r w:rsidRPr="00FB7F05">
              <w:rPr>
                <w:rFonts w:ascii="Arial" w:hAnsi="Arial" w:cs="Arial"/>
                <w:lang w:val="en-GB"/>
              </w:rPr>
              <w:t xml:space="preserve">the attitudes of these same nurses to the importance of research utilisation in general. 87 learning disability nurses responded to the questionnaire. 19.5% of respondents said that they ‘never/seldom’ used research (Parahoo et al, 2000, p. 609). The investigating team </w:t>
            </w:r>
            <w:r w:rsidRPr="00FB7F05">
              <w:rPr>
                <w:rFonts w:ascii="Arial" w:hAnsi="Arial" w:cs="Arial"/>
                <w:b/>
                <w:bCs/>
                <w:color w:val="FF0000"/>
                <w:lang w:val="en-GB"/>
              </w:rPr>
              <w:t>concluded</w:t>
            </w:r>
            <w:r w:rsidRPr="00FB7F05">
              <w:rPr>
                <w:rFonts w:ascii="Arial" w:hAnsi="Arial" w:cs="Arial"/>
                <w:lang w:val="en-GB"/>
              </w:rPr>
              <w:t xml:space="preserve"> that there was still a great deal of work to be done if evidence-based practice was to become the norm in learning disability nursing.</w:t>
            </w:r>
          </w:p>
          <w:p w14:paraId="18FFBB6C" w14:textId="77777777" w:rsidR="00FB7F05" w:rsidRPr="00FB7F05" w:rsidRDefault="00FB7F05" w:rsidP="00FB7F05">
            <w:pPr>
              <w:rPr>
                <w:rFonts w:ascii="Arial" w:hAnsi="Arial" w:cs="Arial"/>
                <w:lang w:val="en-GB"/>
              </w:rPr>
            </w:pPr>
            <w:r w:rsidRPr="00FB7F05">
              <w:rPr>
                <w:rFonts w:ascii="Arial" w:hAnsi="Arial" w:cs="Arial"/>
                <w:b/>
                <w:lang w:val="en-GB"/>
              </w:rPr>
              <w:t xml:space="preserve">References  </w:t>
            </w:r>
            <w:r w:rsidRPr="00FB7F05">
              <w:rPr>
                <w:rFonts w:ascii="Arial" w:hAnsi="Arial" w:cs="Arial"/>
                <w:lang w:val="en-GB"/>
              </w:rPr>
              <w:t xml:space="preserve">                                                                                                                   Parahoo, K., Barr, O., &amp; McCaughan, E., (2000) ‘Research utilisation and attitudes towards research among learning disability nurses in Northern Ireland’, Journal of Advanced Nursing, Vol 31, no. 3, pp. 607-613.</w:t>
            </w:r>
          </w:p>
          <w:p w14:paraId="18FFBB6D" w14:textId="77777777" w:rsidR="00B81F9F" w:rsidRPr="00FB7F05" w:rsidRDefault="00FB7F05" w:rsidP="00B81F9F">
            <w:pPr>
              <w:rPr>
                <w:rFonts w:ascii="Arial" w:hAnsi="Arial" w:cs="Arial"/>
                <w:lang w:val="en-GB"/>
              </w:rPr>
            </w:pPr>
            <w:r w:rsidRPr="00FB7F05">
              <w:rPr>
                <w:rFonts w:ascii="Arial" w:hAnsi="Arial" w:cs="Arial"/>
                <w:lang w:val="en-GB"/>
              </w:rPr>
              <w:t xml:space="preserve">This paragraph is mostly …        </w:t>
            </w:r>
            <w:r w:rsidRPr="00FB7F05">
              <w:rPr>
                <w:rFonts w:ascii="Arial" w:hAnsi="Arial" w:cs="Arial"/>
                <w:b/>
                <w:bCs/>
                <w:color w:val="FF0000"/>
                <w:lang w:val="en-GB"/>
              </w:rPr>
              <w:t>descriptive</w:t>
            </w:r>
            <w:r w:rsidRPr="00FB7F05">
              <w:rPr>
                <w:rFonts w:ascii="Arial" w:hAnsi="Arial" w:cs="Arial"/>
                <w:lang w:val="en-GB"/>
              </w:rPr>
              <w:t xml:space="preserve">         analytical           evaluative</w:t>
            </w:r>
          </w:p>
        </w:tc>
      </w:tr>
    </w:tbl>
    <w:p w14:paraId="18FFBB6F" w14:textId="77777777" w:rsidR="00504E8B" w:rsidRPr="00034BD6" w:rsidRDefault="00504E8B" w:rsidP="00504E8B">
      <w:pPr>
        <w:rPr>
          <w:rFonts w:ascii="Arial" w:hAnsi="Arial" w:cs="Arial"/>
          <w:sz w:val="16"/>
          <w:szCs w:val="16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242"/>
      </w:tblGrid>
      <w:tr w:rsidR="00504E8B" w:rsidRPr="002415AA" w14:paraId="18FFBB73" w14:textId="77777777" w:rsidTr="000C08E7">
        <w:tc>
          <w:tcPr>
            <w:tcW w:w="9242" w:type="dxa"/>
          </w:tcPr>
          <w:p w14:paraId="18FFBB70" w14:textId="77777777" w:rsidR="00FB7F05" w:rsidRPr="00FB7F05" w:rsidRDefault="00FB7F05" w:rsidP="00FB7F05">
            <w:pPr>
              <w:rPr>
                <w:rFonts w:ascii="Arial" w:hAnsi="Arial" w:cs="Arial"/>
                <w:sz w:val="4"/>
                <w:szCs w:val="4"/>
              </w:rPr>
            </w:pPr>
          </w:p>
          <w:p w14:paraId="18FFBB71" w14:textId="77777777" w:rsidR="00FB7F05" w:rsidRPr="00FB7F05" w:rsidRDefault="00FB7F05" w:rsidP="00FB7F05">
            <w:pPr>
              <w:rPr>
                <w:rFonts w:ascii="Arial" w:eastAsia="+mn-ea" w:hAnsi="Arial" w:cs="Arial"/>
                <w:b/>
                <w:bCs/>
                <w:color w:val="0070C0"/>
                <w:kern w:val="24"/>
                <w:lang w:val="en-GB" w:eastAsia="en-GB"/>
              </w:rPr>
            </w:pPr>
            <w:r w:rsidRPr="00FB7F05">
              <w:rPr>
                <w:rFonts w:ascii="Arial" w:hAnsi="Arial" w:cs="Arial"/>
              </w:rPr>
              <w:t xml:space="preserve">In their 2000 paper, Parahoo et al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>investigated</w:t>
            </w:r>
            <w:r w:rsidRPr="00FB7F05">
              <w:rPr>
                <w:rFonts w:ascii="Arial" w:hAnsi="Arial" w:cs="Arial"/>
              </w:rPr>
              <w:t xml:space="preserve"> the use of and attitudes towards research of Northern Irish learning disability nurses. They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>concluded</w:t>
            </w:r>
            <w:r w:rsidRPr="00FB7F05">
              <w:rPr>
                <w:rFonts w:ascii="Arial" w:hAnsi="Arial" w:cs="Arial"/>
              </w:rPr>
              <w:t xml:space="preserve"> that research </w:t>
            </w:r>
            <w:proofErr w:type="spellStart"/>
            <w:r w:rsidRPr="00FB7F05">
              <w:rPr>
                <w:rFonts w:ascii="Arial" w:hAnsi="Arial" w:cs="Arial"/>
              </w:rPr>
              <w:t>utilisation</w:t>
            </w:r>
            <w:proofErr w:type="spellEnd"/>
            <w:r w:rsidRPr="00FB7F05">
              <w:rPr>
                <w:rFonts w:ascii="Arial" w:hAnsi="Arial" w:cs="Arial"/>
              </w:rPr>
              <w:t xml:space="preserve"> was poor and the goal of evidence-based practice was still some way off. The research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>was conduct</w:t>
            </w:r>
            <w:r w:rsidRPr="00FB7F05">
              <w:rPr>
                <w:rFonts w:ascii="Arial" w:hAnsi="Arial" w:cs="Arial"/>
                <w:b/>
                <w:color w:val="FF0000"/>
              </w:rPr>
              <w:t>ed</w:t>
            </w:r>
            <w:r w:rsidRPr="00FB7F05">
              <w:rPr>
                <w:rFonts w:ascii="Arial" w:hAnsi="Arial" w:cs="Arial"/>
              </w:rPr>
              <w:t xml:space="preserve"> by way of questionnaires distributed amongst a convenient sample of nurses. Although, the authors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>acknowledged</w:t>
            </w:r>
            <w:r w:rsidRPr="00FB7F05">
              <w:rPr>
                <w:rFonts w:ascii="Arial" w:hAnsi="Arial" w:cs="Arial"/>
                <w:color w:val="FF0000"/>
              </w:rPr>
              <w:t xml:space="preserve"> </w:t>
            </w:r>
            <w:r w:rsidRPr="00FB7F05">
              <w:rPr>
                <w:rFonts w:ascii="Arial" w:hAnsi="Arial" w:cs="Arial"/>
              </w:rPr>
              <w:t xml:space="preserve">the limitations of this method (Parahoo et al, 2000, p. 609) they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>argued</w:t>
            </w:r>
            <w:r w:rsidRPr="00FB7F05">
              <w:rPr>
                <w:rFonts w:ascii="Arial" w:hAnsi="Arial" w:cs="Arial"/>
              </w:rPr>
              <w:t xml:space="preserve"> it was necessary due to lack of resources. However,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lang w:val="en-GB" w:eastAsia="en-GB"/>
              </w:rPr>
              <w:t>this undoubtedly affects any judgement on the value of the data collected. A stratified random sampling technique would have ensured a truly random sample of nurses were selected, making it possible to draw more general conclusions from the results.</w:t>
            </w:r>
            <w:r w:rsidRPr="00FB7F05">
              <w:rPr>
                <w:rFonts w:ascii="Arial" w:hAnsi="Arial" w:cs="Arial"/>
                <w:color w:val="318B98" w:themeColor="accent5" w:themeShade="BF"/>
              </w:rPr>
              <w:t xml:space="preserve"> </w:t>
            </w:r>
            <w:r w:rsidRPr="00FB7F05">
              <w:rPr>
                <w:rFonts w:ascii="Arial" w:hAnsi="Arial" w:cs="Arial"/>
              </w:rPr>
              <w:t xml:space="preserve">In addition,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lang w:val="en-GB" w:eastAsia="en-GB"/>
              </w:rPr>
              <w:t>the low response rate to the questionnaire and the small number of learning disability nurses in the response set further limit any generalisations to other populations.</w:t>
            </w:r>
          </w:p>
          <w:p w14:paraId="18FFBB72" w14:textId="77777777" w:rsidR="00B81F9F" w:rsidRPr="00FB7F05" w:rsidRDefault="00FB7F05" w:rsidP="000C08E7">
            <w:pPr>
              <w:rPr>
                <w:rFonts w:ascii="Arial" w:hAnsi="Arial" w:cs="Arial"/>
                <w:lang w:val="en-GB"/>
              </w:rPr>
            </w:pPr>
            <w:r w:rsidRPr="00FB7F05">
              <w:rPr>
                <w:rFonts w:ascii="Arial" w:hAnsi="Arial" w:cs="Arial"/>
              </w:rPr>
              <w:t xml:space="preserve">This paragraph is mostly …            </w:t>
            </w:r>
            <w:r w:rsidRPr="00FB7F05">
              <w:rPr>
                <w:rFonts w:ascii="Arial" w:hAnsi="Arial" w:cs="Arial"/>
                <w:b/>
                <w:bCs/>
                <w:color w:val="FF0000"/>
              </w:rPr>
              <w:t xml:space="preserve">descriptive </w:t>
            </w:r>
            <w:r w:rsidRPr="00FB7F05">
              <w:rPr>
                <w:rFonts w:ascii="Arial" w:hAnsi="Arial" w:cs="Arial"/>
              </w:rPr>
              <w:t xml:space="preserve">           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lang w:val="en-GB" w:eastAsia="en-GB"/>
              </w:rPr>
              <w:t xml:space="preserve">analytical  </w:t>
            </w:r>
            <w:r w:rsidRPr="00FB7F05">
              <w:rPr>
                <w:rFonts w:ascii="Arial" w:hAnsi="Arial" w:cs="Arial"/>
              </w:rPr>
              <w:t xml:space="preserve">           evaluative</w:t>
            </w:r>
          </w:p>
        </w:tc>
      </w:tr>
    </w:tbl>
    <w:p w14:paraId="18FFBB74" w14:textId="77777777" w:rsidR="00504E8B" w:rsidRPr="00034BD6" w:rsidRDefault="00034BD6" w:rsidP="00504E8B">
      <w:pPr>
        <w:rPr>
          <w:rFonts w:ascii="Arial" w:hAnsi="Arial" w:cs="Arial"/>
          <w:sz w:val="16"/>
          <w:szCs w:val="16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8FFBB7D" wp14:editId="18FFBB7E">
                <wp:simplePos x="0" y="0"/>
                <wp:positionH relativeFrom="margin">
                  <wp:align>left</wp:align>
                </wp:positionH>
                <wp:positionV relativeFrom="paragraph">
                  <wp:posOffset>3354331</wp:posOffset>
                </wp:positionV>
                <wp:extent cx="2762250" cy="209550"/>
                <wp:effectExtent l="0" t="0" r="1905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800000" flipV="1">
                          <a:off x="0" y="0"/>
                          <a:ext cx="2762250" cy="2095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sysClr val="window" lastClr="FFFFFF"/>
                          </a:solidFill>
                        </a:ln>
                        <a:effectLst/>
                      </wps:spPr>
                      <wps:txbx>
                        <w:txbxContent>
                          <w:p w14:paraId="18FFBB86" w14:textId="77777777" w:rsidR="00355DDC" w:rsidRDefault="00355DDC" w:rsidP="00355DDC">
                            <w:pPr>
                              <w:pStyle w:val="Footer"/>
                              <w:rPr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sz w:val="12"/>
                                <w:szCs w:val="12"/>
                              </w:rPr>
                              <w:t>Adapted from Cottrell, 2005</w:t>
                            </w:r>
                            <w:r w:rsidRPr="00F77A38">
                              <w:rPr>
                                <w:sz w:val="12"/>
                                <w:szCs w:val="12"/>
                              </w:rPr>
                              <w:t>.</w:t>
                            </w:r>
                          </w:p>
                          <w:p w14:paraId="18FFBB87" w14:textId="77777777" w:rsidR="00355DDC" w:rsidRPr="00F77A38" w:rsidRDefault="00355DDC" w:rsidP="00355DDC">
                            <w:pPr>
                              <w:pStyle w:val="Footer"/>
                              <w:jc w:val="right"/>
                              <w:rPr>
                                <w:sz w:val="12"/>
                                <w:szCs w:val="12"/>
                              </w:rPr>
                            </w:pPr>
                          </w:p>
                          <w:p w14:paraId="18FFBB88" w14:textId="77777777" w:rsidR="00355DDC" w:rsidRDefault="00355DDC" w:rsidP="00355DD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FFBB7D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0;margin-top:264.1pt;width:217.5pt;height:16.5pt;rotation:180;flip:y;z-index:2516623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" fillcolor="window" strokecolor="window" strokeweight=".5pt">
                <v:textbox>
                  <w:txbxContent>
                    <w:p w14:paraId="18FFBB86" w14:textId="77777777" w:rsidR="00355DDC" w:rsidRDefault="00355DDC" w:rsidP="00355DDC">
                      <w:pPr>
                        <w:pStyle w:val="Footer"/>
                        <w:rPr>
                          <w:sz w:val="12"/>
                          <w:szCs w:val="12"/>
                        </w:rPr>
                      </w:pPr>
                      <w:r>
                        <w:rPr>
                          <w:sz w:val="12"/>
                          <w:szCs w:val="12"/>
                        </w:rPr>
                        <w:t>Adapted from Cottrell, 2005</w:t>
                      </w:r>
                      <w:r w:rsidRPr="00F77A38">
                        <w:rPr>
                          <w:sz w:val="12"/>
                          <w:szCs w:val="12"/>
                        </w:rPr>
                        <w:t>.</w:t>
                      </w:r>
                    </w:p>
                    <w:p w14:paraId="18FFBB87" w14:textId="77777777" w:rsidR="00355DDC" w:rsidRPr="00F77A38" w:rsidRDefault="00355DDC" w:rsidP="00355DDC">
                      <w:pPr>
                        <w:pStyle w:val="Footer"/>
                        <w:jc w:val="right"/>
                        <w:rPr>
                          <w:sz w:val="12"/>
                          <w:szCs w:val="12"/>
                        </w:rPr>
                      </w:pPr>
                    </w:p>
                    <w:p w14:paraId="18FFBB88" w14:textId="77777777" w:rsidR="00355DDC" w:rsidRDefault="00355DDC" w:rsidP="00355DDC"/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FFBB7F" wp14:editId="18FFBB80">
                <wp:simplePos x="0" y="0"/>
                <wp:positionH relativeFrom="margin">
                  <wp:posOffset>3055752</wp:posOffset>
                </wp:positionH>
                <wp:positionV relativeFrom="paragraph">
                  <wp:posOffset>3352274</wp:posOffset>
                </wp:positionV>
                <wp:extent cx="2762250" cy="209550"/>
                <wp:effectExtent l="0" t="0" r="19050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V="1">
                          <a:off x="0" y="0"/>
                          <a:ext cx="2762250" cy="2095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sysClr val="window" lastClr="FFFFFF"/>
                          </a:solidFill>
                        </a:ln>
                        <a:effectLst/>
                      </wps:spPr>
                      <wps:txbx>
                        <w:txbxContent>
                          <w:p w14:paraId="18FFBB89" w14:textId="77777777" w:rsidR="00BF10FD" w:rsidRDefault="00BF10FD" w:rsidP="00BF10FD">
                            <w:pPr>
                              <w:pStyle w:val="Footer"/>
                              <w:jc w:val="right"/>
                              <w:rPr>
                                <w:sz w:val="12"/>
                                <w:szCs w:val="12"/>
                              </w:rPr>
                            </w:pPr>
                            <w:r w:rsidRPr="00F77A38">
                              <w:rPr>
                                <w:sz w:val="12"/>
                                <w:szCs w:val="12"/>
                              </w:rPr>
                              <w:t>Answers Sample 1 is descriptive, sample 2 is analytical and sample 3 is evaluative.</w:t>
                            </w:r>
                          </w:p>
                          <w:p w14:paraId="18FFBB8A" w14:textId="77777777" w:rsidR="00BF10FD" w:rsidRPr="00F77A38" w:rsidRDefault="00BF10FD" w:rsidP="00BF10FD">
                            <w:pPr>
                              <w:pStyle w:val="Footer"/>
                              <w:jc w:val="right"/>
                              <w:rPr>
                                <w:sz w:val="12"/>
                                <w:szCs w:val="12"/>
                              </w:rPr>
                            </w:pPr>
                          </w:p>
                          <w:p w14:paraId="18FFBB8B" w14:textId="77777777" w:rsidR="00BF10FD" w:rsidRDefault="00BF10FD" w:rsidP="00BF10F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FFBB7F" id="Text Box 2" o:spid="_x0000_s1027" type="#_x0000_t202" style="position:absolute;margin-left:240.6pt;margin-top:263.95pt;width:217.5pt;height:16.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" fillcolor="window" strokecolor="window" strokeweight=".5pt">
                <v:textbox>
                  <w:txbxContent>
                    <w:p w14:paraId="18FFBB89" w14:textId="77777777" w:rsidR="00BF10FD" w:rsidRDefault="00BF10FD" w:rsidP="00BF10FD">
                      <w:pPr>
                        <w:pStyle w:val="Footer"/>
                        <w:jc w:val="right"/>
                        <w:rPr>
                          <w:sz w:val="12"/>
                          <w:szCs w:val="12"/>
                        </w:rPr>
                      </w:pPr>
                      <w:r w:rsidRPr="00F77A38">
                        <w:rPr>
                          <w:sz w:val="12"/>
                          <w:szCs w:val="12"/>
                        </w:rPr>
                        <w:t>Answers Sample 1 is descriptive, sample 2 is analytical and sample 3 is evaluative.</w:t>
                      </w:r>
                    </w:p>
                    <w:p w14:paraId="18FFBB8A" w14:textId="77777777" w:rsidR="00BF10FD" w:rsidRPr="00F77A38" w:rsidRDefault="00BF10FD" w:rsidP="00BF10FD">
                      <w:pPr>
                        <w:pStyle w:val="Footer"/>
                        <w:jc w:val="right"/>
                        <w:rPr>
                          <w:sz w:val="12"/>
                          <w:szCs w:val="12"/>
                        </w:rPr>
                      </w:pPr>
                    </w:p>
                    <w:p w14:paraId="18FFBB8B" w14:textId="77777777" w:rsidR="00BF10FD" w:rsidRDefault="00BF10FD" w:rsidP="00BF10FD"/>
                  </w:txbxContent>
                </v:textbox>
                <w10:wrap anchorx="margin"/>
              </v:shape>
            </w:pict>
          </mc:Fallback>
        </mc:AlternateConten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242"/>
      </w:tblGrid>
      <w:tr w:rsidR="00504E8B" w:rsidRPr="002415AA" w14:paraId="18FFBB79" w14:textId="77777777" w:rsidTr="00BF10FD">
        <w:trPr>
          <w:trHeight w:val="4170"/>
        </w:trPr>
        <w:tc>
          <w:tcPr>
            <w:tcW w:w="9242" w:type="dxa"/>
          </w:tcPr>
          <w:p w14:paraId="18FFBB75" w14:textId="77777777" w:rsidR="00034BD6" w:rsidRPr="00034BD6" w:rsidRDefault="00034BD6" w:rsidP="000C08E7">
            <w:pPr>
              <w:rPr>
                <w:rFonts w:ascii="Arial" w:hAnsi="Arial" w:cs="Arial"/>
                <w:sz w:val="4"/>
                <w:szCs w:val="4"/>
              </w:rPr>
            </w:pPr>
          </w:p>
          <w:p w14:paraId="18FFBB76" w14:textId="77777777" w:rsidR="00FB7F05" w:rsidRPr="00FB7F05" w:rsidRDefault="00FB7F05" w:rsidP="00FB7F05">
            <w:pPr>
              <w:pStyle w:val="NormalWeb"/>
              <w:kinsoku w:val="0"/>
              <w:overflowPunct w:val="0"/>
              <w:spacing w:before="0" w:beforeAutospacing="0" w:after="0" w:afterAutospacing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Whilst Parahoo et al (2000)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>argue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that evidence-based practice is some way off being a reality in learning disability nursing, more recent work by </w:t>
            </w:r>
            <w:proofErr w:type="spellStart"/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>Mckendry</w:t>
            </w:r>
            <w:proofErr w:type="spellEnd"/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and Boyd (2006)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 xml:space="preserve">has suggested 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a more optimistic perspective. The latter paper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>used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a questionnaire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 xml:space="preserve">to investigate 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attitudes towards research amongst learning disability nurses in Scotland and England. Research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>utilisation</w:t>
            </w:r>
            <w:r w:rsidRPr="00FB7F05">
              <w:rPr>
                <w:rFonts w:ascii="Arial" w:eastAsia="+mn-ea" w:hAnsi="Arial" w:cs="Arial"/>
                <w:color w:val="0070C0"/>
                <w:kern w:val="24"/>
                <w:sz w:val="22"/>
                <w:szCs w:val="22"/>
              </w:rPr>
              <w:t xml:space="preserve">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 xml:space="preserve">amongst this population seemed to be much higher than was the case with Parahoo’s sample 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from Northern Ireland. Both papers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 xml:space="preserve">used 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the same method of research, </w:t>
            </w:r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 xml:space="preserve">but </w:t>
            </w:r>
            <w:proofErr w:type="spellStart"/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>Mckendry</w:t>
            </w:r>
            <w:proofErr w:type="spellEnd"/>
            <w:r w:rsidRPr="00FB7F05">
              <w:rPr>
                <w:rFonts w:ascii="Arial" w:eastAsia="+mn-ea" w:hAnsi="Arial" w:cs="Arial"/>
                <w:b/>
                <w:bCs/>
                <w:color w:val="0070C0"/>
                <w:kern w:val="24"/>
                <w:sz w:val="22"/>
                <w:szCs w:val="22"/>
              </w:rPr>
              <w:t xml:space="preserve"> and Boyd were able to draw conclusions from a much greater number of respondents, 632 as opposed to 87. 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This </w:t>
            </w:r>
            <w:r w:rsidRPr="00FB7F05">
              <w:rPr>
                <w:rFonts w:ascii="Arial" w:eastAsia="+mn-ea" w:hAnsi="Arial" w:cs="Arial"/>
                <w:b/>
                <w:bCs/>
                <w:color w:val="00B050"/>
                <w:kern w:val="24"/>
                <w:sz w:val="22"/>
                <w:szCs w:val="22"/>
              </w:rPr>
              <w:t>is likely to mean their findings are more robust.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In addition, as the authors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>point out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>, the majority of their respondents had qualified after the changes to nursing education which took place from 2000 onwards (</w:t>
            </w:r>
            <w:proofErr w:type="spellStart"/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>Mckendry</w:t>
            </w:r>
            <w:proofErr w:type="spellEnd"/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and Boyd, 2006, p.11). As such </w:t>
            </w:r>
            <w:r w:rsidRPr="00FB7F05">
              <w:rPr>
                <w:rFonts w:ascii="Arial" w:eastAsia="+mn-ea" w:hAnsi="Arial" w:cs="Arial"/>
                <w:b/>
                <w:bCs/>
                <w:color w:val="00B050"/>
                <w:kern w:val="24"/>
                <w:sz w:val="22"/>
                <w:szCs w:val="22"/>
              </w:rPr>
              <w:t>it is likely to provide a more up to date picture of attitudes to nursing. T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he change to degree-level learning </w:t>
            </w:r>
            <w:r w:rsidRPr="00FB7F05">
              <w:rPr>
                <w:rFonts w:ascii="Arial" w:eastAsia="+mn-ea" w:hAnsi="Arial" w:cs="Arial"/>
                <w:b/>
                <w:bCs/>
                <w:color w:val="00B050"/>
                <w:kern w:val="24"/>
                <w:sz w:val="22"/>
                <w:szCs w:val="22"/>
              </w:rPr>
              <w:t>may well have resulted in a greater use of and involvement in research amongst learning disability nurses as they are trained in evidence-based practice at university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. </w:t>
            </w:r>
          </w:p>
          <w:p w14:paraId="18FFBB77" w14:textId="77777777" w:rsidR="00FB7F05" w:rsidRPr="00FB7F05" w:rsidRDefault="00FB7F05" w:rsidP="00FB7F05">
            <w:pPr>
              <w:pStyle w:val="NormalWeb"/>
              <w:kinsoku w:val="0"/>
              <w:overflowPunct w:val="0"/>
              <w:spacing w:before="0" w:beforeAutospacing="0" w:after="0" w:afterAutospacing="0"/>
              <w:textAlignment w:val="baseline"/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</w:pPr>
          </w:p>
          <w:p w14:paraId="18FFBB78" w14:textId="77777777" w:rsidR="00B81F9F" w:rsidRPr="00FB7F05" w:rsidRDefault="00FB7F05" w:rsidP="00FB7F05">
            <w:pPr>
              <w:pStyle w:val="NormalWeb"/>
              <w:kinsoku w:val="0"/>
              <w:overflowPunct w:val="0"/>
              <w:spacing w:before="0" w:beforeAutospacing="0" w:after="0" w:afterAutospacing="0"/>
              <w:textAlignment w:val="baseline"/>
              <w:rPr>
                <w:sz w:val="22"/>
                <w:szCs w:val="22"/>
              </w:rPr>
            </w:pP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This paragraph is …            </w:t>
            </w:r>
            <w:r w:rsidRPr="00FB7F05">
              <w:rPr>
                <w:rFonts w:ascii="Arial" w:eastAsia="+mn-ea" w:hAnsi="Arial" w:cs="Arial"/>
                <w:b/>
                <w:bCs/>
                <w:color w:val="FF0000"/>
                <w:kern w:val="24"/>
                <w:sz w:val="22"/>
                <w:szCs w:val="22"/>
              </w:rPr>
              <w:t>descriptive</w:t>
            </w:r>
            <w:r w:rsidRPr="00FB7F05">
              <w:rPr>
                <w:rFonts w:ascii="Arial" w:eastAsia="+mn-ea" w:hAnsi="Arial" w:cs="Arial"/>
                <w:color w:val="000000"/>
                <w:kern w:val="24"/>
                <w:sz w:val="22"/>
                <w:szCs w:val="22"/>
              </w:rPr>
              <w:t xml:space="preserve">             </w:t>
            </w:r>
            <w:r w:rsidRPr="00FB7F05">
              <w:rPr>
                <w:rFonts w:ascii="Arial" w:eastAsia="SimSun" w:hAnsi="Arial" w:cs="Arial"/>
                <w:b/>
                <w:color w:val="0070C0"/>
                <w:kern w:val="24"/>
                <w:sz w:val="22"/>
                <w:szCs w:val="22"/>
              </w:rPr>
              <w:t xml:space="preserve">analytical </w:t>
            </w:r>
            <w:r w:rsidRPr="00FB7F05">
              <w:rPr>
                <w:rFonts w:ascii="Arial" w:eastAsia="+mn-ea" w:hAnsi="Arial" w:cs="Arial"/>
                <w:b/>
                <w:color w:val="000000"/>
                <w:kern w:val="24"/>
                <w:sz w:val="22"/>
                <w:szCs w:val="22"/>
              </w:rPr>
              <w:t xml:space="preserve">            </w:t>
            </w:r>
            <w:r w:rsidRPr="00FB7F05">
              <w:rPr>
                <w:rFonts w:ascii="Arial" w:eastAsia="+mn-ea" w:hAnsi="Arial" w:cs="Arial"/>
                <w:b/>
                <w:bCs/>
                <w:color w:val="00B050"/>
                <w:kern w:val="24"/>
                <w:sz w:val="22"/>
                <w:szCs w:val="22"/>
              </w:rPr>
              <w:t>evaluative</w:t>
            </w:r>
          </w:p>
        </w:tc>
      </w:tr>
    </w:tbl>
    <w:p w14:paraId="18FFBB7A" w14:textId="77777777" w:rsidR="00504E8B" w:rsidRDefault="00504E8B" w:rsidP="00034BD6">
      <w:pPr>
        <w:rPr>
          <w:rFonts w:ascii="Arial" w:hAnsi="Arial" w:cs="Arial"/>
        </w:rPr>
      </w:pPr>
    </w:p>
    <w:sectPr w:rsidR="00504E8B" w:rsidSect="00BF10FD">
      <w:footerReference w:type="default" r:id="rId8"/>
      <w:pgSz w:w="12240" w:h="15840"/>
      <w:pgMar w:top="851" w:right="1077" w:bottom="567" w:left="1077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FFBB83" w14:textId="77777777" w:rsidR="00F77A38" w:rsidRDefault="00F77A38" w:rsidP="00F77A38">
      <w:pPr>
        <w:spacing w:after="0" w:line="240" w:lineRule="auto"/>
      </w:pPr>
      <w:r>
        <w:separator/>
      </w:r>
    </w:p>
  </w:endnote>
  <w:endnote w:type="continuationSeparator" w:id="0">
    <w:p w14:paraId="18FFBB84" w14:textId="77777777" w:rsidR="00F77A38" w:rsidRDefault="00F77A38" w:rsidP="00F77A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Light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FFBB85" w14:textId="77777777" w:rsidR="00F77A38" w:rsidRPr="00F77A38" w:rsidRDefault="00F77A38" w:rsidP="00F77A38">
    <w:pPr>
      <w:pStyle w:val="Footer"/>
      <w:jc w:val="right"/>
      <w:rPr>
        <w:sz w:val="12"/>
        <w:szCs w:val="12"/>
      </w:rPr>
    </w:pPr>
    <w:r>
      <w:tab/>
    </w:r>
    <w:r>
      <w:tab/>
    </w:r>
    <w:r>
      <w:tab/>
    </w:r>
    <w:r>
      <w:tab/>
    </w: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FFBB81" w14:textId="77777777" w:rsidR="00F77A38" w:rsidRDefault="00F77A38" w:rsidP="00F77A38">
      <w:pPr>
        <w:spacing w:after="0" w:line="240" w:lineRule="auto"/>
      </w:pPr>
      <w:r>
        <w:separator/>
      </w:r>
    </w:p>
  </w:footnote>
  <w:footnote w:type="continuationSeparator" w:id="0">
    <w:p w14:paraId="18FFBB82" w14:textId="77777777" w:rsidR="00F77A38" w:rsidRDefault="00F77A38" w:rsidP="00F77A3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0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08"/>
  <w:hyphenationZone w:val="425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04E8B"/>
    <w:rsid w:val="00034BD6"/>
    <w:rsid w:val="001146A7"/>
    <w:rsid w:val="00355DDC"/>
    <w:rsid w:val="003C3674"/>
    <w:rsid w:val="00504E8B"/>
    <w:rsid w:val="00676FC2"/>
    <w:rsid w:val="00AB35A9"/>
    <w:rsid w:val="00B81F9F"/>
    <w:rsid w:val="00BF10FD"/>
    <w:rsid w:val="00D50387"/>
    <w:rsid w:val="00D913B6"/>
    <w:rsid w:val="00E30C1F"/>
    <w:rsid w:val="00EB7133"/>
    <w:rsid w:val="00F77A38"/>
    <w:rsid w:val="00FB7F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18FFBB16"/>
  <w15:chartTrackingRefBased/>
  <w15:docId w15:val="{E5688E9E-0446-46C5-BFF8-E50BAF413C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numPr>
        <w:numId w:val="12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numPr>
        <w:ilvl w:val="1"/>
        <w:numId w:val="12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numPr>
        <w:ilvl w:val="2"/>
        <w:numId w:val="12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numPr>
        <w:ilvl w:val="3"/>
        <w:numId w:val="12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numPr>
        <w:ilvl w:val="4"/>
        <w:numId w:val="12"/>
      </w:numPr>
      <w:spacing w:before="200" w:after="0"/>
      <w:outlineLvl w:val="4"/>
    </w:pPr>
    <w:rPr>
      <w:rFonts w:asciiTheme="majorHAnsi" w:eastAsiaTheme="majorEastAsia" w:hAnsiTheme="majorHAnsi" w:cstheme="majorBidi"/>
      <w:color w:val="33473C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numPr>
        <w:ilvl w:val="5"/>
        <w:numId w:val="12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33473C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numPr>
        <w:ilvl w:val="6"/>
        <w:numId w:val="12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numPr>
        <w:ilvl w:val="7"/>
        <w:numId w:val="12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numPr>
        <w:ilvl w:val="8"/>
        <w:numId w:val="12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Pr>
      <w:color w:val="5A5A5A" w:themeColor="text1" w:themeTint="A5"/>
      <w:spacing w:val="10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33473C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iCs/>
      <w:color w:val="33473C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Pr>
      <w:b/>
      <w:bCs/>
      <w:i/>
      <w:iCs/>
      <w:caps/>
    </w:rPr>
  </w:style>
  <w:style w:type="character" w:styleId="Strong">
    <w:name w:val="Strong"/>
    <w:basedOn w:val="DefaultParagraphFont"/>
    <w:uiPriority w:val="22"/>
    <w:qFormat/>
    <w:rPr>
      <w:b/>
      <w:bCs/>
      <w:color w:val="000000" w:themeColor="text1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color w:val="000000" w:themeColor="text1"/>
      <w:shd w:val="clear" w:color="auto" w:fill="F2F2F2" w:themeFill="background1" w:themeFillShade="F2"/>
    </w:rPr>
  </w:style>
  <w:style w:type="character" w:styleId="SubtleReference">
    <w:name w:val="Subtle Reference"/>
    <w:basedOn w:val="DefaultParagraphFont"/>
    <w:uiPriority w:val="31"/>
    <w:qFormat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Pr>
      <w:b w:val="0"/>
      <w:bCs w:val="0"/>
      <w:smallCap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color w:val="455F51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GridTable2-Accent6">
    <w:name w:val="Grid Table 2 Accent 6"/>
    <w:basedOn w:val="TableNormal"/>
    <w:uiPriority w:val="47"/>
    <w:rsid w:val="00504E8B"/>
    <w:pPr>
      <w:spacing w:after="0" w:line="240" w:lineRule="auto"/>
    </w:pPr>
    <w:tblPr>
      <w:tblStyleRowBandSize w:val="1"/>
      <w:tblStyleColBandSize w:val="1"/>
      <w:tblBorders>
        <w:top w:val="single" w:sz="2" w:space="0" w:color="45CBF5" w:themeColor="accent6" w:themeTint="99"/>
        <w:bottom w:val="single" w:sz="2" w:space="0" w:color="45CBF5" w:themeColor="accent6" w:themeTint="99"/>
        <w:insideH w:val="single" w:sz="2" w:space="0" w:color="45CBF5" w:themeColor="accent6" w:themeTint="99"/>
        <w:insideV w:val="single" w:sz="2" w:space="0" w:color="45CBF5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CBF5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CBF5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DFC" w:themeFill="accent6" w:themeFillTint="33"/>
      </w:tcPr>
    </w:tblStylePr>
    <w:tblStylePr w:type="band1Horz">
      <w:tblPr/>
      <w:tcPr>
        <w:shd w:val="clear" w:color="auto" w:fill="C1EDFC" w:themeFill="accent6" w:themeFillTint="33"/>
      </w:tcPr>
    </w:tblStylePr>
  </w:style>
  <w:style w:type="table" w:styleId="GridTable2-Accent4">
    <w:name w:val="Grid Table 2 Accent 4"/>
    <w:basedOn w:val="TableNormal"/>
    <w:uiPriority w:val="47"/>
    <w:rsid w:val="00504E8B"/>
    <w:pPr>
      <w:spacing w:after="0" w:line="240" w:lineRule="auto"/>
    </w:pPr>
    <w:tblPr>
      <w:tblStyleRowBandSize w:val="1"/>
      <w:tblStyleColBandSize w:val="1"/>
      <w:tblBorders>
        <w:top w:val="single" w:sz="2" w:space="0" w:color="2AFCCE" w:themeColor="accent4" w:themeTint="99"/>
        <w:bottom w:val="single" w:sz="2" w:space="0" w:color="2AFCCE" w:themeColor="accent4" w:themeTint="99"/>
        <w:insideH w:val="single" w:sz="2" w:space="0" w:color="2AFCCE" w:themeColor="accent4" w:themeTint="99"/>
        <w:insideV w:val="single" w:sz="2" w:space="0" w:color="2AFCCE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2AFCCE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2AFCCE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FEEE" w:themeFill="accent4" w:themeFillTint="33"/>
      </w:tcPr>
    </w:tblStylePr>
    <w:tblStylePr w:type="band1Horz">
      <w:tblPr/>
      <w:tcPr>
        <w:shd w:val="clear" w:color="auto" w:fill="B8FEEE" w:themeFill="accent4" w:themeFillTint="33"/>
      </w:tcPr>
    </w:tblStylePr>
  </w:style>
  <w:style w:type="table" w:styleId="TableGridLight">
    <w:name w:val="Grid Table Light"/>
    <w:basedOn w:val="TableNormal"/>
    <w:uiPriority w:val="40"/>
    <w:rsid w:val="00504E8B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F77A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A38"/>
  </w:style>
  <w:style w:type="paragraph" w:styleId="Footer">
    <w:name w:val="footer"/>
    <w:basedOn w:val="Normal"/>
    <w:link w:val="FooterChar"/>
    <w:uiPriority w:val="99"/>
    <w:unhideWhenUsed/>
    <w:rsid w:val="00F77A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A38"/>
  </w:style>
  <w:style w:type="paragraph" w:styleId="NormalWeb">
    <w:name w:val="Normal (Web)"/>
    <w:basedOn w:val="Normal"/>
    <w:uiPriority w:val="99"/>
    <w:unhideWhenUsed/>
    <w:rsid w:val="00FB7F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76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73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5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16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bavin\AppData\Roaming\Microsoft\Templates\Report%20design%20(blank).dotx" TargetMode="Externa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Props1.xml><?xml version="1.0" encoding="utf-8"?>
<ds:datastoreItem xmlns:ds="http://schemas.openxmlformats.org/officeDocument/2006/customXml" ds:itemID="{499EA1EC-B023-4266-9865-E1EDA122A8C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design (blank)</Template>
  <TotalTime>0</TotalTime>
  <Pages>2</Pages>
  <Words>750</Words>
  <Characters>4278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Kelly Mcateer</dc:creator>
  <cp:keywords/>
  <cp:lastModifiedBy>Alison Cooke</cp:lastModifiedBy>
  <cp:revision>2</cp:revision>
  <dcterms:created xsi:type="dcterms:W3CDTF">2022-01-04T11:08:00Z</dcterms:created>
  <dcterms:modified xsi:type="dcterms:W3CDTF">2022-01-04T11:08:00Z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TC034577159991</vt:lpwstr>
  </property>
</Properties>
</file>