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38B98" w14:textId="77777777" w:rsidR="006956A7" w:rsidRDefault="006956A7" w:rsidP="006956A7">
      <w:pPr>
        <w:pStyle w:val="BodyText"/>
        <w:ind w:left="1936"/>
        <w:rPr>
          <w:rFonts w:ascii="Times New Roman"/>
          <w:sz w:val="20"/>
        </w:rPr>
      </w:pPr>
      <w:r>
        <w:rPr>
          <w:rFonts w:ascii="Times New Roman"/>
          <w:noProof/>
          <w:sz w:val="20"/>
        </w:rPr>
        <w:drawing>
          <wp:inline distT="0" distB="0" distL="0" distR="0" wp14:anchorId="700CB4F2" wp14:editId="32868CB2">
            <wp:extent cx="1370725" cy="601980"/>
            <wp:effectExtent l="0" t="0" r="1270" b="762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376362" cy="604455"/>
                    </a:xfrm>
                    <a:prstGeom prst="rect">
                      <a:avLst/>
                    </a:prstGeom>
                    <a:noFill/>
                    <a:ln>
                      <a:noFill/>
                    </a:ln>
                  </pic:spPr>
                </pic:pic>
              </a:graphicData>
            </a:graphic>
          </wp:inline>
        </w:drawing>
      </w:r>
    </w:p>
    <w:p w14:paraId="750F2F0A" w14:textId="77777777" w:rsidR="006956A7" w:rsidRDefault="006956A7" w:rsidP="006956A7">
      <w:pPr>
        <w:pStyle w:val="BodyText"/>
        <w:rPr>
          <w:rFonts w:ascii="Times New Roman"/>
          <w:sz w:val="20"/>
        </w:rPr>
      </w:pPr>
    </w:p>
    <w:p w14:paraId="628C9754" w14:textId="77777777" w:rsidR="006956A7" w:rsidRDefault="006956A7" w:rsidP="006956A7">
      <w:pPr>
        <w:pStyle w:val="BodyText"/>
        <w:rPr>
          <w:rFonts w:ascii="Times New Roman"/>
          <w:sz w:val="20"/>
        </w:rPr>
      </w:pPr>
    </w:p>
    <w:p w14:paraId="469665BB" w14:textId="77777777" w:rsidR="006956A7" w:rsidRDefault="006956A7" w:rsidP="006956A7">
      <w:pPr>
        <w:pStyle w:val="BodyText"/>
        <w:rPr>
          <w:rFonts w:ascii="Times New Roman"/>
          <w:sz w:val="20"/>
        </w:rPr>
      </w:pPr>
    </w:p>
    <w:p w14:paraId="12C98636" w14:textId="77777777" w:rsidR="006956A7" w:rsidRDefault="006956A7" w:rsidP="006956A7">
      <w:pPr>
        <w:pStyle w:val="BodyText"/>
        <w:rPr>
          <w:rFonts w:ascii="Times New Roman"/>
          <w:sz w:val="20"/>
        </w:rPr>
      </w:pPr>
    </w:p>
    <w:p w14:paraId="582E7FD6" w14:textId="77777777" w:rsidR="006956A7" w:rsidRDefault="006956A7" w:rsidP="006956A7">
      <w:pPr>
        <w:pStyle w:val="BodyText"/>
        <w:rPr>
          <w:rFonts w:ascii="Times New Roman"/>
          <w:sz w:val="20"/>
        </w:rPr>
      </w:pPr>
    </w:p>
    <w:p w14:paraId="225A87CB" w14:textId="77777777" w:rsidR="006956A7" w:rsidRDefault="006956A7" w:rsidP="006956A7">
      <w:pPr>
        <w:pStyle w:val="BodyText"/>
        <w:rPr>
          <w:rFonts w:ascii="Times New Roman"/>
          <w:sz w:val="20"/>
        </w:rPr>
      </w:pPr>
    </w:p>
    <w:p w14:paraId="689438D1" w14:textId="77777777" w:rsidR="006956A7" w:rsidRDefault="006956A7" w:rsidP="006956A7">
      <w:pPr>
        <w:pStyle w:val="BodyText"/>
        <w:rPr>
          <w:rFonts w:ascii="Times New Roman"/>
          <w:sz w:val="20"/>
        </w:rPr>
      </w:pPr>
    </w:p>
    <w:p w14:paraId="0AEB13C1" w14:textId="77777777" w:rsidR="006956A7" w:rsidRDefault="006956A7" w:rsidP="006956A7">
      <w:pPr>
        <w:pStyle w:val="BodyText"/>
        <w:rPr>
          <w:rFonts w:ascii="Times New Roman"/>
          <w:sz w:val="20"/>
        </w:rPr>
      </w:pPr>
    </w:p>
    <w:p w14:paraId="776192E0" w14:textId="77777777" w:rsidR="006956A7" w:rsidRDefault="006956A7" w:rsidP="006956A7">
      <w:pPr>
        <w:pStyle w:val="BodyText"/>
        <w:rPr>
          <w:rFonts w:ascii="Times New Roman"/>
          <w:sz w:val="20"/>
        </w:rPr>
      </w:pPr>
    </w:p>
    <w:p w14:paraId="754C8B51" w14:textId="77777777" w:rsidR="006956A7" w:rsidRDefault="006956A7" w:rsidP="006956A7">
      <w:pPr>
        <w:pStyle w:val="BodyText"/>
        <w:rPr>
          <w:rFonts w:ascii="Times New Roman"/>
          <w:sz w:val="20"/>
        </w:rPr>
      </w:pPr>
    </w:p>
    <w:p w14:paraId="14898AA7" w14:textId="77777777" w:rsidR="006956A7" w:rsidRPr="005406B3" w:rsidRDefault="006956A7" w:rsidP="006956A7">
      <w:pPr>
        <w:pStyle w:val="Subtitle"/>
        <w:rPr>
          <w:color w:val="auto"/>
          <w:sz w:val="36"/>
          <w:szCs w:val="36"/>
          <w:lang w:val="en-US"/>
        </w:rPr>
      </w:pPr>
      <w:r w:rsidRPr="005406B3">
        <w:rPr>
          <w:color w:val="auto"/>
          <w:sz w:val="36"/>
          <w:szCs w:val="36"/>
        </w:rPr>
        <w:t>How</w:t>
      </w:r>
      <w:r w:rsidRPr="005406B3">
        <w:rPr>
          <w:color w:val="auto"/>
          <w:spacing w:val="-5"/>
          <w:sz w:val="36"/>
          <w:szCs w:val="36"/>
        </w:rPr>
        <w:t xml:space="preserve"> </w:t>
      </w:r>
      <w:r w:rsidRPr="005406B3">
        <w:rPr>
          <w:color w:val="auto"/>
          <w:sz w:val="36"/>
          <w:szCs w:val="36"/>
        </w:rPr>
        <w:t>to</w:t>
      </w:r>
      <w:r w:rsidRPr="005406B3">
        <w:rPr>
          <w:color w:val="auto"/>
          <w:spacing w:val="-8"/>
          <w:sz w:val="36"/>
          <w:szCs w:val="36"/>
        </w:rPr>
        <w:t xml:space="preserve"> </w:t>
      </w:r>
      <w:r w:rsidRPr="005406B3">
        <w:rPr>
          <w:color w:val="auto"/>
          <w:sz w:val="36"/>
          <w:szCs w:val="36"/>
        </w:rPr>
        <w:t>engage</w:t>
      </w:r>
      <w:r w:rsidRPr="005406B3">
        <w:rPr>
          <w:color w:val="auto"/>
          <w:spacing w:val="-6"/>
          <w:sz w:val="36"/>
          <w:szCs w:val="36"/>
        </w:rPr>
        <w:t xml:space="preserve"> </w:t>
      </w:r>
      <w:r w:rsidRPr="005406B3">
        <w:rPr>
          <w:color w:val="auto"/>
          <w:sz w:val="36"/>
          <w:szCs w:val="36"/>
        </w:rPr>
        <w:t>employees</w:t>
      </w:r>
      <w:r w:rsidRPr="005406B3">
        <w:rPr>
          <w:color w:val="auto"/>
          <w:spacing w:val="-7"/>
          <w:sz w:val="36"/>
          <w:szCs w:val="36"/>
        </w:rPr>
        <w:t xml:space="preserve"> </w:t>
      </w:r>
      <w:r w:rsidRPr="005406B3">
        <w:rPr>
          <w:color w:val="auto"/>
          <w:sz w:val="36"/>
          <w:szCs w:val="36"/>
        </w:rPr>
        <w:t>throughout</w:t>
      </w:r>
      <w:r w:rsidRPr="005406B3">
        <w:rPr>
          <w:color w:val="auto"/>
          <w:spacing w:val="-8"/>
          <w:sz w:val="36"/>
          <w:szCs w:val="36"/>
        </w:rPr>
        <w:t xml:space="preserve"> </w:t>
      </w:r>
      <w:r w:rsidRPr="005406B3">
        <w:rPr>
          <w:color w:val="auto"/>
          <w:sz w:val="36"/>
          <w:szCs w:val="36"/>
        </w:rPr>
        <w:t>the</w:t>
      </w:r>
      <w:r w:rsidRPr="005406B3">
        <w:rPr>
          <w:color w:val="auto"/>
          <w:spacing w:val="-7"/>
          <w:sz w:val="36"/>
          <w:szCs w:val="36"/>
        </w:rPr>
        <w:t xml:space="preserve"> </w:t>
      </w:r>
      <w:r w:rsidRPr="005406B3">
        <w:rPr>
          <w:color w:val="auto"/>
          <w:sz w:val="36"/>
          <w:szCs w:val="36"/>
        </w:rPr>
        <w:t xml:space="preserve">employee </w:t>
      </w:r>
      <w:r w:rsidRPr="005406B3">
        <w:rPr>
          <w:color w:val="auto"/>
          <w:spacing w:val="-86"/>
          <w:sz w:val="36"/>
          <w:szCs w:val="36"/>
        </w:rPr>
        <w:t xml:space="preserve"> </w:t>
      </w:r>
      <w:r w:rsidRPr="005406B3">
        <w:rPr>
          <w:color w:val="auto"/>
          <w:sz w:val="36"/>
          <w:szCs w:val="36"/>
        </w:rPr>
        <w:t>lifecycle</w:t>
      </w:r>
      <w:r w:rsidRPr="005406B3">
        <w:rPr>
          <w:color w:val="auto"/>
          <w:sz w:val="36"/>
          <w:szCs w:val="36"/>
          <w:lang w:val="en-US"/>
        </w:rPr>
        <w:t xml:space="preserve"> </w:t>
      </w:r>
    </w:p>
    <w:p w14:paraId="7B98F59E" w14:textId="77777777" w:rsidR="006956A7" w:rsidRDefault="006956A7" w:rsidP="006956A7">
      <w:pPr>
        <w:pStyle w:val="BodyText"/>
        <w:rPr>
          <w:rFonts w:ascii="Times New Roman"/>
          <w:sz w:val="20"/>
        </w:rPr>
      </w:pPr>
    </w:p>
    <w:p w14:paraId="36139D25" w14:textId="77777777" w:rsidR="006956A7" w:rsidRDefault="006956A7" w:rsidP="006956A7">
      <w:pPr>
        <w:pStyle w:val="BodyText"/>
        <w:rPr>
          <w:rFonts w:ascii="Times New Roman"/>
          <w:sz w:val="20"/>
        </w:rPr>
      </w:pPr>
    </w:p>
    <w:p w14:paraId="298059E7" w14:textId="77777777" w:rsidR="006956A7" w:rsidRDefault="006956A7" w:rsidP="006956A7">
      <w:pPr>
        <w:pStyle w:val="BodyText"/>
        <w:rPr>
          <w:rFonts w:ascii="Times New Roman"/>
          <w:sz w:val="20"/>
        </w:rPr>
      </w:pPr>
    </w:p>
    <w:p w14:paraId="51B4861A" w14:textId="77777777" w:rsidR="006956A7" w:rsidRDefault="006956A7" w:rsidP="006956A7">
      <w:pPr>
        <w:pStyle w:val="BodyText"/>
        <w:rPr>
          <w:rFonts w:ascii="Times New Roman"/>
          <w:sz w:val="20"/>
        </w:rPr>
      </w:pPr>
    </w:p>
    <w:p w14:paraId="575736FB" w14:textId="77777777" w:rsidR="006956A7" w:rsidRDefault="006956A7" w:rsidP="006956A7">
      <w:pPr>
        <w:pStyle w:val="BodyText"/>
        <w:rPr>
          <w:rFonts w:ascii="Times New Roman"/>
          <w:sz w:val="20"/>
        </w:rPr>
      </w:pPr>
    </w:p>
    <w:p w14:paraId="39E01ECD" w14:textId="77777777" w:rsidR="006956A7" w:rsidRDefault="006956A7" w:rsidP="006956A7">
      <w:pPr>
        <w:pStyle w:val="BodyText"/>
        <w:rPr>
          <w:rFonts w:ascii="Times New Roman"/>
          <w:sz w:val="20"/>
        </w:rPr>
      </w:pPr>
    </w:p>
    <w:p w14:paraId="3A4EEB64" w14:textId="77777777" w:rsidR="006956A7" w:rsidRDefault="006956A7" w:rsidP="006956A7">
      <w:pPr>
        <w:pStyle w:val="BodyText"/>
        <w:rPr>
          <w:rFonts w:ascii="Times New Roman"/>
          <w:sz w:val="20"/>
        </w:rPr>
      </w:pPr>
    </w:p>
    <w:p w14:paraId="7594CDDC" w14:textId="77777777" w:rsidR="006956A7" w:rsidRDefault="006956A7" w:rsidP="006956A7">
      <w:pPr>
        <w:pStyle w:val="BodyText"/>
        <w:rPr>
          <w:rFonts w:ascii="Times New Roman"/>
          <w:sz w:val="20"/>
        </w:rPr>
      </w:pPr>
    </w:p>
    <w:p w14:paraId="6D66BA0C" w14:textId="77777777" w:rsidR="006956A7" w:rsidRDefault="006956A7" w:rsidP="006956A7">
      <w:pPr>
        <w:pStyle w:val="BodyText"/>
        <w:rPr>
          <w:rFonts w:ascii="Times New Roman"/>
          <w:sz w:val="20"/>
        </w:rPr>
      </w:pPr>
    </w:p>
    <w:p w14:paraId="3C05B501" w14:textId="77777777" w:rsidR="006956A7" w:rsidRDefault="006956A7" w:rsidP="006956A7">
      <w:pPr>
        <w:pStyle w:val="BodyText"/>
        <w:rPr>
          <w:rFonts w:ascii="Times New Roman"/>
          <w:sz w:val="20"/>
        </w:rPr>
      </w:pPr>
    </w:p>
    <w:p w14:paraId="41FDC925" w14:textId="77777777" w:rsidR="006956A7" w:rsidRDefault="006956A7" w:rsidP="006956A7">
      <w:pPr>
        <w:pStyle w:val="BodyText"/>
        <w:rPr>
          <w:rFonts w:ascii="Times New Roman"/>
          <w:sz w:val="20"/>
        </w:rPr>
      </w:pPr>
    </w:p>
    <w:p w14:paraId="401A6BDB" w14:textId="77777777" w:rsidR="006956A7" w:rsidRDefault="006956A7" w:rsidP="006956A7">
      <w:pPr>
        <w:pStyle w:val="BodyText"/>
        <w:rPr>
          <w:rFonts w:ascii="Times New Roman"/>
          <w:sz w:val="20"/>
        </w:rPr>
      </w:pPr>
    </w:p>
    <w:p w14:paraId="50A87B1D" w14:textId="77777777" w:rsidR="006956A7" w:rsidRDefault="006956A7" w:rsidP="006956A7">
      <w:pPr>
        <w:pStyle w:val="BodyText"/>
        <w:rPr>
          <w:rFonts w:ascii="Times New Roman"/>
          <w:sz w:val="20"/>
        </w:rPr>
      </w:pPr>
    </w:p>
    <w:p w14:paraId="6A87D71B" w14:textId="77777777" w:rsidR="006956A7" w:rsidRPr="00A631BE" w:rsidRDefault="006956A7" w:rsidP="006956A7">
      <w:pPr>
        <w:pStyle w:val="ListParagraph"/>
        <w:rPr>
          <w:rFonts w:ascii="Arial" w:hAnsi="Arial" w:cs="Arial"/>
          <w:bCs/>
          <w:color w:val="000000" w:themeColor="text1"/>
          <w:sz w:val="28"/>
          <w:szCs w:val="28"/>
        </w:rPr>
      </w:pPr>
      <w:r w:rsidRPr="00A631BE">
        <w:rPr>
          <w:rFonts w:ascii="Arial" w:hAnsi="Arial" w:cs="Arial"/>
          <w:bCs/>
          <w:color w:val="000000" w:themeColor="text1"/>
          <w:sz w:val="28"/>
          <w:szCs w:val="28"/>
        </w:rPr>
        <w:t>Student ID number: 2</w:t>
      </w:r>
      <w:r>
        <w:rPr>
          <w:rFonts w:ascii="Arial" w:hAnsi="Arial" w:cs="Arial"/>
          <w:bCs/>
          <w:color w:val="000000" w:themeColor="text1"/>
          <w:sz w:val="28"/>
          <w:szCs w:val="28"/>
        </w:rPr>
        <w:t>210334</w:t>
      </w:r>
    </w:p>
    <w:p w14:paraId="78542343" w14:textId="77777777" w:rsidR="006956A7" w:rsidRPr="00A631BE" w:rsidRDefault="006956A7" w:rsidP="006956A7">
      <w:pPr>
        <w:pStyle w:val="ListParagraph"/>
        <w:rPr>
          <w:rFonts w:ascii="Arial" w:hAnsi="Arial" w:cs="Arial"/>
          <w:bCs/>
          <w:color w:val="000000" w:themeColor="text1"/>
          <w:sz w:val="28"/>
          <w:szCs w:val="28"/>
        </w:rPr>
      </w:pPr>
      <w:r w:rsidRPr="00A631BE">
        <w:rPr>
          <w:rFonts w:ascii="Arial" w:hAnsi="Arial" w:cs="Arial"/>
          <w:bCs/>
          <w:color w:val="000000" w:themeColor="text1"/>
          <w:sz w:val="28"/>
          <w:szCs w:val="28"/>
        </w:rPr>
        <w:t xml:space="preserve">Student name: </w:t>
      </w:r>
      <w:r>
        <w:rPr>
          <w:rFonts w:ascii="Arial" w:hAnsi="Arial" w:cs="Arial"/>
          <w:bCs/>
          <w:color w:val="000000" w:themeColor="text1"/>
          <w:sz w:val="28"/>
          <w:szCs w:val="28"/>
        </w:rPr>
        <w:t>Mariana Geanina Muresan</w:t>
      </w:r>
    </w:p>
    <w:p w14:paraId="4ED9B63A" w14:textId="77777777" w:rsidR="006956A7" w:rsidRPr="00A631BE" w:rsidRDefault="006956A7" w:rsidP="006956A7">
      <w:pPr>
        <w:pStyle w:val="ListParagraph"/>
        <w:rPr>
          <w:rFonts w:ascii="Arial" w:hAnsi="Arial" w:cs="Arial"/>
          <w:bCs/>
          <w:color w:val="000000" w:themeColor="text1"/>
          <w:sz w:val="28"/>
          <w:szCs w:val="28"/>
        </w:rPr>
      </w:pPr>
      <w:r w:rsidRPr="00A631BE">
        <w:rPr>
          <w:rFonts w:ascii="Arial" w:hAnsi="Arial" w:cs="Arial"/>
          <w:bCs/>
          <w:color w:val="000000" w:themeColor="text1"/>
          <w:sz w:val="28"/>
          <w:szCs w:val="28"/>
        </w:rPr>
        <w:t>The module title: Personnel Resourcing and Development</w:t>
      </w:r>
    </w:p>
    <w:p w14:paraId="1130B6B3" w14:textId="77777777" w:rsidR="006956A7" w:rsidRPr="00A631BE" w:rsidRDefault="006956A7" w:rsidP="006956A7">
      <w:pPr>
        <w:pStyle w:val="ListParagraph"/>
        <w:rPr>
          <w:rFonts w:ascii="Arial" w:hAnsi="Arial" w:cs="Arial"/>
          <w:bCs/>
          <w:color w:val="000000" w:themeColor="text1"/>
          <w:sz w:val="28"/>
          <w:szCs w:val="28"/>
        </w:rPr>
      </w:pPr>
      <w:r w:rsidRPr="00A631BE">
        <w:rPr>
          <w:rFonts w:ascii="Arial" w:hAnsi="Arial" w:cs="Arial"/>
          <w:bCs/>
          <w:color w:val="000000" w:themeColor="text1"/>
          <w:sz w:val="28"/>
          <w:szCs w:val="28"/>
        </w:rPr>
        <w:t>The module code: BMIH5005</w:t>
      </w:r>
    </w:p>
    <w:p w14:paraId="14DDAC86" w14:textId="77777777" w:rsidR="006956A7" w:rsidRPr="00A631BE" w:rsidRDefault="006956A7" w:rsidP="006956A7">
      <w:pPr>
        <w:pStyle w:val="ListParagraph"/>
        <w:rPr>
          <w:rFonts w:ascii="Arial" w:hAnsi="Arial" w:cs="Arial"/>
          <w:bCs/>
          <w:color w:val="000000" w:themeColor="text1"/>
          <w:sz w:val="28"/>
          <w:szCs w:val="28"/>
        </w:rPr>
      </w:pPr>
      <w:r w:rsidRPr="00A631BE">
        <w:rPr>
          <w:rFonts w:ascii="Arial" w:hAnsi="Arial" w:cs="Arial"/>
          <w:bCs/>
          <w:color w:val="000000" w:themeColor="text1"/>
          <w:sz w:val="28"/>
          <w:szCs w:val="28"/>
        </w:rPr>
        <w:t>Module Lead: Helen Lee BA (Hons)</w:t>
      </w:r>
    </w:p>
    <w:p w14:paraId="17304CB3" w14:textId="77777777" w:rsidR="006956A7" w:rsidRPr="00A631BE" w:rsidRDefault="006956A7" w:rsidP="006956A7">
      <w:pPr>
        <w:pStyle w:val="ListParagraph"/>
        <w:rPr>
          <w:rFonts w:ascii="Arial" w:hAnsi="Arial" w:cs="Arial"/>
          <w:bCs/>
          <w:color w:val="000000" w:themeColor="text1"/>
          <w:sz w:val="28"/>
          <w:szCs w:val="28"/>
        </w:rPr>
      </w:pPr>
      <w:r w:rsidRPr="00A631BE">
        <w:rPr>
          <w:rFonts w:ascii="Arial" w:eastAsia="Times New Roman" w:hAnsi="Arial" w:cs="Arial"/>
          <w:sz w:val="28"/>
          <w:szCs w:val="28"/>
          <w:lang w:val="en-US" w:bidi="en-US"/>
        </w:rPr>
        <w:t xml:space="preserve">Word Count: </w:t>
      </w:r>
      <w:r>
        <w:rPr>
          <w:rFonts w:ascii="Arial" w:eastAsia="Times New Roman" w:hAnsi="Arial" w:cs="Arial"/>
          <w:sz w:val="28"/>
          <w:szCs w:val="28"/>
          <w:lang w:val="en-US" w:bidi="en-US"/>
        </w:rPr>
        <w:t>2082</w:t>
      </w:r>
    </w:p>
    <w:p w14:paraId="32FB3576" w14:textId="77777777" w:rsidR="006956A7" w:rsidRDefault="006956A7" w:rsidP="006956A7">
      <w:pPr>
        <w:pStyle w:val="BodyText"/>
        <w:rPr>
          <w:rFonts w:ascii="Arial"/>
          <w:b/>
          <w:sz w:val="44"/>
        </w:rPr>
      </w:pPr>
    </w:p>
    <w:p w14:paraId="6A3EBFD0" w14:textId="77777777" w:rsidR="006956A7" w:rsidRDefault="006956A7" w:rsidP="006956A7">
      <w:pPr>
        <w:rPr>
          <w:lang w:val="en-US"/>
        </w:rPr>
        <w:sectPr w:rsidR="006956A7">
          <w:footerReference w:type="default" r:id="rId5"/>
          <w:pgSz w:w="11906" w:h="16838"/>
          <w:pgMar w:top="1440" w:right="1440" w:bottom="1440" w:left="1440" w:header="720" w:footer="720" w:gutter="0"/>
          <w:cols w:space="720"/>
          <w:docGrid w:linePitch="360"/>
        </w:sectPr>
      </w:pPr>
    </w:p>
    <w:p w14:paraId="04518780" w14:textId="77777777" w:rsidR="006956A7" w:rsidRPr="006D4607" w:rsidRDefault="006956A7" w:rsidP="006956A7">
      <w:pPr>
        <w:pStyle w:val="Subtitle"/>
        <w:rPr>
          <w:color w:val="auto"/>
          <w:lang w:val="en-US"/>
        </w:rPr>
      </w:pPr>
      <w:r w:rsidRPr="006D4607">
        <w:rPr>
          <w:color w:val="auto"/>
          <w:lang w:val="en-US"/>
        </w:rPr>
        <w:lastRenderedPageBreak/>
        <w:t xml:space="preserve">Essay on </w:t>
      </w:r>
      <w:r w:rsidRPr="006D4607">
        <w:rPr>
          <w:color w:val="auto"/>
        </w:rPr>
        <w:t>how</w:t>
      </w:r>
      <w:r w:rsidRPr="006D4607">
        <w:rPr>
          <w:color w:val="auto"/>
          <w:spacing w:val="-5"/>
        </w:rPr>
        <w:t xml:space="preserve"> </w:t>
      </w:r>
      <w:r w:rsidRPr="006D4607">
        <w:rPr>
          <w:color w:val="auto"/>
        </w:rPr>
        <w:t>to</w:t>
      </w:r>
      <w:r w:rsidRPr="006D4607">
        <w:rPr>
          <w:color w:val="auto"/>
          <w:spacing w:val="-8"/>
        </w:rPr>
        <w:t xml:space="preserve"> </w:t>
      </w:r>
      <w:r w:rsidRPr="006D4607">
        <w:rPr>
          <w:color w:val="auto"/>
        </w:rPr>
        <w:t>engage</w:t>
      </w:r>
      <w:r w:rsidRPr="006D4607">
        <w:rPr>
          <w:color w:val="auto"/>
          <w:spacing w:val="-6"/>
        </w:rPr>
        <w:t xml:space="preserve"> </w:t>
      </w:r>
      <w:r w:rsidRPr="006D4607">
        <w:rPr>
          <w:color w:val="auto"/>
        </w:rPr>
        <w:t>employees</w:t>
      </w:r>
      <w:r w:rsidRPr="006D4607">
        <w:rPr>
          <w:color w:val="auto"/>
          <w:spacing w:val="-7"/>
        </w:rPr>
        <w:t xml:space="preserve"> </w:t>
      </w:r>
      <w:r w:rsidRPr="006D4607">
        <w:rPr>
          <w:color w:val="auto"/>
        </w:rPr>
        <w:t>throughout</w:t>
      </w:r>
      <w:r w:rsidRPr="006D4607">
        <w:rPr>
          <w:color w:val="auto"/>
          <w:spacing w:val="-8"/>
        </w:rPr>
        <w:t xml:space="preserve"> </w:t>
      </w:r>
      <w:r w:rsidRPr="006D4607">
        <w:rPr>
          <w:color w:val="auto"/>
        </w:rPr>
        <w:t>the</w:t>
      </w:r>
      <w:r w:rsidRPr="006D4607">
        <w:rPr>
          <w:color w:val="auto"/>
          <w:spacing w:val="-7"/>
        </w:rPr>
        <w:t xml:space="preserve"> </w:t>
      </w:r>
      <w:r w:rsidRPr="006D4607">
        <w:rPr>
          <w:color w:val="auto"/>
        </w:rPr>
        <w:t xml:space="preserve">employee </w:t>
      </w:r>
      <w:r w:rsidRPr="006D4607">
        <w:rPr>
          <w:color w:val="auto"/>
          <w:spacing w:val="-86"/>
        </w:rPr>
        <w:t xml:space="preserve"> </w:t>
      </w:r>
      <w:r w:rsidRPr="006D4607">
        <w:rPr>
          <w:color w:val="auto"/>
        </w:rPr>
        <w:t>lifecycle</w:t>
      </w:r>
      <w:r w:rsidRPr="006D4607">
        <w:rPr>
          <w:color w:val="auto"/>
          <w:lang w:val="en-US"/>
        </w:rPr>
        <w:t xml:space="preserve"> </w:t>
      </w:r>
    </w:p>
    <w:p w14:paraId="46C7F36B" w14:textId="77777777" w:rsidR="006956A7" w:rsidRPr="00DA4DFB" w:rsidRDefault="006956A7" w:rsidP="006956A7">
      <w:pPr>
        <w:rPr>
          <w:lang w:val="en-US"/>
        </w:rPr>
      </w:pPr>
      <w:r w:rsidRPr="00DA4DFB">
        <w:rPr>
          <w:lang w:val="en-US"/>
        </w:rPr>
        <w:t>In all hotel operations, HR strategies must prioritise employee engagement. Employee engagement requires sustaining employees' passion for their jobs and commitment to the company's goals (Dollins &amp; Stemmle, 2021). Gen Z  is considered.  We cherish Gen Z workers since they're our future. Understanding and meeting their expectations is vital as they vary from prior generations. To improve employee experiences, careers, and growth. In collaboration with the Network of Executive Women (NEW), we examined Generation Z's main events to better understand their problems and workplace impacts. Their behaviours, attitudes, and interests were explored in this research, disproving stereotypes. It's crucial to remember that employee engagement is a continuous process. A corporation must value human resources to maximise employee engagement throughout the employment lifetime. This generation z procedure relies on employee longevity (Thompsen, 2019). Hotel HR teams must keep employees engaged and motivated throughout their careers. The essay discusses how Hotel Premier Inn engages Generation Z employees throughout their employee life cycle.</w:t>
      </w:r>
    </w:p>
    <w:p w14:paraId="7FD2395E" w14:textId="77777777" w:rsidR="006956A7" w:rsidRPr="00DA4DFB" w:rsidRDefault="006956A7" w:rsidP="006956A7">
      <w:pPr>
        <w:rPr>
          <w:lang w:val="en-US"/>
        </w:rPr>
      </w:pPr>
      <w:r w:rsidRPr="00DA4DFB">
        <w:rPr>
          <w:lang w:val="en-US"/>
        </w:rPr>
        <w:t>The function of human resources is crucial in fostering employee motivation. Human resources experts play a crucial role in the recruitment, onboarding, and ongoing supervision of workers Hotel Premier Inn. Moreover, it is the responsibility of employers to ensure that their employees are equipped with the necessary tools, data, and assistance to effectively perform their work duties, hence facilitating their success (Archer, 2017). The cultivation of a congenial work atmosphere by human resource management fosters employee trust and collaboration. In addition, it is their responsibility to detect and resolve any issues that may negatively impact employee happiness. Human resources (HR) plays a significant role in fostering long-term employee motivation. To achieve this objective, it is essential for people to possess the necessary resources for progress and the competencies that will facilitate their professional achievements (Bardhan, 2022). Human resources should provide employees with a performance management system, precise job descriptions, and other relevant paperwork to enhance their performance.</w:t>
      </w:r>
    </w:p>
    <w:p w14:paraId="3EEFC1C3" w14:textId="77777777" w:rsidR="006956A7" w:rsidRPr="00DA4DFB" w:rsidRDefault="006956A7" w:rsidP="006956A7">
      <w:pPr>
        <w:rPr>
          <w:lang w:val="en-US"/>
        </w:rPr>
      </w:pPr>
      <w:r w:rsidRPr="00DA4DFB">
        <w:rPr>
          <w:lang w:val="en-US"/>
        </w:rPr>
        <w:lastRenderedPageBreak/>
        <w:t>The motivation of the workforce is of utmost importance for the success of any company, as it serves as the foundation of the whole organization. In order to ensure the sustained levels of employee happiness and productivity throughout the course of an employee's career, it is essential that every member of the staff actively engages in the process. To inspire Gen Z, a firm must evolve at the same pace as the globe. Strong diversity-focused leadership and training are needed. Create unique employee profiles, provide internal apprenticeships, or hire smart, talented people and coach them to the suitable positions. Engage colleges to embrace top female talent to attract more tech women. Layer work forms and career pathways. Establish internal marketplaces to link activities and talents. Take advice from Xers, Yers, and Boomers.</w:t>
      </w:r>
    </w:p>
    <w:p w14:paraId="0EE91E00" w14:textId="77777777" w:rsidR="006956A7" w:rsidRPr="00DA4DFB" w:rsidRDefault="006956A7" w:rsidP="006956A7">
      <w:pPr>
        <w:rPr>
          <w:lang w:val="en-US"/>
        </w:rPr>
      </w:pPr>
      <w:r w:rsidRPr="00DA4DFB">
        <w:rPr>
          <w:lang w:val="en-US"/>
        </w:rPr>
        <w:t>Excessive work presseure and excitement characterise the first three to six months following employment. After the first year, performance and enthusiasm drop, leading to resignations (Card and Ransom, 2017). They work hard and are eager when they start a new job. Performance and enthusiasm decline in the first year, leading to resignation. They don't know how to handle their brief corporate life cycle since their Boomer managers are repulsed by it. Due to the shorter employee life cycle, companies might reconsider HR practises. Supervisors must first grasp their duties.</w:t>
      </w:r>
    </w:p>
    <w:p w14:paraId="20309668" w14:textId="77777777" w:rsidR="006956A7" w:rsidRPr="00DA4DFB" w:rsidRDefault="006956A7" w:rsidP="006956A7">
      <w:pPr>
        <w:rPr>
          <w:lang w:val="en-US"/>
        </w:rPr>
      </w:pPr>
      <w:r w:rsidRPr="00DA4DFB">
        <w:rPr>
          <w:lang w:val="en-US"/>
        </w:rPr>
        <w:t>The ability to attract outstanding personnel is contingent upon the reputation of a firm. Attracting and retaining high-performing individuals requires the provision of competitive remuneration and benefits, the demonstration of the organization's core principles, and the cultivation of a strong employer brand. In addition, it is recommended that firms engage in advertising activities on social media platforms and employment boards (Archer, 2017).</w:t>
      </w:r>
      <w:r w:rsidRPr="00DA4DFB">
        <w:rPr>
          <w:rFonts w:ascii="Georgia" w:hAnsi="Georgia"/>
          <w:sz w:val="27"/>
          <w:szCs w:val="27"/>
          <w:shd w:val="clear" w:color="auto" w:fill="FCFCFC"/>
        </w:rPr>
        <w:t xml:space="preserve"> </w:t>
      </w:r>
      <w:r w:rsidRPr="00DA4DFB">
        <w:t>Leadership has a crucial role in sustaining the performance of Generation Z personnel. Every generational cohort wants its leaders to exhibit excellent qualities and serve as role models. Nevertheless, although Millennials expressed a desire for their leaders to adopt a collaborative and amicable approach, Generation Z seeks leaders who can provide clear guidance and direction when necessary. However, it is imperative that the general dynamic between Generation Z and their leader remains one that fosters empowerment and provides support.</w:t>
      </w:r>
    </w:p>
    <w:p w14:paraId="0306D44C" w14:textId="77777777" w:rsidR="006956A7" w:rsidRPr="00DA4DFB" w:rsidRDefault="006956A7" w:rsidP="006956A7">
      <w:pPr>
        <w:rPr>
          <w:lang w:val="en-US"/>
        </w:rPr>
      </w:pPr>
      <w:r w:rsidRPr="00DA4DFB">
        <w:rPr>
          <w:lang w:val="en-US"/>
        </w:rPr>
        <w:br w:type="page"/>
      </w:r>
    </w:p>
    <w:p w14:paraId="380B2A26" w14:textId="77777777" w:rsidR="006956A7" w:rsidRPr="00DA4DFB" w:rsidRDefault="006956A7" w:rsidP="006956A7">
      <w:pPr>
        <w:rPr>
          <w:lang w:val="en-US"/>
        </w:rPr>
      </w:pPr>
      <w:r w:rsidRPr="00DA4DFB">
        <w:rPr>
          <w:lang w:val="en-US"/>
        </w:rPr>
        <w:lastRenderedPageBreak/>
        <w:t>Incentives and reward programs for employee referrals are sometimes used by businesses in an effort to encourage employee participation in the promotion of domestic organizations and domestic members. In the context of the engagement of workers, the process of hiring new workers is often considered to be the next step. For hotel human resources departments to successfully attract and choose individuals of a high level, it is essential for such departments to have efficient recruiting techniques. According to Dollins and Stemmle, (2021), one of the most important factors in determining professional success is having a full understanding of the education, experience, and training requirements associated with the position being sought after. It is very crucial to have a well-organized recruiting procedure in order to guarantee the selection of suitable candidates and to provide those applicants the help they need in order to be successful in their endeavors.</w:t>
      </w:r>
    </w:p>
    <w:p w14:paraId="1F5CB2AD" w14:textId="77777777" w:rsidR="006956A7" w:rsidRPr="00DA4DFB" w:rsidRDefault="006956A7" w:rsidP="006956A7">
      <w:pPr>
        <w:rPr>
          <w:lang w:val="en-US"/>
        </w:rPr>
      </w:pPr>
      <w:r w:rsidRPr="00DA4DFB">
        <w:rPr>
          <w:lang w:val="en-US"/>
        </w:rPr>
        <w:t xml:space="preserve">The degree of employee retention is influenced to a greater extent by the onboarding process rather than the recruiting process. Human Resources (HR) ensures that new recruits are supplied with all the essential tools required to foster a sense of inclusion and appreciation. In order to achieve this objective, it is recommended that the business streamline its onboarding procedure, therefore facilitating convenient access to information and training for newly hired personnel. </w:t>
      </w:r>
      <w:r w:rsidRPr="00DA4DFB">
        <w:t xml:space="preserve">There is a problem with performance-based bonuses among Gen-Z. Work is usually more important to them. Overtime should be compensated, not nonwage benefits. It is just as important to give generous praise as it is to receive payment. Keep them motivated by rewarding them often and early (Graban and Toussaint, 2018). </w:t>
      </w:r>
      <w:r w:rsidRPr="00DA4DFB">
        <w:rPr>
          <w:lang w:val="en-US"/>
        </w:rPr>
        <w:t>Hence, the provision of instructional materials is vital for the faculty.</w:t>
      </w:r>
    </w:p>
    <w:p w14:paraId="423F4A2C" w14:textId="77777777" w:rsidR="006956A7" w:rsidRPr="00DA4DFB" w:rsidRDefault="006956A7" w:rsidP="006956A7">
      <w:pPr>
        <w:rPr>
          <w:lang w:val="en-US"/>
        </w:rPr>
      </w:pPr>
      <w:r w:rsidRPr="00DA4DFB">
        <w:rPr>
          <w:lang w:val="en-US"/>
        </w:rPr>
        <w:t xml:space="preserve">The emphasis on the retention stage, namely phase five of the employee life cycle, is crucial for ensuring the enduring sustainability of staff retention. The human resources department plays a crucial role in facilitating employee success by providing necessary resources and incentives. In addition to offering fair compensation, complete benefits that embrace several elements, and prospects for professional progress, this package also includes exceptional bonuses. Similarly, it is crucial for the Human Resources department to provide a workplace atmosphere that promotes acknowledgment and gratitude for the contributions made by workers (Stadter, 2014). In the employee life cycle, separation serves as the last stage and has significant importance in engaging individuals. This job includes the provision of employee </w:t>
      </w:r>
      <w:r w:rsidRPr="00DA4DFB">
        <w:rPr>
          <w:lang w:val="en-US"/>
        </w:rPr>
        <w:lastRenderedPageBreak/>
        <w:t>performance reviews and conducting exit interviews. The provision of required tools by the human resources department may enhance the seamless transfer of departing employees to their new positions.</w:t>
      </w:r>
    </w:p>
    <w:p w14:paraId="110D6416" w14:textId="77777777" w:rsidR="006956A7" w:rsidRPr="00DA4DFB" w:rsidRDefault="006956A7" w:rsidP="006956A7">
      <w:pPr>
        <w:rPr>
          <w:lang w:val="en-US"/>
        </w:rPr>
      </w:pPr>
      <w:r w:rsidRPr="00DA4DFB">
        <w:rPr>
          <w:lang w:val="en-US"/>
        </w:rPr>
        <w:t>According to Gupta (2019), organisations need a productive, creative, and engaged workplace. Fostering individual independence, personal growth, and recognition is key to employee engagement. Increased autonomy may boost employee engagement. Thus, it involves letting people pick their work schedule and approach to tasks. Giving employees power to make their own choices may encourage them to try new things (Hyman, 2018). Children benefit from a strong sense of pride in their achievements. In addition to gratitude, a company may award its employees. Supporting someone is essential to showing gratitude for their hard work. Recognition programmes boost morale and motivate workers to surpass expectations.</w:t>
      </w:r>
    </w:p>
    <w:p w14:paraId="49C55B43" w14:textId="77777777" w:rsidR="006956A7" w:rsidRPr="00DA4DFB" w:rsidRDefault="006956A7" w:rsidP="006956A7">
      <w:pPr>
        <w:rPr>
          <w:lang w:val="en-US"/>
        </w:rPr>
      </w:pPr>
      <w:r w:rsidRPr="00DA4DFB">
        <w:rPr>
          <w:lang w:val="en-US"/>
        </w:rPr>
        <w:t>The second approach is offering individuals the chance to enhance their professional development with providing them with practical benefits. In addition to providing training and mentorship, it is plausible that various types of assistance may be included under this framework (Krutz and Fry, 2019). The cultivation of a stimulating work environment has the potential to foster the acquisition of new skills among workers. One approach to enhancing productivity is the formulation of a framework aimed at fostering employee engagement. Companies use employee engagement models as benchmarks in order to enhance employee participation. There are several methods available for assessing employee happiness inside the workplace, such as using focus groups, conducting in-depth interviews, and administering surveys. The use of staff attrition, absenteeism, and employee engagement surveys may serve as valuable tools for organizations in identifying areas for development. By using this dataset, organizations have the opportunity to design initiatives that enhance the involvement of their workers in the execution of their tasks more efficiently.</w:t>
      </w:r>
    </w:p>
    <w:p w14:paraId="334AE6D1" w14:textId="77777777" w:rsidR="006956A7" w:rsidRPr="00DA4DFB" w:rsidRDefault="006956A7" w:rsidP="006956A7">
      <w:pPr>
        <w:rPr>
          <w:lang w:val="en-US"/>
        </w:rPr>
      </w:pPr>
      <w:r w:rsidRPr="00DA4DFB">
        <w:rPr>
          <w:lang w:val="en-US"/>
        </w:rPr>
        <w:t xml:space="preserve">Gallup's employee engagement strategy may boost loyalty. The hotel industry uses this HRM technique. Gallup emphasises growth, achievement, development, and appreciation. Clear purpose and communication are crucial to workforce engagement. To attract personnel, the goal must match the company's. Organisational meetings, individual conversations, and other events should emphasise purpose to achieve this aim. Gallup's second employee engagement factor is "performance." This technique </w:t>
      </w:r>
      <w:r w:rsidRPr="00DA4DFB">
        <w:rPr>
          <w:lang w:val="en-US"/>
        </w:rPr>
        <w:lastRenderedPageBreak/>
        <w:t>involves setting measurable objectives and giving instruments to attain them. Performance reviews and positive comments are needed to maintain high standards (Kühnen, 2021). Gallup found another growth element. Position progression important to workers. Individual accomplishment may lead to financial incentives, formal and informal training, and professional advice. Gallup believes employees should be paid, monetarily or otherwise. Motivated workers enhance production.</w:t>
      </w:r>
    </w:p>
    <w:p w14:paraId="5B85B2B8" w14:textId="77777777" w:rsidR="006956A7" w:rsidRPr="00DA4DFB" w:rsidRDefault="006956A7" w:rsidP="006956A7">
      <w:pPr>
        <w:rPr>
          <w:lang w:val="en-US"/>
        </w:rPr>
      </w:pPr>
      <w:r w:rsidRPr="00DA4DFB">
        <w:rPr>
          <w:lang w:val="en-US"/>
        </w:rPr>
        <w:t xml:space="preserve">Effective employee inclusion boosts productivity, work satisfaction, and loyalty. Macey and Fink, (2020) found that Gallup's Employee Engagement Model maintains employee engagement over an organization's existence. One way to realize the idea is to optimize current capabilities. This plan component assesses and improves employees' skills. This may be achieved in the workplace by stressing strengths and giving criticism. Individual and collaborative development opportunities for employees have also been found to be beneficial (Mattox, 2016). If they feel valued and autonomous at work, employees may embrace the Gallup method. To reach this goal, workers must have clear and precise job descriptions and a lot of autonomy. Employee feedback may boost empowerment and engagement. The Gallup approach may incorporate employee recognition and prizes. This element of the system pays employees (Ringard, 2020). </w:t>
      </w:r>
      <w:r w:rsidRPr="00DA4DFB">
        <w:t xml:space="preserve">Eliminate company-mandated social activities, team development, and rewards. Any commercial effort to influence them after hours should be minimal. Gen-Z wants time freedom. Include age-appropriate perks since they assume older workers have more. A firm might refund tuition or pay for development courses. Gen-Z wants paid mental health days since they suffer with mental health. </w:t>
      </w:r>
      <w:r w:rsidRPr="00DA4DFB">
        <w:rPr>
          <w:lang w:val="en-US"/>
        </w:rPr>
        <w:t>Hotels must foster an acknowledgment-focused culture to foster participation and recognition (Nel, 2018). Staff development includes incentives and performance monitoring.</w:t>
      </w:r>
    </w:p>
    <w:p w14:paraId="33263208" w14:textId="77777777" w:rsidR="006956A7" w:rsidRPr="00DA4DFB" w:rsidRDefault="006956A7" w:rsidP="006956A7">
      <w:pPr>
        <w:rPr>
          <w:lang w:val="en-US"/>
        </w:rPr>
      </w:pPr>
      <w:r w:rsidRPr="00DA4DFB">
        <w:rPr>
          <w:lang w:val="en-US"/>
        </w:rPr>
        <w:t xml:space="preserve">According to Nel and Linde, (2018), hotels are also proponents of the practice of providing appropriate feedback to the staff members under their employ. These tactics include recognizing great performance via the use of an award system and providing suppliers and customers with technical expertise and computer equipment in order to increase the likelihood of each party's becoming successful. The goal of lodging businesses is to ensure that their staff has access to a gym and other possibilities for leisure, with the end goal of boosting employee productivity and the general well-being of the workforce as a whole. The development of employees who are both motivated </w:t>
      </w:r>
      <w:r w:rsidRPr="00DA4DFB">
        <w:rPr>
          <w:lang w:val="en-US"/>
        </w:rPr>
        <w:lastRenderedPageBreak/>
        <w:t>and productive is one of the goals that might possibly be accomplished via the application of a strategic approach to employee engagement that is realistic.</w:t>
      </w:r>
    </w:p>
    <w:p w14:paraId="5B5A3A0A" w14:textId="77777777" w:rsidR="006956A7" w:rsidRPr="00DA4DFB" w:rsidRDefault="006956A7" w:rsidP="006956A7">
      <w:pPr>
        <w:rPr>
          <w:lang w:val="en-US"/>
        </w:rPr>
      </w:pPr>
      <w:r w:rsidRPr="00DA4DFB">
        <w:rPr>
          <w:lang w:val="en-US"/>
        </w:rPr>
        <w:t>Effective hotel HR management requires employee engagement. Employees need a feeling of purpose at work. The company strives to create a good workplace that encourages communication, collaboration, and trust. Employee contributions help companies accomplish goals and boost efficiency. Recruitment, orientation, career promotion, employee retention, and separation are common steps in the hiring process (Ringo, 2020). Human Resources must offer new hires with the resources they need to feel comfortable and valued. Onboarding should involve formal introductions, extensive instruction, and critical tools. Nikolova, (2019) claims that staff involvement boosts productivity and excitement. Companies must adapt to Gen-Z's requirements since they need young recruits to survive. Sitting back and expecting Gen-Z would adopt old practises is risky. Gen-Z rejects corporate norms. To boost Gen-Z performance, companies must rethink onboarding, leadership, culture, incentive, and perks.Premier Inns' Gen-Z disruptor reaction depends on managers' speed. Hotel Premier Inn risks alienating new recruits and jeopardising its future the longer it waits.</w:t>
      </w:r>
    </w:p>
    <w:p w14:paraId="2F71895F" w14:textId="77777777" w:rsidR="006956A7" w:rsidRPr="00DA4DFB" w:rsidRDefault="006956A7" w:rsidP="006956A7">
      <w:pPr>
        <w:rPr>
          <w:lang w:val="en-US"/>
        </w:rPr>
      </w:pPr>
      <w:r w:rsidRPr="00DA4DFB">
        <w:rPr>
          <w:lang w:val="en-US"/>
        </w:rPr>
        <w:t xml:space="preserve">Employee engagement </w:t>
      </w:r>
      <w:r w:rsidRPr="00DA4DFB">
        <w:t xml:space="preserve">Hotel Premier Inn  </w:t>
      </w:r>
      <w:r w:rsidRPr="00DA4DFB">
        <w:rPr>
          <w:lang w:val="en-US"/>
        </w:rPr>
        <w:t>is impacted by several elements, including as the organizational culture, interpersonal interactions among employees, and individual experiences. Additionally, the study proposes the use of data and insights to evaluate the efficacy of individual products, with the objective of cultivating employee motivation. The implementation of initiatives such as remote work choices and the promotion of cooperation among employees might potentially lead to the improvement of employee morale and productivity. Workshops, seminars, and other educational programs has the capacity to enhance and sustain employee motivation. Workshops provide a practical and effective approach to cultivating and improving customer service skills.</w:t>
      </w:r>
    </w:p>
    <w:p w14:paraId="31AFBF07" w14:textId="77777777" w:rsidR="006956A7" w:rsidRPr="00DA4DFB" w:rsidRDefault="006956A7" w:rsidP="006956A7">
      <w:pPr>
        <w:pStyle w:val="Heading1"/>
        <w:rPr>
          <w:color w:val="auto"/>
          <w:lang w:val="en-US"/>
        </w:rPr>
      </w:pPr>
      <w:r w:rsidRPr="00DA4DFB">
        <w:rPr>
          <w:color w:val="auto"/>
          <w:lang w:val="en-US"/>
        </w:rPr>
        <w:br w:type="page"/>
      </w:r>
    </w:p>
    <w:p w14:paraId="3E404E41" w14:textId="77777777" w:rsidR="006956A7" w:rsidRPr="00142151" w:rsidRDefault="006956A7" w:rsidP="006956A7">
      <w:pPr>
        <w:pStyle w:val="Heading1"/>
        <w:rPr>
          <w:color w:val="auto"/>
          <w:lang w:val="en-US"/>
        </w:rPr>
      </w:pPr>
      <w:r w:rsidRPr="00142151">
        <w:rPr>
          <w:color w:val="auto"/>
          <w:lang w:val="en-US"/>
        </w:rPr>
        <w:lastRenderedPageBreak/>
        <w:t>References</w:t>
      </w:r>
    </w:p>
    <w:p w14:paraId="4406DDDE" w14:textId="77777777" w:rsidR="006956A7" w:rsidRPr="00E73B0F" w:rsidRDefault="006956A7" w:rsidP="006956A7">
      <w:pPr>
        <w:rPr>
          <w:lang w:val="en-US"/>
        </w:rPr>
      </w:pPr>
      <w:r w:rsidRPr="00E73B0F">
        <w:rPr>
          <w:lang w:val="en-US"/>
        </w:rPr>
        <w:t>Archer, N. (2017) Identity theft and fraud: Evaluating and managing risk. Ottawa: University of Ottawa Press.</w:t>
      </w:r>
    </w:p>
    <w:p w14:paraId="567A67B6" w14:textId="77777777" w:rsidR="006956A7" w:rsidRPr="00E73B0F" w:rsidRDefault="006956A7" w:rsidP="006956A7">
      <w:pPr>
        <w:rPr>
          <w:lang w:val="en-US"/>
        </w:rPr>
      </w:pPr>
      <w:r w:rsidRPr="00E73B0F">
        <w:rPr>
          <w:lang w:val="en-US"/>
        </w:rPr>
        <w:t>Bardhan, S. (2022) “Engaging employees with positivity,” Research Anthology on Changing Dynamics of Diversity and Safety in the Workforce, pp. 1731–1743. Available at: https://doi.org/10.4018/978-1-6684-2405-6.ch085.</w:t>
      </w:r>
    </w:p>
    <w:p w14:paraId="30E997B2" w14:textId="77777777" w:rsidR="006956A7" w:rsidRPr="00E73B0F" w:rsidRDefault="006956A7" w:rsidP="006956A7">
      <w:pPr>
        <w:rPr>
          <w:lang w:val="en-US"/>
        </w:rPr>
      </w:pPr>
      <w:r w:rsidRPr="00E73B0F">
        <w:rPr>
          <w:lang w:val="en-US"/>
        </w:rPr>
        <w:t>Card, D. and Ransom, M. (2017) Pension plan characteristics and framing effects in employee savings behavior. Cambridge, Mass: National Bureau of Economic Research.</w:t>
      </w:r>
    </w:p>
    <w:p w14:paraId="0C6D54B2" w14:textId="77777777" w:rsidR="006956A7" w:rsidRPr="00E73B0F" w:rsidRDefault="006956A7" w:rsidP="006956A7">
      <w:pPr>
        <w:rPr>
          <w:lang w:val="en-US"/>
        </w:rPr>
      </w:pPr>
      <w:r w:rsidRPr="00E73B0F">
        <w:rPr>
          <w:lang w:val="en-US"/>
        </w:rPr>
        <w:t>Carpenter, T. and Carpenter, J. (2021) People First: The 5 steps to Pure Human Connection and a thriving organization. New York: Post Hill Press.</w:t>
      </w:r>
    </w:p>
    <w:p w14:paraId="5956D9A6" w14:textId="77777777" w:rsidR="006956A7" w:rsidRPr="00E73B0F" w:rsidRDefault="006956A7" w:rsidP="006956A7">
      <w:pPr>
        <w:rPr>
          <w:lang w:val="en-US"/>
        </w:rPr>
      </w:pPr>
      <w:r w:rsidRPr="00E73B0F">
        <w:rPr>
          <w:lang w:val="en-US"/>
        </w:rPr>
        <w:t>Dollins, M. and Stemmle, J. (2021) “Employee communication measurement,” Engaging Employees through Strategic Communication, pp. 59–75. Available at: https://doi.org/10.4324/9781003024118-4.</w:t>
      </w:r>
    </w:p>
    <w:p w14:paraId="73E89CDA" w14:textId="77777777" w:rsidR="006956A7" w:rsidRPr="00E73B0F" w:rsidRDefault="006956A7" w:rsidP="006956A7">
      <w:pPr>
        <w:rPr>
          <w:lang w:val="en-US"/>
        </w:rPr>
      </w:pPr>
      <w:r w:rsidRPr="00E73B0F">
        <w:rPr>
          <w:lang w:val="en-US"/>
        </w:rPr>
        <w:t>Dollins, M. and Stemmle, J. (2021) “The evolution of employee communication to</w:t>
      </w:r>
      <w:r>
        <w:rPr>
          <w:lang w:val="en-US"/>
        </w:rPr>
        <w:t xml:space="preserve"> </w:t>
      </w:r>
      <w:r w:rsidRPr="00E73B0F">
        <w:rPr>
          <w:lang w:val="en-US"/>
        </w:rPr>
        <w:t>employee</w:t>
      </w:r>
      <w:r>
        <w:rPr>
          <w:lang w:val="en-US"/>
        </w:rPr>
        <w:t xml:space="preserve"> </w:t>
      </w:r>
      <w:r w:rsidRPr="00E73B0F">
        <w:rPr>
          <w:lang w:val="en-US"/>
        </w:rPr>
        <w:t>engagement,”</w:t>
      </w:r>
      <w:r>
        <w:rPr>
          <w:lang w:val="en-US"/>
        </w:rPr>
        <w:t xml:space="preserve"> </w:t>
      </w:r>
      <w:r w:rsidRPr="00E73B0F">
        <w:rPr>
          <w:lang w:val="en-US"/>
        </w:rPr>
        <w:t>Engaging</w:t>
      </w:r>
      <w:r>
        <w:rPr>
          <w:lang w:val="en-US"/>
        </w:rPr>
        <w:t xml:space="preserve"> </w:t>
      </w:r>
      <w:r w:rsidRPr="00E73B0F">
        <w:rPr>
          <w:lang w:val="en-US"/>
        </w:rPr>
        <w:t>Employees</w:t>
      </w:r>
      <w:r w:rsidRPr="00E73B0F">
        <w:rPr>
          <w:lang w:val="en-US"/>
        </w:rPr>
        <w:tab/>
        <w:t>through</w:t>
      </w:r>
      <w:r>
        <w:rPr>
          <w:lang w:val="en-US"/>
        </w:rPr>
        <w:t xml:space="preserve"> </w:t>
      </w:r>
      <w:r w:rsidRPr="00E73B0F">
        <w:rPr>
          <w:lang w:val="en-US"/>
        </w:rPr>
        <w:t>Strategic</w:t>
      </w:r>
      <w:r>
        <w:rPr>
          <w:lang w:val="en-US"/>
        </w:rPr>
        <w:t xml:space="preserve"> </w:t>
      </w:r>
      <w:r w:rsidRPr="00E73B0F">
        <w:rPr>
          <w:lang w:val="en-US"/>
        </w:rPr>
        <w:t>Communication,</w:t>
      </w:r>
      <w:r>
        <w:rPr>
          <w:lang w:val="en-US"/>
        </w:rPr>
        <w:t xml:space="preserve"> </w:t>
      </w:r>
      <w:r w:rsidRPr="00E73B0F">
        <w:rPr>
          <w:lang w:val="en-US"/>
        </w:rPr>
        <w:t>pp.</w:t>
      </w:r>
      <w:r>
        <w:rPr>
          <w:lang w:val="en-US"/>
        </w:rPr>
        <w:t xml:space="preserve"> </w:t>
      </w:r>
      <w:r w:rsidRPr="00E73B0F">
        <w:rPr>
          <w:lang w:val="en-US"/>
        </w:rPr>
        <w:t>197–212.</w:t>
      </w:r>
      <w:r>
        <w:rPr>
          <w:lang w:val="en-US"/>
        </w:rPr>
        <w:t xml:space="preserve"> </w:t>
      </w:r>
      <w:r w:rsidRPr="00E73B0F">
        <w:rPr>
          <w:lang w:val="en-US"/>
        </w:rPr>
        <w:t>Available</w:t>
      </w:r>
      <w:r w:rsidRPr="00E73B0F">
        <w:rPr>
          <w:lang w:val="en-US"/>
        </w:rPr>
        <w:tab/>
        <w:t>at:</w:t>
      </w:r>
      <w:r>
        <w:rPr>
          <w:lang w:val="en-US"/>
        </w:rPr>
        <w:t xml:space="preserve"> </w:t>
      </w:r>
      <w:r w:rsidRPr="00E73B0F">
        <w:rPr>
          <w:lang w:val="en-US"/>
        </w:rPr>
        <w:t>https://doi.org/10.4324/9781003024118-12.</w:t>
      </w:r>
    </w:p>
    <w:p w14:paraId="3DD65872" w14:textId="77777777" w:rsidR="006956A7" w:rsidRPr="00E73B0F" w:rsidRDefault="006956A7" w:rsidP="006956A7">
      <w:pPr>
        <w:rPr>
          <w:lang w:val="en-US"/>
        </w:rPr>
      </w:pPr>
      <w:r w:rsidRPr="00E73B0F">
        <w:rPr>
          <w:lang w:val="en-US"/>
        </w:rPr>
        <w:t>Graban, M. and Toussaint, J. (2018) “Engaging and leading employees,” Lean Hospitals, pp. 237–269. Available at: https://doi.org/10.4324/9781315380827- 11.</w:t>
      </w:r>
    </w:p>
    <w:p w14:paraId="630BF3FD" w14:textId="77777777" w:rsidR="006956A7" w:rsidRPr="00E73B0F" w:rsidRDefault="006956A7" w:rsidP="006956A7">
      <w:pPr>
        <w:rPr>
          <w:lang w:val="en-US"/>
        </w:rPr>
      </w:pPr>
      <w:r w:rsidRPr="00E73B0F">
        <w:rPr>
          <w:lang w:val="en-US"/>
        </w:rPr>
        <w:t>Gupta, S. (2019) “Challenges faced by Adecco Employees in handling employee lifecycle,” SSRN Electronic Journal [Preprint]. Available at: https://doi.org/10.2139/ssrn.3307019.</w:t>
      </w:r>
    </w:p>
    <w:p w14:paraId="5C9C244C" w14:textId="77777777" w:rsidR="006956A7" w:rsidRPr="00E73B0F" w:rsidRDefault="006956A7" w:rsidP="006956A7">
      <w:pPr>
        <w:rPr>
          <w:lang w:val="en-US"/>
        </w:rPr>
      </w:pPr>
      <w:r w:rsidRPr="00E73B0F">
        <w:rPr>
          <w:lang w:val="en-US"/>
        </w:rPr>
        <w:t>Hyman, J. (2018) “Empowering and engaging employees?,” Employee Voiceand Participation,</w:t>
      </w:r>
      <w:r w:rsidRPr="00E73B0F">
        <w:rPr>
          <w:lang w:val="en-US"/>
        </w:rPr>
        <w:tab/>
        <w:t>pp.</w:t>
      </w:r>
      <w:r w:rsidRPr="00E73B0F">
        <w:rPr>
          <w:lang w:val="en-US"/>
        </w:rPr>
        <w:tab/>
        <w:t>107–119.</w:t>
      </w:r>
      <w:r w:rsidRPr="00E73B0F">
        <w:rPr>
          <w:lang w:val="en-US"/>
        </w:rPr>
        <w:tab/>
        <w:t>Available</w:t>
      </w:r>
      <w:r w:rsidRPr="00E73B0F">
        <w:rPr>
          <w:lang w:val="en-US"/>
        </w:rPr>
        <w:tab/>
        <w:t>at: https://doi.org/10.4324/9781315172880-8.</w:t>
      </w:r>
    </w:p>
    <w:p w14:paraId="6D296D52" w14:textId="77777777" w:rsidR="006956A7" w:rsidRPr="00E73B0F" w:rsidRDefault="006956A7" w:rsidP="006956A7">
      <w:pPr>
        <w:rPr>
          <w:lang w:val="en-US"/>
        </w:rPr>
      </w:pPr>
      <w:r w:rsidRPr="00E73B0F">
        <w:rPr>
          <w:lang w:val="en-US"/>
        </w:rPr>
        <w:t>Krutz, R.L. and Fry, A. (2019) The CSSLP Prep Guide: Mastering the Certified Secure Software Lifecycle Professional. Wiley Imprint.</w:t>
      </w:r>
    </w:p>
    <w:p w14:paraId="6953CA56" w14:textId="77777777" w:rsidR="006956A7" w:rsidRPr="00E73B0F" w:rsidRDefault="006956A7" w:rsidP="006956A7">
      <w:pPr>
        <w:rPr>
          <w:lang w:val="en-US"/>
        </w:rPr>
      </w:pPr>
      <w:r w:rsidRPr="00E73B0F">
        <w:rPr>
          <w:lang w:val="en-US"/>
        </w:rPr>
        <w:t xml:space="preserve">Kühnen, U. (2021) “Engaging employees through corporate social responsibility programs: Aligning Corporate Social Responsibility and employee engagement,” </w:t>
      </w:r>
      <w:r w:rsidRPr="00E73B0F">
        <w:rPr>
          <w:lang w:val="en-US"/>
        </w:rPr>
        <w:lastRenderedPageBreak/>
        <w:t>Journal of Organizational Psychology, 21(1). Available at: https://doi.org/10.33423/jop.v21i1.4029.</w:t>
      </w:r>
    </w:p>
    <w:p w14:paraId="4E8646A5" w14:textId="77777777" w:rsidR="006956A7" w:rsidRPr="00E73B0F" w:rsidRDefault="006956A7" w:rsidP="006956A7">
      <w:pPr>
        <w:rPr>
          <w:lang w:val="en-US"/>
        </w:rPr>
      </w:pPr>
      <w:r w:rsidRPr="00E73B0F">
        <w:rPr>
          <w:lang w:val="en-US"/>
        </w:rPr>
        <w:t>Macey, W.H. and Fink, A.A. (2020) Employee surveys and sensing: Challenges and opportunities. New York, NY: Oxford University Press.</w:t>
      </w:r>
    </w:p>
    <w:p w14:paraId="1050F605" w14:textId="77777777" w:rsidR="006956A7" w:rsidRPr="00E73B0F" w:rsidRDefault="006956A7" w:rsidP="006956A7">
      <w:pPr>
        <w:rPr>
          <w:lang w:val="en-US"/>
        </w:rPr>
      </w:pPr>
      <w:r w:rsidRPr="00E73B0F">
        <w:rPr>
          <w:lang w:val="en-US"/>
        </w:rPr>
        <w:t>Mattox, J.R. (2016) Learning analytics. London: Kogan Page.</w:t>
      </w:r>
    </w:p>
    <w:p w14:paraId="0CFADBA3" w14:textId="77777777" w:rsidR="006956A7" w:rsidRPr="00E73B0F" w:rsidRDefault="006956A7" w:rsidP="006956A7">
      <w:pPr>
        <w:rPr>
          <w:lang w:val="en-US"/>
        </w:rPr>
      </w:pPr>
      <w:r w:rsidRPr="00E73B0F">
        <w:rPr>
          <w:lang w:val="en-US"/>
        </w:rPr>
        <w:t>Nel, J.H. (2018) “Framework for engaging unionised employees,” The Art of Engaging Unionised Employees, pp. 81–99. Available at: https://doi.org/10.1007/978-981-13-2197-9_6.</w:t>
      </w:r>
    </w:p>
    <w:p w14:paraId="0EC8AA13" w14:textId="77777777" w:rsidR="006956A7" w:rsidRPr="00E73B0F" w:rsidRDefault="006956A7" w:rsidP="006956A7">
      <w:pPr>
        <w:rPr>
          <w:lang w:val="en-US"/>
        </w:rPr>
      </w:pPr>
      <w:r w:rsidRPr="00E73B0F">
        <w:rPr>
          <w:lang w:val="en-US"/>
        </w:rPr>
        <w:t>Nel, J.H. and Linde, B. (2018) “Engaging Unionised employees,” The Art of Engaging Unionised Employees, pp. 61–80. Available at: https://doi.org/10.1007/978-981-13-2197-9_5.</w:t>
      </w:r>
    </w:p>
    <w:p w14:paraId="433154AC" w14:textId="77777777" w:rsidR="006956A7" w:rsidRPr="00E73B0F" w:rsidRDefault="006956A7" w:rsidP="006956A7">
      <w:pPr>
        <w:rPr>
          <w:lang w:val="en-US"/>
        </w:rPr>
      </w:pPr>
      <w:r w:rsidRPr="00E73B0F">
        <w:rPr>
          <w:lang w:val="en-US"/>
        </w:rPr>
        <w:t>Nikolova, I. (2019) “Engaging leader – engaged employees? A cross-lagged study on employee engagement,” European Management Journal, 37(6), pp. 772–783. Available at: https://doi.org/10.1016/j.emj.2019.02.004.</w:t>
      </w:r>
    </w:p>
    <w:p w14:paraId="568A260C" w14:textId="77777777" w:rsidR="006956A7" w:rsidRPr="00E73B0F" w:rsidRDefault="006956A7" w:rsidP="006956A7">
      <w:pPr>
        <w:rPr>
          <w:lang w:val="en-US"/>
        </w:rPr>
      </w:pPr>
      <w:r w:rsidRPr="00E73B0F">
        <w:rPr>
          <w:lang w:val="en-US"/>
        </w:rPr>
        <w:t>Ringo, T. (2020) Solving the productivity puzzle: How to engage, motivate and develop employees to improve individual and business performance. London: Kogan Page Inc.</w:t>
      </w:r>
    </w:p>
    <w:p w14:paraId="0CE272DA" w14:textId="77777777" w:rsidR="006956A7" w:rsidRPr="00E73B0F" w:rsidRDefault="006956A7" w:rsidP="006956A7">
      <w:pPr>
        <w:rPr>
          <w:lang w:val="en-US"/>
        </w:rPr>
      </w:pPr>
      <w:r w:rsidRPr="00E73B0F">
        <w:rPr>
          <w:lang w:val="en-US"/>
        </w:rPr>
        <w:t>Ringard, J. (2020) How people engagement, innovation and performance will transform the world of work. New York: Kogan Page Inc.</w:t>
      </w:r>
    </w:p>
    <w:p w14:paraId="665CDC86" w14:textId="77777777" w:rsidR="006956A7" w:rsidRPr="00E73B0F" w:rsidRDefault="006956A7" w:rsidP="006956A7">
      <w:pPr>
        <w:rPr>
          <w:lang w:val="en-US"/>
        </w:rPr>
      </w:pPr>
      <w:r w:rsidRPr="00E73B0F">
        <w:rPr>
          <w:lang w:val="en-US"/>
        </w:rPr>
        <w:t>Stadter, F. (2014) The role of learning and development in Employer Brand Practices. ScholarlyCommons.</w:t>
      </w:r>
    </w:p>
    <w:p w14:paraId="1384FDE3" w14:textId="77777777" w:rsidR="006956A7" w:rsidRPr="00684B80" w:rsidRDefault="006956A7" w:rsidP="006956A7">
      <w:pPr>
        <w:rPr>
          <w:lang w:val="en-US"/>
        </w:rPr>
      </w:pPr>
      <w:r w:rsidRPr="00E73B0F">
        <w:rPr>
          <w:lang w:val="en-US"/>
        </w:rPr>
        <w:t>Thompsen, J.A. (2019) Managing the employee lifecycle. London: Routledge.</w:t>
      </w:r>
    </w:p>
    <w:p w14:paraId="06A3B01E" w14:textId="77777777" w:rsidR="007F13A1" w:rsidRDefault="007F13A1"/>
    <w:sectPr w:rsidR="007F13A1" w:rsidSect="00726042">
      <w:footerReference w:type="default" r:id="rId6"/>
      <w:pgSz w:w="11906" w:h="16838"/>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047FA" w14:textId="77777777" w:rsidR="00000000" w:rsidRDefault="00000000">
    <w:pPr>
      <w:pStyle w:val="Footer"/>
      <w:jc w:val="center"/>
    </w:pPr>
  </w:p>
  <w:p w14:paraId="47662E51"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389181697"/>
      <w:docPartObj>
        <w:docPartGallery w:val="Page Numbers (Bottom of Page)"/>
        <w:docPartUnique/>
      </w:docPartObj>
    </w:sdtPr>
    <w:sdtEndPr>
      <w:rPr>
        <w:noProof/>
      </w:rPr>
    </w:sdtEndPr>
    <w:sdtContent>
      <w:p w14:paraId="7A000856" w14:textId="77777777" w:rsidR="00000000" w:rsidRDefault="00000000">
        <w:pPr>
          <w:pStyle w:val="Footer"/>
          <w:jc w:val="center"/>
        </w:pPr>
        <w:r>
          <w:rPr>
            <w:noProof w:val="0"/>
          </w:rPr>
          <w:fldChar w:fldCharType="begin"/>
        </w:r>
        <w:r>
          <w:instrText xml:space="preserve"> PAGE   \* MERGEFORMAT </w:instrText>
        </w:r>
        <w:r>
          <w:rPr>
            <w:noProof w:val="0"/>
          </w:rPr>
          <w:fldChar w:fldCharType="separate"/>
        </w:r>
        <w:r>
          <w:t>9</w:t>
        </w:r>
        <w:r>
          <w:fldChar w:fldCharType="end"/>
        </w:r>
      </w:p>
    </w:sdtContent>
  </w:sdt>
  <w:p w14:paraId="6E4CD063"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6A7"/>
    <w:rsid w:val="006956A7"/>
    <w:rsid w:val="007F1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B6D70"/>
  <w15:chartTrackingRefBased/>
  <w15:docId w15:val="{62B9B322-C362-4958-A38E-2510A229F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6A7"/>
    <w:pPr>
      <w:spacing w:line="360" w:lineRule="auto"/>
      <w:jc w:val="both"/>
    </w:pPr>
    <w:rPr>
      <w:rFonts w:ascii="Arial" w:hAnsi="Arial"/>
      <w:noProof/>
      <w:kern w:val="0"/>
      <w:sz w:val="24"/>
      <w14:ligatures w14:val="none"/>
    </w:rPr>
  </w:style>
  <w:style w:type="paragraph" w:styleId="Heading1">
    <w:name w:val="heading 1"/>
    <w:basedOn w:val="Normal"/>
    <w:next w:val="Normal"/>
    <w:link w:val="Heading1Char"/>
    <w:uiPriority w:val="9"/>
    <w:qFormat/>
    <w:rsid w:val="006956A7"/>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6A7"/>
    <w:rPr>
      <w:rFonts w:ascii="Arial" w:eastAsiaTheme="majorEastAsia" w:hAnsi="Arial" w:cstheme="majorBidi"/>
      <w:b/>
      <w:noProof/>
      <w:color w:val="2F5496" w:themeColor="accent1" w:themeShade="BF"/>
      <w:kern w:val="0"/>
      <w:sz w:val="32"/>
      <w:szCs w:val="32"/>
      <w14:ligatures w14:val="none"/>
    </w:rPr>
  </w:style>
  <w:style w:type="paragraph" w:styleId="Subtitle">
    <w:name w:val="Subtitle"/>
    <w:basedOn w:val="Normal"/>
    <w:next w:val="Normal"/>
    <w:link w:val="SubtitleChar"/>
    <w:uiPriority w:val="11"/>
    <w:qFormat/>
    <w:rsid w:val="006956A7"/>
    <w:pPr>
      <w:numPr>
        <w:ilvl w:val="1"/>
      </w:numPr>
      <w:jc w:val="center"/>
    </w:pPr>
    <w:rPr>
      <w:rFonts w:eastAsiaTheme="minorEastAsia"/>
      <w:b/>
      <w:color w:val="002060"/>
      <w:spacing w:val="15"/>
      <w:sz w:val="28"/>
    </w:rPr>
  </w:style>
  <w:style w:type="character" w:customStyle="1" w:styleId="SubtitleChar">
    <w:name w:val="Subtitle Char"/>
    <w:basedOn w:val="DefaultParagraphFont"/>
    <w:link w:val="Subtitle"/>
    <w:uiPriority w:val="11"/>
    <w:rsid w:val="006956A7"/>
    <w:rPr>
      <w:rFonts w:ascii="Arial" w:eastAsiaTheme="minorEastAsia" w:hAnsi="Arial"/>
      <w:b/>
      <w:noProof/>
      <w:color w:val="002060"/>
      <w:spacing w:val="15"/>
      <w:kern w:val="0"/>
      <w:sz w:val="28"/>
      <w14:ligatures w14:val="none"/>
    </w:rPr>
  </w:style>
  <w:style w:type="paragraph" w:styleId="BodyText">
    <w:name w:val="Body Text"/>
    <w:basedOn w:val="Normal"/>
    <w:link w:val="BodyTextChar"/>
    <w:uiPriority w:val="1"/>
    <w:semiHidden/>
    <w:unhideWhenUsed/>
    <w:qFormat/>
    <w:rsid w:val="006956A7"/>
    <w:pPr>
      <w:widowControl w:val="0"/>
      <w:autoSpaceDE w:val="0"/>
      <w:autoSpaceDN w:val="0"/>
      <w:spacing w:after="0" w:line="240" w:lineRule="auto"/>
      <w:jc w:val="left"/>
    </w:pPr>
    <w:rPr>
      <w:rFonts w:ascii="Arial MT" w:eastAsia="Arial MT" w:hAnsi="Arial MT" w:cs="Arial MT"/>
      <w:noProof w:val="0"/>
      <w:szCs w:val="24"/>
      <w:lang w:val="en-US"/>
    </w:rPr>
  </w:style>
  <w:style w:type="character" w:customStyle="1" w:styleId="BodyTextChar">
    <w:name w:val="Body Text Char"/>
    <w:basedOn w:val="DefaultParagraphFont"/>
    <w:link w:val="BodyText"/>
    <w:uiPriority w:val="1"/>
    <w:semiHidden/>
    <w:rsid w:val="006956A7"/>
    <w:rPr>
      <w:rFonts w:ascii="Arial MT" w:eastAsia="Arial MT" w:hAnsi="Arial MT" w:cs="Arial MT"/>
      <w:kern w:val="0"/>
      <w:sz w:val="24"/>
      <w:szCs w:val="24"/>
      <w:lang w:val="en-US"/>
      <w14:ligatures w14:val="none"/>
    </w:rPr>
  </w:style>
  <w:style w:type="paragraph" w:styleId="Footer">
    <w:name w:val="footer"/>
    <w:basedOn w:val="Normal"/>
    <w:link w:val="FooterChar"/>
    <w:uiPriority w:val="99"/>
    <w:unhideWhenUsed/>
    <w:rsid w:val="00695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6A7"/>
    <w:rPr>
      <w:rFonts w:ascii="Arial" w:hAnsi="Arial"/>
      <w:noProof/>
      <w:kern w:val="0"/>
      <w:sz w:val="24"/>
      <w14:ligatures w14:val="none"/>
    </w:rPr>
  </w:style>
  <w:style w:type="paragraph" w:styleId="ListParagraph">
    <w:name w:val="List Paragraph"/>
    <w:basedOn w:val="Normal"/>
    <w:uiPriority w:val="34"/>
    <w:qFormat/>
    <w:rsid w:val="006956A7"/>
    <w:pPr>
      <w:spacing w:after="0" w:line="240" w:lineRule="auto"/>
      <w:ind w:left="720"/>
      <w:jc w:val="left"/>
    </w:pPr>
    <w:rPr>
      <w:rFonts w:ascii="Calibri" w:eastAsia="Calibri" w:hAnsi="Calibri" w:cs="Calibri"/>
      <w:noProof w:val="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2699</Words>
  <Characters>15389</Characters>
  <Application>Microsoft Office Word</Application>
  <DocSecurity>0</DocSecurity>
  <Lines>128</Lines>
  <Paragraphs>36</Paragraphs>
  <ScaleCrop>false</ScaleCrop>
  <Company/>
  <LinksUpToDate>false</LinksUpToDate>
  <CharactersWithSpaces>18052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1</cp:revision>
  <dcterms:created xsi:type="dcterms:W3CDTF">2023-10-18T12:19:00Z</dcterms:created>
  <dcterms:modified xsi:type="dcterms:W3CDTF">2023-10-18T12:24:00Z</dcterms:modified>
</cp:coreProperties>
</file>