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12B21" w14:textId="7EAA6D2C" w:rsidR="001E663C" w:rsidRPr="00011E18" w:rsidRDefault="004F5256" w:rsidP="00011E18">
      <w:pPr>
        <w:spacing w:after="252" w:line="360" w:lineRule="auto"/>
        <w:ind w:left="1907" w:firstLine="0"/>
        <w:rPr>
          <w:rFonts w:ascii="Arial" w:hAnsi="Arial" w:cs="Arial"/>
          <w:sz w:val="36"/>
          <w:szCs w:val="36"/>
        </w:rPr>
      </w:pPr>
      <w:r w:rsidRPr="00011E18">
        <w:rPr>
          <w:rFonts w:ascii="Arial" w:hAnsi="Arial" w:cs="Arial"/>
          <w:sz w:val="36"/>
          <w:szCs w:val="36"/>
        </w:rPr>
        <w:t xml:space="preserve">EVENT PLANNING AND DELIVERY CONSIDERATIONS FOR AN </w:t>
      </w:r>
      <w:r w:rsidRPr="00011E18">
        <w:rPr>
          <w:rFonts w:ascii="Arial" w:hAnsi="Arial" w:cs="Arial"/>
          <w:sz w:val="36"/>
          <w:szCs w:val="36"/>
        </w:rPr>
        <w:t>INTERNATIONAL MEETING.</w:t>
      </w:r>
    </w:p>
    <w:p w14:paraId="74721FF1" w14:textId="77777777" w:rsidR="00011E18" w:rsidRDefault="00011E18" w:rsidP="00011E18">
      <w:pPr>
        <w:spacing w:after="0" w:line="360" w:lineRule="auto"/>
        <w:ind w:left="0" w:firstLine="0"/>
        <w:rPr>
          <w:rFonts w:ascii="Arial" w:hAnsi="Arial" w:cs="Arial"/>
          <w:sz w:val="36"/>
          <w:szCs w:val="36"/>
        </w:rPr>
      </w:pPr>
      <w:r w:rsidRPr="00011E18">
        <w:rPr>
          <w:rFonts w:ascii="Arial" w:hAnsi="Arial" w:cs="Arial"/>
          <w:sz w:val="36"/>
          <w:szCs w:val="36"/>
        </w:rPr>
        <w:t xml:space="preserve">                     </w:t>
      </w:r>
    </w:p>
    <w:p w14:paraId="1348BAD5" w14:textId="77777777" w:rsidR="00011E18" w:rsidRDefault="00011E18" w:rsidP="00011E18">
      <w:pPr>
        <w:spacing w:after="0" w:line="360" w:lineRule="auto"/>
        <w:ind w:left="0" w:firstLine="0"/>
        <w:rPr>
          <w:rFonts w:ascii="Arial" w:hAnsi="Arial" w:cs="Arial"/>
          <w:sz w:val="36"/>
          <w:szCs w:val="36"/>
        </w:rPr>
      </w:pPr>
    </w:p>
    <w:p w14:paraId="369923D7" w14:textId="77777777" w:rsidR="00011E18" w:rsidRDefault="00011E18" w:rsidP="00011E18">
      <w:pPr>
        <w:spacing w:after="0" w:line="360" w:lineRule="auto"/>
        <w:ind w:left="0" w:firstLine="0"/>
        <w:rPr>
          <w:rFonts w:ascii="Arial" w:hAnsi="Arial" w:cs="Arial"/>
          <w:sz w:val="36"/>
          <w:szCs w:val="36"/>
        </w:rPr>
      </w:pPr>
    </w:p>
    <w:p w14:paraId="1EA804B2" w14:textId="1A320F2F" w:rsidR="00011E18" w:rsidRPr="00011E18" w:rsidRDefault="00011E18" w:rsidP="00011E18">
      <w:pPr>
        <w:spacing w:after="0" w:line="360" w:lineRule="auto"/>
        <w:ind w:left="0" w:firstLine="0"/>
        <w:rPr>
          <w:rFonts w:ascii="Arial" w:hAnsi="Arial" w:cs="Arial"/>
          <w:sz w:val="36"/>
          <w:szCs w:val="36"/>
        </w:rPr>
      </w:pPr>
      <w:r>
        <w:rPr>
          <w:rFonts w:ascii="Arial" w:hAnsi="Arial" w:cs="Arial"/>
          <w:sz w:val="36"/>
          <w:szCs w:val="36"/>
        </w:rPr>
        <w:t xml:space="preserve">                     </w:t>
      </w:r>
      <w:r w:rsidRPr="00011E18">
        <w:rPr>
          <w:rFonts w:ascii="Arial" w:hAnsi="Arial" w:cs="Arial"/>
          <w:sz w:val="36"/>
          <w:szCs w:val="36"/>
        </w:rPr>
        <w:t>Student name: Rodica Cornea</w:t>
      </w:r>
      <w:r w:rsidRPr="00011E18">
        <w:rPr>
          <w:rFonts w:ascii="Arial" w:hAnsi="Arial" w:cs="Arial"/>
          <w:sz w:val="36"/>
          <w:szCs w:val="36"/>
        </w:rPr>
        <w:t xml:space="preserve"> </w:t>
      </w:r>
    </w:p>
    <w:p w14:paraId="50B83458" w14:textId="77777777" w:rsidR="00011E18" w:rsidRPr="00011E18" w:rsidRDefault="00011E18" w:rsidP="00011E18">
      <w:pPr>
        <w:spacing w:after="0" w:line="360" w:lineRule="auto"/>
        <w:ind w:left="0" w:firstLine="0"/>
        <w:rPr>
          <w:rFonts w:ascii="Arial" w:hAnsi="Arial" w:cs="Arial"/>
          <w:sz w:val="36"/>
          <w:szCs w:val="36"/>
        </w:rPr>
      </w:pPr>
      <w:r w:rsidRPr="00011E18">
        <w:rPr>
          <w:rFonts w:ascii="Arial" w:hAnsi="Arial" w:cs="Arial"/>
          <w:sz w:val="36"/>
          <w:szCs w:val="36"/>
        </w:rPr>
        <w:t xml:space="preserve">                     </w:t>
      </w:r>
      <w:r w:rsidRPr="00011E18">
        <w:rPr>
          <w:rFonts w:ascii="Arial" w:hAnsi="Arial" w:cs="Arial"/>
          <w:sz w:val="36"/>
          <w:szCs w:val="36"/>
        </w:rPr>
        <w:t>Student n</w:t>
      </w:r>
      <w:r w:rsidRPr="00011E18">
        <w:rPr>
          <w:rFonts w:ascii="Arial" w:hAnsi="Arial" w:cs="Arial"/>
          <w:sz w:val="36"/>
          <w:szCs w:val="36"/>
        </w:rPr>
        <w:t>umber:2110386</w:t>
      </w:r>
    </w:p>
    <w:p w14:paraId="23380026" w14:textId="4B9599CE" w:rsidR="00011E18" w:rsidRPr="00011E18" w:rsidRDefault="00011E18" w:rsidP="00011E18">
      <w:pPr>
        <w:spacing w:after="0" w:line="360" w:lineRule="auto"/>
        <w:ind w:left="0" w:firstLine="0"/>
        <w:rPr>
          <w:rFonts w:ascii="Arial" w:hAnsi="Arial" w:cs="Arial"/>
          <w:sz w:val="36"/>
          <w:szCs w:val="36"/>
        </w:rPr>
      </w:pPr>
      <w:r w:rsidRPr="00011E18">
        <w:rPr>
          <w:rFonts w:ascii="Arial" w:hAnsi="Arial" w:cs="Arial"/>
          <w:sz w:val="36"/>
          <w:szCs w:val="36"/>
        </w:rPr>
        <w:t xml:space="preserve">                     </w:t>
      </w:r>
      <w:r w:rsidRPr="00011E18">
        <w:rPr>
          <w:rFonts w:ascii="Arial" w:hAnsi="Arial" w:cs="Arial"/>
          <w:b/>
          <w:bCs/>
          <w:sz w:val="36"/>
          <w:szCs w:val="36"/>
        </w:rPr>
        <w:t xml:space="preserve"> </w:t>
      </w:r>
      <w:r w:rsidRPr="00011E18">
        <w:rPr>
          <w:rFonts w:ascii="Arial" w:hAnsi="Arial" w:cs="Arial"/>
          <w:color w:val="auto"/>
          <w:sz w:val="36"/>
          <w:szCs w:val="36"/>
        </w:rPr>
        <w:t>Lecturer</w:t>
      </w:r>
      <w:r w:rsidRPr="00011E18">
        <w:rPr>
          <w:rFonts w:ascii="Arial" w:hAnsi="Arial" w:cs="Arial"/>
          <w:sz w:val="36"/>
          <w:szCs w:val="36"/>
        </w:rPr>
        <w:t>:</w:t>
      </w:r>
      <w:r w:rsidRPr="00011E18">
        <w:rPr>
          <w:rFonts w:ascii="Arial" w:hAnsi="Arial" w:cs="Arial"/>
          <w:color w:val="252424"/>
          <w:sz w:val="36"/>
          <w:szCs w:val="36"/>
        </w:rPr>
        <w:t xml:space="preserve"> </w:t>
      </w:r>
      <w:r w:rsidRPr="00011E18">
        <w:rPr>
          <w:rFonts w:ascii="Arial" w:hAnsi="Arial" w:cs="Arial"/>
          <w:color w:val="auto"/>
          <w:kern w:val="36"/>
          <w:sz w:val="36"/>
          <w:szCs w:val="36"/>
        </w:rPr>
        <w:t>Kathryn Flynn</w:t>
      </w:r>
    </w:p>
    <w:p w14:paraId="366A735E" w14:textId="0504DD57" w:rsidR="00011E18" w:rsidRPr="00011E18" w:rsidRDefault="00011E18" w:rsidP="00011E18">
      <w:pPr>
        <w:pStyle w:val="Heading1"/>
        <w:shd w:val="clear" w:color="auto" w:fill="FFFFFF"/>
        <w:spacing w:before="0" w:line="360" w:lineRule="auto"/>
        <w:rPr>
          <w:rFonts w:ascii="Arial" w:hAnsi="Arial" w:cs="Arial"/>
          <w:color w:val="1D2125"/>
          <w:sz w:val="36"/>
          <w:szCs w:val="36"/>
        </w:rPr>
      </w:pPr>
      <w:r w:rsidRPr="00011E18">
        <w:rPr>
          <w:rFonts w:ascii="Arial" w:hAnsi="Arial" w:cs="Arial"/>
          <w:color w:val="1D2125"/>
          <w:sz w:val="36"/>
          <w:szCs w:val="36"/>
        </w:rPr>
        <w:t>International Meetings Management for the Hotel Industry (BMIH60</w:t>
      </w:r>
      <w:r w:rsidRPr="00011E18">
        <w:rPr>
          <w:rFonts w:ascii="Arial" w:hAnsi="Arial" w:cs="Arial"/>
          <w:color w:val="1D2125"/>
          <w:sz w:val="36"/>
          <w:szCs w:val="36"/>
        </w:rPr>
        <w:t>07)</w:t>
      </w:r>
    </w:p>
    <w:p w14:paraId="64C0E42C" w14:textId="01C2770C" w:rsidR="001E663C" w:rsidRDefault="004F5256">
      <w:pPr>
        <w:spacing w:after="252" w:line="259" w:lineRule="auto"/>
        <w:ind w:left="1093" w:hanging="10"/>
        <w:jc w:val="center"/>
      </w:pPr>
      <w:r>
        <w:br w:type="page"/>
      </w:r>
    </w:p>
    <w:p w14:paraId="56FE5302" w14:textId="77777777" w:rsidR="001E663C" w:rsidRPr="00011E18" w:rsidRDefault="004F5256" w:rsidP="00011E18">
      <w:pPr>
        <w:spacing w:after="252" w:line="360" w:lineRule="auto"/>
        <w:ind w:left="1507" w:firstLine="0"/>
        <w:rPr>
          <w:rFonts w:ascii="Arial" w:hAnsi="Arial" w:cs="Arial"/>
        </w:rPr>
      </w:pPr>
      <w:r w:rsidRPr="00011E18">
        <w:rPr>
          <w:rFonts w:ascii="Arial" w:hAnsi="Arial" w:cs="Arial"/>
        </w:rPr>
        <w:lastRenderedPageBreak/>
        <w:t>PLANNING AND DELIVERING AN INTERNATIONAL MEETING/ EVENT</w:t>
      </w:r>
    </w:p>
    <w:p w14:paraId="75C36A8F"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Introduction</w:t>
      </w:r>
    </w:p>
    <w:p w14:paraId="64DBF34C"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The "Sustainability in Hospitality Industry Summit" is a significant MICE event chosen due to its significant impact on the hospitality industry. The event is crucial in instilling sustainability integration into hospitality operations in the modern era of changing consumer sustainability perceptions. The event aims to bring together all industry stakeholders, hospitality enthusiasts, and professionals to profess their perception of sustainable practices in the hospitality industry (Modica et al., 2020). In</w:t>
      </w:r>
      <w:r w:rsidRPr="00011E18">
        <w:rPr>
          <w:rFonts w:ascii="Arial" w:hAnsi="Arial" w:cs="Arial"/>
        </w:rPr>
        <w:t xml:space="preserve"> addition, to leverage the industrial heights for various business organisations, the event creates a platform to exchange profound sustainability measures and initiatives that will address emerging environmental consciousness concerns, promote industrial developments, and foster innovation and creativity in the industry through strategic planning. </w:t>
      </w:r>
    </w:p>
    <w:p w14:paraId="6511947B" w14:textId="77777777" w:rsidR="001E663C" w:rsidRPr="00011E18" w:rsidRDefault="004F5256" w:rsidP="00011E18">
      <w:pPr>
        <w:spacing w:after="252" w:line="360" w:lineRule="auto"/>
        <w:ind w:left="1080" w:firstLine="0"/>
        <w:rPr>
          <w:rFonts w:ascii="Arial" w:hAnsi="Arial" w:cs="Arial"/>
        </w:rPr>
      </w:pPr>
      <w:r w:rsidRPr="00011E18">
        <w:rPr>
          <w:rFonts w:ascii="Arial" w:hAnsi="Arial" w:cs="Arial"/>
        </w:rPr>
        <w:t xml:space="preserve">Euston Square is the preferred venue for our MICE event due to its strategic location in </w:t>
      </w:r>
    </w:p>
    <w:p w14:paraId="6E7A25C5" w14:textId="77777777" w:rsidR="001E663C" w:rsidRPr="00011E18" w:rsidRDefault="004F5256" w:rsidP="00011E18">
      <w:pPr>
        <w:spacing w:after="252" w:line="360" w:lineRule="auto"/>
        <w:ind w:left="360" w:firstLine="0"/>
        <w:rPr>
          <w:rFonts w:ascii="Arial" w:hAnsi="Arial" w:cs="Arial"/>
        </w:rPr>
      </w:pPr>
      <w:r w:rsidRPr="00011E18">
        <w:rPr>
          <w:rFonts w:ascii="Arial" w:hAnsi="Arial" w:cs="Arial"/>
        </w:rPr>
        <w:t xml:space="preserve">Central London and its daring commitment to sustainability in the hospitality industry. </w:t>
      </w:r>
    </w:p>
    <w:p w14:paraId="5F07F6C4" w14:textId="77777777" w:rsidR="001E663C" w:rsidRPr="00011E18" w:rsidRDefault="004F5256" w:rsidP="00011E18">
      <w:pPr>
        <w:spacing w:line="360" w:lineRule="auto"/>
        <w:ind w:left="360" w:firstLine="0"/>
        <w:rPr>
          <w:rFonts w:ascii="Arial" w:hAnsi="Arial" w:cs="Arial"/>
        </w:rPr>
      </w:pPr>
      <w:r w:rsidRPr="00011E18">
        <w:rPr>
          <w:rFonts w:ascii="Arial" w:hAnsi="Arial" w:cs="Arial"/>
        </w:rPr>
        <w:t xml:space="preserve">Committed to green initiatives, waste management, and other creative sustainability pledges, the location is an immediate example of the event's objectives, as Gouk (2019) recommends. Standing in a desirable location with an excellent ambience, the venue provides a cultivating environment allowing easy training and exchanging sustainability-related ideas. After a consultative meeting, the event is scheduled for 20 October 2024 to allow preparations among the participants. </w:t>
      </w:r>
    </w:p>
    <w:p w14:paraId="4F92B550"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The justification for hosting the event is to explore the hospitality market as a whole in the scope of sustainability. The MICE event comes at a time when the consumer demand for sustainability measures in environmental, social, and economic extensions is growing daily, as Han (2021) highlights. As sustainability-conscious guests continue to emerge across the globe, a concern for the service provider arises. According to Legrand, Chen, and Laeis (2022), the principles of sustainable operations </w:t>
      </w:r>
      <w:r w:rsidRPr="00011E18">
        <w:rPr>
          <w:rFonts w:ascii="Arial" w:hAnsi="Arial" w:cs="Arial"/>
        </w:rPr>
        <w:lastRenderedPageBreak/>
        <w:t xml:space="preserve">are creating the urge for MICE events to promote sustainability through creative approaches for a sustainable environment, tourism, and integrated economic and social values. Euston Square's image in the sustainability measure is valid evidence of how sustainability can be impactful for hospitality, as this report shows. </w:t>
      </w:r>
    </w:p>
    <w:p w14:paraId="4A429E6C"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Event Cycle</w:t>
      </w:r>
    </w:p>
    <w:p w14:paraId="78C45F56"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The event cycle refers to the series of activities that happen from inception to the postanalysis stage of the event. In a MICE event, proper implementation of the event cycle plays a vital role in the event's success (Camilleri, 2021). The cycle involves various stages, such as idea conception, planning, resource mobilisation, promotion, execution, and evaluation, which are categorised into phases. The activities tailored in each phase determine the longevity of the event, and the event planners have to em</w:t>
      </w:r>
      <w:r w:rsidRPr="00011E18">
        <w:rPr>
          <w:rFonts w:ascii="Arial" w:hAnsi="Arial" w:cs="Arial"/>
        </w:rPr>
        <w:t xml:space="preserve">brace a model that guides the event to success, as Mair and Smith (2022) propose. Event management models such as the Unified Model state that no matter the effort that event planners may put into place, it is impossible to replicate another event in all elements. </w:t>
      </w:r>
    </w:p>
    <w:p w14:paraId="208A58BC"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Considering the complexity associated with the arrangement of events of this calibre, the Unified Model recommends the establishment of sophisticated planning that looks forward to managing possible risks (Thomas and Stephens, 2022). The model's four phases, including decision, detailed planning, implementation, and evaluation—explain that through thorough planning of the event, major objectives such as strategic targets, customer satisfaction, and resource efficiency can be attained with ease. In the decis</w:t>
      </w:r>
      <w:r w:rsidRPr="00011E18">
        <w:rPr>
          <w:rFonts w:ascii="Arial" w:hAnsi="Arial" w:cs="Arial"/>
        </w:rPr>
        <w:t>ion phase, the three catalysts of the event, including the aims and objectives, feasibility study, and establishment of the management board, are activated to formulate the event decision (Jaskó et al. 2020). According to Allen et al. (2022), events' objectives must be SMART to help the event planners identify event performance targets, and the management board must be composed of diverse skills and expertise necessary for successful event hosting. The feasibility study focuses on initial financial needs an</w:t>
      </w:r>
      <w:r w:rsidRPr="00011E18">
        <w:rPr>
          <w:rFonts w:ascii="Arial" w:hAnsi="Arial" w:cs="Arial"/>
        </w:rPr>
        <w:t xml:space="preserve">d market research to establish the needs of the participants. </w:t>
      </w:r>
    </w:p>
    <w:p w14:paraId="767AECC0"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During the event-planning phase, two major aspects are weighed: financial and event definition. Event definition aims to design and sell the event product, which </w:t>
      </w:r>
      <w:r w:rsidRPr="00011E18">
        <w:rPr>
          <w:rFonts w:ascii="Arial" w:hAnsi="Arial" w:cs="Arial"/>
        </w:rPr>
        <w:lastRenderedPageBreak/>
        <w:t>satisfies customer needs. Upon the definition of the event, resource mobilisation, event marketing, and event scheduling are conducted through detailed strategies. This event's planners have invested in creativity and competencies that align with the recommendations of the model, as Mzembe, Idemudia, and Angel (2021) recommend. At the implementation phase, all the planning has to be put into action, with key activities used to track event progress. The event evaluation phase evaluates the feedback on the ev</w:t>
      </w:r>
      <w:r w:rsidRPr="00011E18">
        <w:rPr>
          <w:rFonts w:ascii="Arial" w:hAnsi="Arial" w:cs="Arial"/>
        </w:rPr>
        <w:t xml:space="preserve">ent from planners, attendants, and other stakeholders for assessment. Lamine et al. (2020) assert that for an event to be successful, an event planner must have skills and competencies such as creativity, ideation, logistics and data management, event structuring, scheduling, problem-solving, relationship management, and attention to detail. </w:t>
      </w:r>
    </w:p>
    <w:p w14:paraId="64D97463"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Event Concept</w:t>
      </w:r>
    </w:p>
    <w:p w14:paraId="0552F6E0"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A sustainability event is an impactful event that brings together all the stakeholders, creative innovators, and industry leaders to explore sustainable concepts, policing, and practices in hospitality (Sakshi et al., 2020). The growing demand for sustainability measures in the hospitality sector calls for a comprehensive event from which knowledge can be leveraged for experience. The event also incorporates different sponsorships and partnerships to ensure a wide range of sustainability themes are covered </w:t>
      </w:r>
      <w:r w:rsidRPr="00011E18">
        <w:rPr>
          <w:rFonts w:ascii="Arial" w:hAnsi="Arial" w:cs="Arial"/>
        </w:rPr>
        <w:t xml:space="preserve">and promoted financially and knowledge-wise. </w:t>
      </w:r>
    </w:p>
    <w:p w14:paraId="5AD59AFB" w14:textId="77777777" w:rsidR="001E663C" w:rsidRPr="00011E18" w:rsidRDefault="004F5256" w:rsidP="00011E18">
      <w:pPr>
        <w:spacing w:line="360" w:lineRule="auto"/>
        <w:ind w:left="360" w:firstLine="0"/>
        <w:rPr>
          <w:rFonts w:ascii="Arial" w:hAnsi="Arial" w:cs="Arial"/>
        </w:rPr>
      </w:pPr>
      <w:r w:rsidRPr="00011E18">
        <w:rPr>
          <w:rFonts w:ascii="Arial" w:hAnsi="Arial" w:cs="Arial"/>
        </w:rPr>
        <w:t xml:space="preserve">Attendees will be empowered through interactive sessions, cultivating discussions, and networking, which are key factors to event success, as Anas et al. (2020) outline. The event provides an opportunity for the attendees to exchange knowledge and ideas and establish potential partnerships that would be of great value in promoting sustainability in the future. Speeches and training sessions from sustainability authorities and organisations will be available to educate attendees on the better approaches and </w:t>
      </w:r>
      <w:r w:rsidRPr="00011E18">
        <w:rPr>
          <w:rFonts w:ascii="Arial" w:hAnsi="Arial" w:cs="Arial"/>
        </w:rPr>
        <w:t xml:space="preserve">models to be utilised in integrating sustainability initiatives into business operations. </w:t>
      </w:r>
    </w:p>
    <w:p w14:paraId="4FA78472"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To empower the attendees with diversified knowledge, the event explores all the possible measures to mitigate the existing sustainability barriers and create a better industrial future, as Nguyen et al. (2023) recommend. The event explains the importance of adopting sustainable measures following the emerging market trend of </w:t>
      </w:r>
      <w:r w:rsidRPr="00011E18">
        <w:rPr>
          <w:rFonts w:ascii="Arial" w:hAnsi="Arial" w:cs="Arial"/>
        </w:rPr>
        <w:lastRenderedPageBreak/>
        <w:t>customers who are sensitive to sustainability. With the event location, Euston Square, being among the ambassadors of sustainability, practical presentations about it are highlighted to show sustainability's impact on the hotel's reputation, guest services, and productivity. The real impact of sustainability inspires the attendees to implement the initiatives and defend hospitality. To wrap up the event, a detail that complements the event objectives, experiences, and immense knowledge is promoted to encour</w:t>
      </w:r>
      <w:r w:rsidRPr="00011E18">
        <w:rPr>
          <w:rFonts w:ascii="Arial" w:hAnsi="Arial" w:cs="Arial"/>
        </w:rPr>
        <w:t xml:space="preserve">age teamwork. </w:t>
      </w:r>
    </w:p>
    <w:p w14:paraId="6890ED84"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Aims and Objectives</w:t>
      </w:r>
    </w:p>
    <w:p w14:paraId="1AF4D492"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 In the ideal commitment to a promising hospitality future, the event aims to create awareness, enhance substantial collaboration, and promote actionable approaches that maximise social responsibility among hotels and reduce the negative social, environmental, and economic impact. The event embraces several SMART objectives to achieve these primary goals, including </w:t>
      </w:r>
    </w:p>
    <w:p w14:paraId="3D8BA2EE" w14:textId="77777777" w:rsidR="001E663C" w:rsidRPr="00011E18" w:rsidRDefault="004F5256" w:rsidP="00011E18">
      <w:pPr>
        <w:spacing w:line="360" w:lineRule="auto"/>
        <w:ind w:left="360" w:firstLine="0"/>
        <w:rPr>
          <w:rFonts w:ascii="Arial" w:hAnsi="Arial" w:cs="Arial"/>
        </w:rPr>
      </w:pPr>
      <w:r w:rsidRPr="00011E18">
        <w:rPr>
          <w:rFonts w:ascii="Arial" w:hAnsi="Arial" w:cs="Arial"/>
        </w:rPr>
        <w:t xml:space="preserve">: </w:t>
      </w:r>
    </w:p>
    <w:p w14:paraId="30F65FA6" w14:textId="77777777" w:rsidR="001E663C" w:rsidRPr="00011E18" w:rsidRDefault="004F5256" w:rsidP="00011E18">
      <w:pPr>
        <w:numPr>
          <w:ilvl w:val="0"/>
          <w:numId w:val="1"/>
        </w:numPr>
        <w:spacing w:after="26" w:line="360" w:lineRule="auto"/>
        <w:ind w:hanging="360"/>
        <w:rPr>
          <w:rFonts w:ascii="Arial" w:hAnsi="Arial" w:cs="Arial"/>
        </w:rPr>
      </w:pPr>
      <w:r w:rsidRPr="00011E18">
        <w:rPr>
          <w:rFonts w:ascii="Arial" w:hAnsi="Arial" w:cs="Arial"/>
        </w:rPr>
        <w:t xml:space="preserve">Enhancing collaboration among the stakeholders and encouraging networking. Networking fosters connections and collaboration towards the execution of sustainability initiatives. </w:t>
      </w:r>
    </w:p>
    <w:p w14:paraId="76C03F50" w14:textId="77777777" w:rsidR="001E663C" w:rsidRPr="00011E18" w:rsidRDefault="004F5256" w:rsidP="00011E18">
      <w:pPr>
        <w:numPr>
          <w:ilvl w:val="0"/>
          <w:numId w:val="1"/>
        </w:numPr>
        <w:spacing w:after="26" w:line="360" w:lineRule="auto"/>
        <w:ind w:hanging="360"/>
        <w:rPr>
          <w:rFonts w:ascii="Arial" w:hAnsi="Arial" w:cs="Arial"/>
        </w:rPr>
      </w:pPr>
      <w:r w:rsidRPr="00011E18">
        <w:rPr>
          <w:rFonts w:ascii="Arial" w:hAnsi="Arial" w:cs="Arial"/>
        </w:rPr>
        <w:t xml:space="preserve">To develop practical strategies that assess the impact of sustainability in social, environmental, and economic spheres. </w:t>
      </w:r>
    </w:p>
    <w:p w14:paraId="4849E25D" w14:textId="77777777" w:rsidR="001E663C" w:rsidRPr="00011E18" w:rsidRDefault="004F5256" w:rsidP="00011E18">
      <w:pPr>
        <w:numPr>
          <w:ilvl w:val="0"/>
          <w:numId w:val="1"/>
        </w:numPr>
        <w:spacing w:line="360" w:lineRule="auto"/>
        <w:ind w:hanging="360"/>
        <w:rPr>
          <w:rFonts w:ascii="Arial" w:hAnsi="Arial" w:cs="Arial"/>
        </w:rPr>
      </w:pPr>
      <w:r w:rsidRPr="00011E18">
        <w:rPr>
          <w:rFonts w:ascii="Arial" w:hAnsi="Arial" w:cs="Arial"/>
        </w:rPr>
        <w:t xml:space="preserve">To promote sustainability pillars awareness and foster and appreciate cultural diversities (Ngoc et al. 2023). Taking into consideration cultural perception, cultural sensitivity, and traditions, event planners help reach and impact a wide audience. </w:t>
      </w:r>
    </w:p>
    <w:p w14:paraId="557DDED4"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Event Operations</w:t>
      </w:r>
    </w:p>
    <w:p w14:paraId="58DA4B13" w14:textId="77777777" w:rsidR="001E663C" w:rsidRPr="00011E18" w:rsidRDefault="004F5256" w:rsidP="00011E18">
      <w:pPr>
        <w:spacing w:after="27" w:line="360" w:lineRule="auto"/>
        <w:ind w:left="360" w:firstLine="720"/>
        <w:rPr>
          <w:rFonts w:ascii="Arial" w:hAnsi="Arial" w:cs="Arial"/>
        </w:rPr>
      </w:pPr>
      <w:r w:rsidRPr="00011E18">
        <w:rPr>
          <w:rFonts w:ascii="Arial" w:hAnsi="Arial" w:cs="Arial"/>
        </w:rPr>
        <w:t xml:space="preserve">As the event bridges hotels to sustainability through the introduction of corporate social responsibility (CSR), skills and resources are essential in conducting a successful event that impacts knowledge and sustainable experience (Hind et al., 2023). The following list highlights comprehensive elements that are vital to the success of MICE events: </w:t>
      </w:r>
    </w:p>
    <w:p w14:paraId="497EEC7F" w14:textId="77777777" w:rsidR="001E663C" w:rsidRPr="00011E18" w:rsidRDefault="004F5256" w:rsidP="00011E18">
      <w:pPr>
        <w:numPr>
          <w:ilvl w:val="0"/>
          <w:numId w:val="2"/>
        </w:numPr>
        <w:spacing w:after="26" w:line="360" w:lineRule="auto"/>
        <w:rPr>
          <w:rFonts w:ascii="Arial" w:hAnsi="Arial" w:cs="Arial"/>
        </w:rPr>
      </w:pPr>
      <w:r w:rsidRPr="00011E18">
        <w:rPr>
          <w:rFonts w:ascii="Arial" w:hAnsi="Arial" w:cs="Arial"/>
        </w:rPr>
        <w:lastRenderedPageBreak/>
        <w:t>Event planning and management - Event planning is a complex task that requires sophisticated methods, skills, and competencies, and organisers have to establish solutions for any emerging risk (An, Kim, and Hur, 2021). A team of 13–17 skilled, versatile, and competent members is required to conduct detailed market research to understand market trends and apply all the necessary tools to establish a successful event.</w:t>
      </w:r>
    </w:p>
    <w:p w14:paraId="2543A0C0" w14:textId="77777777" w:rsidR="001E663C" w:rsidRPr="00011E18" w:rsidRDefault="004F5256" w:rsidP="00011E18">
      <w:pPr>
        <w:numPr>
          <w:ilvl w:val="0"/>
          <w:numId w:val="2"/>
        </w:numPr>
        <w:spacing w:after="26" w:line="360" w:lineRule="auto"/>
        <w:rPr>
          <w:rFonts w:ascii="Arial" w:hAnsi="Arial" w:cs="Arial"/>
        </w:rPr>
      </w:pPr>
      <w:r w:rsidRPr="00011E18">
        <w:rPr>
          <w:rFonts w:ascii="Arial" w:hAnsi="Arial" w:cs="Arial"/>
        </w:rPr>
        <w:t xml:space="preserve">Venue selection and set-up - it is important to choose a venue that aligns with the theme of the event. Venue selection must be eco-friendly, have up-to-date sustainability compliance, and have a structured sustainability-reporting model to track its sustainability commitment. </w:t>
      </w:r>
    </w:p>
    <w:p w14:paraId="2E7AACB5" w14:textId="77777777" w:rsidR="001E663C" w:rsidRPr="00011E18" w:rsidRDefault="004F5256" w:rsidP="00011E18">
      <w:pPr>
        <w:numPr>
          <w:ilvl w:val="0"/>
          <w:numId w:val="2"/>
        </w:numPr>
        <w:spacing w:after="29" w:line="360" w:lineRule="auto"/>
        <w:rPr>
          <w:rFonts w:ascii="Arial" w:hAnsi="Arial" w:cs="Arial"/>
        </w:rPr>
      </w:pPr>
      <w:r w:rsidRPr="00011E18">
        <w:rPr>
          <w:rFonts w:ascii="Arial" w:hAnsi="Arial" w:cs="Arial"/>
        </w:rPr>
        <w:t>Skilled and certified key speakers - The event requires 5-8 experienced experts in the hospitality industry to give speeches and training and provide research-oriented sustainability knowledge during the summit. The experts must express an understanding of the sustainability concept and the effects of industrial trends in the market.</w:t>
      </w:r>
    </w:p>
    <w:p w14:paraId="3340761E" w14:textId="77777777" w:rsidR="001E663C" w:rsidRPr="00011E18" w:rsidRDefault="004F5256" w:rsidP="00011E18">
      <w:pPr>
        <w:numPr>
          <w:ilvl w:val="0"/>
          <w:numId w:val="2"/>
        </w:numPr>
        <w:spacing w:after="26" w:line="360" w:lineRule="auto"/>
        <w:rPr>
          <w:rFonts w:ascii="Arial" w:hAnsi="Arial" w:cs="Arial"/>
        </w:rPr>
      </w:pPr>
      <w:r w:rsidRPr="00011E18">
        <w:rPr>
          <w:rFonts w:ascii="Arial" w:hAnsi="Arial" w:cs="Arial"/>
        </w:rPr>
        <w:t xml:space="preserve">Catering - A group of 15–25 caterers is required to serve the event attendees. The caterers should provide sustainable catering services by creating menus that prioritise local meals that are characterised by organic ingredients and align with environmental sustainability. </w:t>
      </w:r>
    </w:p>
    <w:p w14:paraId="4B0038FC" w14:textId="77777777" w:rsidR="001E663C" w:rsidRPr="00011E18" w:rsidRDefault="004F5256" w:rsidP="00011E18">
      <w:pPr>
        <w:numPr>
          <w:ilvl w:val="0"/>
          <w:numId w:val="2"/>
        </w:numPr>
        <w:spacing w:after="26" w:line="360" w:lineRule="auto"/>
        <w:rPr>
          <w:rFonts w:ascii="Arial" w:hAnsi="Arial" w:cs="Arial"/>
        </w:rPr>
      </w:pPr>
      <w:r w:rsidRPr="00011E18">
        <w:rPr>
          <w:rFonts w:ascii="Arial" w:hAnsi="Arial" w:cs="Arial"/>
        </w:rPr>
        <w:t>Technology and audio-visual systems - Integrating technology via audio and visual systems is vital in the event as it ensures that the participants can follow up on the event at their convenience. According to Ferdinand and Williams (2020), an audio-visual system enhances wider audience coverage.</w:t>
      </w:r>
    </w:p>
    <w:p w14:paraId="6296FE73" w14:textId="77777777" w:rsidR="001E663C" w:rsidRPr="00011E18" w:rsidRDefault="004F5256" w:rsidP="00011E18">
      <w:pPr>
        <w:numPr>
          <w:ilvl w:val="0"/>
          <w:numId w:val="2"/>
        </w:numPr>
        <w:spacing w:after="26" w:line="360" w:lineRule="auto"/>
        <w:rPr>
          <w:rFonts w:ascii="Arial" w:hAnsi="Arial" w:cs="Arial"/>
        </w:rPr>
      </w:pPr>
      <w:r w:rsidRPr="00011E18">
        <w:rPr>
          <w:rFonts w:ascii="Arial" w:hAnsi="Arial" w:cs="Arial"/>
        </w:rPr>
        <w:t>Event marketing and promotion - marketing of the event through email marketing, publications, and social media platforms enhances the outreach of a wider summit target. Skills such as graphic design facilitate the designing of engaging publications and promotional materials that would attract sponsorships and collaborations.</w:t>
      </w:r>
    </w:p>
    <w:p w14:paraId="55AC78FD" w14:textId="77777777" w:rsidR="001E663C" w:rsidRPr="00011E18" w:rsidRDefault="004F5256" w:rsidP="00011E18">
      <w:pPr>
        <w:numPr>
          <w:ilvl w:val="0"/>
          <w:numId w:val="2"/>
        </w:numPr>
        <w:spacing w:line="360" w:lineRule="auto"/>
        <w:rPr>
          <w:rFonts w:ascii="Arial" w:hAnsi="Arial" w:cs="Arial"/>
        </w:rPr>
      </w:pPr>
      <w:r w:rsidRPr="00011E18">
        <w:rPr>
          <w:rFonts w:ascii="Arial" w:hAnsi="Arial" w:cs="Arial"/>
        </w:rPr>
        <w:t xml:space="preserve">Lighting and seating arrangements - proper implementation of the lighting strategies creates a favourable environment that eases presentation and event follow-up. According to Hahm (2022), the seating arrangement during the summit enhances </w:t>
      </w:r>
      <w:r w:rsidRPr="00011E18">
        <w:rPr>
          <w:rFonts w:ascii="Arial" w:hAnsi="Arial" w:cs="Arial"/>
        </w:rPr>
        <w:lastRenderedPageBreak/>
        <w:t xml:space="preserve">comfort and easy follow-up of the event by the attendees. Smooth transitions of lighting mediums and a comfortable seating arrangement influence a positive event mood and easy knowledge acquisition as attendees pay attention to event details. </w:t>
      </w:r>
    </w:p>
    <w:p w14:paraId="54AA5B60" w14:textId="77777777" w:rsidR="001E663C" w:rsidRPr="00011E18" w:rsidRDefault="004F5256" w:rsidP="00011E18">
      <w:pPr>
        <w:spacing w:after="252" w:line="360" w:lineRule="auto"/>
        <w:ind w:left="1093" w:hanging="10"/>
        <w:jc w:val="center"/>
        <w:rPr>
          <w:rFonts w:ascii="Arial" w:hAnsi="Arial" w:cs="Arial"/>
        </w:rPr>
      </w:pPr>
      <w:r w:rsidRPr="00011E18">
        <w:rPr>
          <w:rFonts w:ascii="Arial" w:hAnsi="Arial" w:cs="Arial"/>
        </w:rPr>
        <w:t>Event Budget</w:t>
      </w:r>
    </w:p>
    <w:p w14:paraId="26804712" w14:textId="77777777" w:rsidR="001E663C" w:rsidRPr="00011E18" w:rsidRDefault="004F5256" w:rsidP="00011E18">
      <w:pPr>
        <w:spacing w:line="360" w:lineRule="auto"/>
        <w:ind w:left="360" w:firstLine="720"/>
        <w:rPr>
          <w:rFonts w:ascii="Arial" w:hAnsi="Arial" w:cs="Arial"/>
        </w:rPr>
      </w:pPr>
      <w:r w:rsidRPr="00011E18">
        <w:rPr>
          <w:rFonts w:ascii="Arial" w:hAnsi="Arial" w:cs="Arial"/>
        </w:rPr>
        <w:t xml:space="preserve"> Exercising proper budgeting approaches guarantees the success of the event and the management of any possible contingencies (Allen et al., 2022). The event budget funding was mobilised from various resource sources. The categories below highlight the fund-sourcing methods and associated expenses. </w:t>
      </w:r>
    </w:p>
    <w:p w14:paraId="2233452C" w14:textId="77777777" w:rsidR="001E663C" w:rsidRPr="00011E18" w:rsidRDefault="004F5256" w:rsidP="00011E18">
      <w:pPr>
        <w:spacing w:after="281" w:line="360" w:lineRule="auto"/>
        <w:ind w:left="370" w:hanging="10"/>
        <w:rPr>
          <w:rFonts w:ascii="Arial" w:hAnsi="Arial" w:cs="Arial"/>
        </w:rPr>
      </w:pPr>
      <w:r w:rsidRPr="00011E18">
        <w:rPr>
          <w:rFonts w:ascii="Arial" w:hAnsi="Arial" w:cs="Arial"/>
          <w:i/>
        </w:rPr>
        <w:t>Budget sourcing</w:t>
      </w:r>
    </w:p>
    <w:p w14:paraId="23F17557" w14:textId="77777777" w:rsidR="001E663C" w:rsidRPr="00011E18" w:rsidRDefault="004F5256" w:rsidP="00011E18">
      <w:pPr>
        <w:numPr>
          <w:ilvl w:val="0"/>
          <w:numId w:val="3"/>
        </w:numPr>
        <w:spacing w:after="26" w:line="360" w:lineRule="auto"/>
        <w:ind w:hanging="360"/>
        <w:rPr>
          <w:rFonts w:ascii="Arial" w:hAnsi="Arial" w:cs="Arial"/>
        </w:rPr>
      </w:pPr>
      <w:r w:rsidRPr="00011E18">
        <w:rPr>
          <w:rFonts w:ascii="Arial" w:hAnsi="Arial" w:cs="Arial"/>
        </w:rPr>
        <w:t>Registration fee – A considerable registration fee attracts a wide number of participating organisations, stakeholders, and enthusiasts, attracting a total revenue of  £70,000</w:t>
      </w:r>
    </w:p>
    <w:p w14:paraId="012F419B" w14:textId="77777777" w:rsidR="001E663C" w:rsidRPr="00011E18" w:rsidRDefault="004F5256" w:rsidP="00011E18">
      <w:pPr>
        <w:numPr>
          <w:ilvl w:val="0"/>
          <w:numId w:val="3"/>
        </w:numPr>
        <w:spacing w:after="26" w:line="360" w:lineRule="auto"/>
        <w:ind w:hanging="360"/>
        <w:rPr>
          <w:rFonts w:ascii="Arial" w:hAnsi="Arial" w:cs="Arial"/>
        </w:rPr>
      </w:pPr>
      <w:r w:rsidRPr="00011E18">
        <w:rPr>
          <w:rFonts w:ascii="Arial" w:hAnsi="Arial" w:cs="Arial"/>
        </w:rPr>
        <w:t>Ticket sales – Event participants seeking premium services such as comprehensive networking sessions and innovation discussions are projected to raise £50,000.</w:t>
      </w:r>
    </w:p>
    <w:p w14:paraId="0CF4973A" w14:textId="77777777" w:rsidR="001E663C" w:rsidRPr="00011E18" w:rsidRDefault="004F5256" w:rsidP="00011E18">
      <w:pPr>
        <w:numPr>
          <w:ilvl w:val="0"/>
          <w:numId w:val="3"/>
        </w:numPr>
        <w:spacing w:after="26" w:line="360" w:lineRule="auto"/>
        <w:ind w:hanging="360"/>
        <w:rPr>
          <w:rFonts w:ascii="Arial" w:hAnsi="Arial" w:cs="Arial"/>
        </w:rPr>
      </w:pPr>
      <w:r w:rsidRPr="00011E18">
        <w:rPr>
          <w:rFonts w:ascii="Arial" w:hAnsi="Arial" w:cs="Arial"/>
        </w:rPr>
        <w:t xml:space="preserve">Sponsorships and partnerships - resources from our external and internal event partners are expected to be approximately £26850. Following the changes in sustainability in the hospitality industry, partners find it worthy to be included in the record of building a promising hospitality industry. </w:t>
      </w:r>
    </w:p>
    <w:p w14:paraId="1E5A3D3A" w14:textId="77777777" w:rsidR="001E663C" w:rsidRPr="00011E18" w:rsidRDefault="004F5256" w:rsidP="00011E18">
      <w:pPr>
        <w:numPr>
          <w:ilvl w:val="0"/>
          <w:numId w:val="3"/>
        </w:numPr>
        <w:spacing w:after="26" w:line="360" w:lineRule="auto"/>
        <w:ind w:hanging="360"/>
        <w:rPr>
          <w:rFonts w:ascii="Arial" w:hAnsi="Arial" w:cs="Arial"/>
        </w:rPr>
      </w:pPr>
      <w:r w:rsidRPr="00011E18">
        <w:rPr>
          <w:rFonts w:ascii="Arial" w:hAnsi="Arial" w:cs="Arial"/>
        </w:rPr>
        <w:t>Exhibition fee - the event budget is projected to experience a revenue increase of £5700 from the exhibitors who seek the opportunity to showcase their products and services during the summit in search of partnerships and sponsorship.</w:t>
      </w:r>
    </w:p>
    <w:p w14:paraId="06EB9F0C" w14:textId="77777777" w:rsidR="001E663C" w:rsidRPr="00011E18" w:rsidRDefault="004F5256" w:rsidP="00011E18">
      <w:pPr>
        <w:numPr>
          <w:ilvl w:val="0"/>
          <w:numId w:val="3"/>
        </w:numPr>
        <w:spacing w:line="360" w:lineRule="auto"/>
        <w:ind w:hanging="360"/>
        <w:rPr>
          <w:rFonts w:ascii="Arial" w:hAnsi="Arial" w:cs="Arial"/>
        </w:rPr>
      </w:pPr>
      <w:r w:rsidRPr="00011E18">
        <w:rPr>
          <w:rFonts w:ascii="Arial" w:hAnsi="Arial" w:cs="Arial"/>
        </w:rPr>
        <w:t xml:space="preserve">Merchandise sales - sales of event materials such as booklets that contain strategic sustainability measures, CSR designing, and implementation are expected to boost revenue by £1790. </w:t>
      </w:r>
    </w:p>
    <w:p w14:paraId="18413756" w14:textId="77777777" w:rsidR="001E663C" w:rsidRPr="00011E18" w:rsidRDefault="004F5256" w:rsidP="00011E18">
      <w:pPr>
        <w:spacing w:after="281" w:line="360" w:lineRule="auto"/>
        <w:ind w:left="370" w:hanging="10"/>
        <w:rPr>
          <w:rFonts w:ascii="Arial" w:hAnsi="Arial" w:cs="Arial"/>
        </w:rPr>
      </w:pPr>
      <w:r w:rsidRPr="00011E18">
        <w:rPr>
          <w:rFonts w:ascii="Arial" w:hAnsi="Arial" w:cs="Arial"/>
          <w:i/>
        </w:rPr>
        <w:t>Event expenditures</w:t>
      </w:r>
    </w:p>
    <w:p w14:paraId="18F4A145" w14:textId="77777777" w:rsidR="001E663C" w:rsidRPr="00011E18" w:rsidRDefault="004F5256" w:rsidP="00011E18">
      <w:pPr>
        <w:numPr>
          <w:ilvl w:val="0"/>
          <w:numId w:val="4"/>
        </w:numPr>
        <w:spacing w:after="26" w:line="360" w:lineRule="auto"/>
        <w:ind w:hanging="360"/>
        <w:rPr>
          <w:rFonts w:ascii="Arial" w:hAnsi="Arial" w:cs="Arial"/>
        </w:rPr>
      </w:pPr>
      <w:r w:rsidRPr="00011E18">
        <w:rPr>
          <w:rFonts w:ascii="Arial" w:hAnsi="Arial" w:cs="Arial"/>
        </w:rPr>
        <w:t xml:space="preserve">Venue rent - the expense value of £11200 for the event draws insights on the standard of the venue preferred for hosting such an impactful event. </w:t>
      </w:r>
    </w:p>
    <w:p w14:paraId="7BDB86AD" w14:textId="77777777" w:rsidR="001E663C" w:rsidRPr="00011E18" w:rsidRDefault="004F5256" w:rsidP="00011E18">
      <w:pPr>
        <w:numPr>
          <w:ilvl w:val="0"/>
          <w:numId w:val="4"/>
        </w:numPr>
        <w:spacing w:line="360" w:lineRule="auto"/>
        <w:ind w:hanging="360"/>
        <w:rPr>
          <w:rFonts w:ascii="Arial" w:hAnsi="Arial" w:cs="Arial"/>
        </w:rPr>
      </w:pPr>
      <w:r w:rsidRPr="00011E18">
        <w:rPr>
          <w:rFonts w:ascii="Arial" w:hAnsi="Arial" w:cs="Arial"/>
        </w:rPr>
        <w:t xml:space="preserve">Licence - compliance being the key power of the event, a budget of £9760 is adequate to acquire a licence for the hosting event (Camalig et al. 2023). Event accreditation not only brews trust among the targeted audience but also provides the event with a good </w:t>
      </w:r>
      <w:r w:rsidRPr="00011E18">
        <w:rPr>
          <w:rFonts w:ascii="Arial" w:hAnsi="Arial" w:cs="Arial"/>
        </w:rPr>
        <w:lastRenderedPageBreak/>
        <w:t>branding opportunity to gain recognition by the relevant authorities and industries locally and internationally.</w:t>
      </w:r>
    </w:p>
    <w:p w14:paraId="2FCAA2A8" w14:textId="77777777" w:rsidR="001E663C" w:rsidRPr="00011E18" w:rsidRDefault="004F5256" w:rsidP="00011E18">
      <w:pPr>
        <w:numPr>
          <w:ilvl w:val="0"/>
          <w:numId w:val="4"/>
        </w:numPr>
        <w:spacing w:after="26" w:line="360" w:lineRule="auto"/>
        <w:ind w:hanging="360"/>
        <w:rPr>
          <w:rFonts w:ascii="Arial" w:hAnsi="Arial" w:cs="Arial"/>
        </w:rPr>
      </w:pPr>
      <w:r w:rsidRPr="00011E18">
        <w:rPr>
          <w:rFonts w:ascii="Arial" w:hAnsi="Arial" w:cs="Arial"/>
        </w:rPr>
        <w:t xml:space="preserve">Staff training - equipping staff with the necessary knowledge and expertise is estimated to cost the event £3250, as knowledgeable and skilled staff are essential in steering the event to success through administration and catering.  </w:t>
      </w:r>
    </w:p>
    <w:p w14:paraId="0BCED662" w14:textId="77777777" w:rsidR="001E663C" w:rsidRPr="00011E18" w:rsidRDefault="004F5256" w:rsidP="00011E18">
      <w:pPr>
        <w:numPr>
          <w:ilvl w:val="0"/>
          <w:numId w:val="4"/>
        </w:numPr>
        <w:spacing w:after="26" w:line="360" w:lineRule="auto"/>
        <w:ind w:hanging="360"/>
        <w:rPr>
          <w:rFonts w:ascii="Arial" w:hAnsi="Arial" w:cs="Arial"/>
        </w:rPr>
      </w:pPr>
      <w:r w:rsidRPr="00011E18">
        <w:rPr>
          <w:rFonts w:ascii="Arial" w:hAnsi="Arial" w:cs="Arial"/>
        </w:rPr>
        <w:t>Event marketing and promotion – with a budget of £7250, strategic event marketing through social platforms assures event success by reaching a wide range of audiences.</w:t>
      </w:r>
    </w:p>
    <w:p w14:paraId="19032ECB" w14:textId="77777777" w:rsidR="001E663C" w:rsidRPr="00011E18" w:rsidRDefault="004F5256" w:rsidP="00011E18">
      <w:pPr>
        <w:numPr>
          <w:ilvl w:val="0"/>
          <w:numId w:val="4"/>
        </w:numPr>
        <w:spacing w:after="26" w:line="360" w:lineRule="auto"/>
        <w:ind w:hanging="360"/>
        <w:rPr>
          <w:rFonts w:ascii="Arial" w:hAnsi="Arial" w:cs="Arial"/>
        </w:rPr>
      </w:pPr>
      <w:r w:rsidRPr="00011E18">
        <w:rPr>
          <w:rFonts w:ascii="Arial" w:hAnsi="Arial" w:cs="Arial"/>
        </w:rPr>
        <w:t xml:space="preserve">Audio and visuals system - The budget allocates £5400 for the system to cater to any equipment that will be needed for sound quality and presentations. </w:t>
      </w:r>
    </w:p>
    <w:p w14:paraId="2A26D646" w14:textId="77777777" w:rsidR="001E663C" w:rsidRPr="00011E18" w:rsidRDefault="004F5256" w:rsidP="00011E18">
      <w:pPr>
        <w:numPr>
          <w:ilvl w:val="0"/>
          <w:numId w:val="4"/>
        </w:numPr>
        <w:spacing w:after="287" w:line="360" w:lineRule="auto"/>
        <w:ind w:hanging="360"/>
        <w:rPr>
          <w:rFonts w:ascii="Arial" w:hAnsi="Arial" w:cs="Arial"/>
        </w:rPr>
      </w:pPr>
      <w:r w:rsidRPr="00011E18">
        <w:rPr>
          <w:rFonts w:ascii="Arial" w:hAnsi="Arial" w:cs="Arial"/>
        </w:rPr>
        <w:t xml:space="preserve">Catering - meals and drinks for the event attendees are budgeted to cost £4230 from the budget. </w:t>
      </w:r>
    </w:p>
    <w:p w14:paraId="2EF6FB92" w14:textId="77777777" w:rsidR="001E663C" w:rsidRPr="00011E18" w:rsidRDefault="004F5256" w:rsidP="00011E18">
      <w:pPr>
        <w:numPr>
          <w:ilvl w:val="0"/>
          <w:numId w:val="4"/>
        </w:numPr>
        <w:spacing w:after="287" w:line="360" w:lineRule="auto"/>
        <w:ind w:hanging="360"/>
        <w:rPr>
          <w:rFonts w:ascii="Arial" w:hAnsi="Arial" w:cs="Arial"/>
        </w:rPr>
      </w:pPr>
      <w:r w:rsidRPr="00011E18">
        <w:rPr>
          <w:rFonts w:ascii="Arial" w:hAnsi="Arial" w:cs="Arial"/>
        </w:rPr>
        <w:t xml:space="preserve">Administration - all administration activities are projected to cost £8400 of the total revenue. </w:t>
      </w:r>
    </w:p>
    <w:p w14:paraId="541DD619" w14:textId="77777777" w:rsidR="001E663C" w:rsidRPr="00011E18" w:rsidRDefault="004F5256" w:rsidP="00011E18">
      <w:pPr>
        <w:numPr>
          <w:ilvl w:val="0"/>
          <w:numId w:val="4"/>
        </w:numPr>
        <w:spacing w:after="26" w:line="360" w:lineRule="auto"/>
        <w:ind w:hanging="360"/>
        <w:rPr>
          <w:rFonts w:ascii="Arial" w:hAnsi="Arial" w:cs="Arial"/>
        </w:rPr>
      </w:pPr>
      <w:r w:rsidRPr="00011E18">
        <w:rPr>
          <w:rFonts w:ascii="Arial" w:hAnsi="Arial" w:cs="Arial"/>
        </w:rPr>
        <w:t xml:space="preserve">Maintenance - It is essential to allocate £2100 to cater for any maintenance needs that arise during the event. </w:t>
      </w:r>
    </w:p>
    <w:p w14:paraId="17AB508E" w14:textId="77777777" w:rsidR="001E663C" w:rsidRPr="00011E18" w:rsidRDefault="004F5256" w:rsidP="00011E18">
      <w:pPr>
        <w:numPr>
          <w:ilvl w:val="0"/>
          <w:numId w:val="4"/>
        </w:numPr>
        <w:spacing w:line="360" w:lineRule="auto"/>
        <w:ind w:hanging="360"/>
        <w:rPr>
          <w:rFonts w:ascii="Arial" w:hAnsi="Arial" w:cs="Arial"/>
        </w:rPr>
      </w:pPr>
      <w:r w:rsidRPr="00011E18">
        <w:rPr>
          <w:rFonts w:ascii="Arial" w:hAnsi="Arial" w:cs="Arial"/>
        </w:rPr>
        <w:t>Miscellaneous - To help mitigate any risks and possible event contingencies and avoid event failure, the budget allocates £5260 for emergencies.</w:t>
      </w:r>
    </w:p>
    <w:tbl>
      <w:tblPr>
        <w:tblStyle w:val="TableGrid"/>
        <w:tblW w:w="7549" w:type="dxa"/>
        <w:tblInd w:w="252" w:type="dxa"/>
        <w:tblCellMar>
          <w:top w:w="63" w:type="dxa"/>
          <w:left w:w="108" w:type="dxa"/>
          <w:bottom w:w="0" w:type="dxa"/>
          <w:right w:w="115" w:type="dxa"/>
        </w:tblCellMar>
        <w:tblLook w:val="04A0" w:firstRow="1" w:lastRow="0" w:firstColumn="1" w:lastColumn="0" w:noHBand="0" w:noVBand="1"/>
      </w:tblPr>
      <w:tblGrid>
        <w:gridCol w:w="3790"/>
        <w:gridCol w:w="3759"/>
      </w:tblGrid>
      <w:tr w:rsidR="001E663C" w:rsidRPr="00011E18" w14:paraId="449BACF9" w14:textId="77777777" w:rsidTr="004F5256">
        <w:trPr>
          <w:trHeight w:val="634"/>
        </w:trPr>
        <w:tc>
          <w:tcPr>
            <w:tcW w:w="3790" w:type="dxa"/>
            <w:tcBorders>
              <w:top w:val="single" w:sz="4" w:space="0" w:color="000000"/>
              <w:left w:val="single" w:sz="4" w:space="0" w:color="000000"/>
              <w:bottom w:val="single" w:sz="4" w:space="0" w:color="000000"/>
              <w:right w:val="single" w:sz="4" w:space="0" w:color="000000"/>
            </w:tcBorders>
          </w:tcPr>
          <w:p w14:paraId="223E1867"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b/>
                <w:i/>
              </w:rPr>
              <w:t>Description</w:t>
            </w:r>
          </w:p>
        </w:tc>
        <w:tc>
          <w:tcPr>
            <w:tcW w:w="3759" w:type="dxa"/>
            <w:tcBorders>
              <w:top w:val="single" w:sz="4" w:space="0" w:color="000000"/>
              <w:left w:val="single" w:sz="4" w:space="0" w:color="000000"/>
              <w:bottom w:val="single" w:sz="4" w:space="0" w:color="000000"/>
              <w:right w:val="single" w:sz="4" w:space="0" w:color="000000"/>
            </w:tcBorders>
          </w:tcPr>
          <w:p w14:paraId="433ADF77"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b/>
                <w:i/>
              </w:rPr>
              <w:t>Amount (£)</w:t>
            </w:r>
          </w:p>
        </w:tc>
      </w:tr>
      <w:tr w:rsidR="001E663C" w:rsidRPr="00011E18" w14:paraId="0CE6782B" w14:textId="77777777" w:rsidTr="004F5256">
        <w:trPr>
          <w:trHeight w:val="645"/>
        </w:trPr>
        <w:tc>
          <w:tcPr>
            <w:tcW w:w="3790" w:type="dxa"/>
            <w:tcBorders>
              <w:top w:val="single" w:sz="4" w:space="0" w:color="000000"/>
              <w:left w:val="single" w:sz="4" w:space="0" w:color="000000"/>
              <w:bottom w:val="single" w:sz="4" w:space="0" w:color="000000"/>
              <w:right w:val="single" w:sz="4" w:space="0" w:color="000000"/>
            </w:tcBorders>
          </w:tcPr>
          <w:p w14:paraId="2347B702"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b/>
              </w:rPr>
              <w:t>Revenue</w:t>
            </w:r>
          </w:p>
        </w:tc>
        <w:tc>
          <w:tcPr>
            <w:tcW w:w="3759" w:type="dxa"/>
            <w:tcBorders>
              <w:top w:val="single" w:sz="4" w:space="0" w:color="000000"/>
              <w:left w:val="single" w:sz="4" w:space="0" w:color="000000"/>
              <w:bottom w:val="single" w:sz="4" w:space="0" w:color="000000"/>
              <w:right w:val="single" w:sz="4" w:space="0" w:color="000000"/>
            </w:tcBorders>
          </w:tcPr>
          <w:p w14:paraId="11448672" w14:textId="77777777" w:rsidR="001E663C" w:rsidRPr="00011E18" w:rsidRDefault="001E663C" w:rsidP="00011E18">
            <w:pPr>
              <w:spacing w:after="160" w:line="360" w:lineRule="auto"/>
              <w:ind w:left="0" w:firstLine="0"/>
              <w:rPr>
                <w:rFonts w:ascii="Arial" w:hAnsi="Arial" w:cs="Arial"/>
              </w:rPr>
            </w:pPr>
          </w:p>
        </w:tc>
      </w:tr>
      <w:tr w:rsidR="001E663C" w:rsidRPr="00011E18" w14:paraId="098D0181" w14:textId="77777777" w:rsidTr="004F5256">
        <w:trPr>
          <w:trHeight w:val="774"/>
        </w:trPr>
        <w:tc>
          <w:tcPr>
            <w:tcW w:w="3790" w:type="dxa"/>
            <w:tcBorders>
              <w:top w:val="single" w:sz="4" w:space="0" w:color="000000"/>
              <w:left w:val="single" w:sz="4" w:space="0" w:color="000000"/>
              <w:bottom w:val="single" w:sz="4" w:space="0" w:color="000000"/>
              <w:right w:val="single" w:sz="4" w:space="0" w:color="000000"/>
            </w:tcBorders>
          </w:tcPr>
          <w:p w14:paraId="009CB84E"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Registration fee</w:t>
            </w:r>
          </w:p>
        </w:tc>
        <w:tc>
          <w:tcPr>
            <w:tcW w:w="3759" w:type="dxa"/>
            <w:tcBorders>
              <w:top w:val="single" w:sz="4" w:space="0" w:color="000000"/>
              <w:left w:val="single" w:sz="4" w:space="0" w:color="000000"/>
              <w:bottom w:val="single" w:sz="4" w:space="0" w:color="000000"/>
              <w:right w:val="single" w:sz="4" w:space="0" w:color="000000"/>
            </w:tcBorders>
          </w:tcPr>
          <w:p w14:paraId="17574209"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20,000</w:t>
            </w:r>
          </w:p>
        </w:tc>
      </w:tr>
      <w:tr w:rsidR="001E663C" w:rsidRPr="00011E18" w14:paraId="6EFB255A" w14:textId="77777777" w:rsidTr="004F5256">
        <w:trPr>
          <w:trHeight w:val="795"/>
        </w:trPr>
        <w:tc>
          <w:tcPr>
            <w:tcW w:w="3790" w:type="dxa"/>
            <w:tcBorders>
              <w:top w:val="single" w:sz="4" w:space="0" w:color="000000"/>
              <w:left w:val="single" w:sz="4" w:space="0" w:color="000000"/>
              <w:bottom w:val="single" w:sz="4" w:space="0" w:color="000000"/>
              <w:right w:val="single" w:sz="4" w:space="0" w:color="000000"/>
            </w:tcBorders>
          </w:tcPr>
          <w:p w14:paraId="017F739E"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 xml:space="preserve">Ticket sales </w:t>
            </w:r>
          </w:p>
        </w:tc>
        <w:tc>
          <w:tcPr>
            <w:tcW w:w="3759" w:type="dxa"/>
            <w:tcBorders>
              <w:top w:val="single" w:sz="4" w:space="0" w:color="000000"/>
              <w:left w:val="single" w:sz="4" w:space="0" w:color="000000"/>
              <w:bottom w:val="single" w:sz="4" w:space="0" w:color="000000"/>
              <w:right w:val="single" w:sz="4" w:space="0" w:color="000000"/>
            </w:tcBorders>
          </w:tcPr>
          <w:p w14:paraId="118323A5"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50,000</w:t>
            </w:r>
          </w:p>
        </w:tc>
      </w:tr>
      <w:tr w:rsidR="001E663C" w:rsidRPr="00011E18" w14:paraId="4631B22F" w14:textId="77777777" w:rsidTr="004F5256">
        <w:trPr>
          <w:trHeight w:val="645"/>
        </w:trPr>
        <w:tc>
          <w:tcPr>
            <w:tcW w:w="3790" w:type="dxa"/>
            <w:tcBorders>
              <w:top w:val="single" w:sz="4" w:space="0" w:color="000000"/>
              <w:left w:val="single" w:sz="4" w:space="0" w:color="000000"/>
              <w:bottom w:val="single" w:sz="4" w:space="0" w:color="000000"/>
              <w:right w:val="single" w:sz="4" w:space="0" w:color="000000"/>
            </w:tcBorders>
          </w:tcPr>
          <w:p w14:paraId="33D4E86E"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 xml:space="preserve">Sponsorship  </w:t>
            </w:r>
          </w:p>
        </w:tc>
        <w:tc>
          <w:tcPr>
            <w:tcW w:w="3759" w:type="dxa"/>
            <w:tcBorders>
              <w:top w:val="single" w:sz="4" w:space="0" w:color="000000"/>
              <w:left w:val="single" w:sz="4" w:space="0" w:color="000000"/>
              <w:bottom w:val="single" w:sz="4" w:space="0" w:color="000000"/>
              <w:right w:val="single" w:sz="4" w:space="0" w:color="000000"/>
            </w:tcBorders>
          </w:tcPr>
          <w:p w14:paraId="09E58BD2"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26, 850</w:t>
            </w:r>
          </w:p>
        </w:tc>
      </w:tr>
      <w:tr w:rsidR="001E663C" w:rsidRPr="00011E18" w14:paraId="389DB581" w14:textId="77777777" w:rsidTr="004F5256">
        <w:trPr>
          <w:trHeight w:val="855"/>
        </w:trPr>
        <w:tc>
          <w:tcPr>
            <w:tcW w:w="3790" w:type="dxa"/>
            <w:tcBorders>
              <w:top w:val="single" w:sz="4" w:space="0" w:color="000000"/>
              <w:left w:val="single" w:sz="4" w:space="0" w:color="000000"/>
              <w:bottom w:val="single" w:sz="4" w:space="0" w:color="000000"/>
              <w:right w:val="single" w:sz="4" w:space="0" w:color="000000"/>
            </w:tcBorders>
          </w:tcPr>
          <w:p w14:paraId="7B8D8612"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Exhibition</w:t>
            </w:r>
          </w:p>
        </w:tc>
        <w:tc>
          <w:tcPr>
            <w:tcW w:w="3759" w:type="dxa"/>
            <w:tcBorders>
              <w:top w:val="single" w:sz="4" w:space="0" w:color="000000"/>
              <w:left w:val="single" w:sz="4" w:space="0" w:color="000000"/>
              <w:bottom w:val="single" w:sz="4" w:space="0" w:color="000000"/>
              <w:right w:val="single" w:sz="4" w:space="0" w:color="000000"/>
            </w:tcBorders>
          </w:tcPr>
          <w:p w14:paraId="7F5D47F0"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5700</w:t>
            </w:r>
          </w:p>
        </w:tc>
      </w:tr>
      <w:tr w:rsidR="001E663C" w:rsidRPr="00011E18" w14:paraId="508CAE91" w14:textId="77777777" w:rsidTr="004F5256">
        <w:trPr>
          <w:trHeight w:val="714"/>
        </w:trPr>
        <w:tc>
          <w:tcPr>
            <w:tcW w:w="3790" w:type="dxa"/>
            <w:tcBorders>
              <w:top w:val="single" w:sz="4" w:space="0" w:color="000000"/>
              <w:left w:val="single" w:sz="4" w:space="0" w:color="000000"/>
              <w:bottom w:val="single" w:sz="4" w:space="0" w:color="000000"/>
              <w:right w:val="single" w:sz="4" w:space="0" w:color="000000"/>
            </w:tcBorders>
          </w:tcPr>
          <w:p w14:paraId="1548DE52"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lastRenderedPageBreak/>
              <w:t>Partnerships</w:t>
            </w:r>
          </w:p>
        </w:tc>
        <w:tc>
          <w:tcPr>
            <w:tcW w:w="3759" w:type="dxa"/>
            <w:tcBorders>
              <w:top w:val="single" w:sz="4" w:space="0" w:color="000000"/>
              <w:left w:val="single" w:sz="4" w:space="0" w:color="000000"/>
              <w:bottom w:val="single" w:sz="4" w:space="0" w:color="000000"/>
              <w:right w:val="single" w:sz="4" w:space="0" w:color="000000"/>
            </w:tcBorders>
          </w:tcPr>
          <w:p w14:paraId="2785BC11"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3250</w:t>
            </w:r>
          </w:p>
        </w:tc>
      </w:tr>
      <w:tr w:rsidR="001E663C" w:rsidRPr="00011E18" w14:paraId="25956C5A" w14:textId="77777777" w:rsidTr="004F5256">
        <w:trPr>
          <w:trHeight w:val="645"/>
        </w:trPr>
        <w:tc>
          <w:tcPr>
            <w:tcW w:w="3790" w:type="dxa"/>
            <w:tcBorders>
              <w:top w:val="single" w:sz="4" w:space="0" w:color="000000"/>
              <w:left w:val="single" w:sz="4" w:space="0" w:color="000000"/>
              <w:bottom w:val="single" w:sz="4" w:space="0" w:color="000000"/>
              <w:right w:val="single" w:sz="4" w:space="0" w:color="000000"/>
            </w:tcBorders>
          </w:tcPr>
          <w:p w14:paraId="4011DB13"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Merchadise sales</w:t>
            </w:r>
          </w:p>
        </w:tc>
        <w:tc>
          <w:tcPr>
            <w:tcW w:w="3759" w:type="dxa"/>
            <w:tcBorders>
              <w:top w:val="single" w:sz="4" w:space="0" w:color="000000"/>
              <w:left w:val="single" w:sz="4" w:space="0" w:color="000000"/>
              <w:bottom w:val="single" w:sz="4" w:space="0" w:color="000000"/>
              <w:right w:val="single" w:sz="4" w:space="0" w:color="000000"/>
            </w:tcBorders>
          </w:tcPr>
          <w:p w14:paraId="080E3F0C" w14:textId="77777777" w:rsidR="001E663C" w:rsidRPr="00011E18" w:rsidRDefault="004F5256" w:rsidP="00011E18">
            <w:pPr>
              <w:spacing w:after="0" w:line="360" w:lineRule="auto"/>
              <w:ind w:left="0" w:firstLine="0"/>
              <w:rPr>
                <w:rFonts w:ascii="Arial" w:hAnsi="Arial" w:cs="Arial"/>
              </w:rPr>
            </w:pPr>
            <w:r w:rsidRPr="00011E18">
              <w:rPr>
                <w:rFonts w:ascii="Arial" w:hAnsi="Arial" w:cs="Arial"/>
              </w:rPr>
              <w:t>1790</w:t>
            </w:r>
          </w:p>
        </w:tc>
      </w:tr>
    </w:tbl>
    <w:tbl>
      <w:tblPr>
        <w:tblStyle w:val="TableGrid"/>
        <w:tblpPr w:leftFromText="180" w:rightFromText="180" w:vertAnchor="text" w:horzAnchor="page" w:tblpX="1751" w:tblpY="961"/>
        <w:tblW w:w="7189" w:type="dxa"/>
        <w:tblInd w:w="0" w:type="dxa"/>
        <w:tblCellMar>
          <w:top w:w="62" w:type="dxa"/>
          <w:left w:w="108" w:type="dxa"/>
          <w:bottom w:w="0" w:type="dxa"/>
          <w:right w:w="115" w:type="dxa"/>
        </w:tblCellMar>
        <w:tblLook w:val="04A0" w:firstRow="1" w:lastRow="0" w:firstColumn="1" w:lastColumn="0" w:noHBand="0" w:noVBand="1"/>
      </w:tblPr>
      <w:tblGrid>
        <w:gridCol w:w="3609"/>
        <w:gridCol w:w="3580"/>
      </w:tblGrid>
      <w:tr w:rsidR="004F5256" w:rsidRPr="00011E18" w14:paraId="71579BB7"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5FE6F00B"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b/>
                <w:i/>
              </w:rPr>
              <w:t xml:space="preserve">Event expenditure </w:t>
            </w:r>
          </w:p>
        </w:tc>
        <w:tc>
          <w:tcPr>
            <w:tcW w:w="3580" w:type="dxa"/>
            <w:tcBorders>
              <w:top w:val="single" w:sz="4" w:space="0" w:color="000000"/>
              <w:left w:val="single" w:sz="4" w:space="0" w:color="000000"/>
              <w:bottom w:val="single" w:sz="4" w:space="0" w:color="000000"/>
              <w:right w:val="single" w:sz="4" w:space="0" w:color="000000"/>
            </w:tcBorders>
          </w:tcPr>
          <w:p w14:paraId="3993ACC4" w14:textId="77777777" w:rsidR="004F5256" w:rsidRPr="00011E18" w:rsidRDefault="004F5256" w:rsidP="004F5256">
            <w:pPr>
              <w:spacing w:after="160" w:line="360" w:lineRule="auto"/>
              <w:ind w:left="0" w:firstLine="0"/>
              <w:rPr>
                <w:rFonts w:ascii="Arial" w:hAnsi="Arial" w:cs="Arial"/>
              </w:rPr>
            </w:pPr>
          </w:p>
        </w:tc>
      </w:tr>
      <w:tr w:rsidR="004F5256" w:rsidRPr="00011E18" w14:paraId="73A37847"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48FDA461"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Venue rent </w:t>
            </w:r>
          </w:p>
        </w:tc>
        <w:tc>
          <w:tcPr>
            <w:tcW w:w="3580" w:type="dxa"/>
            <w:tcBorders>
              <w:top w:val="single" w:sz="4" w:space="0" w:color="000000"/>
              <w:left w:val="single" w:sz="4" w:space="0" w:color="000000"/>
              <w:bottom w:val="single" w:sz="4" w:space="0" w:color="000000"/>
              <w:right w:val="single" w:sz="4" w:space="0" w:color="000000"/>
            </w:tcBorders>
          </w:tcPr>
          <w:p w14:paraId="45980277"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11200</w:t>
            </w:r>
          </w:p>
        </w:tc>
      </w:tr>
      <w:tr w:rsidR="004F5256" w:rsidRPr="00011E18" w14:paraId="51D0D1FC"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614A2EF5"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License </w:t>
            </w:r>
          </w:p>
        </w:tc>
        <w:tc>
          <w:tcPr>
            <w:tcW w:w="3580" w:type="dxa"/>
            <w:tcBorders>
              <w:top w:val="single" w:sz="4" w:space="0" w:color="000000"/>
              <w:left w:val="single" w:sz="4" w:space="0" w:color="000000"/>
              <w:bottom w:val="single" w:sz="4" w:space="0" w:color="000000"/>
              <w:right w:val="single" w:sz="4" w:space="0" w:color="000000"/>
            </w:tcBorders>
          </w:tcPr>
          <w:p w14:paraId="75F84DE2"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9760</w:t>
            </w:r>
          </w:p>
        </w:tc>
      </w:tr>
      <w:tr w:rsidR="004F5256" w:rsidRPr="00011E18" w14:paraId="4A9621BA"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53148630"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Staff Training </w:t>
            </w:r>
          </w:p>
        </w:tc>
        <w:tc>
          <w:tcPr>
            <w:tcW w:w="3580" w:type="dxa"/>
            <w:tcBorders>
              <w:top w:val="single" w:sz="4" w:space="0" w:color="000000"/>
              <w:left w:val="single" w:sz="4" w:space="0" w:color="000000"/>
              <w:bottom w:val="single" w:sz="4" w:space="0" w:color="000000"/>
              <w:right w:val="single" w:sz="4" w:space="0" w:color="000000"/>
            </w:tcBorders>
          </w:tcPr>
          <w:p w14:paraId="556CD0E1"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3250</w:t>
            </w:r>
          </w:p>
        </w:tc>
      </w:tr>
      <w:tr w:rsidR="004F5256" w:rsidRPr="00011E18" w14:paraId="38EC23F9"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7C98BC2D"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Event marketing and promotions</w:t>
            </w:r>
          </w:p>
        </w:tc>
        <w:tc>
          <w:tcPr>
            <w:tcW w:w="3580" w:type="dxa"/>
            <w:tcBorders>
              <w:top w:val="single" w:sz="4" w:space="0" w:color="000000"/>
              <w:left w:val="single" w:sz="4" w:space="0" w:color="000000"/>
              <w:bottom w:val="single" w:sz="4" w:space="0" w:color="000000"/>
              <w:right w:val="single" w:sz="4" w:space="0" w:color="000000"/>
            </w:tcBorders>
          </w:tcPr>
          <w:p w14:paraId="0A7801DD"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7250</w:t>
            </w:r>
          </w:p>
        </w:tc>
      </w:tr>
      <w:tr w:rsidR="004F5256" w:rsidRPr="00011E18" w14:paraId="4B1E6036"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562CD322"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Audio and visual systems</w:t>
            </w:r>
          </w:p>
        </w:tc>
        <w:tc>
          <w:tcPr>
            <w:tcW w:w="3580" w:type="dxa"/>
            <w:tcBorders>
              <w:top w:val="single" w:sz="4" w:space="0" w:color="000000"/>
              <w:left w:val="single" w:sz="4" w:space="0" w:color="000000"/>
              <w:bottom w:val="single" w:sz="4" w:space="0" w:color="000000"/>
              <w:right w:val="single" w:sz="4" w:space="0" w:color="000000"/>
            </w:tcBorders>
          </w:tcPr>
          <w:p w14:paraId="10ACAABA"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5400</w:t>
            </w:r>
          </w:p>
        </w:tc>
      </w:tr>
      <w:tr w:rsidR="004F5256" w:rsidRPr="00011E18" w14:paraId="1484F30D"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675DCBC2"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Catering</w:t>
            </w:r>
          </w:p>
        </w:tc>
        <w:tc>
          <w:tcPr>
            <w:tcW w:w="3580" w:type="dxa"/>
            <w:tcBorders>
              <w:top w:val="single" w:sz="4" w:space="0" w:color="000000"/>
              <w:left w:val="single" w:sz="4" w:space="0" w:color="000000"/>
              <w:bottom w:val="single" w:sz="4" w:space="0" w:color="000000"/>
              <w:right w:val="single" w:sz="4" w:space="0" w:color="000000"/>
            </w:tcBorders>
          </w:tcPr>
          <w:p w14:paraId="145ED102"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4230</w:t>
            </w:r>
          </w:p>
        </w:tc>
      </w:tr>
      <w:tr w:rsidR="004F5256" w:rsidRPr="00011E18" w14:paraId="0932ED6F"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4B6CEB7A"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Maintenance </w:t>
            </w:r>
          </w:p>
        </w:tc>
        <w:tc>
          <w:tcPr>
            <w:tcW w:w="3580" w:type="dxa"/>
            <w:tcBorders>
              <w:top w:val="single" w:sz="4" w:space="0" w:color="000000"/>
              <w:left w:val="single" w:sz="4" w:space="0" w:color="000000"/>
              <w:bottom w:val="single" w:sz="4" w:space="0" w:color="000000"/>
              <w:right w:val="single" w:sz="4" w:space="0" w:color="000000"/>
            </w:tcBorders>
          </w:tcPr>
          <w:p w14:paraId="2C92722D"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2100</w:t>
            </w:r>
          </w:p>
        </w:tc>
      </w:tr>
      <w:tr w:rsidR="004F5256" w:rsidRPr="00011E18" w14:paraId="59DEFE5F"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01CB80F0"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Administration </w:t>
            </w:r>
          </w:p>
        </w:tc>
        <w:tc>
          <w:tcPr>
            <w:tcW w:w="3580" w:type="dxa"/>
            <w:tcBorders>
              <w:top w:val="single" w:sz="4" w:space="0" w:color="000000"/>
              <w:left w:val="single" w:sz="4" w:space="0" w:color="000000"/>
              <w:bottom w:val="single" w:sz="4" w:space="0" w:color="000000"/>
              <w:right w:val="single" w:sz="4" w:space="0" w:color="000000"/>
            </w:tcBorders>
          </w:tcPr>
          <w:p w14:paraId="771E20D8"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8400</w:t>
            </w:r>
          </w:p>
        </w:tc>
      </w:tr>
      <w:tr w:rsidR="004F5256" w:rsidRPr="00011E18" w14:paraId="77825094"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5AD175AD"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 xml:space="preserve">Miscellaneous </w:t>
            </w:r>
          </w:p>
        </w:tc>
        <w:tc>
          <w:tcPr>
            <w:tcW w:w="3580" w:type="dxa"/>
            <w:tcBorders>
              <w:top w:val="single" w:sz="4" w:space="0" w:color="000000"/>
              <w:left w:val="single" w:sz="4" w:space="0" w:color="000000"/>
              <w:bottom w:val="single" w:sz="4" w:space="0" w:color="000000"/>
              <w:right w:val="single" w:sz="4" w:space="0" w:color="000000"/>
            </w:tcBorders>
          </w:tcPr>
          <w:p w14:paraId="309C4EA8"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5260</w:t>
            </w:r>
          </w:p>
        </w:tc>
      </w:tr>
      <w:tr w:rsidR="004F5256" w:rsidRPr="00011E18" w14:paraId="6736A271"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5D5A3DE4"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b/>
                <w:i/>
              </w:rPr>
              <w:t>Total revenue</w:t>
            </w:r>
          </w:p>
        </w:tc>
        <w:tc>
          <w:tcPr>
            <w:tcW w:w="3580" w:type="dxa"/>
            <w:tcBorders>
              <w:top w:val="single" w:sz="4" w:space="0" w:color="000000"/>
              <w:left w:val="single" w:sz="4" w:space="0" w:color="000000"/>
              <w:bottom w:val="single" w:sz="4" w:space="0" w:color="000000"/>
              <w:right w:val="single" w:sz="4" w:space="0" w:color="000000"/>
            </w:tcBorders>
          </w:tcPr>
          <w:p w14:paraId="6A05450B"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104,340</w:t>
            </w:r>
          </w:p>
        </w:tc>
      </w:tr>
      <w:tr w:rsidR="004F5256" w:rsidRPr="00011E18" w14:paraId="6AD4DF6D" w14:textId="77777777" w:rsidTr="004F5256">
        <w:trPr>
          <w:trHeight w:val="634"/>
        </w:trPr>
        <w:tc>
          <w:tcPr>
            <w:tcW w:w="3609" w:type="dxa"/>
            <w:tcBorders>
              <w:top w:val="single" w:sz="4" w:space="0" w:color="000000"/>
              <w:left w:val="single" w:sz="4" w:space="0" w:color="000000"/>
              <w:bottom w:val="single" w:sz="4" w:space="0" w:color="000000"/>
              <w:right w:val="single" w:sz="4" w:space="0" w:color="000000"/>
            </w:tcBorders>
          </w:tcPr>
          <w:p w14:paraId="3602B506"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b/>
                <w:i/>
              </w:rPr>
              <w:t>Total expenditure</w:t>
            </w:r>
          </w:p>
        </w:tc>
        <w:tc>
          <w:tcPr>
            <w:tcW w:w="3580" w:type="dxa"/>
            <w:tcBorders>
              <w:top w:val="single" w:sz="4" w:space="0" w:color="000000"/>
              <w:left w:val="single" w:sz="4" w:space="0" w:color="000000"/>
              <w:bottom w:val="single" w:sz="4" w:space="0" w:color="000000"/>
              <w:right w:val="single" w:sz="4" w:space="0" w:color="000000"/>
            </w:tcBorders>
          </w:tcPr>
          <w:p w14:paraId="20E77735"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56,850</w:t>
            </w:r>
          </w:p>
        </w:tc>
      </w:tr>
      <w:tr w:rsidR="004F5256" w:rsidRPr="00011E18" w14:paraId="5915312E" w14:textId="77777777" w:rsidTr="004F5256">
        <w:trPr>
          <w:trHeight w:val="645"/>
        </w:trPr>
        <w:tc>
          <w:tcPr>
            <w:tcW w:w="3609" w:type="dxa"/>
            <w:tcBorders>
              <w:top w:val="single" w:sz="4" w:space="0" w:color="000000"/>
              <w:left w:val="single" w:sz="4" w:space="0" w:color="000000"/>
              <w:bottom w:val="single" w:sz="4" w:space="0" w:color="000000"/>
              <w:right w:val="single" w:sz="4" w:space="0" w:color="000000"/>
            </w:tcBorders>
          </w:tcPr>
          <w:p w14:paraId="038C5B20"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b/>
                <w:i/>
              </w:rPr>
              <w:t xml:space="preserve">Net profit/loss </w:t>
            </w:r>
          </w:p>
        </w:tc>
        <w:tc>
          <w:tcPr>
            <w:tcW w:w="3580" w:type="dxa"/>
            <w:tcBorders>
              <w:top w:val="single" w:sz="4" w:space="0" w:color="000000"/>
              <w:left w:val="single" w:sz="4" w:space="0" w:color="000000"/>
              <w:bottom w:val="single" w:sz="4" w:space="0" w:color="000000"/>
              <w:right w:val="single" w:sz="4" w:space="0" w:color="000000"/>
            </w:tcBorders>
          </w:tcPr>
          <w:p w14:paraId="3A909E49" w14:textId="77777777" w:rsidR="004F5256" w:rsidRPr="00011E18" w:rsidRDefault="004F5256" w:rsidP="004F5256">
            <w:pPr>
              <w:spacing w:after="0" w:line="360" w:lineRule="auto"/>
              <w:ind w:left="0" w:firstLine="0"/>
              <w:rPr>
                <w:rFonts w:ascii="Arial" w:hAnsi="Arial" w:cs="Arial"/>
              </w:rPr>
            </w:pPr>
            <w:r w:rsidRPr="00011E18">
              <w:rPr>
                <w:rFonts w:ascii="Arial" w:hAnsi="Arial" w:cs="Arial"/>
              </w:rPr>
              <w:t>47,490</w:t>
            </w:r>
          </w:p>
        </w:tc>
      </w:tr>
    </w:tbl>
    <w:p w14:paraId="706A8CFD" w14:textId="77777777" w:rsidR="001E663C" w:rsidRPr="00011E18" w:rsidRDefault="001E663C" w:rsidP="00011E18">
      <w:pPr>
        <w:spacing w:line="360" w:lineRule="auto"/>
        <w:rPr>
          <w:rFonts w:ascii="Arial" w:hAnsi="Arial" w:cs="Arial"/>
        </w:rPr>
        <w:sectPr w:rsidR="001E663C" w:rsidRPr="00011E18">
          <w:headerReference w:type="even" r:id="rId7"/>
          <w:headerReference w:type="default" r:id="rId8"/>
          <w:headerReference w:type="first" r:id="rId9"/>
          <w:pgSz w:w="12240" w:h="15840"/>
          <w:pgMar w:top="1498" w:right="1443" w:bottom="1513" w:left="1080" w:header="778" w:footer="720" w:gutter="0"/>
          <w:cols w:space="720"/>
        </w:sectPr>
      </w:pPr>
    </w:p>
    <w:p w14:paraId="08C6FFFA" w14:textId="77777777" w:rsidR="001E663C" w:rsidRPr="00011E18" w:rsidRDefault="004F5256" w:rsidP="00011E18">
      <w:pPr>
        <w:spacing w:after="252" w:line="360" w:lineRule="auto"/>
        <w:ind w:left="1093" w:right="1075" w:hanging="10"/>
        <w:jc w:val="center"/>
        <w:rPr>
          <w:rFonts w:ascii="Arial" w:hAnsi="Arial" w:cs="Arial"/>
        </w:rPr>
      </w:pPr>
      <w:r w:rsidRPr="00011E18">
        <w:rPr>
          <w:rFonts w:ascii="Arial" w:hAnsi="Arial" w:cs="Arial"/>
        </w:rPr>
        <w:lastRenderedPageBreak/>
        <w:t>Industry Trends</w:t>
      </w:r>
    </w:p>
    <w:p w14:paraId="5556C1C2" w14:textId="77777777" w:rsidR="001E663C" w:rsidRPr="00011E18" w:rsidRDefault="004F5256" w:rsidP="00011E18">
      <w:pPr>
        <w:spacing w:after="417" w:line="360" w:lineRule="auto"/>
        <w:ind w:left="-15" w:firstLine="720"/>
        <w:rPr>
          <w:rFonts w:ascii="Arial" w:hAnsi="Arial" w:cs="Arial"/>
        </w:rPr>
      </w:pPr>
      <w:r w:rsidRPr="00011E18">
        <w:rPr>
          <w:rFonts w:ascii="Arial" w:hAnsi="Arial" w:cs="Arial"/>
        </w:rPr>
        <w:t>A shift in technological advancement, consumer preferences, social and economic factors, and global market dynamics are among the crucial trends that are affecting the hospitality industry (Modica et al., 2020). The increasing number of sustainability-conscious consumers who are prioritising sustainability pillars and social responsibility is proving the event to be the right symphony for balancing market demand and supply. The need to have a cultivating environment that aligns with the daily needs of the g</w:t>
      </w:r>
      <w:r w:rsidRPr="00011E18">
        <w:rPr>
          <w:rFonts w:ascii="Arial" w:hAnsi="Arial" w:cs="Arial"/>
        </w:rPr>
        <w:t xml:space="preserve">uests explains why the industrial trend of hotels investing in sustainable practices and green initiatives is gaining momentum. The INTERNATIONAL EVENT </w:t>
      </w:r>
    </w:p>
    <w:p w14:paraId="7C540232" w14:textId="77777777" w:rsidR="001E663C" w:rsidRPr="00011E18" w:rsidRDefault="004F5256" w:rsidP="00011E18">
      <w:pPr>
        <w:spacing w:line="360" w:lineRule="auto"/>
        <w:ind w:left="-15" w:firstLine="0"/>
        <w:rPr>
          <w:rFonts w:ascii="Arial" w:hAnsi="Arial" w:cs="Arial"/>
        </w:rPr>
      </w:pPr>
      <w:r w:rsidRPr="00011E18">
        <w:rPr>
          <w:rFonts w:ascii="Arial" w:hAnsi="Arial" w:cs="Arial"/>
        </w:rPr>
        <w:t xml:space="preserve">trends link to the aims and objectives of the 'sustainability of the hospitality' summit. The summit activities seek to enhance its implementation through programmes that will be discussed at the summit. The event also appeals to environmentally conscious consumers to contribute towards attaining sustainability. </w:t>
      </w:r>
    </w:p>
    <w:p w14:paraId="3DE52662" w14:textId="77777777" w:rsidR="001E663C" w:rsidRPr="00011E18" w:rsidRDefault="004F5256" w:rsidP="00011E18">
      <w:pPr>
        <w:spacing w:line="360" w:lineRule="auto"/>
        <w:ind w:left="-15" w:firstLine="720"/>
        <w:rPr>
          <w:rFonts w:ascii="Arial" w:hAnsi="Arial" w:cs="Arial"/>
        </w:rPr>
      </w:pPr>
      <w:r w:rsidRPr="00011E18">
        <w:rPr>
          <w:rFonts w:ascii="Arial" w:hAnsi="Arial" w:cs="Arial"/>
        </w:rPr>
        <w:t xml:space="preserve">In addition, the rise in technology advancement trends is showcasing the vital impact that technology can have in promoting sustainability (Floričić, 2020). Technology integration is essential in enhancing the management of waste, conservation of water and energy, and facilitating easy and effective delivery of customer services through automation and hotel services management systems, according to Pencarelli (2020). The trend affects the events as the event planners and managers are applying technology to </w:t>
      </w:r>
      <w:r w:rsidRPr="00011E18">
        <w:rPr>
          <w:rFonts w:ascii="Arial" w:hAnsi="Arial" w:cs="Arial"/>
        </w:rPr>
        <w:t>establish event logistics, enhance communication through sound systems, facilitate virtual event hosting, and reduce the impact of physical conferences. Societal wellness, which aligns with social sustainability, is a trend that is growing as many people seek destinations that promote mental and physical wellness and enhance their experiences of well-being. The trend links to the event as many hotels on their sustainability agenda are seeking to implement wellness facilities that promote healthy catering, f</w:t>
      </w:r>
      <w:r w:rsidRPr="00011E18">
        <w:rPr>
          <w:rFonts w:ascii="Arial" w:hAnsi="Arial" w:cs="Arial"/>
        </w:rPr>
        <w:t>itness, and mindful customer service and integrate all its elements into productivity and satisfaction.</w:t>
      </w:r>
    </w:p>
    <w:p w14:paraId="1AFE5EF0" w14:textId="77777777" w:rsidR="001E663C" w:rsidRPr="00011E18" w:rsidRDefault="004F5256" w:rsidP="00011E18">
      <w:pPr>
        <w:spacing w:after="252" w:line="360" w:lineRule="auto"/>
        <w:ind w:left="1093" w:right="355" w:hanging="10"/>
        <w:jc w:val="center"/>
        <w:rPr>
          <w:rFonts w:ascii="Arial" w:hAnsi="Arial" w:cs="Arial"/>
        </w:rPr>
      </w:pPr>
      <w:r w:rsidRPr="00011E18">
        <w:rPr>
          <w:rFonts w:ascii="Arial" w:hAnsi="Arial" w:cs="Arial"/>
        </w:rPr>
        <w:t>Cultural and Situational Considerations</w:t>
      </w:r>
    </w:p>
    <w:p w14:paraId="2B8CCECB" w14:textId="77777777" w:rsidR="001E663C" w:rsidRPr="00011E18" w:rsidRDefault="004F5256" w:rsidP="00011E18">
      <w:pPr>
        <w:spacing w:line="360" w:lineRule="auto"/>
        <w:ind w:left="-15" w:firstLine="720"/>
        <w:rPr>
          <w:rFonts w:ascii="Arial" w:hAnsi="Arial" w:cs="Arial"/>
        </w:rPr>
      </w:pPr>
      <w:r w:rsidRPr="00011E18">
        <w:rPr>
          <w:rFonts w:ascii="Arial" w:hAnsi="Arial" w:cs="Arial"/>
        </w:rPr>
        <w:lastRenderedPageBreak/>
        <w:t xml:space="preserve">Cultural considerations are important when organising MICE events because the audience involved has different demographic attributes. Being sensitive to different cultural practices and norms helps create an environment that embraces unity, enhances cultural appreciation, and discourages stigmatisation and discrimination (Darvishmotevali, Altinay, and </w:t>
      </w:r>
    </w:p>
    <w:p w14:paraId="53E5FEA9" w14:textId="77777777" w:rsidR="001E663C" w:rsidRPr="00011E18" w:rsidRDefault="004F5256" w:rsidP="00011E18">
      <w:pPr>
        <w:spacing w:line="360" w:lineRule="auto"/>
        <w:ind w:left="-15" w:firstLine="0"/>
        <w:rPr>
          <w:rFonts w:ascii="Arial" w:hAnsi="Arial" w:cs="Arial"/>
        </w:rPr>
      </w:pPr>
      <w:r w:rsidRPr="00011E18">
        <w:rPr>
          <w:rFonts w:ascii="Arial" w:hAnsi="Arial" w:cs="Arial"/>
        </w:rPr>
        <w:t>Köseoglu, 2020). Cultural elements have a close link to sustainability in the hospitality industry, as the guests served by the hotels have origins across the world. Cultural awareness and situational analysis should be established to spread the significant meaning of unity and collaboration for the attainment of sustainability goals. The rise in sustainability among diverse communities can be maintained by encouraging lengthy conversations and training that explores the themes of sustainability through CSR</w:t>
      </w:r>
      <w:r w:rsidRPr="00011E18">
        <w:rPr>
          <w:rFonts w:ascii="Arial" w:hAnsi="Arial" w:cs="Arial"/>
        </w:rPr>
        <w:t xml:space="preserve">, which incorporates the roles of culture and communities in fostering sustainability. </w:t>
      </w:r>
    </w:p>
    <w:p w14:paraId="39678D16" w14:textId="77777777" w:rsidR="001E663C" w:rsidRPr="00011E18" w:rsidRDefault="004F5256" w:rsidP="00011E18">
      <w:pPr>
        <w:spacing w:line="360" w:lineRule="auto"/>
        <w:ind w:left="-15" w:firstLine="720"/>
        <w:rPr>
          <w:rFonts w:ascii="Arial" w:hAnsi="Arial" w:cs="Arial"/>
        </w:rPr>
      </w:pPr>
      <w:r w:rsidRPr="00011E18">
        <w:rPr>
          <w:rFonts w:ascii="Arial" w:hAnsi="Arial" w:cs="Arial"/>
        </w:rPr>
        <w:t>Cultural perceptions of sustainability differ with each culture, as some cultures may prioritise economic sustainability over environmental sustainability and vice versa, as Terkenli and Georgoula (2021) assert. The summit acknowledges the existence of cultural differences and tailors its message to resonate with a wider audience at the event. To satisfy diversity in cultural communication styles, the event planners employ both verbal and nonverbal cues and foster an inclusive approach. Cultural sensitivity</w:t>
      </w:r>
      <w:r w:rsidRPr="00011E18">
        <w:rPr>
          <w:rFonts w:ascii="Arial" w:hAnsi="Arial" w:cs="Arial"/>
        </w:rPr>
        <w:t xml:space="preserve"> is vital in addressing sustainability concerns, as the approaches must align with the cultural environment. Incorporation of diverse cultural practices and traditions, such as knowledge dissemination, helps promote sustainability and foster diverse learning. </w:t>
      </w:r>
    </w:p>
    <w:p w14:paraId="549C49DA" w14:textId="77777777" w:rsidR="001E663C" w:rsidRPr="00011E18" w:rsidRDefault="004F5256" w:rsidP="00011E18">
      <w:pPr>
        <w:spacing w:line="360" w:lineRule="auto"/>
        <w:ind w:left="-15" w:firstLine="720"/>
        <w:rPr>
          <w:rFonts w:ascii="Arial" w:hAnsi="Arial" w:cs="Arial"/>
        </w:rPr>
      </w:pPr>
      <w:r w:rsidRPr="00011E18">
        <w:rPr>
          <w:rFonts w:ascii="Arial" w:hAnsi="Arial" w:cs="Arial"/>
        </w:rPr>
        <w:t>Situational considerations such as economic factors and policing influence the adaptation of long-term sustainability initiatives that help mitigate possible risks. The summit includes economic viability in discussion and gives insights into regulatory policies that control sustainability operations. The authorities can promote an understanding of policing and motivate the audience to advocate for policies and collaborations that enhance sustainability. Knowledgeable about the importance of stakeholder enga</w:t>
      </w:r>
      <w:r w:rsidRPr="00011E18">
        <w:rPr>
          <w:rFonts w:ascii="Arial" w:hAnsi="Arial" w:cs="Arial"/>
        </w:rPr>
        <w:t>gement in such events, the event planners establish a system that seeks to enhance networking and the involvement of every stakeholder's commitments.</w:t>
      </w:r>
    </w:p>
    <w:p w14:paraId="0ACA0744" w14:textId="77777777" w:rsidR="001E663C" w:rsidRPr="00011E18" w:rsidRDefault="001E663C" w:rsidP="00011E18">
      <w:pPr>
        <w:spacing w:line="360" w:lineRule="auto"/>
        <w:rPr>
          <w:rFonts w:ascii="Arial" w:hAnsi="Arial" w:cs="Arial"/>
        </w:rPr>
        <w:sectPr w:rsidR="001E663C" w:rsidRPr="00011E18">
          <w:headerReference w:type="even" r:id="rId10"/>
          <w:headerReference w:type="default" r:id="rId11"/>
          <w:headerReference w:type="first" r:id="rId12"/>
          <w:pgSz w:w="12240" w:h="15840"/>
          <w:pgMar w:top="778" w:right="1448" w:bottom="1947" w:left="1440" w:header="778" w:footer="720" w:gutter="0"/>
          <w:cols w:space="720"/>
        </w:sectPr>
      </w:pPr>
    </w:p>
    <w:p w14:paraId="038571BB" w14:textId="58862D00" w:rsidR="001E663C" w:rsidRPr="004F5256" w:rsidRDefault="004F5256" w:rsidP="00011E18">
      <w:pPr>
        <w:spacing w:line="360" w:lineRule="auto"/>
        <w:ind w:left="6267" w:firstLine="0"/>
        <w:rPr>
          <w:rFonts w:ascii="Arial" w:hAnsi="Arial" w:cs="Arial"/>
        </w:rPr>
      </w:pPr>
      <w:r w:rsidRPr="004F5256">
        <w:rPr>
          <w:rFonts w:ascii="Arial" w:hAnsi="Arial" w:cs="Arial"/>
        </w:rPr>
        <w:lastRenderedPageBreak/>
        <w:t>INTERNATIONAL EVENT 13</w:t>
      </w:r>
    </w:p>
    <w:p w14:paraId="3168C4FD" w14:textId="77777777" w:rsidR="001E663C" w:rsidRPr="004F5256" w:rsidRDefault="004F5256" w:rsidP="00011E18">
      <w:pPr>
        <w:spacing w:after="252" w:line="360" w:lineRule="auto"/>
        <w:ind w:left="1093" w:right="1082" w:hanging="10"/>
        <w:jc w:val="center"/>
        <w:rPr>
          <w:rFonts w:ascii="Arial" w:hAnsi="Arial" w:cs="Arial"/>
        </w:rPr>
      </w:pPr>
      <w:r w:rsidRPr="004F5256">
        <w:rPr>
          <w:rFonts w:ascii="Arial" w:hAnsi="Arial" w:cs="Arial"/>
        </w:rPr>
        <w:t>References list</w:t>
      </w:r>
    </w:p>
    <w:p w14:paraId="1B59DE47"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Allen, J., Harris, R., Jago, L., Tantrai, A., Jonson, P. and D'Arcy, E., (2022) </w:t>
      </w:r>
      <w:r w:rsidRPr="004F5256">
        <w:rPr>
          <w:rFonts w:ascii="Arial" w:hAnsi="Arial" w:cs="Arial"/>
          <w:i/>
          <w:color w:val="222222"/>
        </w:rPr>
        <w:t>Festival and special event management. John Wiley &amp; Sons.</w:t>
      </w:r>
      <w:r w:rsidRPr="004F5256">
        <w:rPr>
          <w:rFonts w:ascii="Arial" w:hAnsi="Arial" w:cs="Arial"/>
          <w:color w:val="222222"/>
        </w:rPr>
        <w:t xml:space="preserve"> Available at: </w:t>
      </w:r>
    </w:p>
    <w:p w14:paraId="61B0FE64" w14:textId="77777777" w:rsidR="001E663C" w:rsidRPr="004F5256" w:rsidRDefault="004F5256" w:rsidP="00011E18">
      <w:pPr>
        <w:spacing w:after="249" w:line="360" w:lineRule="auto"/>
        <w:ind w:left="715" w:right="370" w:hanging="10"/>
        <w:rPr>
          <w:rFonts w:ascii="Arial" w:hAnsi="Arial" w:cs="Arial"/>
        </w:rPr>
      </w:pPr>
      <w:hyperlink r:id="rId13">
        <w:r w:rsidRPr="004F5256">
          <w:rPr>
            <w:rFonts w:ascii="Arial" w:hAnsi="Arial" w:cs="Arial"/>
            <w:color w:val="0561C1"/>
            <w:u w:val="single" w:color="0561C1"/>
          </w:rPr>
          <w:t>https://books.google.com/books?hl=en&amp;lr=&amp;id=fbIxEAAAQBAJ&amp;oi=fnd&amp;pg=PR3&amp;dq</w:t>
        </w:r>
      </w:hyperlink>
    </w:p>
    <w:p w14:paraId="5E1C2FCC" w14:textId="77777777" w:rsidR="001E663C" w:rsidRPr="004F5256" w:rsidRDefault="004F5256" w:rsidP="00011E18">
      <w:pPr>
        <w:spacing w:after="249" w:line="360" w:lineRule="auto"/>
        <w:ind w:left="715" w:right="370" w:hanging="10"/>
        <w:rPr>
          <w:rFonts w:ascii="Arial" w:hAnsi="Arial" w:cs="Arial"/>
        </w:rPr>
      </w:pPr>
      <w:hyperlink r:id="rId14">
        <w:r w:rsidRPr="004F5256">
          <w:rPr>
            <w:rFonts w:ascii="Arial" w:hAnsi="Arial" w:cs="Arial"/>
            <w:color w:val="0561C1"/>
            <w:u w:val="single" w:color="0561C1"/>
          </w:rPr>
          <w:t>=Event+Cycle+for+Sustainability+events+summits+in+Hospitality+Industry+&amp;ots=yU5</w:t>
        </w:r>
      </w:hyperlink>
    </w:p>
    <w:p w14:paraId="7A628D68" w14:textId="77777777" w:rsidR="001E663C" w:rsidRPr="004F5256" w:rsidRDefault="004F5256" w:rsidP="00011E18">
      <w:pPr>
        <w:spacing w:after="249" w:line="360" w:lineRule="auto"/>
        <w:ind w:left="715" w:right="370" w:hanging="10"/>
        <w:rPr>
          <w:rFonts w:ascii="Arial" w:hAnsi="Arial" w:cs="Arial"/>
        </w:rPr>
      </w:pPr>
      <w:hyperlink r:id="rId15">
        <w:r w:rsidRPr="004F5256">
          <w:rPr>
            <w:rFonts w:ascii="Arial" w:hAnsi="Arial" w:cs="Arial"/>
            <w:color w:val="0561C1"/>
            <w:u w:val="single" w:color="0561C1"/>
          </w:rPr>
          <w:t>-0ZbmZq&amp;sig=xJkxxzrWjSUhRXMVJyCPHuJWpwk</w:t>
        </w:r>
      </w:hyperlink>
    </w:p>
    <w:p w14:paraId="31D7C8FE"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An, J., Kim, H. and Hur, D., (2021) 'Keeping the competitive edge of a convention and exhibition centre in MICE Environment: identification of event attributes for long-run success,' </w:t>
      </w:r>
      <w:r w:rsidRPr="004F5256">
        <w:rPr>
          <w:rFonts w:ascii="Arial" w:hAnsi="Arial" w:cs="Arial"/>
          <w:i/>
        </w:rPr>
        <w:t>sustainability</w:t>
      </w:r>
      <w:r w:rsidRPr="004F5256">
        <w:rPr>
          <w:rFonts w:ascii="Arial" w:hAnsi="Arial" w:cs="Arial"/>
        </w:rPr>
        <w:t xml:space="preserve">, </w:t>
      </w:r>
      <w:r w:rsidRPr="004F5256">
        <w:rPr>
          <w:rFonts w:ascii="Arial" w:hAnsi="Arial" w:cs="Arial"/>
          <w:i/>
        </w:rPr>
        <w:t>13(9), p.5030</w:t>
      </w:r>
      <w:r w:rsidRPr="004F5256">
        <w:rPr>
          <w:rFonts w:ascii="Arial" w:hAnsi="Arial" w:cs="Arial"/>
        </w:rPr>
        <w:t xml:space="preserve">. Available at: </w:t>
      </w:r>
      <w:hyperlink r:id="rId16">
        <w:r w:rsidRPr="004F5256">
          <w:rPr>
            <w:rFonts w:ascii="Arial" w:hAnsi="Arial" w:cs="Arial"/>
            <w:color w:val="0561C1"/>
            <w:u w:val="single" w:color="0561C1"/>
          </w:rPr>
          <w:t>https://www.mdpi.com/2071-</w:t>
        </w:r>
      </w:hyperlink>
    </w:p>
    <w:p w14:paraId="3E4675A4" w14:textId="77777777" w:rsidR="001E663C" w:rsidRPr="004F5256" w:rsidRDefault="004F5256" w:rsidP="00011E18">
      <w:pPr>
        <w:spacing w:after="249" w:line="360" w:lineRule="auto"/>
        <w:ind w:left="715" w:right="370" w:hanging="10"/>
        <w:rPr>
          <w:rFonts w:ascii="Arial" w:hAnsi="Arial" w:cs="Arial"/>
        </w:rPr>
      </w:pPr>
      <w:hyperlink r:id="rId17">
        <w:r w:rsidRPr="004F5256">
          <w:rPr>
            <w:rFonts w:ascii="Arial" w:hAnsi="Arial" w:cs="Arial"/>
            <w:color w:val="0561C1"/>
            <w:u w:val="single" w:color="0561C1"/>
          </w:rPr>
          <w:t>1050/13/9/5030</w:t>
        </w:r>
      </w:hyperlink>
    </w:p>
    <w:p w14:paraId="301BE55A"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Anas, M.S., Maddiah, N.A., Noor Eizamly, N.U.E., Sulaiman, N.A. and Wee, H., (2020) 'Key success factors toward MICE industry: A systematic literature review,' </w:t>
      </w:r>
      <w:r w:rsidRPr="004F5256">
        <w:rPr>
          <w:rFonts w:ascii="Arial" w:hAnsi="Arial" w:cs="Arial"/>
          <w:i/>
        </w:rPr>
        <w:t xml:space="preserve">Journal of </w:t>
      </w:r>
    </w:p>
    <w:p w14:paraId="393A8031" w14:textId="77777777" w:rsidR="001E663C" w:rsidRPr="004F5256" w:rsidRDefault="004F5256" w:rsidP="00011E18">
      <w:pPr>
        <w:spacing w:after="252" w:line="360" w:lineRule="auto"/>
        <w:ind w:left="715" w:hanging="10"/>
        <w:rPr>
          <w:rFonts w:ascii="Arial" w:hAnsi="Arial" w:cs="Arial"/>
        </w:rPr>
      </w:pPr>
      <w:r w:rsidRPr="004F5256">
        <w:rPr>
          <w:rFonts w:ascii="Arial" w:hAnsi="Arial" w:cs="Arial"/>
          <w:i/>
        </w:rPr>
        <w:t>Tourism, Hospitality &amp; Culinary Arts (JTHCA), 12(1), pp.1-34.</w:t>
      </w:r>
      <w:r w:rsidRPr="004F5256">
        <w:rPr>
          <w:rFonts w:ascii="Arial" w:hAnsi="Arial" w:cs="Arial"/>
        </w:rPr>
        <w:t xml:space="preserve"> Available at: </w:t>
      </w:r>
    </w:p>
    <w:p w14:paraId="1454B11E" w14:textId="77777777" w:rsidR="001E663C" w:rsidRPr="004F5256" w:rsidRDefault="004F5256" w:rsidP="00011E18">
      <w:pPr>
        <w:spacing w:after="249" w:line="360" w:lineRule="auto"/>
        <w:ind w:left="715" w:right="370" w:hanging="10"/>
        <w:rPr>
          <w:rFonts w:ascii="Arial" w:hAnsi="Arial" w:cs="Arial"/>
        </w:rPr>
      </w:pPr>
      <w:hyperlink r:id="rId18">
        <w:r w:rsidRPr="004F5256">
          <w:rPr>
            <w:rFonts w:ascii="Arial" w:hAnsi="Arial" w:cs="Arial"/>
            <w:color w:val="0561C1"/>
            <w:u w:val="single" w:color="0561C1"/>
          </w:rPr>
          <w:t>https://ir.uitm.edu.my/id/eprint/29153/</w:t>
        </w:r>
      </w:hyperlink>
    </w:p>
    <w:p w14:paraId="101B9329"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Camalig, J.Y., Olalia, R.D. and Casin, F.B., (2023) ‘Greening Initiatives: A Focus on the MICE Industry in the Philippines,’ </w:t>
      </w:r>
      <w:r w:rsidRPr="004F5256">
        <w:rPr>
          <w:rFonts w:ascii="Arial" w:hAnsi="Arial" w:cs="Arial"/>
          <w:i/>
        </w:rPr>
        <w:t xml:space="preserve">Asia-Pacific Journal of Innovation in Hospitality &amp; </w:t>
      </w:r>
    </w:p>
    <w:p w14:paraId="0CE93569" w14:textId="77777777" w:rsidR="001E663C" w:rsidRPr="004F5256" w:rsidRDefault="004F5256" w:rsidP="00011E18">
      <w:pPr>
        <w:spacing w:after="252" w:line="360" w:lineRule="auto"/>
        <w:ind w:left="720" w:firstLine="0"/>
        <w:rPr>
          <w:rFonts w:ascii="Arial" w:hAnsi="Arial" w:cs="Arial"/>
        </w:rPr>
      </w:pPr>
      <w:r w:rsidRPr="004F5256">
        <w:rPr>
          <w:rFonts w:ascii="Arial" w:hAnsi="Arial" w:cs="Arial"/>
          <w:i/>
        </w:rPr>
        <w:t>Tourism, 12(3).</w:t>
      </w:r>
      <w:r w:rsidRPr="004F5256">
        <w:rPr>
          <w:rFonts w:ascii="Arial" w:hAnsi="Arial" w:cs="Arial"/>
        </w:rPr>
        <w:t xml:space="preserve"> Available at: </w:t>
      </w:r>
    </w:p>
    <w:p w14:paraId="69B2A262" w14:textId="77777777" w:rsidR="001E663C" w:rsidRPr="004F5256" w:rsidRDefault="004F5256" w:rsidP="00011E18">
      <w:pPr>
        <w:spacing w:after="249" w:line="360" w:lineRule="auto"/>
        <w:ind w:left="715" w:right="370" w:hanging="10"/>
        <w:rPr>
          <w:rFonts w:ascii="Arial" w:hAnsi="Arial" w:cs="Arial"/>
        </w:rPr>
      </w:pPr>
      <w:hyperlink r:id="rId19">
        <w:r w:rsidRPr="004F5256">
          <w:rPr>
            <w:rFonts w:ascii="Arial" w:hAnsi="Arial" w:cs="Arial"/>
            <w:color w:val="0561C1"/>
            <w:u w:val="single" w:color="0561C1"/>
          </w:rPr>
          <w:t>https://search.ebscohost.com/login.aspx?direct=true&amp;profile=ehost&amp;scope=site&amp;authtyp</w:t>
        </w:r>
      </w:hyperlink>
    </w:p>
    <w:p w14:paraId="050C6E02" w14:textId="77777777" w:rsidR="001E663C" w:rsidRPr="004F5256" w:rsidRDefault="004F5256" w:rsidP="00011E18">
      <w:pPr>
        <w:spacing w:after="249" w:line="360" w:lineRule="auto"/>
        <w:ind w:left="715" w:right="370" w:hanging="10"/>
        <w:rPr>
          <w:rFonts w:ascii="Arial" w:hAnsi="Arial" w:cs="Arial"/>
        </w:rPr>
      </w:pPr>
      <w:hyperlink r:id="rId20">
        <w:r w:rsidRPr="004F5256">
          <w:rPr>
            <w:rFonts w:ascii="Arial" w:hAnsi="Arial" w:cs="Arial"/>
            <w:color w:val="0561C1"/>
            <w:u w:val="single" w:color="0561C1"/>
          </w:rPr>
          <w:t>e=crawler&amp;jrnl=22891471&amp;AN=174724528&amp;h=OEq5RMRmKJ%2F8jMZ2nDjWzYO</w:t>
        </w:r>
      </w:hyperlink>
    </w:p>
    <w:p w14:paraId="48E5057D" w14:textId="77777777" w:rsidR="001E663C" w:rsidRPr="004F5256" w:rsidRDefault="004F5256" w:rsidP="00011E18">
      <w:pPr>
        <w:spacing w:after="249" w:line="360" w:lineRule="auto"/>
        <w:ind w:left="715" w:right="370" w:hanging="10"/>
        <w:rPr>
          <w:rFonts w:ascii="Arial" w:hAnsi="Arial" w:cs="Arial"/>
        </w:rPr>
      </w:pPr>
      <w:hyperlink r:id="rId21">
        <w:r w:rsidRPr="004F5256">
          <w:rPr>
            <w:rFonts w:ascii="Arial" w:hAnsi="Arial" w:cs="Arial"/>
            <w:color w:val="0561C1"/>
            <w:u w:val="single" w:color="0561C1"/>
          </w:rPr>
          <w:t>MGcILhaHzDwqVbvcwTJIDH1j2dRy8S6r%2BI2MjCsLCLcrRRlMy%2BKph0TS1J%2</w:t>
        </w:r>
      </w:hyperlink>
    </w:p>
    <w:p w14:paraId="1510602F" w14:textId="77777777" w:rsidR="001E663C" w:rsidRPr="004F5256" w:rsidRDefault="004F5256" w:rsidP="00011E18">
      <w:pPr>
        <w:spacing w:after="249" w:line="360" w:lineRule="auto"/>
        <w:ind w:left="715" w:right="370" w:hanging="10"/>
        <w:rPr>
          <w:rFonts w:ascii="Arial" w:hAnsi="Arial" w:cs="Arial"/>
        </w:rPr>
      </w:pPr>
      <w:hyperlink r:id="rId22">
        <w:r w:rsidRPr="004F5256">
          <w:rPr>
            <w:rFonts w:ascii="Arial" w:hAnsi="Arial" w:cs="Arial"/>
            <w:color w:val="0561C1"/>
            <w:u w:val="single" w:color="0561C1"/>
          </w:rPr>
          <w:t>Bt7BQ%3D%3D&amp;crl=c</w:t>
        </w:r>
      </w:hyperlink>
    </w:p>
    <w:p w14:paraId="3046A166" w14:textId="77777777" w:rsidR="001E663C" w:rsidRPr="004F5256" w:rsidRDefault="004F5256" w:rsidP="00011E18">
      <w:pPr>
        <w:spacing w:after="252" w:line="360" w:lineRule="auto"/>
        <w:ind w:left="-5" w:hanging="10"/>
        <w:rPr>
          <w:rFonts w:ascii="Arial" w:hAnsi="Arial" w:cs="Arial"/>
        </w:rPr>
      </w:pPr>
      <w:r w:rsidRPr="004F5256">
        <w:rPr>
          <w:rFonts w:ascii="Arial" w:hAnsi="Arial" w:cs="Arial"/>
          <w:color w:val="222222"/>
        </w:rPr>
        <w:t xml:space="preserve">Camilleri, M.A., (2021) </w:t>
      </w:r>
      <w:r w:rsidRPr="004F5256">
        <w:rPr>
          <w:rFonts w:ascii="Arial" w:hAnsi="Arial" w:cs="Arial"/>
          <w:i/>
          <w:color w:val="222222"/>
        </w:rPr>
        <w:t>Tourism, Hospitality &amp;_ Event Management.</w:t>
      </w:r>
      <w:r w:rsidRPr="004F5256">
        <w:rPr>
          <w:rFonts w:ascii="Arial" w:hAnsi="Arial" w:cs="Arial"/>
        </w:rPr>
        <w:t xml:space="preserve"> Available at: </w:t>
      </w:r>
    </w:p>
    <w:p w14:paraId="20AA93FB" w14:textId="77777777" w:rsidR="001E663C" w:rsidRPr="004F5256" w:rsidRDefault="004F5256" w:rsidP="00011E18">
      <w:pPr>
        <w:spacing w:after="249" w:line="360" w:lineRule="auto"/>
        <w:ind w:left="715" w:right="370" w:hanging="10"/>
        <w:rPr>
          <w:rFonts w:ascii="Arial" w:hAnsi="Arial" w:cs="Arial"/>
        </w:rPr>
      </w:pPr>
      <w:hyperlink r:id="rId23">
        <w:r w:rsidRPr="004F5256">
          <w:rPr>
            <w:rFonts w:ascii="Arial" w:hAnsi="Arial" w:cs="Arial"/>
            <w:color w:val="0561C1"/>
            <w:u w:val="single" w:color="0561C1"/>
          </w:rPr>
          <w:t>http://elibrary.gci.edu.np/bitstream/123456789/3302/1/BT</w:t>
        </w:r>
      </w:hyperlink>
      <w:hyperlink r:id="rId24">
        <w:r w:rsidRPr="004F5256">
          <w:rPr>
            <w:rFonts w:ascii="Arial" w:hAnsi="Arial" w:cs="Arial"/>
            <w:color w:val="0561C1"/>
            <w:u w:val="single" w:color="0561C1"/>
          </w:rPr>
          <w:t>49%28Tourism%2C%20Hospitality%20%26amp_%20Event%20Management%29%20</w:t>
        </w:r>
      </w:hyperlink>
    </w:p>
    <w:p w14:paraId="4AFBDA6D" w14:textId="77777777" w:rsidR="001E663C" w:rsidRPr="004F5256" w:rsidRDefault="004F5256" w:rsidP="00011E18">
      <w:pPr>
        <w:spacing w:after="249" w:line="360" w:lineRule="auto"/>
        <w:ind w:left="715" w:right="370" w:hanging="10"/>
        <w:rPr>
          <w:rFonts w:ascii="Arial" w:hAnsi="Arial" w:cs="Arial"/>
        </w:rPr>
      </w:pPr>
      <w:hyperlink r:id="rId25">
        <w:r w:rsidRPr="004F5256">
          <w:rPr>
            <w:rFonts w:ascii="Arial" w:hAnsi="Arial" w:cs="Arial"/>
            <w:color w:val="0561C1"/>
            <w:u w:val="single" w:color="0561C1"/>
          </w:rPr>
          <w:t>Mark%20Anthony%20Camilleri%20%28auth.%29%20-</w:t>
        </w:r>
      </w:hyperlink>
    </w:p>
    <w:p w14:paraId="3AF7640F" w14:textId="77777777" w:rsidR="001E663C" w:rsidRPr="004F5256" w:rsidRDefault="004F5256" w:rsidP="00011E18">
      <w:pPr>
        <w:spacing w:after="0" w:line="360" w:lineRule="auto"/>
        <w:ind w:left="715" w:right="370" w:hanging="10"/>
        <w:rPr>
          <w:rFonts w:ascii="Arial" w:hAnsi="Arial" w:cs="Arial"/>
        </w:rPr>
      </w:pPr>
      <w:hyperlink r:id="rId26">
        <w:r w:rsidRPr="004F5256">
          <w:rPr>
            <w:rFonts w:ascii="Arial" w:hAnsi="Arial" w:cs="Arial"/>
            <w:color w:val="0561C1"/>
            <w:u w:val="single" w:color="0561C1"/>
          </w:rPr>
          <w:t xml:space="preserve">%20%20Travel%20Marketing%2C%20Tourism%20Economics%20and%20the%20Airli </w:t>
        </w:r>
      </w:hyperlink>
      <w:hyperlink r:id="rId27">
        <w:r w:rsidRPr="004F5256">
          <w:rPr>
            <w:rFonts w:ascii="Arial" w:hAnsi="Arial" w:cs="Arial"/>
            <w:color w:val="0561C1"/>
            <w:u w:val="single" w:color="0561C1"/>
          </w:rPr>
          <w:t>ne%20Product_%20An%20Introduction%20to%20Theory%20and%20Practice-</w:t>
        </w:r>
      </w:hyperlink>
    </w:p>
    <w:p w14:paraId="3FC672D5" w14:textId="77777777" w:rsidR="001E663C" w:rsidRPr="004F5256" w:rsidRDefault="004F5256" w:rsidP="00011E18">
      <w:pPr>
        <w:spacing w:after="249" w:line="360" w:lineRule="auto"/>
        <w:ind w:left="715" w:right="370" w:hanging="10"/>
        <w:rPr>
          <w:rFonts w:ascii="Arial" w:hAnsi="Arial" w:cs="Arial"/>
        </w:rPr>
      </w:pPr>
      <w:hyperlink r:id="rId28">
        <w:r w:rsidRPr="004F5256">
          <w:rPr>
            <w:rFonts w:ascii="Arial" w:hAnsi="Arial" w:cs="Arial"/>
            <w:color w:val="0561C1"/>
            <w:u w:val="single" w:color="0561C1"/>
          </w:rPr>
          <w:t>Springer%20Internation.pdf</w:t>
        </w:r>
      </w:hyperlink>
    </w:p>
    <w:p w14:paraId="3B3037FC"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Darvishmotevali, M., Altinay, L. and Köseoglu, M.A., (2020) 'The link between environmental </w:t>
      </w:r>
    </w:p>
    <w:p w14:paraId="43E099E2" w14:textId="77777777" w:rsidR="001E663C" w:rsidRPr="004F5256" w:rsidRDefault="004F5256" w:rsidP="00011E18">
      <w:pPr>
        <w:spacing w:line="360" w:lineRule="auto"/>
        <w:ind w:left="720" w:right="1036" w:firstLine="0"/>
        <w:rPr>
          <w:rFonts w:ascii="Arial" w:hAnsi="Arial" w:cs="Arial"/>
        </w:rPr>
      </w:pPr>
      <w:r w:rsidRPr="004F5256">
        <w:rPr>
          <w:rFonts w:ascii="Arial" w:hAnsi="Arial" w:cs="Arial"/>
          <w:color w:val="222222"/>
        </w:rPr>
        <w:t xml:space="preserve">uncertainty, organisational agility, and organisational creativity in the hotel industry,' </w:t>
      </w:r>
      <w:r w:rsidRPr="004F5256">
        <w:rPr>
          <w:rFonts w:ascii="Arial" w:hAnsi="Arial" w:cs="Arial"/>
          <w:i/>
        </w:rPr>
        <w:t>International journal of hospitality management, 87, p.102499</w:t>
      </w:r>
      <w:r w:rsidRPr="004F5256">
        <w:rPr>
          <w:rFonts w:ascii="Arial" w:hAnsi="Arial" w:cs="Arial"/>
        </w:rPr>
        <w:t xml:space="preserve">. Available at: </w:t>
      </w:r>
    </w:p>
    <w:p w14:paraId="1A7C5D0E" w14:textId="77777777" w:rsidR="001E663C" w:rsidRPr="004F5256" w:rsidRDefault="004F5256" w:rsidP="00011E18">
      <w:pPr>
        <w:spacing w:after="249" w:line="360" w:lineRule="auto"/>
        <w:ind w:left="715" w:right="370" w:hanging="10"/>
        <w:rPr>
          <w:rFonts w:ascii="Arial" w:hAnsi="Arial" w:cs="Arial"/>
        </w:rPr>
      </w:pPr>
      <w:hyperlink r:id="rId29">
        <w:r w:rsidRPr="004F5256">
          <w:rPr>
            <w:rFonts w:ascii="Arial" w:hAnsi="Arial" w:cs="Arial"/>
            <w:color w:val="0561C1"/>
            <w:u w:val="single" w:color="0561C1"/>
          </w:rPr>
          <w:t>https://www.sciencedirect.com/science/article/pii/S0278431920300517</w:t>
        </w:r>
      </w:hyperlink>
    </w:p>
    <w:p w14:paraId="300A8F6B"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Ferdinand, N. and Williams, N., (2020) 'Event staging,' </w:t>
      </w:r>
      <w:r w:rsidRPr="004F5256">
        <w:rPr>
          <w:rFonts w:ascii="Arial" w:hAnsi="Arial" w:cs="Arial"/>
          <w:i/>
          <w:color w:val="222222"/>
        </w:rPr>
        <w:t xml:space="preserve">In the Routledge Handbook of </w:t>
      </w:r>
    </w:p>
    <w:p w14:paraId="202CD197" w14:textId="77777777" w:rsidR="001E663C" w:rsidRPr="004F5256" w:rsidRDefault="004F5256" w:rsidP="00011E18">
      <w:pPr>
        <w:spacing w:after="0" w:line="360" w:lineRule="auto"/>
        <w:ind w:left="715" w:right="370" w:hanging="10"/>
        <w:rPr>
          <w:rFonts w:ascii="Arial" w:hAnsi="Arial" w:cs="Arial"/>
        </w:rPr>
      </w:pPr>
      <w:r w:rsidRPr="004F5256">
        <w:rPr>
          <w:rFonts w:ascii="Arial" w:hAnsi="Arial" w:cs="Arial"/>
          <w:i/>
          <w:color w:val="222222"/>
        </w:rPr>
        <w:t>Events</w:t>
      </w:r>
      <w:r w:rsidRPr="004F5256">
        <w:rPr>
          <w:rFonts w:ascii="Arial" w:hAnsi="Arial" w:cs="Arial"/>
          <w:i/>
        </w:rPr>
        <w:t xml:space="preserve"> (pp. 350-365)</w:t>
      </w:r>
      <w:r w:rsidRPr="004F5256">
        <w:rPr>
          <w:rFonts w:ascii="Arial" w:hAnsi="Arial" w:cs="Arial"/>
        </w:rPr>
        <w:t xml:space="preserve">. Routledge. Available at: </w:t>
      </w:r>
      <w:hyperlink r:id="rId30">
        <w:r w:rsidRPr="004F5256">
          <w:rPr>
            <w:rFonts w:ascii="Arial" w:hAnsi="Arial" w:cs="Arial"/>
            <w:color w:val="0561C1"/>
            <w:u w:val="single" w:color="0561C1"/>
          </w:rPr>
          <w:t>https://www.taylorfrancis.com/chapters/edit/10.4324/9780429280993-22/event-staging</w:t>
        </w:r>
      </w:hyperlink>
      <w:hyperlink r:id="rId31">
        <w:r w:rsidRPr="004F5256">
          <w:rPr>
            <w:rFonts w:ascii="Arial" w:hAnsi="Arial" w:cs="Arial"/>
            <w:color w:val="0561C1"/>
            <w:u w:val="single" w:color="0561C1"/>
          </w:rPr>
          <w:t>nicole-ferdinand-nigel-williams</w:t>
        </w:r>
      </w:hyperlink>
    </w:p>
    <w:p w14:paraId="72715FE6"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Floričić, T., (2020) 'Sustainable solutions in the hospitality industry and competitiveness context of "green hotels," </w:t>
      </w:r>
      <w:r w:rsidRPr="004F5256">
        <w:rPr>
          <w:rFonts w:ascii="Arial" w:hAnsi="Arial" w:cs="Arial"/>
          <w:i/>
          <w:color w:val="222222"/>
        </w:rPr>
        <w:t>Civil Engineering Journal, 6(6), pp.1104-1113.</w:t>
      </w:r>
      <w:r w:rsidRPr="004F5256">
        <w:rPr>
          <w:rFonts w:ascii="Arial" w:hAnsi="Arial" w:cs="Arial"/>
          <w:color w:val="222222"/>
        </w:rPr>
        <w:t xml:space="preserve"> Available at: </w:t>
      </w:r>
    </w:p>
    <w:p w14:paraId="0278F6CA" w14:textId="77777777" w:rsidR="001E663C" w:rsidRPr="004F5256" w:rsidRDefault="004F5256" w:rsidP="00011E18">
      <w:pPr>
        <w:spacing w:after="0" w:line="360" w:lineRule="auto"/>
        <w:ind w:left="715" w:right="370" w:hanging="10"/>
        <w:rPr>
          <w:rFonts w:ascii="Arial" w:hAnsi="Arial" w:cs="Arial"/>
        </w:rPr>
      </w:pPr>
      <w:hyperlink r:id="rId32">
        <w:r w:rsidRPr="004F5256">
          <w:rPr>
            <w:rFonts w:ascii="Arial" w:hAnsi="Arial" w:cs="Arial"/>
            <w:color w:val="0561C1"/>
            <w:u w:val="single" w:color="0561C1"/>
          </w:rPr>
          <w:t xml:space="preserve">https://scholar.archive.org/work/7hl237oyurevnk4zlcm7w7ctfa/access/wayback/https://w </w:t>
        </w:r>
      </w:hyperlink>
      <w:hyperlink r:id="rId33">
        <w:r w:rsidRPr="004F5256">
          <w:rPr>
            <w:rFonts w:ascii="Arial" w:hAnsi="Arial" w:cs="Arial"/>
            <w:color w:val="0561C1"/>
            <w:u w:val="single" w:color="0561C1"/>
          </w:rPr>
          <w:t>ww.civilejournal.org/index.php/cej/article/download/2171/pdf</w:t>
        </w:r>
      </w:hyperlink>
    </w:p>
    <w:p w14:paraId="75A05D26" w14:textId="77777777" w:rsidR="001E663C" w:rsidRPr="004F5256" w:rsidRDefault="004F5256" w:rsidP="00011E18">
      <w:pPr>
        <w:spacing w:after="252" w:line="360" w:lineRule="auto"/>
        <w:ind w:left="10" w:hanging="10"/>
        <w:rPr>
          <w:rFonts w:ascii="Arial" w:hAnsi="Arial" w:cs="Arial"/>
        </w:rPr>
      </w:pPr>
      <w:r w:rsidRPr="004F5256">
        <w:rPr>
          <w:rFonts w:ascii="Arial" w:hAnsi="Arial" w:cs="Arial"/>
        </w:rPr>
        <w:t xml:space="preserve">Gouk, A. (2019) </w:t>
      </w:r>
      <w:r w:rsidRPr="004F5256">
        <w:rPr>
          <w:rFonts w:ascii="Arial" w:hAnsi="Arial" w:cs="Arial"/>
          <w:i/>
        </w:rPr>
        <w:t>30 Euston Square Champions Sustainability, Searcys</w:t>
      </w:r>
      <w:r w:rsidRPr="004F5256">
        <w:rPr>
          <w:rFonts w:ascii="Arial" w:hAnsi="Arial" w:cs="Arial"/>
        </w:rPr>
        <w:t xml:space="preserve">. Available at: </w:t>
      </w:r>
    </w:p>
    <w:p w14:paraId="24227CBC" w14:textId="77777777" w:rsidR="001E663C" w:rsidRPr="004F5256" w:rsidRDefault="004F5256" w:rsidP="00011E18">
      <w:pPr>
        <w:spacing w:after="0" w:line="360" w:lineRule="auto"/>
        <w:ind w:left="715" w:right="370" w:hanging="10"/>
        <w:rPr>
          <w:rFonts w:ascii="Arial" w:hAnsi="Arial" w:cs="Arial"/>
        </w:rPr>
      </w:pPr>
      <w:hyperlink r:id="rId34">
        <w:r w:rsidRPr="004F5256">
          <w:rPr>
            <w:rFonts w:ascii="Arial" w:hAnsi="Arial" w:cs="Arial"/>
            <w:color w:val="0561C1"/>
            <w:u w:val="single" w:color="0561C1"/>
          </w:rPr>
          <w:t>https://searcys.co.uk/30-euston-square-champions-sustainability/</w:t>
        </w:r>
      </w:hyperlink>
      <w:r w:rsidRPr="004F5256">
        <w:rPr>
          <w:rFonts w:ascii="Arial" w:hAnsi="Arial" w:cs="Arial"/>
        </w:rPr>
        <w:t xml:space="preserve"> (Accessed: 19 February 2024). </w:t>
      </w:r>
    </w:p>
    <w:p w14:paraId="5A180180"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Hahm, J.J., (2022) 'Convention events,' </w:t>
      </w:r>
      <w:r w:rsidRPr="004F5256">
        <w:rPr>
          <w:rFonts w:ascii="Arial" w:hAnsi="Arial" w:cs="Arial"/>
          <w:i/>
          <w:color w:val="222222"/>
        </w:rPr>
        <w:t>A Research Agenda for Event Impacts, p.85</w:t>
      </w:r>
      <w:r w:rsidRPr="004F5256">
        <w:rPr>
          <w:rFonts w:ascii="Arial" w:hAnsi="Arial" w:cs="Arial"/>
          <w:color w:val="222222"/>
        </w:rPr>
        <w:t xml:space="preserve">. available at: </w:t>
      </w:r>
    </w:p>
    <w:p w14:paraId="65FE7718" w14:textId="77777777" w:rsidR="001E663C" w:rsidRPr="004F5256" w:rsidRDefault="004F5256" w:rsidP="00011E18">
      <w:pPr>
        <w:spacing w:after="249" w:line="360" w:lineRule="auto"/>
        <w:ind w:left="715" w:hanging="10"/>
        <w:rPr>
          <w:rFonts w:ascii="Arial" w:hAnsi="Arial" w:cs="Arial"/>
        </w:rPr>
      </w:pPr>
      <w:hyperlink r:id="rId35">
        <w:r w:rsidRPr="004F5256">
          <w:rPr>
            <w:rFonts w:ascii="Arial" w:hAnsi="Arial" w:cs="Arial"/>
            <w:color w:val="0561C1"/>
            <w:u w:val="single" w:color="0561C1"/>
          </w:rPr>
          <w:t>https://books.google.com/books?hl=en&amp;lr=&amp;id=ijRZEAAAQBAJ&amp;oi=fnd&amp;pg=PA85&amp;</w:t>
        </w:r>
      </w:hyperlink>
      <w:hyperlink r:id="rId36">
        <w:r w:rsidRPr="004F5256">
          <w:rPr>
            <w:rFonts w:ascii="Arial" w:hAnsi="Arial" w:cs="Arial"/>
            <w:color w:val="0561C1"/>
            <w:u w:val="single" w:color="0561C1"/>
            <w:shd w:val="clear" w:color="auto" w:fill="FFFFFF"/>
          </w:rPr>
          <w:t xml:space="preserve">dq=Ligh </w:t>
        </w:r>
      </w:hyperlink>
      <w:hyperlink r:id="rId37">
        <w:r w:rsidRPr="004F5256">
          <w:rPr>
            <w:rFonts w:ascii="Arial" w:hAnsi="Arial" w:cs="Arial"/>
            <w:color w:val="0561C1"/>
            <w:u w:val="single" w:color="0561C1"/>
          </w:rPr>
          <w:t>ting+and+seating+arrangements++in+sustainability+MICE+event+planning+and+management</w:t>
        </w:r>
      </w:hyperlink>
    </w:p>
    <w:p w14:paraId="6E2BCDA0" w14:textId="77777777" w:rsidR="001E663C" w:rsidRPr="004F5256" w:rsidRDefault="004F5256" w:rsidP="00011E18">
      <w:pPr>
        <w:spacing w:after="249" w:line="360" w:lineRule="auto"/>
        <w:ind w:left="715" w:right="370" w:hanging="10"/>
        <w:rPr>
          <w:rFonts w:ascii="Arial" w:hAnsi="Arial" w:cs="Arial"/>
        </w:rPr>
      </w:pPr>
      <w:hyperlink r:id="rId38">
        <w:r w:rsidRPr="004F5256">
          <w:rPr>
            <w:rFonts w:ascii="Arial" w:hAnsi="Arial" w:cs="Arial"/>
            <w:color w:val="0561C1"/>
            <w:u w:val="single" w:color="0561C1"/>
          </w:rPr>
          <w:t>&amp;ots=7a_N9Mey7d&amp;sig=NQk94yhEJRGvsd0J6BhOvNYQN8o</w:t>
        </w:r>
      </w:hyperlink>
    </w:p>
    <w:p w14:paraId="217C6146"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Han, H., (2021) 'Consumer behaviour and environmental sustainability in tourism and hospitality: A review of theories, concepts, and the latest research,' </w:t>
      </w:r>
      <w:r w:rsidRPr="004F5256">
        <w:rPr>
          <w:rFonts w:ascii="Arial" w:hAnsi="Arial" w:cs="Arial"/>
          <w:i/>
        </w:rPr>
        <w:t xml:space="preserve">Journal of </w:t>
      </w:r>
    </w:p>
    <w:p w14:paraId="3BAC6E81" w14:textId="77777777" w:rsidR="001E663C" w:rsidRPr="004F5256" w:rsidRDefault="004F5256" w:rsidP="00011E18">
      <w:pPr>
        <w:spacing w:after="252" w:line="360" w:lineRule="auto"/>
        <w:ind w:left="715" w:hanging="10"/>
        <w:rPr>
          <w:rFonts w:ascii="Arial" w:hAnsi="Arial" w:cs="Arial"/>
        </w:rPr>
      </w:pPr>
      <w:r w:rsidRPr="004F5256">
        <w:rPr>
          <w:rFonts w:ascii="Arial" w:hAnsi="Arial" w:cs="Arial"/>
          <w:i/>
        </w:rPr>
        <w:t>Sustainable Tourism, 29(7), pp.1021-1042.</w:t>
      </w:r>
      <w:r w:rsidRPr="004F5256">
        <w:rPr>
          <w:rFonts w:ascii="Arial" w:hAnsi="Arial" w:cs="Arial"/>
        </w:rPr>
        <w:t xml:space="preserve"> Available at: </w:t>
      </w:r>
    </w:p>
    <w:p w14:paraId="61182DEB" w14:textId="77777777" w:rsidR="001E663C" w:rsidRPr="004F5256" w:rsidRDefault="004F5256" w:rsidP="00011E18">
      <w:pPr>
        <w:spacing w:after="249" w:line="360" w:lineRule="auto"/>
        <w:ind w:left="715" w:right="370" w:hanging="10"/>
        <w:rPr>
          <w:rFonts w:ascii="Arial" w:hAnsi="Arial" w:cs="Arial"/>
        </w:rPr>
      </w:pPr>
      <w:hyperlink r:id="rId39">
        <w:r w:rsidRPr="004F5256">
          <w:rPr>
            <w:rFonts w:ascii="Arial" w:hAnsi="Arial" w:cs="Arial"/>
            <w:color w:val="0561C1"/>
            <w:u w:val="single" w:color="0561C1"/>
          </w:rPr>
          <w:t>https://www.tandfonline.com/doi/abs/10.1080/09669582.2021.1903019</w:t>
        </w:r>
      </w:hyperlink>
    </w:p>
    <w:p w14:paraId="77A66F27"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Hind, D.W., Zamzuri, N.H., Baba, N., Hasan, Z. and Disimulacion, M.A.T., (2023) </w:t>
      </w:r>
      <w:r w:rsidRPr="004F5256">
        <w:rPr>
          <w:rFonts w:ascii="Arial" w:hAnsi="Arial" w:cs="Arial"/>
          <w:i/>
        </w:rPr>
        <w:t xml:space="preserve">International </w:t>
      </w:r>
    </w:p>
    <w:p w14:paraId="470322C1" w14:textId="77777777" w:rsidR="001E663C" w:rsidRPr="004F5256" w:rsidRDefault="004F5256" w:rsidP="00011E18">
      <w:pPr>
        <w:spacing w:after="252" w:line="360" w:lineRule="auto"/>
        <w:ind w:left="715" w:hanging="10"/>
        <w:rPr>
          <w:rFonts w:ascii="Arial" w:hAnsi="Arial" w:cs="Arial"/>
        </w:rPr>
      </w:pPr>
      <w:r w:rsidRPr="004F5256">
        <w:rPr>
          <w:rFonts w:ascii="Arial" w:hAnsi="Arial" w:cs="Arial"/>
          <w:i/>
        </w:rPr>
        <w:t>Best Practice in Creative Event Design</w:t>
      </w:r>
      <w:r w:rsidRPr="004F5256">
        <w:rPr>
          <w:rFonts w:ascii="Arial" w:hAnsi="Arial" w:cs="Arial"/>
        </w:rPr>
        <w:t xml:space="preserve"> - </w:t>
      </w:r>
      <w:r w:rsidRPr="004F5256">
        <w:rPr>
          <w:rFonts w:ascii="Arial" w:hAnsi="Arial" w:cs="Arial"/>
          <w:i/>
        </w:rPr>
        <w:t>Prasetiya Mulya Publishing</w:t>
      </w:r>
      <w:r w:rsidRPr="004F5256">
        <w:rPr>
          <w:rFonts w:ascii="Arial" w:hAnsi="Arial" w:cs="Arial"/>
        </w:rPr>
        <w:t xml:space="preserve">. Available at: </w:t>
      </w:r>
    </w:p>
    <w:p w14:paraId="5E591C0E" w14:textId="77777777" w:rsidR="001E663C" w:rsidRPr="004F5256" w:rsidRDefault="004F5256" w:rsidP="00011E18">
      <w:pPr>
        <w:spacing w:after="0" w:line="360" w:lineRule="auto"/>
        <w:ind w:left="715" w:right="370" w:hanging="10"/>
        <w:rPr>
          <w:rFonts w:ascii="Arial" w:hAnsi="Arial" w:cs="Arial"/>
        </w:rPr>
      </w:pPr>
      <w:hyperlink r:id="rId40">
        <w:r w:rsidRPr="004F5256">
          <w:rPr>
            <w:rFonts w:ascii="Arial" w:hAnsi="Arial" w:cs="Arial"/>
            <w:color w:val="0561C1"/>
            <w:u w:val="single" w:color="0561C1"/>
          </w:rPr>
          <w:t xml:space="preserve">https://books.google.com/books?hl=en&amp;lr=&amp;id=o5u4EAAAQBAJ&amp;oi=fnd&amp;pg=PR8&amp;d </w:t>
        </w:r>
      </w:hyperlink>
      <w:hyperlink r:id="rId41">
        <w:r w:rsidRPr="004F5256">
          <w:rPr>
            <w:rFonts w:ascii="Arial" w:hAnsi="Arial" w:cs="Arial"/>
            <w:color w:val="0561C1"/>
            <w:u w:val="single" w:color="0561C1"/>
          </w:rPr>
          <w:t>q=Technology+and+audio</w:t>
        </w:r>
      </w:hyperlink>
      <w:hyperlink r:id="rId42">
        <w:r w:rsidRPr="004F5256">
          <w:rPr>
            <w:rFonts w:ascii="Arial" w:hAnsi="Arial" w:cs="Arial"/>
            <w:color w:val="0561C1"/>
            <w:u w:val="single" w:color="0561C1"/>
          </w:rPr>
          <w:t>visual+systems+integration+in+sustainability+MICE+event+planning+and+management</w:t>
        </w:r>
      </w:hyperlink>
    </w:p>
    <w:p w14:paraId="1B962C0A" w14:textId="77777777" w:rsidR="001E663C" w:rsidRPr="004F5256" w:rsidRDefault="004F5256" w:rsidP="00011E18">
      <w:pPr>
        <w:spacing w:after="249" w:line="360" w:lineRule="auto"/>
        <w:ind w:left="715" w:right="370" w:hanging="10"/>
        <w:rPr>
          <w:rFonts w:ascii="Arial" w:hAnsi="Arial" w:cs="Arial"/>
        </w:rPr>
      </w:pPr>
      <w:hyperlink r:id="rId43">
        <w:r w:rsidRPr="004F5256">
          <w:rPr>
            <w:rFonts w:ascii="Arial" w:hAnsi="Arial" w:cs="Arial"/>
            <w:color w:val="0561C1"/>
            <w:u w:val="single" w:color="0561C1"/>
          </w:rPr>
          <w:t>&amp;ots=7j9_boZTFk&amp;sig=B0AOP1LBfUOIyDotz9KQ-8lKXOs</w:t>
        </w:r>
      </w:hyperlink>
    </w:p>
    <w:p w14:paraId="6B244523"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Jaskó, S., Skrop, A., Holczinger, T., Chován, T. and Abonyi, J., (2020) '</w:t>
      </w:r>
      <w:r w:rsidRPr="004F5256">
        <w:rPr>
          <w:rFonts w:ascii="Arial" w:hAnsi="Arial" w:cs="Arial"/>
          <w:color w:val="222222"/>
        </w:rPr>
        <w:t xml:space="preserve">Development of manufacturing execution systems in accordance with Industry 4.0 requirements: A review of standard-and ontology-based methodologies and tools,' </w:t>
      </w:r>
      <w:r w:rsidRPr="004F5256">
        <w:rPr>
          <w:rFonts w:ascii="Arial" w:hAnsi="Arial" w:cs="Arial"/>
          <w:i/>
          <w:color w:val="222222"/>
        </w:rPr>
        <w:t>Computers in industry, 123, p.103300.</w:t>
      </w:r>
      <w:r w:rsidRPr="004F5256">
        <w:rPr>
          <w:rFonts w:ascii="Arial" w:hAnsi="Arial" w:cs="Arial"/>
          <w:color w:val="222222"/>
        </w:rPr>
        <w:t xml:space="preserve"> Available at: </w:t>
      </w:r>
    </w:p>
    <w:p w14:paraId="697D30D2" w14:textId="77777777" w:rsidR="001E663C" w:rsidRPr="004F5256" w:rsidRDefault="004F5256" w:rsidP="00011E18">
      <w:pPr>
        <w:spacing w:after="249" w:line="360" w:lineRule="auto"/>
        <w:ind w:left="715" w:right="370" w:hanging="10"/>
        <w:rPr>
          <w:rFonts w:ascii="Arial" w:hAnsi="Arial" w:cs="Arial"/>
        </w:rPr>
      </w:pPr>
      <w:hyperlink r:id="rId44">
        <w:r w:rsidRPr="004F5256">
          <w:rPr>
            <w:rFonts w:ascii="Arial" w:hAnsi="Arial" w:cs="Arial"/>
            <w:color w:val="0561C1"/>
            <w:u w:val="single" w:color="0561C1"/>
          </w:rPr>
          <w:t>https://www.sciencedirect.com/science/article/pii/S0166361520305340</w:t>
        </w:r>
      </w:hyperlink>
    </w:p>
    <w:p w14:paraId="02C6D1B8" w14:textId="77777777" w:rsidR="001E663C" w:rsidRPr="004F5256" w:rsidRDefault="004F5256" w:rsidP="00011E18">
      <w:pPr>
        <w:spacing w:line="360" w:lineRule="auto"/>
        <w:ind w:left="715" w:right="863" w:hanging="730"/>
        <w:rPr>
          <w:rFonts w:ascii="Arial" w:hAnsi="Arial" w:cs="Arial"/>
        </w:rPr>
      </w:pPr>
      <w:r w:rsidRPr="004F5256">
        <w:rPr>
          <w:rFonts w:ascii="Arial" w:hAnsi="Arial" w:cs="Arial"/>
          <w:color w:val="222222"/>
        </w:rPr>
        <w:lastRenderedPageBreak/>
        <w:t xml:space="preserve">Lamine, E., Thabet, R., Sienou, A., Bork, D., Fontanili, F. and Pingaud, H., (2020) 'BPRIM: An integrated framework for business process management and risk management,' </w:t>
      </w:r>
      <w:r w:rsidRPr="004F5256">
        <w:rPr>
          <w:rFonts w:ascii="Arial" w:hAnsi="Arial" w:cs="Arial"/>
          <w:i/>
        </w:rPr>
        <w:t>Computers in Industry, 117, p.103199.</w:t>
      </w:r>
      <w:r w:rsidRPr="004F5256">
        <w:rPr>
          <w:rFonts w:ascii="Arial" w:hAnsi="Arial" w:cs="Arial"/>
        </w:rPr>
        <w:t xml:space="preserve"> available at: </w:t>
      </w:r>
    </w:p>
    <w:p w14:paraId="206822C3" w14:textId="77777777" w:rsidR="001E663C" w:rsidRPr="004F5256" w:rsidRDefault="004F5256" w:rsidP="00011E18">
      <w:pPr>
        <w:spacing w:after="249" w:line="360" w:lineRule="auto"/>
        <w:ind w:left="715" w:right="370" w:hanging="10"/>
        <w:rPr>
          <w:rFonts w:ascii="Arial" w:hAnsi="Arial" w:cs="Arial"/>
        </w:rPr>
      </w:pPr>
      <w:hyperlink r:id="rId45">
        <w:r w:rsidRPr="004F5256">
          <w:rPr>
            <w:rFonts w:ascii="Arial" w:hAnsi="Arial" w:cs="Arial"/>
            <w:color w:val="0561C1"/>
            <w:u w:val="single" w:color="0561C1"/>
          </w:rPr>
          <w:t>https://www.sciencedirect.com/science/article/pii/S0166361520300890</w:t>
        </w:r>
      </w:hyperlink>
    </w:p>
    <w:p w14:paraId="560A5F0B"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Legrand, W., Chen, J.S. and Laeis, G.C., (2022) </w:t>
      </w:r>
      <w:r w:rsidRPr="004F5256">
        <w:rPr>
          <w:rFonts w:ascii="Arial" w:hAnsi="Arial" w:cs="Arial"/>
          <w:i/>
        </w:rPr>
        <w:t xml:space="preserve">Sustainability in the hospitality industry: </w:t>
      </w:r>
    </w:p>
    <w:p w14:paraId="66ED0F6C" w14:textId="77777777" w:rsidR="001E663C" w:rsidRPr="004F5256" w:rsidRDefault="004F5256" w:rsidP="00011E18">
      <w:pPr>
        <w:spacing w:after="249" w:line="360" w:lineRule="auto"/>
        <w:ind w:left="715" w:right="370" w:hanging="10"/>
        <w:rPr>
          <w:rFonts w:ascii="Arial" w:hAnsi="Arial" w:cs="Arial"/>
        </w:rPr>
      </w:pPr>
      <w:r w:rsidRPr="004F5256">
        <w:rPr>
          <w:rFonts w:ascii="Arial" w:hAnsi="Arial" w:cs="Arial"/>
          <w:i/>
        </w:rPr>
        <w:t>Principles of sustainable operations</w:t>
      </w:r>
      <w:r w:rsidRPr="004F5256">
        <w:rPr>
          <w:rFonts w:ascii="Arial" w:hAnsi="Arial" w:cs="Arial"/>
        </w:rPr>
        <w:t xml:space="preserve"> </w:t>
      </w:r>
      <w:r w:rsidRPr="004F5256">
        <w:rPr>
          <w:rFonts w:ascii="Arial" w:hAnsi="Arial" w:cs="Arial"/>
          <w:i/>
        </w:rPr>
        <w:t>- Taylor &amp; Francis.</w:t>
      </w:r>
      <w:r w:rsidRPr="004F5256">
        <w:rPr>
          <w:rFonts w:ascii="Arial" w:hAnsi="Arial" w:cs="Arial"/>
        </w:rPr>
        <w:t xml:space="preserve"> Available at: </w:t>
      </w:r>
      <w:hyperlink r:id="rId46">
        <w:r w:rsidRPr="004F5256">
          <w:rPr>
            <w:rFonts w:ascii="Arial" w:hAnsi="Arial" w:cs="Arial"/>
            <w:color w:val="0561C1"/>
            <w:u w:val="single" w:color="0561C1"/>
          </w:rPr>
          <w:t>https://books.google.com/books?hl=en&amp;lr=&amp;id=NWJ6EAAAQBAJ&amp;oi=fnd&amp;pg=PT19</w:t>
        </w:r>
      </w:hyperlink>
    </w:p>
    <w:p w14:paraId="2F7587B0" w14:textId="77777777" w:rsidR="001E663C" w:rsidRPr="004F5256" w:rsidRDefault="004F5256" w:rsidP="00011E18">
      <w:pPr>
        <w:spacing w:after="249" w:line="360" w:lineRule="auto"/>
        <w:ind w:left="715" w:right="370" w:hanging="10"/>
        <w:rPr>
          <w:rFonts w:ascii="Arial" w:hAnsi="Arial" w:cs="Arial"/>
        </w:rPr>
      </w:pPr>
      <w:hyperlink r:id="rId47">
        <w:r w:rsidRPr="004F5256">
          <w:rPr>
            <w:rFonts w:ascii="Arial" w:hAnsi="Arial" w:cs="Arial"/>
            <w:color w:val="0561C1"/>
            <w:u w:val="single" w:color="0561C1"/>
          </w:rPr>
          <w:t>&amp;dq=Sustainability+in+Hospitality+Industry+&amp;ots=bgzYfsqVVV&amp;sig=pbbMyeDLVlj-</w:t>
        </w:r>
      </w:hyperlink>
    </w:p>
    <w:p w14:paraId="4AE34287" w14:textId="77777777" w:rsidR="001E663C" w:rsidRPr="004F5256" w:rsidRDefault="004F5256" w:rsidP="00011E18">
      <w:pPr>
        <w:spacing w:after="249" w:line="360" w:lineRule="auto"/>
        <w:ind w:left="715" w:right="370" w:hanging="10"/>
        <w:rPr>
          <w:rFonts w:ascii="Arial" w:hAnsi="Arial" w:cs="Arial"/>
        </w:rPr>
      </w:pPr>
      <w:hyperlink r:id="rId48">
        <w:r w:rsidRPr="004F5256">
          <w:rPr>
            <w:rFonts w:ascii="Arial" w:hAnsi="Arial" w:cs="Arial"/>
            <w:color w:val="0561C1"/>
            <w:u w:val="single" w:color="0561C1"/>
          </w:rPr>
          <w:t>ZlrXaDaAqLiOkaw</w:t>
        </w:r>
      </w:hyperlink>
    </w:p>
    <w:p w14:paraId="0B7C1BD9" w14:textId="77777777" w:rsidR="001E663C" w:rsidRPr="004F5256" w:rsidRDefault="004F5256" w:rsidP="00011E18">
      <w:pPr>
        <w:spacing w:after="0" w:line="360" w:lineRule="auto"/>
        <w:ind w:left="720" w:right="370" w:hanging="720"/>
        <w:rPr>
          <w:rFonts w:ascii="Arial" w:hAnsi="Arial" w:cs="Arial"/>
        </w:rPr>
      </w:pPr>
      <w:r w:rsidRPr="004F5256">
        <w:rPr>
          <w:rFonts w:ascii="Arial" w:hAnsi="Arial" w:cs="Arial"/>
          <w:color w:val="222222"/>
        </w:rPr>
        <w:t xml:space="preserve">Mair, J. and Smith, A., (2022)' Events and sustainability: Why making events more sustainable is not enough,' </w:t>
      </w:r>
      <w:r w:rsidRPr="004F5256">
        <w:rPr>
          <w:rFonts w:ascii="Arial" w:hAnsi="Arial" w:cs="Arial"/>
          <w:i/>
          <w:color w:val="222222"/>
        </w:rPr>
        <w:t>In Events and Sustainability</w:t>
      </w:r>
      <w:r w:rsidRPr="004F5256">
        <w:rPr>
          <w:rFonts w:ascii="Arial" w:hAnsi="Arial" w:cs="Arial"/>
          <w:i/>
        </w:rPr>
        <w:t xml:space="preserve"> (pp. 1-17). Routledge.</w:t>
      </w:r>
      <w:r w:rsidRPr="004F5256">
        <w:rPr>
          <w:rFonts w:ascii="Arial" w:hAnsi="Arial" w:cs="Arial"/>
        </w:rPr>
        <w:t xml:space="preserve"> Available at: </w:t>
      </w:r>
      <w:hyperlink r:id="rId49">
        <w:r w:rsidRPr="004F5256">
          <w:rPr>
            <w:rFonts w:ascii="Arial" w:hAnsi="Arial" w:cs="Arial"/>
            <w:color w:val="0561C1"/>
            <w:u w:val="single" w:color="0561C1"/>
          </w:rPr>
          <w:t>https://www.taylorfrancis.com/chapters/oa-edit/10.4324/9781003314295-1/events</w:t>
        </w:r>
      </w:hyperlink>
      <w:hyperlink r:id="rId50">
        <w:r w:rsidRPr="004F5256">
          <w:rPr>
            <w:rFonts w:ascii="Arial" w:hAnsi="Arial" w:cs="Arial"/>
            <w:color w:val="0561C1"/>
            <w:u w:val="single" w:color="0561C1"/>
          </w:rPr>
          <w:t>sustainability-making-events-sustainable-enough-judith-mair-andrew-smith</w:t>
        </w:r>
      </w:hyperlink>
    </w:p>
    <w:p w14:paraId="33450F67" w14:textId="77777777" w:rsidR="001E663C" w:rsidRPr="004F5256" w:rsidRDefault="004F5256" w:rsidP="00011E18">
      <w:pPr>
        <w:spacing w:line="360" w:lineRule="auto"/>
        <w:ind w:left="715" w:right="1490" w:hanging="730"/>
        <w:rPr>
          <w:rFonts w:ascii="Arial" w:hAnsi="Arial" w:cs="Arial"/>
        </w:rPr>
      </w:pPr>
      <w:r w:rsidRPr="004F5256">
        <w:rPr>
          <w:rFonts w:ascii="Arial" w:hAnsi="Arial" w:cs="Arial"/>
          <w:color w:val="222222"/>
        </w:rPr>
        <w:t xml:space="preserve">Modica, P.D., Altinay, L., Farmaki, A., Gursoy, D. and Zenga, M., (2020) 'Consumer perceptions towards sustainable supply chain practices in the hospitality industry,' </w:t>
      </w:r>
      <w:r w:rsidRPr="004F5256">
        <w:rPr>
          <w:rFonts w:ascii="Arial" w:hAnsi="Arial" w:cs="Arial"/>
          <w:i/>
        </w:rPr>
        <w:t xml:space="preserve">Current Issues in </w:t>
      </w:r>
      <w:r w:rsidRPr="004F5256">
        <w:rPr>
          <w:rFonts w:ascii="Arial" w:hAnsi="Arial" w:cs="Arial"/>
        </w:rPr>
        <w:t xml:space="preserve">Tourism, 23(3), pp.358-375. Available at: </w:t>
      </w:r>
    </w:p>
    <w:p w14:paraId="7B6CA567" w14:textId="77777777" w:rsidR="001E663C" w:rsidRPr="004F5256" w:rsidRDefault="004F5256" w:rsidP="00011E18">
      <w:pPr>
        <w:spacing w:after="249" w:line="360" w:lineRule="auto"/>
        <w:ind w:left="715" w:right="370" w:hanging="10"/>
        <w:rPr>
          <w:rFonts w:ascii="Arial" w:hAnsi="Arial" w:cs="Arial"/>
        </w:rPr>
      </w:pPr>
      <w:hyperlink r:id="rId51">
        <w:r w:rsidRPr="004F5256">
          <w:rPr>
            <w:rFonts w:ascii="Arial" w:hAnsi="Arial" w:cs="Arial"/>
            <w:color w:val="0561C1"/>
            <w:u w:val="single" w:color="0561C1"/>
          </w:rPr>
          <w:t>https://www.tandfonline.com/doi/abs/10.1080/13683500.2018.1526258</w:t>
        </w:r>
      </w:hyperlink>
    </w:p>
    <w:p w14:paraId="12124919"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Mzembe, A.N., Idemudia, U. and Angel, M.E., (2021) 'Sustainability led innovations in the hospitality industry: A case study of the adoption of the Green Key Scheme standards in the Netherlands,' </w:t>
      </w:r>
      <w:r w:rsidRPr="004F5256">
        <w:rPr>
          <w:rFonts w:ascii="Arial" w:hAnsi="Arial" w:cs="Arial"/>
          <w:i/>
        </w:rPr>
        <w:t>Journal of Cleaner Production, 291, p.125210.</w:t>
      </w:r>
      <w:r w:rsidRPr="004F5256">
        <w:rPr>
          <w:rFonts w:ascii="Arial" w:hAnsi="Arial" w:cs="Arial"/>
        </w:rPr>
        <w:t xml:space="preserve"> available at: </w:t>
      </w:r>
    </w:p>
    <w:p w14:paraId="628AEE1D" w14:textId="77777777" w:rsidR="001E663C" w:rsidRPr="004F5256" w:rsidRDefault="004F5256" w:rsidP="00011E18">
      <w:pPr>
        <w:spacing w:after="249" w:line="360" w:lineRule="auto"/>
        <w:ind w:left="715" w:right="370" w:hanging="10"/>
        <w:rPr>
          <w:rFonts w:ascii="Arial" w:hAnsi="Arial" w:cs="Arial"/>
        </w:rPr>
      </w:pPr>
      <w:hyperlink r:id="rId52">
        <w:r w:rsidRPr="004F5256">
          <w:rPr>
            <w:rFonts w:ascii="Arial" w:hAnsi="Arial" w:cs="Arial"/>
            <w:color w:val="0561C1"/>
            <w:u w:val="single" w:color="0561C1"/>
          </w:rPr>
          <w:t>https://www.sciencedirect.com/science/article/pii/S0959652620352549</w:t>
        </w:r>
      </w:hyperlink>
    </w:p>
    <w:p w14:paraId="06DDCAEC"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Ngoc, N.M., Tien, N.H., Hieu, V.M. and Trang, T.T.T., (2023) 'Sustainable Integration in Vietnam's Tourism Industry,' </w:t>
      </w:r>
      <w:r w:rsidRPr="004F5256">
        <w:rPr>
          <w:rFonts w:ascii="Arial" w:hAnsi="Arial" w:cs="Arial"/>
          <w:i/>
        </w:rPr>
        <w:t xml:space="preserve">World review of entrepreneurship management and </w:t>
      </w:r>
      <w:r w:rsidRPr="004F5256">
        <w:rPr>
          <w:rFonts w:ascii="Arial" w:hAnsi="Arial" w:cs="Arial"/>
          <w:i/>
        </w:rPr>
        <w:lastRenderedPageBreak/>
        <w:t>sustainable development</w:t>
      </w:r>
      <w:r w:rsidRPr="004F5256">
        <w:rPr>
          <w:rFonts w:ascii="Arial" w:hAnsi="Arial" w:cs="Arial"/>
        </w:rPr>
        <w:t xml:space="preserve">. Available at:  </w:t>
      </w:r>
      <w:hyperlink r:id="rId53">
        <w:r w:rsidRPr="004F5256">
          <w:rPr>
            <w:rFonts w:ascii="Arial" w:hAnsi="Arial" w:cs="Arial"/>
            <w:color w:val="0561C1"/>
            <w:u w:val="single" w:color="0561C1"/>
          </w:rPr>
          <w:t>https://www.researchgate.net/profile/Nguyen</w:t>
        </w:r>
      </w:hyperlink>
      <w:hyperlink r:id="rId54">
        <w:r w:rsidRPr="004F5256">
          <w:rPr>
            <w:rFonts w:ascii="Arial" w:hAnsi="Arial" w:cs="Arial"/>
            <w:color w:val="0561C1"/>
            <w:u w:val="single" w:color="0561C1"/>
          </w:rPr>
          <w:t>Tien-</w:t>
        </w:r>
      </w:hyperlink>
    </w:p>
    <w:p w14:paraId="05BE60EE" w14:textId="77777777" w:rsidR="001E663C" w:rsidRPr="004F5256" w:rsidRDefault="004F5256" w:rsidP="00011E18">
      <w:pPr>
        <w:spacing w:after="249" w:line="360" w:lineRule="auto"/>
        <w:ind w:left="715" w:right="370" w:hanging="10"/>
        <w:rPr>
          <w:rFonts w:ascii="Arial" w:hAnsi="Arial" w:cs="Arial"/>
        </w:rPr>
      </w:pPr>
      <w:hyperlink r:id="rId55">
        <w:r w:rsidRPr="004F5256">
          <w:rPr>
            <w:rFonts w:ascii="Arial" w:hAnsi="Arial" w:cs="Arial"/>
            <w:color w:val="0561C1"/>
            <w:u w:val="single" w:color="0561C1"/>
          </w:rPr>
          <w:t>32/publication/369590648_Sustainable_integration_in_Vietnam's_tourism_industry/links</w:t>
        </w:r>
      </w:hyperlink>
    </w:p>
    <w:p w14:paraId="73994FD7" w14:textId="77777777" w:rsidR="001E663C" w:rsidRPr="004F5256" w:rsidRDefault="004F5256" w:rsidP="00011E18">
      <w:pPr>
        <w:spacing w:after="249" w:line="360" w:lineRule="auto"/>
        <w:ind w:left="715" w:right="370" w:hanging="10"/>
        <w:rPr>
          <w:rFonts w:ascii="Arial" w:hAnsi="Arial" w:cs="Arial"/>
        </w:rPr>
      </w:pPr>
      <w:hyperlink r:id="rId56">
        <w:r w:rsidRPr="004F5256">
          <w:rPr>
            <w:rFonts w:ascii="Arial" w:hAnsi="Arial" w:cs="Arial"/>
            <w:color w:val="0561C1"/>
            <w:u w:val="single" w:color="0561C1"/>
          </w:rPr>
          <w:t>/642542b8a1b72772e437db74/Sustainable-integration-in-Vietnams-tourism-industry.pdf</w:t>
        </w:r>
      </w:hyperlink>
    </w:p>
    <w:p w14:paraId="5B98F2F3"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Nguyen, P.T., Do, M.H.T., Hoang, T.G. and Truong, H.G., (2023)' Business Talk Events as a </w:t>
      </w:r>
    </w:p>
    <w:p w14:paraId="15AD3A42" w14:textId="77777777" w:rsidR="001E663C" w:rsidRPr="004F5256" w:rsidRDefault="004F5256" w:rsidP="00011E18">
      <w:pPr>
        <w:spacing w:line="360" w:lineRule="auto"/>
        <w:ind w:left="720" w:right="691" w:firstLine="0"/>
        <w:rPr>
          <w:rFonts w:ascii="Arial" w:hAnsi="Arial" w:cs="Arial"/>
        </w:rPr>
      </w:pPr>
      <w:r w:rsidRPr="004F5256">
        <w:rPr>
          <w:rFonts w:ascii="Arial" w:hAnsi="Arial" w:cs="Arial"/>
          <w:color w:val="222222"/>
        </w:rPr>
        <w:t xml:space="preserve">Way of Raising Awareness of Social Entrepreneurship and Sustainable Development </w:t>
      </w:r>
    </w:p>
    <w:p w14:paraId="31A0B19F" w14:textId="77777777" w:rsidR="001E663C" w:rsidRPr="004F5256" w:rsidRDefault="004F5256" w:rsidP="00011E18">
      <w:pPr>
        <w:spacing w:after="0" w:line="360" w:lineRule="auto"/>
        <w:ind w:left="715" w:right="370" w:hanging="10"/>
        <w:rPr>
          <w:rFonts w:ascii="Arial" w:hAnsi="Arial" w:cs="Arial"/>
        </w:rPr>
      </w:pPr>
      <w:r w:rsidRPr="004F5256">
        <w:rPr>
          <w:rFonts w:ascii="Arial" w:hAnsi="Arial" w:cs="Arial"/>
          <w:color w:val="222222"/>
        </w:rPr>
        <w:t xml:space="preserve">Goals (SDGs) in Vietnam,' </w:t>
      </w:r>
      <w:r w:rsidRPr="004F5256">
        <w:rPr>
          <w:rFonts w:ascii="Arial" w:hAnsi="Arial" w:cs="Arial"/>
          <w:i/>
        </w:rPr>
        <w:t>Event Management, 27(8), pp.1183-1197</w:t>
      </w:r>
      <w:r w:rsidRPr="004F5256">
        <w:rPr>
          <w:rFonts w:ascii="Arial" w:hAnsi="Arial" w:cs="Arial"/>
        </w:rPr>
        <w:t xml:space="preserve">. Available at: </w:t>
      </w:r>
      <w:hyperlink r:id="rId57">
        <w:r w:rsidRPr="004F5256">
          <w:rPr>
            <w:rFonts w:ascii="Arial" w:hAnsi="Arial" w:cs="Arial"/>
            <w:color w:val="0561C1"/>
            <w:u w:val="single" w:color="0561C1"/>
          </w:rPr>
          <w:t>https://www.ingentaconnect.com/content/cog/em/2023/00000027/00000008/art00005</w:t>
        </w:r>
      </w:hyperlink>
    </w:p>
    <w:p w14:paraId="7CCAEAB6" w14:textId="77777777" w:rsidR="001E663C" w:rsidRPr="004F5256" w:rsidRDefault="004F5256" w:rsidP="00011E18">
      <w:pPr>
        <w:spacing w:after="252" w:line="360" w:lineRule="auto"/>
        <w:ind w:left="-15" w:right="691" w:firstLine="0"/>
        <w:rPr>
          <w:rFonts w:ascii="Arial" w:hAnsi="Arial" w:cs="Arial"/>
        </w:rPr>
      </w:pPr>
      <w:r w:rsidRPr="004F5256">
        <w:rPr>
          <w:rFonts w:ascii="Arial" w:hAnsi="Arial" w:cs="Arial"/>
          <w:color w:val="222222"/>
        </w:rPr>
        <w:t xml:space="preserve">Pencarelli, T., (2020) 'The digital revolution in the travel and tourism industry,' </w:t>
      </w:r>
      <w:r w:rsidRPr="004F5256">
        <w:rPr>
          <w:rFonts w:ascii="Arial" w:hAnsi="Arial" w:cs="Arial"/>
          <w:i/>
        </w:rPr>
        <w:t xml:space="preserve">Information </w:t>
      </w:r>
    </w:p>
    <w:p w14:paraId="0F9B530A" w14:textId="77777777" w:rsidR="001E663C" w:rsidRPr="004F5256" w:rsidRDefault="004F5256" w:rsidP="00011E18">
      <w:pPr>
        <w:spacing w:after="252" w:line="360" w:lineRule="auto"/>
        <w:ind w:left="715" w:hanging="10"/>
        <w:rPr>
          <w:rFonts w:ascii="Arial" w:hAnsi="Arial" w:cs="Arial"/>
        </w:rPr>
      </w:pPr>
      <w:r w:rsidRPr="004F5256">
        <w:rPr>
          <w:rFonts w:ascii="Arial" w:hAnsi="Arial" w:cs="Arial"/>
          <w:i/>
        </w:rPr>
        <w:t>Technology &amp; Tourism, 22(3), pp.455-476.</w:t>
      </w:r>
      <w:r w:rsidRPr="004F5256">
        <w:rPr>
          <w:rFonts w:ascii="Arial" w:hAnsi="Arial" w:cs="Arial"/>
        </w:rPr>
        <w:t xml:space="preserve"> Available at: </w:t>
      </w:r>
    </w:p>
    <w:p w14:paraId="54CD511E" w14:textId="77777777" w:rsidR="001E663C" w:rsidRPr="004F5256" w:rsidRDefault="004F5256" w:rsidP="00011E18">
      <w:pPr>
        <w:spacing w:after="249" w:line="360" w:lineRule="auto"/>
        <w:ind w:left="715" w:right="370" w:hanging="10"/>
        <w:rPr>
          <w:rFonts w:ascii="Arial" w:hAnsi="Arial" w:cs="Arial"/>
        </w:rPr>
      </w:pPr>
      <w:hyperlink r:id="rId58">
        <w:r w:rsidRPr="004F5256">
          <w:rPr>
            <w:rFonts w:ascii="Arial" w:hAnsi="Arial" w:cs="Arial"/>
            <w:color w:val="0561C1"/>
            <w:u w:val="single" w:color="0561C1"/>
          </w:rPr>
          <w:t>https://link.springer.com/article/10.1007/s40558-019-00160-3</w:t>
        </w:r>
      </w:hyperlink>
    </w:p>
    <w:p w14:paraId="63ADC55C"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Sakshi, Shashi, Cerchione, R. and Bansal, H., (2020) 'Measuring the impact of sustainability policy and practices in tourism and hospitality industry,' </w:t>
      </w:r>
      <w:r w:rsidRPr="004F5256">
        <w:rPr>
          <w:rFonts w:ascii="Arial" w:hAnsi="Arial" w:cs="Arial"/>
          <w:i/>
          <w:color w:val="222222"/>
        </w:rPr>
        <w:t xml:space="preserve">Business Strategy and the </w:t>
      </w:r>
    </w:p>
    <w:p w14:paraId="1C7955FB" w14:textId="77777777" w:rsidR="001E663C" w:rsidRPr="004F5256" w:rsidRDefault="004F5256" w:rsidP="00011E18">
      <w:pPr>
        <w:spacing w:after="252" w:line="360" w:lineRule="auto"/>
        <w:ind w:left="730" w:hanging="10"/>
        <w:rPr>
          <w:rFonts w:ascii="Arial" w:hAnsi="Arial" w:cs="Arial"/>
        </w:rPr>
      </w:pPr>
      <w:r w:rsidRPr="004F5256">
        <w:rPr>
          <w:rFonts w:ascii="Arial" w:hAnsi="Arial" w:cs="Arial"/>
          <w:i/>
          <w:color w:val="222222"/>
        </w:rPr>
        <w:t>Environment, 29(3), pp.1109-1126.</w:t>
      </w:r>
      <w:r w:rsidRPr="004F5256">
        <w:rPr>
          <w:rFonts w:ascii="Arial" w:hAnsi="Arial" w:cs="Arial"/>
          <w:color w:val="222222"/>
        </w:rPr>
        <w:t xml:space="preserve"> Available at: </w:t>
      </w:r>
    </w:p>
    <w:p w14:paraId="75E445D0" w14:textId="77777777" w:rsidR="001E663C" w:rsidRPr="004F5256" w:rsidRDefault="004F5256" w:rsidP="00011E18">
      <w:pPr>
        <w:spacing w:after="249" w:line="360" w:lineRule="auto"/>
        <w:ind w:left="715" w:right="370" w:hanging="10"/>
        <w:rPr>
          <w:rFonts w:ascii="Arial" w:hAnsi="Arial" w:cs="Arial"/>
        </w:rPr>
      </w:pPr>
      <w:hyperlink r:id="rId59">
        <w:r w:rsidRPr="004F5256">
          <w:rPr>
            <w:rFonts w:ascii="Arial" w:hAnsi="Arial" w:cs="Arial"/>
            <w:color w:val="0561C1"/>
            <w:u w:val="single" w:color="0561C1"/>
          </w:rPr>
          <w:t>https://onlinelibrary.wiley.com/doi/abs/10.1002/bse.2420</w:t>
        </w:r>
      </w:hyperlink>
    </w:p>
    <w:p w14:paraId="51572F47"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t xml:space="preserve">Terkenli, T.S. and Georgoula, V., (2021) 'Tourism and cultural sustainability: Views and prospects from Cyclades, Greece,' </w:t>
      </w:r>
      <w:r w:rsidRPr="004F5256">
        <w:rPr>
          <w:rFonts w:ascii="Arial" w:hAnsi="Arial" w:cs="Arial"/>
          <w:i/>
        </w:rPr>
        <w:t>sustainability, 14(1), p.307.</w:t>
      </w:r>
      <w:r w:rsidRPr="004F5256">
        <w:rPr>
          <w:rFonts w:ascii="Arial" w:hAnsi="Arial" w:cs="Arial"/>
        </w:rPr>
        <w:t xml:space="preserve"> available at: </w:t>
      </w:r>
      <w:hyperlink r:id="rId60">
        <w:r w:rsidRPr="004F5256">
          <w:rPr>
            <w:rFonts w:ascii="Arial" w:hAnsi="Arial" w:cs="Arial"/>
            <w:color w:val="0561C1"/>
            <w:u w:val="single" w:color="0561C1"/>
          </w:rPr>
          <w:t>https://www.mdpi.com/2071-1050/14/1/307</w:t>
        </w:r>
      </w:hyperlink>
    </w:p>
    <w:p w14:paraId="18BD943B" w14:textId="77777777" w:rsidR="001E663C" w:rsidRPr="004F5256" w:rsidRDefault="004F5256" w:rsidP="00011E18">
      <w:pPr>
        <w:spacing w:line="360" w:lineRule="auto"/>
        <w:ind w:left="715" w:right="691" w:hanging="730"/>
        <w:rPr>
          <w:rFonts w:ascii="Arial" w:hAnsi="Arial" w:cs="Arial"/>
        </w:rPr>
      </w:pPr>
      <w:r w:rsidRPr="004F5256">
        <w:rPr>
          <w:rFonts w:ascii="Arial" w:hAnsi="Arial" w:cs="Arial"/>
          <w:color w:val="222222"/>
        </w:rPr>
        <w:lastRenderedPageBreak/>
        <w:t xml:space="preserve">Thomas, K. and Stephens, S., (2022) 'Understanding the Management Theory in Event Management: A Conceptual Framework,' </w:t>
      </w:r>
      <w:r w:rsidRPr="004F5256">
        <w:rPr>
          <w:rFonts w:ascii="Arial" w:hAnsi="Arial" w:cs="Arial"/>
          <w:i/>
        </w:rPr>
        <w:t>Available at SSRN 4051469</w:t>
      </w:r>
      <w:r w:rsidRPr="004F5256">
        <w:rPr>
          <w:rFonts w:ascii="Arial" w:hAnsi="Arial" w:cs="Arial"/>
        </w:rPr>
        <w:t xml:space="preserve">. Available at: </w:t>
      </w:r>
    </w:p>
    <w:p w14:paraId="3BEC6251" w14:textId="77777777" w:rsidR="001E663C" w:rsidRPr="004F5256" w:rsidRDefault="004F5256" w:rsidP="00011E18">
      <w:pPr>
        <w:spacing w:after="249" w:line="360" w:lineRule="auto"/>
        <w:ind w:left="715" w:right="370" w:hanging="10"/>
        <w:rPr>
          <w:rFonts w:ascii="Arial" w:hAnsi="Arial" w:cs="Arial"/>
        </w:rPr>
      </w:pPr>
      <w:hyperlink r:id="rId61">
        <w:r w:rsidRPr="004F5256">
          <w:rPr>
            <w:rFonts w:ascii="Arial" w:hAnsi="Arial" w:cs="Arial"/>
            <w:color w:val="0561C1"/>
            <w:u w:val="single" w:color="0561C1"/>
          </w:rPr>
          <w:t>https://papers.ssrn.com/sol3/papers.cfm?abstract_id=4051469</w:t>
        </w:r>
      </w:hyperlink>
    </w:p>
    <w:sectPr w:rsidR="001E663C" w:rsidRPr="004F5256">
      <w:headerReference w:type="even" r:id="rId62"/>
      <w:headerReference w:type="default" r:id="rId63"/>
      <w:headerReference w:type="first" r:id="rId64"/>
      <w:pgSz w:w="12240" w:h="15840"/>
      <w:pgMar w:top="778" w:right="721" w:bottom="198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534D2" w14:textId="77777777" w:rsidR="004F5256" w:rsidRDefault="004F5256">
      <w:pPr>
        <w:spacing w:after="0" w:line="240" w:lineRule="auto"/>
      </w:pPr>
      <w:r>
        <w:separator/>
      </w:r>
    </w:p>
  </w:endnote>
  <w:endnote w:type="continuationSeparator" w:id="0">
    <w:p w14:paraId="411C64C4" w14:textId="77777777" w:rsidR="004F5256" w:rsidRDefault="004F5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4A87F" w14:textId="77777777" w:rsidR="004F5256" w:rsidRDefault="004F5256">
      <w:pPr>
        <w:spacing w:after="0" w:line="240" w:lineRule="auto"/>
      </w:pPr>
      <w:r>
        <w:separator/>
      </w:r>
    </w:p>
  </w:footnote>
  <w:footnote w:type="continuationSeparator" w:id="0">
    <w:p w14:paraId="7E5A5E7D" w14:textId="77777777" w:rsidR="004F5256" w:rsidRDefault="004F5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B8D60" w14:textId="77777777" w:rsidR="001E663C" w:rsidRDefault="004F5256">
    <w:pPr>
      <w:spacing w:after="0" w:line="259" w:lineRule="auto"/>
      <w:ind w:left="0" w:right="-3" w:firstLine="0"/>
      <w:jc w:val="right"/>
    </w:pPr>
    <w:r>
      <w:t xml:space="preserve">INTERNATIONAL EVENT </w:t>
    </w:r>
    <w:r>
      <w:fldChar w:fldCharType="begin"/>
    </w:r>
    <w:r>
      <w:instrText xml:space="preserve"> PAGE   \* MERGEFORMAT </w:instrText>
    </w:r>
    <w:r>
      <w:fldChar w:fldCharType="separate"/>
    </w:r>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E07E1" w14:textId="77777777" w:rsidR="001E663C" w:rsidRDefault="004F5256">
    <w:pPr>
      <w:spacing w:after="0" w:line="259" w:lineRule="auto"/>
      <w:ind w:left="0" w:right="-3" w:firstLine="0"/>
      <w:jc w:val="right"/>
    </w:pPr>
    <w:r>
      <w:t xml:space="preserve">INTERNATIONAL EVENT </w:t>
    </w:r>
    <w:r>
      <w:fldChar w:fldCharType="begin"/>
    </w:r>
    <w:r>
      <w:instrText xml:space="preserve"> PAGE   \* MERGEFORMAT </w:instrText>
    </w:r>
    <w:r>
      <w:fldChar w:fldCharType="separate"/>
    </w:r>
    <w:r>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F00DA" w14:textId="77777777" w:rsidR="001E663C" w:rsidRDefault="004F5256">
    <w:pPr>
      <w:spacing w:after="0" w:line="259" w:lineRule="auto"/>
      <w:ind w:left="0" w:right="-3" w:firstLine="0"/>
      <w:jc w:val="right"/>
    </w:pPr>
    <w:r>
      <w:t xml:space="preserve">INTERNATIONAL EVENT </w:t>
    </w:r>
    <w:r>
      <w:fldChar w:fldCharType="begin"/>
    </w:r>
    <w:r>
      <w:instrText xml:space="preserve"> PAGE   \* MERGEFORMAT </w:instrText>
    </w:r>
    <w:r>
      <w:fldChar w:fldCharType="separate"/>
    </w:r>
    <w:r>
      <w:t>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506BF" w14:textId="77777777" w:rsidR="001E663C" w:rsidRDefault="004F5256">
    <w:pPr>
      <w:spacing w:after="0" w:line="259" w:lineRule="auto"/>
      <w:ind w:left="0" w:right="-8" w:firstLine="0"/>
      <w:jc w:val="right"/>
    </w:pPr>
    <w:r>
      <w:t xml:space="preserve">INTERNATIONAL EVENT </w:t>
    </w:r>
    <w:r>
      <w:fldChar w:fldCharType="begin"/>
    </w:r>
    <w:r>
      <w:instrText xml:space="preserve"> PAGE   \* MERGEFORMAT </w:instrText>
    </w:r>
    <w:r>
      <w:fldChar w:fldCharType="separate"/>
    </w:r>
    <w:r>
      <w:t>10</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E29D0" w14:textId="77777777" w:rsidR="001E663C" w:rsidRDefault="004F5256">
    <w:pPr>
      <w:spacing w:after="0" w:line="259" w:lineRule="auto"/>
      <w:ind w:left="0" w:right="-8" w:firstLine="0"/>
      <w:jc w:val="right"/>
    </w:pPr>
    <w:r>
      <w:fldChar w:fldCharType="begin"/>
    </w:r>
    <w:r>
      <w:instrText xml:space="preserve"> PAGE   \* MERGEFORMAT </w:instrText>
    </w:r>
    <w:r>
      <w:fldChar w:fldCharType="separate"/>
    </w:r>
    <w:r>
      <w:t>11</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7C0C16" w14:textId="77777777" w:rsidR="001E663C" w:rsidRDefault="004F5256">
    <w:pPr>
      <w:spacing w:after="0" w:line="259" w:lineRule="auto"/>
      <w:ind w:left="0" w:right="-8" w:firstLine="0"/>
      <w:jc w:val="right"/>
    </w:pPr>
    <w:r>
      <w:t xml:space="preserve">INTERNATIONAL EVENT </w:t>
    </w:r>
    <w:r>
      <w:fldChar w:fldCharType="begin"/>
    </w:r>
    <w:r>
      <w:instrText xml:space="preserve"> PAGE   \* MERGEFORMAT </w:instrText>
    </w:r>
    <w:r>
      <w:fldChar w:fldCharType="separate"/>
    </w:r>
    <w:r>
      <w:t>10</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5F756" w14:textId="77777777" w:rsidR="001E663C" w:rsidRDefault="004F5256">
    <w:pPr>
      <w:spacing w:after="0" w:line="259" w:lineRule="auto"/>
      <w:ind w:left="0" w:right="719" w:firstLine="0"/>
      <w:jc w:val="right"/>
    </w:pPr>
    <w:r>
      <w:t xml:space="preserve">INTERNATIONAL EVENT </w:t>
    </w:r>
    <w:r>
      <w:fldChar w:fldCharType="begin"/>
    </w:r>
    <w:r>
      <w:instrText xml:space="preserve"> PAGE   \* MERGEFORMAT </w:instrText>
    </w:r>
    <w:r>
      <w:fldChar w:fldCharType="separate"/>
    </w:r>
    <w:r>
      <w:t>10</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7C105" w14:textId="77777777" w:rsidR="001E663C" w:rsidRDefault="004F5256">
    <w:pPr>
      <w:spacing w:after="0" w:line="259" w:lineRule="auto"/>
      <w:ind w:left="0" w:right="719" w:firstLine="0"/>
      <w:jc w:val="right"/>
    </w:pPr>
    <w:r>
      <w:t xml:space="preserve">INTERNATIONAL EVENT </w:t>
    </w:r>
    <w:r>
      <w:fldChar w:fldCharType="begin"/>
    </w:r>
    <w:r>
      <w:instrText xml:space="preserve"> PAGE   \* MERGEFORMAT </w:instrText>
    </w:r>
    <w:r>
      <w:fldChar w:fldCharType="separate"/>
    </w:r>
    <w:r>
      <w:t>10</w:t>
    </w:r>
    <w: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E103A" w14:textId="77777777" w:rsidR="001E663C" w:rsidRDefault="001E663C">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F19D9"/>
    <w:multiLevelType w:val="hybridMultilevel"/>
    <w:tmpl w:val="9A682082"/>
    <w:lvl w:ilvl="0" w:tplc="7C761B5E">
      <w:start w:val="1"/>
      <w:numFmt w:val="lowerLetter"/>
      <w:lvlText w:val="%1)"/>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EC86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F2FF3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1C28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9406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5071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7646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5C54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BA15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25348AE"/>
    <w:multiLevelType w:val="hybridMultilevel"/>
    <w:tmpl w:val="FB929E20"/>
    <w:lvl w:ilvl="0" w:tplc="C89C96E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A87F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1EF2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465B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7000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8C2A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301D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B8C1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0005A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7BB1854"/>
    <w:multiLevelType w:val="hybridMultilevel"/>
    <w:tmpl w:val="20A48618"/>
    <w:lvl w:ilvl="0" w:tplc="C976458C">
      <w:start w:val="1"/>
      <w:numFmt w:val="upp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0CD7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248F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B843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6009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68A9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EEF3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FAF4C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849D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EF658E7"/>
    <w:multiLevelType w:val="hybridMultilevel"/>
    <w:tmpl w:val="A03A82A8"/>
    <w:lvl w:ilvl="0" w:tplc="F176DC2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44A5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BC75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A0DD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623A1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42A0A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129A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BE0A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3CEE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80251934">
    <w:abstractNumId w:val="1"/>
  </w:num>
  <w:num w:numId="2" w16cid:durableId="471143856">
    <w:abstractNumId w:val="0"/>
  </w:num>
  <w:num w:numId="3" w16cid:durableId="1643659317">
    <w:abstractNumId w:val="2"/>
  </w:num>
  <w:num w:numId="4" w16cid:durableId="286087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63C"/>
    <w:rsid w:val="00011E18"/>
    <w:rsid w:val="001E663C"/>
    <w:rsid w:val="004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DB1C2"/>
  <w15:docId w15:val="{12C5142F-30F2-459D-9747-83D90324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479" w:lineRule="auto"/>
      <w:ind w:left="2277" w:hanging="370"/>
    </w:pPr>
    <w:rPr>
      <w:rFonts w:ascii="Times New Roman" w:eastAsia="Times New Roman" w:hAnsi="Times New Roman" w:cs="Times New Roman"/>
      <w:color w:val="000000"/>
    </w:rPr>
  </w:style>
  <w:style w:type="paragraph" w:styleId="Heading1">
    <w:name w:val="heading 1"/>
    <w:basedOn w:val="Normal"/>
    <w:next w:val="Normal"/>
    <w:link w:val="Heading1Char"/>
    <w:uiPriority w:val="9"/>
    <w:qFormat/>
    <w:rsid w:val="00011E18"/>
    <w:pPr>
      <w:keepNext/>
      <w:keepLines/>
      <w:spacing w:before="360" w:after="80" w:line="259" w:lineRule="auto"/>
      <w:ind w:left="0" w:firstLine="0"/>
      <w:outlineLvl w:val="0"/>
    </w:pPr>
    <w:rPr>
      <w:rFonts w:asciiTheme="majorHAnsi" w:eastAsiaTheme="majorEastAsia" w:hAnsiTheme="majorHAnsi" w:cstheme="majorBidi"/>
      <w:color w:val="0F4761" w:themeColor="accent1" w:themeShade="BF"/>
      <w:kern w:val="0"/>
      <w:sz w:val="40"/>
      <w:szCs w:val="4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011E18"/>
    <w:rPr>
      <w:rFonts w:asciiTheme="majorHAnsi" w:eastAsiaTheme="majorEastAsia" w:hAnsiTheme="majorHAnsi" w:cstheme="majorBidi"/>
      <w:color w:val="0F4761" w:themeColor="accent1" w:themeShade="BF"/>
      <w:kern w:val="0"/>
      <w:sz w:val="40"/>
      <w:szCs w:val="40"/>
      <w:lang w:val="en-US" w:eastAsia="en-US"/>
      <w14:ligatures w14:val="none"/>
    </w:rPr>
  </w:style>
  <w:style w:type="paragraph" w:styleId="Footer">
    <w:name w:val="footer"/>
    <w:basedOn w:val="Normal"/>
    <w:link w:val="FooterChar"/>
    <w:uiPriority w:val="99"/>
    <w:unhideWhenUsed/>
    <w:rsid w:val="00011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E18"/>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21" Type="http://schemas.openxmlformats.org/officeDocument/2006/relationships/hyperlink" Target="https://search.ebscohost.com/login.aspx?direct=true&amp;profile=ehost&amp;scope=site&amp;authtype=crawler&amp;jrnl=22891471&amp;AN=174724528&amp;h=OEq5RMRmKJ%2F8jMZ2nDjWzYOMGcILhaHzDwqVbvcwTJIDH1j2dRy8S6r%2BI2MjCsLCLcrRRlMy%2BKph0TS1J%2Bt7BQ%3D%3D&amp;crl=c" TargetMode="External"/><Relationship Id="rId34" Type="http://schemas.openxmlformats.org/officeDocument/2006/relationships/hyperlink" Target="https://searcys.co.uk/30-euston-square-champions-sustainability/" TargetMode="External"/><Relationship Id="rId42" Type="http://schemas.openxmlformats.org/officeDocument/2006/relationships/hyperlink" Target="https://books.google.com/books?hl=en&amp;lr=&amp;id=o5u4EAAAQBAJ&amp;oi=fnd&amp;pg=PR8&amp;dq=Technology+and+audio-visual+systems+integration+in+sustainability+MICE+event+planning+and+management&amp;ots=7j9_boZTFk&amp;sig=B0AOP1LBfUOIyDotz9KQ-8lKXOs" TargetMode="External"/><Relationship Id="rId47" Type="http://schemas.openxmlformats.org/officeDocument/2006/relationships/hyperlink" Target="https://books.google.com/books?hl=en&amp;lr=&amp;id=NWJ6EAAAQBAJ&amp;oi=fnd&amp;pg=PT19&amp;dq=Sustainability+in+Hospitality+Industry+&amp;ots=bgzYfsqVVV&amp;sig=pbbMyeDLVlj-ZlrXaDaAqLiOkaw" TargetMode="External"/><Relationship Id="rId50" Type="http://schemas.openxmlformats.org/officeDocument/2006/relationships/hyperlink" Target="https://www.taylorfrancis.com/chapters/oa-edit/10.4324/9781003314295-1/events-sustainability-making-events-sustainable-enough-judith-mair-andrew-smith" TargetMode="External"/><Relationship Id="rId55" Type="http://schemas.openxmlformats.org/officeDocument/2006/relationships/hyperlink" Target="https://www.researchgate.net/profile/Nguyen-Tien-32/publication/369590648_Sustainable_integration_in_Vietnam's_tourism_industry/links/642542b8a1b72772e437db74/Sustainable-integration-in-Vietnams-tourism-industry.pdf" TargetMode="External"/><Relationship Id="rId63" Type="http://schemas.openxmlformats.org/officeDocument/2006/relationships/header" Target="header8.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dpi.com/2071-1050/13/9/5030" TargetMode="External"/><Relationship Id="rId29" Type="http://schemas.openxmlformats.org/officeDocument/2006/relationships/hyperlink" Target="https://www.sciencedirect.com/science/article/pii/S0278431920300517" TargetMode="External"/><Relationship Id="rId11" Type="http://schemas.openxmlformats.org/officeDocument/2006/relationships/header" Target="header5.xml"/><Relationship Id="rId24"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32" Type="http://schemas.openxmlformats.org/officeDocument/2006/relationships/hyperlink" Target="https://scholar.archive.org/work/7hl237oyurevnk4zlcm7w7ctfa/access/wayback/https:/www.civilejournal.org/index.php/cej/article/download/2171/pdf" TargetMode="External"/><Relationship Id="rId37" Type="http://schemas.openxmlformats.org/officeDocument/2006/relationships/hyperlink" Target="https://books.google.com/books?hl=en&amp;lr=&amp;id=ijRZEAAAQBAJ&amp;oi=fnd&amp;pg=PA85&amp;dq=Lighting+and+seating+arrangements++in+sustainability+MICE+event+planning+and+management&amp;ots=7a_N9Mey7d&amp;sig=NQk94yhEJRGvsd0J6BhOvNYQN8o" TargetMode="External"/><Relationship Id="rId40" Type="http://schemas.openxmlformats.org/officeDocument/2006/relationships/hyperlink" Target="https://books.google.com/books?hl=en&amp;lr=&amp;id=o5u4EAAAQBAJ&amp;oi=fnd&amp;pg=PR8&amp;dq=Technology+and+audio-visual+systems+integration+in+sustainability+MICE+event+planning+and+management&amp;ots=7j9_boZTFk&amp;sig=B0AOP1LBfUOIyDotz9KQ-8lKXOs" TargetMode="External"/><Relationship Id="rId45" Type="http://schemas.openxmlformats.org/officeDocument/2006/relationships/hyperlink" Target="https://www.sciencedirect.com/science/article/pii/S0166361520300890" TargetMode="External"/><Relationship Id="rId53" Type="http://schemas.openxmlformats.org/officeDocument/2006/relationships/hyperlink" Target="https://www.researchgate.net/profile/Nguyen-Tien-32/publication/369590648_Sustainable_integration_in_Vietnam's_tourism_industry/links/642542b8a1b72772e437db74/Sustainable-integration-in-Vietnams-tourism-industry.pdf" TargetMode="External"/><Relationship Id="rId58" Type="http://schemas.openxmlformats.org/officeDocument/2006/relationships/hyperlink" Target="https://link.springer.com/article/10.1007/s40558-019-00160-3"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papers.ssrn.com/sol3/papers.cfm?abstract_id=4051469" TargetMode="External"/><Relationship Id="rId19" Type="http://schemas.openxmlformats.org/officeDocument/2006/relationships/hyperlink" Target="https://search.ebscohost.com/login.aspx?direct=true&amp;profile=ehost&amp;scope=site&amp;authtype=crawler&amp;jrnl=22891471&amp;AN=174724528&amp;h=OEq5RMRmKJ%2F8jMZ2nDjWzYOMGcILhaHzDwqVbvcwTJIDH1j2dRy8S6r%2BI2MjCsLCLcrRRlMy%2BKph0TS1J%2Bt7BQ%3D%3D&amp;crl=c" TargetMode="External"/><Relationship Id="rId14" Type="http://schemas.openxmlformats.org/officeDocument/2006/relationships/hyperlink" Target="https://books.google.com/books?hl=en&amp;lr=&amp;id=fbIxEAAAQBAJ&amp;oi=fnd&amp;pg=PR3&amp;dq=Event+Cycle+for+Sustainability+events+summits+in+Hospitality+Industry+&amp;ots=yU5-0ZbmZq&amp;sig=xJkxxzrWjSUhRXMVJyCPHuJWpwk" TargetMode="External"/><Relationship Id="rId22" Type="http://schemas.openxmlformats.org/officeDocument/2006/relationships/hyperlink" Target="https://search.ebscohost.com/login.aspx?direct=true&amp;profile=ehost&amp;scope=site&amp;authtype=crawler&amp;jrnl=22891471&amp;AN=174724528&amp;h=OEq5RMRmKJ%2F8jMZ2nDjWzYOMGcILhaHzDwqVbvcwTJIDH1j2dRy8S6r%2BI2MjCsLCLcrRRlMy%2BKph0TS1J%2Bt7BQ%3D%3D&amp;crl=c" TargetMode="External"/><Relationship Id="rId27"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30" Type="http://schemas.openxmlformats.org/officeDocument/2006/relationships/hyperlink" Target="https://www.taylorfrancis.com/chapters/edit/10.4324/9780429280993-22/event-staging-nicole-ferdinand-nigel-williams" TargetMode="External"/><Relationship Id="rId35" Type="http://schemas.openxmlformats.org/officeDocument/2006/relationships/hyperlink" Target="https://books.google.com/books?hl=en&amp;lr=&amp;id=ijRZEAAAQBAJ&amp;oi=fnd&amp;pg=PA85&amp;dq=Lighting+and+seating+arrangements++in+sustainability+MICE+event+planning+and+management&amp;ots=7a_N9Mey7d&amp;sig=NQk94yhEJRGvsd0J6BhOvNYQN8o" TargetMode="External"/><Relationship Id="rId43" Type="http://schemas.openxmlformats.org/officeDocument/2006/relationships/hyperlink" Target="https://books.google.com/books?hl=en&amp;lr=&amp;id=o5u4EAAAQBAJ&amp;oi=fnd&amp;pg=PR8&amp;dq=Technology+and+audio-visual+systems+integration+in+sustainability+MICE+event+planning+and+management&amp;ots=7j9_boZTFk&amp;sig=B0AOP1LBfUOIyDotz9KQ-8lKXOs" TargetMode="External"/><Relationship Id="rId48" Type="http://schemas.openxmlformats.org/officeDocument/2006/relationships/hyperlink" Target="https://books.google.com/books?hl=en&amp;lr=&amp;id=NWJ6EAAAQBAJ&amp;oi=fnd&amp;pg=PT19&amp;dq=Sustainability+in+Hospitality+Industry+&amp;ots=bgzYfsqVVV&amp;sig=pbbMyeDLVlj-ZlrXaDaAqLiOkaw" TargetMode="External"/><Relationship Id="rId56" Type="http://schemas.openxmlformats.org/officeDocument/2006/relationships/hyperlink" Target="https://www.researchgate.net/profile/Nguyen-Tien-32/publication/369590648_Sustainable_integration_in_Vietnam's_tourism_industry/links/642542b8a1b72772e437db74/Sustainable-integration-in-Vietnams-tourism-industry.pdf" TargetMode="External"/><Relationship Id="rId64" Type="http://schemas.openxmlformats.org/officeDocument/2006/relationships/header" Target="header9.xml"/><Relationship Id="rId8" Type="http://schemas.openxmlformats.org/officeDocument/2006/relationships/header" Target="header2.xml"/><Relationship Id="rId51" Type="http://schemas.openxmlformats.org/officeDocument/2006/relationships/hyperlink" Target="https://www.tandfonline.com/doi/abs/10.1080/13683500.2018.1526258" TargetMode="External"/><Relationship Id="rId3" Type="http://schemas.openxmlformats.org/officeDocument/2006/relationships/settings" Target="settings.xml"/><Relationship Id="rId12" Type="http://schemas.openxmlformats.org/officeDocument/2006/relationships/header" Target="header6.xml"/><Relationship Id="rId17" Type="http://schemas.openxmlformats.org/officeDocument/2006/relationships/hyperlink" Target="https://www.mdpi.com/2071-1050/13/9/5030" TargetMode="External"/><Relationship Id="rId25"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33" Type="http://schemas.openxmlformats.org/officeDocument/2006/relationships/hyperlink" Target="https://scholar.archive.org/work/7hl237oyurevnk4zlcm7w7ctfa/access/wayback/https:/www.civilejournal.org/index.php/cej/article/download/2171/pdf" TargetMode="External"/><Relationship Id="rId38" Type="http://schemas.openxmlformats.org/officeDocument/2006/relationships/hyperlink" Target="https://books.google.com/books?hl=en&amp;lr=&amp;id=ijRZEAAAQBAJ&amp;oi=fnd&amp;pg=PA85&amp;dq=Lighting+and+seating+arrangements++in+sustainability+MICE+event+planning+and+management&amp;ots=7a_N9Mey7d&amp;sig=NQk94yhEJRGvsd0J6BhOvNYQN8o" TargetMode="External"/><Relationship Id="rId46" Type="http://schemas.openxmlformats.org/officeDocument/2006/relationships/hyperlink" Target="https://books.google.com/books?hl=en&amp;lr=&amp;id=NWJ6EAAAQBAJ&amp;oi=fnd&amp;pg=PT19&amp;dq=Sustainability+in+Hospitality+Industry+&amp;ots=bgzYfsqVVV&amp;sig=pbbMyeDLVlj-ZlrXaDaAqLiOkaw" TargetMode="External"/><Relationship Id="rId59" Type="http://schemas.openxmlformats.org/officeDocument/2006/relationships/hyperlink" Target="https://onlinelibrary.wiley.com/doi/abs/10.1002/bse.2420" TargetMode="External"/><Relationship Id="rId20" Type="http://schemas.openxmlformats.org/officeDocument/2006/relationships/hyperlink" Target="https://search.ebscohost.com/login.aspx?direct=true&amp;profile=ehost&amp;scope=site&amp;authtype=crawler&amp;jrnl=22891471&amp;AN=174724528&amp;h=OEq5RMRmKJ%2F8jMZ2nDjWzYOMGcILhaHzDwqVbvcwTJIDH1j2dRy8S6r%2BI2MjCsLCLcrRRlMy%2BKph0TS1J%2Bt7BQ%3D%3D&amp;crl=c" TargetMode="External"/><Relationship Id="rId41" Type="http://schemas.openxmlformats.org/officeDocument/2006/relationships/hyperlink" Target="https://books.google.com/books?hl=en&amp;lr=&amp;id=o5u4EAAAQBAJ&amp;oi=fnd&amp;pg=PR8&amp;dq=Technology+and+audio-visual+systems+integration+in+sustainability+MICE+event+planning+and+management&amp;ots=7j9_boZTFk&amp;sig=B0AOP1LBfUOIyDotz9KQ-8lKXOs" TargetMode="External"/><Relationship Id="rId54" Type="http://schemas.openxmlformats.org/officeDocument/2006/relationships/hyperlink" Target="https://www.researchgate.net/profile/Nguyen-Tien-32/publication/369590648_Sustainable_integration_in_Vietnam's_tourism_industry/links/642542b8a1b72772e437db74/Sustainable-integration-in-Vietnams-tourism-industry.pdf" TargetMode="External"/><Relationship Id="rId62"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ooks.google.com/books?hl=en&amp;lr=&amp;id=fbIxEAAAQBAJ&amp;oi=fnd&amp;pg=PR3&amp;dq=Event+Cycle+for+Sustainability+events+summits+in+Hospitality+Industry+&amp;ots=yU5-0ZbmZq&amp;sig=xJkxxzrWjSUhRXMVJyCPHuJWpwk" TargetMode="External"/><Relationship Id="rId23"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28"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36" Type="http://schemas.openxmlformats.org/officeDocument/2006/relationships/hyperlink" Target="https://books.google.com/books?hl=en&amp;lr=&amp;id=ijRZEAAAQBAJ&amp;oi=fnd&amp;pg=PA85&amp;dq=Lighting+and+seating+arrangements++in+sustainability+MICE+event+planning+and+management&amp;ots=7a_N9Mey7d&amp;sig=NQk94yhEJRGvsd0J6BhOvNYQN8o" TargetMode="External"/><Relationship Id="rId49" Type="http://schemas.openxmlformats.org/officeDocument/2006/relationships/hyperlink" Target="https://www.taylorfrancis.com/chapters/oa-edit/10.4324/9781003314295-1/events-sustainability-making-events-sustainable-enough-judith-mair-andrew-smith" TargetMode="External"/><Relationship Id="rId57" Type="http://schemas.openxmlformats.org/officeDocument/2006/relationships/hyperlink" Target="https://www.ingentaconnect.com/content/cog/em/2023/00000027/00000008/art00005" TargetMode="External"/><Relationship Id="rId10" Type="http://schemas.openxmlformats.org/officeDocument/2006/relationships/header" Target="header4.xml"/><Relationship Id="rId31" Type="http://schemas.openxmlformats.org/officeDocument/2006/relationships/hyperlink" Target="https://www.taylorfrancis.com/chapters/edit/10.4324/9780429280993-22/event-staging-nicole-ferdinand-nigel-williams" TargetMode="External"/><Relationship Id="rId44" Type="http://schemas.openxmlformats.org/officeDocument/2006/relationships/hyperlink" Target="https://www.sciencedirect.com/science/article/pii/S0166361520305340" TargetMode="External"/><Relationship Id="rId52" Type="http://schemas.openxmlformats.org/officeDocument/2006/relationships/hyperlink" Target="https://www.sciencedirect.com/science/article/pii/S0959652620352549" TargetMode="External"/><Relationship Id="rId60" Type="http://schemas.openxmlformats.org/officeDocument/2006/relationships/hyperlink" Target="https://www.mdpi.com/2071-1050/14/1/307"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3" Type="http://schemas.openxmlformats.org/officeDocument/2006/relationships/hyperlink" Target="https://books.google.com/books?hl=en&amp;lr=&amp;id=fbIxEAAAQBAJ&amp;oi=fnd&amp;pg=PR3&amp;dq=Event+Cycle+for+Sustainability+events+summits+in+Hospitality+Industry+&amp;ots=yU5-0ZbmZq&amp;sig=xJkxxzrWjSUhRXMVJyCPHuJWpwk" TargetMode="External"/><Relationship Id="rId18" Type="http://schemas.openxmlformats.org/officeDocument/2006/relationships/hyperlink" Target="https://ir.uitm.edu.my/id/eprint/29153/" TargetMode="External"/><Relationship Id="rId39" Type="http://schemas.openxmlformats.org/officeDocument/2006/relationships/hyperlink" Target="https://www.tandfonline.com/doi/abs/10.1080/09669582.2021.1903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5363</Words>
  <Characters>30572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Cornea</dc:creator>
  <cp:keywords/>
  <cp:lastModifiedBy>Rodica Cornea</cp:lastModifiedBy>
  <cp:revision>2</cp:revision>
  <dcterms:created xsi:type="dcterms:W3CDTF">2024-03-01T21:27:00Z</dcterms:created>
  <dcterms:modified xsi:type="dcterms:W3CDTF">2024-03-01T21:27:00Z</dcterms:modified>
</cp:coreProperties>
</file>