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74E88" w14:textId="77777777" w:rsidR="00C605F5" w:rsidRPr="00CC71F2" w:rsidRDefault="00C605F5" w:rsidP="00C605F5">
      <w:pPr>
        <w:jc w:val="center"/>
        <w:rPr>
          <w:rFonts w:ascii="Times New Roman" w:hAnsi="Times New Roman" w:cs="Times New Roman"/>
          <w:b/>
          <w:bCs/>
          <w:sz w:val="36"/>
          <w:szCs w:val="36"/>
        </w:rPr>
      </w:pPr>
      <w:r w:rsidRPr="00CC71F2">
        <w:rPr>
          <w:rFonts w:ascii="Times New Roman" w:hAnsi="Times New Roman" w:cs="Times New Roman"/>
          <w:b/>
          <w:bCs/>
          <w:sz w:val="36"/>
          <w:szCs w:val="36"/>
        </w:rPr>
        <w:t>Social Work Practise with Immigrants and Refugees: The Effect of Cultural Variations on Mental Health Support</w:t>
      </w:r>
    </w:p>
    <w:p w14:paraId="655EEC93" w14:textId="77777777" w:rsidR="00C605F5" w:rsidRDefault="00C605F5" w:rsidP="00C605F5">
      <w:pPr>
        <w:jc w:val="center"/>
      </w:pPr>
    </w:p>
    <w:p w14:paraId="0D5EE368" w14:textId="77777777" w:rsidR="003527DC" w:rsidRDefault="003527DC" w:rsidP="00C605F5">
      <w:pPr>
        <w:jc w:val="center"/>
      </w:pPr>
    </w:p>
    <w:p w14:paraId="102B0296" w14:textId="0D9B4966" w:rsidR="003527DC" w:rsidRDefault="003527DC" w:rsidP="003527DC">
      <w:pPr>
        <w:rPr>
          <w:rFonts w:ascii="Times New Roman" w:hAnsi="Times New Roman" w:cs="Times New Roman"/>
          <w:b/>
          <w:bCs/>
          <w:sz w:val="32"/>
          <w:szCs w:val="32"/>
        </w:rPr>
      </w:pPr>
      <w:r w:rsidRPr="003527DC">
        <w:rPr>
          <w:rFonts w:ascii="Times New Roman" w:hAnsi="Times New Roman" w:cs="Times New Roman"/>
          <w:b/>
          <w:bCs/>
          <w:sz w:val="32"/>
          <w:szCs w:val="32"/>
        </w:rPr>
        <w:t>Introduction</w:t>
      </w:r>
    </w:p>
    <w:p w14:paraId="15864D03" w14:textId="77777777" w:rsidR="009B47A8" w:rsidRPr="003527DC" w:rsidRDefault="009B47A8" w:rsidP="003527DC">
      <w:pPr>
        <w:rPr>
          <w:rFonts w:ascii="Times New Roman" w:hAnsi="Times New Roman" w:cs="Times New Roman"/>
          <w:b/>
          <w:bCs/>
          <w:sz w:val="32"/>
          <w:szCs w:val="32"/>
        </w:rPr>
      </w:pPr>
    </w:p>
    <w:p w14:paraId="1AC80D06" w14:textId="4B750D6E" w:rsidR="00EC5CC1" w:rsidRDefault="00DD4AFE" w:rsidP="00DD4AFE">
      <w:pPr>
        <w:spacing w:line="360" w:lineRule="auto"/>
      </w:pPr>
      <w:r w:rsidRPr="0025092F">
        <w:rPr>
          <w:rFonts w:ascii="Times New Roman" w:hAnsi="Times New Roman" w:cs="Times New Roman"/>
          <w:sz w:val="28"/>
          <w:szCs w:val="28"/>
        </w:rPr>
        <w:t>Understanding the many attitudes, ideas, and views regarding mental health that exist within immigrant and refugee groups is essential to embracing cultural competency in social work. Members of these groups come from a variety of cultural backgrounds, and each one has a distinct viewpoint that shapes how they view mental health. Respecting and embracing these varied points of view into mental health care is necessary to achieve true cultural competency.</w:t>
      </w:r>
      <w:r w:rsidR="00EC5CC1" w:rsidRPr="00EC5CC1">
        <w:t xml:space="preserve"> </w:t>
      </w:r>
    </w:p>
    <w:p w14:paraId="2B2E28F1" w14:textId="54E4113B" w:rsidR="00FD04F6" w:rsidRPr="00FD04F6" w:rsidRDefault="00FD04F6" w:rsidP="00DD4AFE">
      <w:pPr>
        <w:spacing w:line="360" w:lineRule="auto"/>
        <w:rPr>
          <w:rFonts w:ascii="Times New Roman" w:hAnsi="Times New Roman" w:cs="Times New Roman"/>
          <w:sz w:val="28"/>
          <w:szCs w:val="28"/>
        </w:rPr>
      </w:pPr>
      <w:r w:rsidRPr="00FD04F6">
        <w:rPr>
          <w:rFonts w:ascii="Times New Roman" w:hAnsi="Times New Roman" w:cs="Times New Roman"/>
          <w:sz w:val="28"/>
          <w:szCs w:val="28"/>
        </w:rPr>
        <w:t>A refugee is forced to leave their country because of oppression, war, or violence who fears har</w:t>
      </w:r>
      <w:r>
        <w:rPr>
          <w:rFonts w:ascii="Times New Roman" w:hAnsi="Times New Roman" w:cs="Times New Roman"/>
          <w:sz w:val="28"/>
          <w:szCs w:val="28"/>
        </w:rPr>
        <w:t>m</w:t>
      </w:r>
      <w:r w:rsidRPr="00FD04F6">
        <w:rPr>
          <w:rFonts w:ascii="Times New Roman" w:hAnsi="Times New Roman" w:cs="Times New Roman"/>
          <w:sz w:val="28"/>
          <w:szCs w:val="28"/>
        </w:rPr>
        <w:t xml:space="preserve"> of their race, religion, nationality, political viewpoint, or social group connection, according to De Coninck (2019). On the other hand, voluntary migration is the result of individual circumstances</w:t>
      </w:r>
      <w:r>
        <w:rPr>
          <w:rFonts w:ascii="Times New Roman" w:hAnsi="Times New Roman" w:cs="Times New Roman"/>
          <w:sz w:val="28"/>
          <w:szCs w:val="28"/>
        </w:rPr>
        <w:t>.</w:t>
      </w:r>
    </w:p>
    <w:p w14:paraId="3114C2EC" w14:textId="12BCEDC4" w:rsidR="00A02A40" w:rsidRDefault="00A02A40" w:rsidP="00DD4AFE">
      <w:pPr>
        <w:spacing w:line="360" w:lineRule="auto"/>
        <w:rPr>
          <w:rFonts w:ascii="Times New Roman" w:hAnsi="Times New Roman" w:cs="Times New Roman"/>
          <w:sz w:val="28"/>
          <w:szCs w:val="28"/>
        </w:rPr>
      </w:pPr>
      <w:r w:rsidRPr="00A02A40">
        <w:rPr>
          <w:rFonts w:ascii="Times New Roman" w:hAnsi="Times New Roman" w:cs="Times New Roman"/>
          <w:sz w:val="28"/>
          <w:szCs w:val="28"/>
        </w:rPr>
        <w:t>Through addressing issues like limited resources, unfriendly attitudes, and social barriers, social workers play a critical role in supporting immigrants' integration (Viola et al., 2018). According to Bustamante et al. (2017), exposure to stressful situations puts about 244 million migrants globally at risk for mental health issues such depression, PTSD, and psychosis. These mental health problems are closely linked to stress and trauma resulting from family separation, and urban violence.</w:t>
      </w:r>
    </w:p>
    <w:p w14:paraId="034FE35F" w14:textId="0735D74E" w:rsidR="00A02A40" w:rsidRPr="0025092F" w:rsidRDefault="00A02A40" w:rsidP="00DD4AFE">
      <w:pPr>
        <w:spacing w:line="360" w:lineRule="auto"/>
        <w:rPr>
          <w:rFonts w:ascii="Times New Roman" w:hAnsi="Times New Roman" w:cs="Times New Roman"/>
          <w:sz w:val="28"/>
          <w:szCs w:val="28"/>
        </w:rPr>
      </w:pPr>
      <w:r w:rsidRPr="00A02A40">
        <w:rPr>
          <w:rFonts w:ascii="Times New Roman" w:hAnsi="Times New Roman" w:cs="Times New Roman"/>
          <w:sz w:val="28"/>
          <w:szCs w:val="28"/>
        </w:rPr>
        <w:t>Premigration, migration, and postmigration resettlement are the three stages of migration, and each is associated with distinct mental health difficulties, such as communication difficulties, cultural influences on coping mechanisms, changing family dynamics, and difficulties integrating (</w:t>
      </w:r>
      <w:proofErr w:type="spellStart"/>
      <w:r w:rsidRPr="00A02A40">
        <w:rPr>
          <w:rFonts w:ascii="Times New Roman" w:hAnsi="Times New Roman" w:cs="Times New Roman"/>
          <w:sz w:val="28"/>
          <w:szCs w:val="28"/>
        </w:rPr>
        <w:t>Kirmayer</w:t>
      </w:r>
      <w:proofErr w:type="spellEnd"/>
      <w:r w:rsidRPr="00A02A40">
        <w:rPr>
          <w:rFonts w:ascii="Times New Roman" w:hAnsi="Times New Roman" w:cs="Times New Roman"/>
          <w:sz w:val="28"/>
          <w:szCs w:val="28"/>
        </w:rPr>
        <w:t xml:space="preserve"> et al., 2010). </w:t>
      </w:r>
      <w:r w:rsidRPr="00A02A40">
        <w:rPr>
          <w:rFonts w:ascii="Times New Roman" w:hAnsi="Times New Roman" w:cs="Times New Roman"/>
          <w:sz w:val="28"/>
          <w:szCs w:val="28"/>
        </w:rPr>
        <w:lastRenderedPageBreak/>
        <w:t xml:space="preserve">Immigrants' views of mental health services and treatment-seeking behaviours are greatly influenced by overlapping cultural, spiritual, and traditional healing beliefs. </w:t>
      </w:r>
      <w:r w:rsidR="000113B4" w:rsidRPr="00A02A40">
        <w:rPr>
          <w:rFonts w:ascii="Times New Roman" w:hAnsi="Times New Roman" w:cs="Times New Roman"/>
          <w:sz w:val="28"/>
          <w:szCs w:val="28"/>
        </w:rPr>
        <w:t>To</w:t>
      </w:r>
      <w:r w:rsidRPr="00A02A40">
        <w:rPr>
          <w:rFonts w:ascii="Times New Roman" w:hAnsi="Times New Roman" w:cs="Times New Roman"/>
          <w:sz w:val="28"/>
          <w:szCs w:val="28"/>
        </w:rPr>
        <w:t xml:space="preserve"> </w:t>
      </w:r>
      <w:r w:rsidR="00E56454" w:rsidRPr="00A02A40">
        <w:rPr>
          <w:rFonts w:ascii="Times New Roman" w:hAnsi="Times New Roman" w:cs="Times New Roman"/>
          <w:sz w:val="28"/>
          <w:szCs w:val="28"/>
        </w:rPr>
        <w:t>treat immigrant communities effectively and respectfully</w:t>
      </w:r>
      <w:r w:rsidRPr="00A02A40">
        <w:rPr>
          <w:rFonts w:ascii="Times New Roman" w:hAnsi="Times New Roman" w:cs="Times New Roman"/>
          <w:sz w:val="28"/>
          <w:szCs w:val="28"/>
        </w:rPr>
        <w:t xml:space="preserve"> according to their needs, mental health practitioners must have a thorough understanding of these cultural frameworks (Miller &amp; Rasmussen, 2010).</w:t>
      </w:r>
    </w:p>
    <w:p w14:paraId="5711C965" w14:textId="7F026A4E" w:rsidR="00A02A40" w:rsidRPr="0025092F" w:rsidRDefault="00A02A40" w:rsidP="00DD4AFE">
      <w:pPr>
        <w:spacing w:line="360" w:lineRule="auto"/>
        <w:rPr>
          <w:rFonts w:ascii="Times New Roman" w:hAnsi="Times New Roman" w:cs="Times New Roman"/>
          <w:sz w:val="28"/>
          <w:szCs w:val="28"/>
        </w:rPr>
      </w:pPr>
      <w:r w:rsidRPr="00A02A40">
        <w:rPr>
          <w:rFonts w:ascii="Times New Roman" w:hAnsi="Times New Roman" w:cs="Times New Roman"/>
          <w:sz w:val="28"/>
          <w:szCs w:val="28"/>
        </w:rPr>
        <w:t xml:space="preserve">According to </w:t>
      </w:r>
      <w:proofErr w:type="spellStart"/>
      <w:r w:rsidRPr="00A02A40">
        <w:rPr>
          <w:rFonts w:ascii="Times New Roman" w:hAnsi="Times New Roman" w:cs="Times New Roman"/>
          <w:sz w:val="28"/>
          <w:szCs w:val="28"/>
        </w:rPr>
        <w:t>Hagues</w:t>
      </w:r>
      <w:proofErr w:type="spellEnd"/>
      <w:r w:rsidRPr="00A02A40">
        <w:rPr>
          <w:rFonts w:ascii="Times New Roman" w:hAnsi="Times New Roman" w:cs="Times New Roman"/>
          <w:sz w:val="28"/>
          <w:szCs w:val="28"/>
        </w:rPr>
        <w:t xml:space="preserve"> et al. (2019), those who are in grave danger of violence or repression must leave their home country </w:t>
      </w:r>
      <w:r w:rsidR="000113B4" w:rsidRPr="00A02A40">
        <w:rPr>
          <w:rFonts w:ascii="Times New Roman" w:hAnsi="Times New Roman" w:cs="Times New Roman"/>
          <w:sz w:val="28"/>
          <w:szCs w:val="28"/>
        </w:rPr>
        <w:t>to</w:t>
      </w:r>
      <w:r w:rsidRPr="00A02A40">
        <w:rPr>
          <w:rFonts w:ascii="Times New Roman" w:hAnsi="Times New Roman" w:cs="Times New Roman"/>
          <w:sz w:val="28"/>
          <w:szCs w:val="28"/>
        </w:rPr>
        <w:t xml:space="preserve"> be considered refugees. This uprooting, along with acculturation and cultural changes, profoundly affects how they see mental health. Their views regarding mental health and seeking therapy are influenced by their experiences with war, displacement, and great adversity (Chang-Muy &amp; </w:t>
      </w:r>
      <w:proofErr w:type="spellStart"/>
      <w:r w:rsidRPr="00A02A40">
        <w:rPr>
          <w:rFonts w:ascii="Times New Roman" w:hAnsi="Times New Roman" w:cs="Times New Roman"/>
          <w:sz w:val="28"/>
          <w:szCs w:val="28"/>
        </w:rPr>
        <w:t>Dsw</w:t>
      </w:r>
      <w:proofErr w:type="spellEnd"/>
      <w:r w:rsidRPr="00A02A40">
        <w:rPr>
          <w:rFonts w:ascii="Times New Roman" w:hAnsi="Times New Roman" w:cs="Times New Roman"/>
          <w:sz w:val="28"/>
          <w:szCs w:val="28"/>
        </w:rPr>
        <w:t>, 2015). The inability of refugees to express their mental health issues due to language barriers highlights the importance of culturally responsive therapies (Steel et al., 2009).</w:t>
      </w:r>
    </w:p>
    <w:p w14:paraId="2C11E6E4" w14:textId="6B784C89" w:rsidR="003527DC" w:rsidRDefault="00A02A40" w:rsidP="00C605F5">
      <w:pPr>
        <w:spacing w:line="360" w:lineRule="auto"/>
        <w:rPr>
          <w:rFonts w:ascii="Times New Roman" w:hAnsi="Times New Roman" w:cs="Times New Roman"/>
          <w:sz w:val="28"/>
          <w:szCs w:val="28"/>
        </w:rPr>
      </w:pPr>
      <w:r w:rsidRPr="00A02A40">
        <w:rPr>
          <w:rFonts w:ascii="Times New Roman" w:hAnsi="Times New Roman" w:cs="Times New Roman"/>
          <w:sz w:val="28"/>
          <w:szCs w:val="28"/>
        </w:rPr>
        <w:t>When working with immigrant and refugee communities, social workers ought to do more than just recognise cultural differences. Being culturally competent means having a thorough awareness of and respect for the various cultures that these groups represent. Ongoing learning and self-reflection are essential to assess their biases and values impacting relationships. Social workers can embrace different viewpoints without forcing their own opinions on their clients by adopting a culturally humble stance (Betancourt et al., 2005).</w:t>
      </w:r>
    </w:p>
    <w:p w14:paraId="0323E252" w14:textId="77777777" w:rsidR="004B5F58" w:rsidRDefault="004B5F58" w:rsidP="00C605F5">
      <w:pPr>
        <w:spacing w:line="360" w:lineRule="auto"/>
        <w:rPr>
          <w:rFonts w:ascii="Times New Roman" w:hAnsi="Times New Roman" w:cs="Times New Roman"/>
          <w:sz w:val="28"/>
          <w:szCs w:val="28"/>
        </w:rPr>
      </w:pPr>
    </w:p>
    <w:p w14:paraId="3696F054" w14:textId="12AE10D3" w:rsidR="000113B4" w:rsidRPr="004B5F58" w:rsidRDefault="004B5F58" w:rsidP="004B5F58">
      <w:pPr>
        <w:spacing w:line="360" w:lineRule="auto"/>
        <w:rPr>
          <w:rFonts w:ascii="Times New Roman" w:hAnsi="Times New Roman" w:cs="Times New Roman"/>
          <w:b/>
          <w:bCs/>
          <w:sz w:val="32"/>
          <w:szCs w:val="32"/>
        </w:rPr>
      </w:pPr>
      <w:r w:rsidRPr="004B5F58">
        <w:rPr>
          <w:rFonts w:ascii="Times New Roman" w:hAnsi="Times New Roman" w:cs="Times New Roman"/>
          <w:b/>
          <w:bCs/>
          <w:sz w:val="32"/>
          <w:szCs w:val="32"/>
        </w:rPr>
        <w:t>How my attitudes, beliefs and mental perceptions influence my professional practice with immigrants and refugees</w:t>
      </w:r>
      <w:r>
        <w:rPr>
          <w:rFonts w:ascii="Times New Roman" w:hAnsi="Times New Roman" w:cs="Times New Roman"/>
          <w:b/>
          <w:bCs/>
          <w:sz w:val="32"/>
          <w:szCs w:val="32"/>
        </w:rPr>
        <w:t>.</w:t>
      </w:r>
    </w:p>
    <w:p w14:paraId="0951EEF4" w14:textId="76F51534" w:rsidR="005A3E1B" w:rsidRPr="0025092F" w:rsidRDefault="005A3E1B" w:rsidP="005A3E1B">
      <w:pPr>
        <w:spacing w:line="360" w:lineRule="auto"/>
        <w:rPr>
          <w:rFonts w:ascii="Times New Roman" w:hAnsi="Times New Roman" w:cs="Times New Roman"/>
          <w:sz w:val="28"/>
          <w:szCs w:val="28"/>
        </w:rPr>
      </w:pPr>
      <w:r w:rsidRPr="0025092F">
        <w:rPr>
          <w:rFonts w:ascii="Times New Roman" w:hAnsi="Times New Roman" w:cs="Times New Roman"/>
          <w:sz w:val="28"/>
          <w:szCs w:val="28"/>
        </w:rPr>
        <w:t xml:space="preserve">It is necessary to modify assessment instruments, treatment philosophies, and communication techniques </w:t>
      </w:r>
      <w:proofErr w:type="gramStart"/>
      <w:r w:rsidRPr="0025092F">
        <w:rPr>
          <w:rFonts w:ascii="Times New Roman" w:hAnsi="Times New Roman" w:cs="Times New Roman"/>
          <w:sz w:val="28"/>
          <w:szCs w:val="28"/>
        </w:rPr>
        <w:t>in order to</w:t>
      </w:r>
      <w:proofErr w:type="gramEnd"/>
      <w:r w:rsidRPr="0025092F">
        <w:rPr>
          <w:rFonts w:ascii="Times New Roman" w:hAnsi="Times New Roman" w:cs="Times New Roman"/>
          <w:sz w:val="28"/>
          <w:szCs w:val="28"/>
        </w:rPr>
        <w:t xml:space="preserve"> provide culturally sensitive therapies that reflect the cultural values and beliefs that are common among immigrants and refugees. Using non-verbal clues, using language interpreters when needed, and </w:t>
      </w:r>
      <w:r w:rsidRPr="0025092F">
        <w:rPr>
          <w:rFonts w:ascii="Times New Roman" w:hAnsi="Times New Roman" w:cs="Times New Roman"/>
          <w:sz w:val="28"/>
          <w:szCs w:val="28"/>
        </w:rPr>
        <w:lastRenderedPageBreak/>
        <w:t>paying attention to cultural quirks during conversations are all essential components of effective communication (</w:t>
      </w:r>
      <w:proofErr w:type="spellStart"/>
      <w:r w:rsidRPr="0025092F">
        <w:rPr>
          <w:rFonts w:ascii="Times New Roman" w:hAnsi="Times New Roman" w:cs="Times New Roman"/>
          <w:sz w:val="28"/>
          <w:szCs w:val="28"/>
        </w:rPr>
        <w:t>Kirmayer</w:t>
      </w:r>
      <w:proofErr w:type="spellEnd"/>
      <w:r w:rsidRPr="0025092F">
        <w:rPr>
          <w:rFonts w:ascii="Times New Roman" w:hAnsi="Times New Roman" w:cs="Times New Roman"/>
          <w:sz w:val="28"/>
          <w:szCs w:val="28"/>
        </w:rPr>
        <w:t xml:space="preserve"> et al., 2010).</w:t>
      </w:r>
      <w:r w:rsidR="00C31E60" w:rsidRPr="0025092F">
        <w:rPr>
          <w:rFonts w:ascii="Times New Roman" w:hAnsi="Times New Roman" w:cs="Times New Roman"/>
          <w:sz w:val="28"/>
          <w:szCs w:val="28"/>
        </w:rPr>
        <w:t xml:space="preserve"> </w:t>
      </w:r>
      <w:proofErr w:type="gramStart"/>
      <w:r w:rsidR="006A28B4" w:rsidRPr="0025092F">
        <w:rPr>
          <w:rFonts w:ascii="Times New Roman" w:hAnsi="Times New Roman" w:cs="Times New Roman"/>
          <w:sz w:val="28"/>
          <w:szCs w:val="28"/>
        </w:rPr>
        <w:t>In order to</w:t>
      </w:r>
      <w:proofErr w:type="gramEnd"/>
      <w:r w:rsidR="006A28B4" w:rsidRPr="0025092F">
        <w:rPr>
          <w:rFonts w:ascii="Times New Roman" w:hAnsi="Times New Roman" w:cs="Times New Roman"/>
          <w:sz w:val="28"/>
          <w:szCs w:val="28"/>
        </w:rPr>
        <w:t xml:space="preserve"> build trust, Clayden and </w:t>
      </w:r>
      <w:proofErr w:type="spellStart"/>
      <w:r w:rsidR="006A28B4" w:rsidRPr="0025092F">
        <w:rPr>
          <w:rFonts w:ascii="Times New Roman" w:hAnsi="Times New Roman" w:cs="Times New Roman"/>
          <w:sz w:val="28"/>
          <w:szCs w:val="28"/>
        </w:rPr>
        <w:t>Coohey</w:t>
      </w:r>
      <w:proofErr w:type="spellEnd"/>
      <w:r w:rsidR="006A28B4" w:rsidRPr="0025092F">
        <w:rPr>
          <w:rFonts w:ascii="Times New Roman" w:hAnsi="Times New Roman" w:cs="Times New Roman"/>
          <w:sz w:val="28"/>
          <w:szCs w:val="28"/>
        </w:rPr>
        <w:t xml:space="preserve"> (2022) point out that while seeking appropriate care, refugees and immigrants face international obstacles such language limitations, stigma, cultural views, and confidentiality issues. Social professionals who improve their empathy, flexibility, and self-assurance in handling refugee needs can overcome these obstacles. Staff training on cross-cultural awareness and skill development specific to immigrant groups is necessary to improve service delivery. By using culturally sensitive therapies, comprehending other worldviews, and adopting cultural humility, social workers improve mental health care for immigrants and refugees while guaranteeing inclusive and sympathetic support.</w:t>
      </w:r>
    </w:p>
    <w:p w14:paraId="12415FD8" w14:textId="03C83F25" w:rsidR="004F0D17" w:rsidRPr="0025092F" w:rsidRDefault="004F0D17" w:rsidP="005A3E1B">
      <w:pPr>
        <w:spacing w:line="360" w:lineRule="auto"/>
        <w:rPr>
          <w:rFonts w:ascii="Times New Roman" w:hAnsi="Times New Roman" w:cs="Times New Roman"/>
          <w:sz w:val="28"/>
          <w:szCs w:val="28"/>
        </w:rPr>
      </w:pPr>
      <w:r w:rsidRPr="0025092F">
        <w:rPr>
          <w:rFonts w:ascii="Times New Roman" w:hAnsi="Times New Roman" w:cs="Times New Roman"/>
          <w:sz w:val="28"/>
          <w:szCs w:val="28"/>
        </w:rPr>
        <w:t>My conviction regarding the inherent worth of cultural diversity is well compatible with social work frameworks. Acknowledging the various contributions that immigrants make to society—such as their distinct viewpoints, abilities, and resources—highlights the value of cross-cultural interaction. This viewpoint not only recognises their important contributions, but it also improves my capacity to interact with immigrant communities in a genuine and productive manner.</w:t>
      </w:r>
      <w:r w:rsidR="00793181" w:rsidRPr="0025092F">
        <w:rPr>
          <w:rFonts w:ascii="Times New Roman" w:hAnsi="Times New Roman" w:cs="Times New Roman"/>
          <w:sz w:val="28"/>
          <w:szCs w:val="28"/>
        </w:rPr>
        <w:t xml:space="preserve"> It is important</w:t>
      </w:r>
      <w:r w:rsidR="00155A86" w:rsidRPr="0025092F">
        <w:rPr>
          <w:rFonts w:ascii="Times New Roman" w:hAnsi="Times New Roman" w:cs="Times New Roman"/>
          <w:sz w:val="28"/>
          <w:szCs w:val="28"/>
        </w:rPr>
        <w:t xml:space="preserve"> to </w:t>
      </w:r>
      <w:r w:rsidR="00793181" w:rsidRPr="0025092F">
        <w:rPr>
          <w:rFonts w:ascii="Times New Roman" w:hAnsi="Times New Roman" w:cs="Times New Roman"/>
          <w:sz w:val="28"/>
          <w:szCs w:val="28"/>
        </w:rPr>
        <w:t>acknowledge the adaptability and tenacity of immigrants in facing difficulties. It shows a great deal of respect for their abilities and strengths to recognise and value their ability to overcome adversity and traverse strange surroundings. Additionally, it creates the groundwork for empowering and assisting people on their path to wellbeing and integration.</w:t>
      </w:r>
      <w:r w:rsidR="00793181" w:rsidRPr="0025092F">
        <w:rPr>
          <w:sz w:val="28"/>
          <w:szCs w:val="28"/>
        </w:rPr>
        <w:t xml:space="preserve"> </w:t>
      </w:r>
      <w:r w:rsidR="00793181" w:rsidRPr="0025092F">
        <w:rPr>
          <w:rFonts w:ascii="Times New Roman" w:hAnsi="Times New Roman" w:cs="Times New Roman"/>
          <w:sz w:val="28"/>
          <w:szCs w:val="28"/>
        </w:rPr>
        <w:t xml:space="preserve">According to Schouler-Ocak et al. (2015), the idea of cultural competency emphasises a crucial component of efficient therapeutic practice. It highlights how important it is for social workers and therapists to see through their own cultural prism and actively consider and comprehend the cultural values, beliefs, and biases of their clients. This method acknowledges and </w:t>
      </w:r>
      <w:r w:rsidR="00793181" w:rsidRPr="0025092F">
        <w:rPr>
          <w:rFonts w:ascii="Times New Roman" w:hAnsi="Times New Roman" w:cs="Times New Roman"/>
          <w:sz w:val="28"/>
          <w:szCs w:val="28"/>
        </w:rPr>
        <w:lastRenderedPageBreak/>
        <w:t>respects the cultural diversity present in the therapy partnership, fostering a deeper connection, trust, and more effective interventions. My adherence to these criteria of good clinical practice demonstrates my dedication to offering treatments that are courteous and sensitive to cultural differences. It displays an awareness that real appreciation and sensitivity of the varied cultural origins and viewpoints of immigrant groups, in addition to professional competence, are necessary for effective engagement with immigrant populations. This method establishes the foundation for developing rapport, establishing trust, and enabling more significant and successful interventions in the field of social work.</w:t>
      </w:r>
    </w:p>
    <w:p w14:paraId="749825A5" w14:textId="2EB76569" w:rsidR="006A28B4" w:rsidRPr="0025092F" w:rsidRDefault="00C31E60" w:rsidP="00BB6B3F">
      <w:pPr>
        <w:spacing w:line="360" w:lineRule="auto"/>
        <w:rPr>
          <w:rFonts w:ascii="Times New Roman" w:hAnsi="Times New Roman" w:cs="Times New Roman"/>
          <w:sz w:val="28"/>
          <w:szCs w:val="28"/>
        </w:rPr>
      </w:pPr>
      <w:r w:rsidRPr="0025092F">
        <w:rPr>
          <w:rFonts w:ascii="Times New Roman" w:hAnsi="Times New Roman" w:cs="Times New Roman"/>
          <w:sz w:val="28"/>
          <w:szCs w:val="28"/>
        </w:rPr>
        <w:t xml:space="preserve"> </w:t>
      </w:r>
      <w:r w:rsidR="00284668" w:rsidRPr="0025092F">
        <w:rPr>
          <w:rFonts w:ascii="Times New Roman" w:hAnsi="Times New Roman" w:cs="Times New Roman"/>
          <w:sz w:val="28"/>
          <w:szCs w:val="28"/>
        </w:rPr>
        <w:t>I am, however, aware that prejudices or unfavourable opinions on immigrants may predominate in some social work circles. These prejudices have the potential to affect the degree of assistance given and obstruct the growth of trustworthy connections.</w:t>
      </w:r>
      <w:r w:rsidR="00CB7EAE" w:rsidRPr="0025092F">
        <w:rPr>
          <w:sz w:val="28"/>
          <w:szCs w:val="28"/>
        </w:rPr>
        <w:t xml:space="preserve"> </w:t>
      </w:r>
      <w:r w:rsidR="00CB7EAE" w:rsidRPr="0025092F">
        <w:rPr>
          <w:rFonts w:ascii="Times New Roman" w:hAnsi="Times New Roman" w:cs="Times New Roman"/>
          <w:sz w:val="28"/>
          <w:szCs w:val="28"/>
        </w:rPr>
        <w:t xml:space="preserve">Featherston et al. (2018) state that social workers make decisions about providing social services by using clinical reasoning. The processing of information is influenced by limited cognitive resources. Instead of </w:t>
      </w:r>
      <w:r w:rsidR="001B39BA" w:rsidRPr="0025092F">
        <w:rPr>
          <w:rFonts w:ascii="Times New Roman" w:hAnsi="Times New Roman" w:cs="Times New Roman"/>
          <w:sz w:val="28"/>
          <w:szCs w:val="28"/>
        </w:rPr>
        <w:t>considering</w:t>
      </w:r>
      <w:r w:rsidR="00CB7EAE" w:rsidRPr="0025092F">
        <w:rPr>
          <w:rFonts w:ascii="Times New Roman" w:hAnsi="Times New Roman" w:cs="Times New Roman"/>
          <w:sz w:val="28"/>
          <w:szCs w:val="28"/>
        </w:rPr>
        <w:t xml:space="preserve"> </w:t>
      </w:r>
      <w:proofErr w:type="gramStart"/>
      <w:r w:rsidR="00CB7EAE" w:rsidRPr="0025092F">
        <w:rPr>
          <w:rFonts w:ascii="Times New Roman" w:hAnsi="Times New Roman" w:cs="Times New Roman"/>
          <w:sz w:val="28"/>
          <w:szCs w:val="28"/>
        </w:rPr>
        <w:t>all of</w:t>
      </w:r>
      <w:proofErr w:type="gramEnd"/>
      <w:r w:rsidR="00CB7EAE" w:rsidRPr="0025092F">
        <w:rPr>
          <w:rFonts w:ascii="Times New Roman" w:hAnsi="Times New Roman" w:cs="Times New Roman"/>
          <w:sz w:val="28"/>
          <w:szCs w:val="28"/>
        </w:rPr>
        <w:t xml:space="preserve"> the available information, they frequently support judgements that are based on preexisting ideas.</w:t>
      </w:r>
    </w:p>
    <w:p w14:paraId="49AD2900" w14:textId="120FB1CA" w:rsidR="00CB7EAE" w:rsidRPr="0025092F" w:rsidRDefault="006A28B4" w:rsidP="00BB6B3F">
      <w:pPr>
        <w:spacing w:line="360" w:lineRule="auto"/>
        <w:rPr>
          <w:sz w:val="28"/>
          <w:szCs w:val="28"/>
        </w:rPr>
      </w:pPr>
      <w:r w:rsidRPr="0025092F">
        <w:rPr>
          <w:rFonts w:ascii="Times New Roman" w:hAnsi="Times New Roman" w:cs="Times New Roman"/>
          <w:sz w:val="28"/>
          <w:szCs w:val="28"/>
        </w:rPr>
        <w:t>Park et al. (2011) state that social workers' perspectives and knowledge about immigration have a big influence on how they engage with clients who are immigrants. Fair treatment for immigrants is greatly influenced by public attitudes, with positive attitudes promoting justice and negative attitudes perhaps resulting in discrimination.</w:t>
      </w:r>
    </w:p>
    <w:p w14:paraId="48C043A1" w14:textId="740D9F82" w:rsidR="00E93F0A" w:rsidRPr="0025092F" w:rsidRDefault="00793181" w:rsidP="00BB6B3F">
      <w:pPr>
        <w:spacing w:line="360" w:lineRule="auto"/>
        <w:rPr>
          <w:rFonts w:ascii="Times New Roman" w:hAnsi="Times New Roman" w:cs="Times New Roman"/>
          <w:sz w:val="28"/>
          <w:szCs w:val="28"/>
        </w:rPr>
      </w:pPr>
      <w:r w:rsidRPr="0025092F">
        <w:rPr>
          <w:rFonts w:ascii="Times New Roman" w:hAnsi="Times New Roman" w:cs="Times New Roman"/>
          <w:sz w:val="28"/>
          <w:szCs w:val="28"/>
        </w:rPr>
        <w:t xml:space="preserve">Biases and negative perceptions about immigrants significantly impact the support they receive from social workers. These biases can lead to unequal access to resources and hinder the development of trusting relationships. Immigrants may feel misunderstood, excluded, or reluctant to seek help due to stereotypes (Abrego, 2011), affecting the creation of culturally sensitive </w:t>
      </w:r>
      <w:r w:rsidRPr="0025092F">
        <w:rPr>
          <w:rFonts w:ascii="Times New Roman" w:hAnsi="Times New Roman" w:cs="Times New Roman"/>
          <w:sz w:val="28"/>
          <w:szCs w:val="28"/>
        </w:rPr>
        <w:lastRenderedPageBreak/>
        <w:t>services (Schouler‐Ocak et al., 2015). To address these challenges, social work demands ongoing self-reflection, cultural awareness, and a commitment to diversity (Fisher‐Borne et al., 2014; Mateo &amp; Williams, 2020). Overcoming biases involves confronting prejudices and providing fair, culturally sensitive services to immigrant communities (Cooke, 2016).</w:t>
      </w:r>
      <w:r w:rsidR="00284668" w:rsidRPr="0025092F">
        <w:rPr>
          <w:rFonts w:ascii="Times New Roman" w:hAnsi="Times New Roman" w:cs="Times New Roman"/>
          <w:sz w:val="28"/>
          <w:szCs w:val="28"/>
        </w:rPr>
        <w:t xml:space="preserve"> </w:t>
      </w:r>
      <w:r w:rsidR="005B2289" w:rsidRPr="0025092F">
        <w:rPr>
          <w:rFonts w:ascii="Times New Roman" w:hAnsi="Times New Roman" w:cs="Times New Roman"/>
          <w:sz w:val="28"/>
          <w:szCs w:val="28"/>
        </w:rPr>
        <w:t xml:space="preserve"> </w:t>
      </w:r>
    </w:p>
    <w:p w14:paraId="5FFA1550" w14:textId="70BBA507" w:rsidR="00E24970" w:rsidRPr="0025092F" w:rsidRDefault="005B2289" w:rsidP="00BB6B3F">
      <w:pPr>
        <w:spacing w:line="360" w:lineRule="auto"/>
        <w:rPr>
          <w:rFonts w:ascii="Times New Roman" w:hAnsi="Times New Roman" w:cs="Times New Roman"/>
          <w:sz w:val="28"/>
          <w:szCs w:val="28"/>
        </w:rPr>
      </w:pPr>
      <w:r w:rsidRPr="0025092F">
        <w:rPr>
          <w:rFonts w:ascii="Times New Roman" w:hAnsi="Times New Roman" w:cs="Times New Roman"/>
          <w:sz w:val="28"/>
          <w:szCs w:val="28"/>
        </w:rPr>
        <w:t xml:space="preserve">I firmly believe in social justice and humanitarianism, </w:t>
      </w:r>
      <w:r w:rsidR="00CF1457" w:rsidRPr="0025092F">
        <w:rPr>
          <w:rFonts w:ascii="Times New Roman" w:hAnsi="Times New Roman" w:cs="Times New Roman"/>
          <w:sz w:val="28"/>
          <w:szCs w:val="28"/>
        </w:rPr>
        <w:t xml:space="preserve">so </w:t>
      </w:r>
      <w:r w:rsidRPr="0025092F">
        <w:rPr>
          <w:rFonts w:ascii="Times New Roman" w:hAnsi="Times New Roman" w:cs="Times New Roman"/>
          <w:sz w:val="28"/>
          <w:szCs w:val="28"/>
        </w:rPr>
        <w:t xml:space="preserve">my commitment to working with refugees reflects my deep understanding and sympathy for people who bravely escape terrible situations. This profound empathy stems from an appreciation and recognition of the extraordinary fortitude exhibited by those compelled to flee oppression and strife, frequently abandoning their </w:t>
      </w:r>
      <w:r w:rsidR="001B39BA" w:rsidRPr="0025092F">
        <w:rPr>
          <w:rFonts w:ascii="Times New Roman" w:hAnsi="Times New Roman" w:cs="Times New Roman"/>
          <w:sz w:val="28"/>
          <w:szCs w:val="28"/>
        </w:rPr>
        <w:t>homes,</w:t>
      </w:r>
      <w:r w:rsidRPr="0025092F">
        <w:rPr>
          <w:rFonts w:ascii="Times New Roman" w:hAnsi="Times New Roman" w:cs="Times New Roman"/>
          <w:sz w:val="28"/>
          <w:szCs w:val="28"/>
        </w:rPr>
        <w:t xml:space="preserve"> and putting their lives in danger to find safety and independence.</w:t>
      </w:r>
      <w:r w:rsidR="006A49C4" w:rsidRPr="0025092F">
        <w:rPr>
          <w:rFonts w:ascii="Times New Roman" w:hAnsi="Times New Roman" w:cs="Times New Roman"/>
          <w:sz w:val="28"/>
          <w:szCs w:val="28"/>
        </w:rPr>
        <w:t xml:space="preserve"> My beliefs are clearly supported by the Purkey (201</w:t>
      </w:r>
      <w:r w:rsidR="00594CAC">
        <w:rPr>
          <w:rFonts w:ascii="Times New Roman" w:hAnsi="Times New Roman" w:cs="Times New Roman"/>
          <w:sz w:val="28"/>
          <w:szCs w:val="28"/>
        </w:rPr>
        <w:t>4</w:t>
      </w:r>
      <w:r w:rsidR="006A49C4" w:rsidRPr="0025092F">
        <w:rPr>
          <w:rFonts w:ascii="Times New Roman" w:hAnsi="Times New Roman" w:cs="Times New Roman"/>
          <w:sz w:val="28"/>
          <w:szCs w:val="28"/>
        </w:rPr>
        <w:t>) study, which highlights the significance of actions that protect and preserve refugees' core human rights and dignity. These kinds of interventions are essential to recognising and respecting each person's intrinsic worth and value, regardless of their upbringing or environment.</w:t>
      </w:r>
    </w:p>
    <w:p w14:paraId="30E3A1B4" w14:textId="2945FBC3" w:rsidR="006A49C4" w:rsidRPr="0025092F" w:rsidRDefault="006A49C4" w:rsidP="00BB6B3F">
      <w:pPr>
        <w:spacing w:line="360" w:lineRule="auto"/>
        <w:rPr>
          <w:rFonts w:ascii="Times New Roman" w:hAnsi="Times New Roman" w:cs="Times New Roman"/>
          <w:sz w:val="28"/>
          <w:szCs w:val="28"/>
        </w:rPr>
      </w:pPr>
      <w:r w:rsidRPr="0025092F">
        <w:rPr>
          <w:rFonts w:ascii="Times New Roman" w:hAnsi="Times New Roman" w:cs="Times New Roman"/>
          <w:sz w:val="28"/>
          <w:szCs w:val="28"/>
        </w:rPr>
        <w:t xml:space="preserve"> My activism and support for refugees are based on these values, which place a premium on respect, fairness, and the preservation of human dignity. I truly comprehend and </w:t>
      </w:r>
      <w:r w:rsidR="001B39BA" w:rsidRPr="0025092F">
        <w:rPr>
          <w:rFonts w:ascii="Times New Roman" w:hAnsi="Times New Roman" w:cs="Times New Roman"/>
          <w:sz w:val="28"/>
          <w:szCs w:val="28"/>
        </w:rPr>
        <w:t>consider</w:t>
      </w:r>
      <w:r w:rsidRPr="0025092F">
        <w:rPr>
          <w:rFonts w:ascii="Times New Roman" w:hAnsi="Times New Roman" w:cs="Times New Roman"/>
          <w:sz w:val="28"/>
          <w:szCs w:val="28"/>
        </w:rPr>
        <w:t xml:space="preserve"> the varied origins and experiences of refugees, which goes beyond just acknowledging their predicament. My comprehension of their complexity and struggles enables me to establish a closer connection with them. I firmly believe that everyone deserves justice and equality, especially those who have experienced hardship and displacement, which is why I am dedicated to fighting for just and equitable treatment. My work with refugees is guided by values that help me approach each person with respect and recognise their talents and perseverance in the face of hardship. By recognising their stories and advocating for equitable treatment, I help to foster an environment that is more welcoming and encouraging. My commitment to treating everyone fairly is in </w:t>
      </w:r>
      <w:r w:rsidRPr="0025092F">
        <w:rPr>
          <w:rFonts w:ascii="Times New Roman" w:hAnsi="Times New Roman" w:cs="Times New Roman"/>
          <w:sz w:val="28"/>
          <w:szCs w:val="28"/>
        </w:rPr>
        <w:lastRenderedPageBreak/>
        <w:t>line with social justice ideals, acting as a lighthouse for bringing about constructive change and developing a more welcoming and understanding community for refugees.</w:t>
      </w:r>
    </w:p>
    <w:p w14:paraId="551CF90F" w14:textId="075B9320" w:rsidR="00BB6B3F" w:rsidRPr="0025092F" w:rsidRDefault="004D4F95" w:rsidP="00BB6B3F">
      <w:pPr>
        <w:spacing w:line="360" w:lineRule="auto"/>
        <w:rPr>
          <w:sz w:val="28"/>
          <w:szCs w:val="28"/>
        </w:rPr>
      </w:pPr>
      <w:r w:rsidRPr="0025092F">
        <w:rPr>
          <w:rFonts w:ascii="Times New Roman" w:hAnsi="Times New Roman" w:cs="Times New Roman"/>
          <w:sz w:val="28"/>
          <w:szCs w:val="28"/>
        </w:rPr>
        <w:t xml:space="preserve">But I am aware that in some social work contexts, there are negative attitudes or misconceptions about </w:t>
      </w:r>
      <w:r w:rsidR="006A28B4" w:rsidRPr="0025092F">
        <w:rPr>
          <w:rFonts w:ascii="Times New Roman" w:hAnsi="Times New Roman" w:cs="Times New Roman"/>
          <w:sz w:val="28"/>
          <w:szCs w:val="28"/>
        </w:rPr>
        <w:t>refugees</w:t>
      </w:r>
      <w:r w:rsidR="00BB6B3F" w:rsidRPr="0025092F">
        <w:rPr>
          <w:rFonts w:ascii="Times New Roman" w:hAnsi="Times New Roman" w:cs="Times New Roman"/>
          <w:sz w:val="28"/>
          <w:szCs w:val="28"/>
        </w:rPr>
        <w:t>. These false beliefs could affect the calibre and availability of services provided, as well as impede the development of supportive environments.</w:t>
      </w:r>
      <w:r w:rsidR="005B2289" w:rsidRPr="0025092F">
        <w:rPr>
          <w:sz w:val="28"/>
          <w:szCs w:val="28"/>
        </w:rPr>
        <w:t xml:space="preserve"> </w:t>
      </w:r>
    </w:p>
    <w:p w14:paraId="3EB5AA6C" w14:textId="187407F7" w:rsidR="00DB24DB" w:rsidRPr="0025092F" w:rsidRDefault="00F32ED4" w:rsidP="00BB6B3F">
      <w:pPr>
        <w:spacing w:line="360" w:lineRule="auto"/>
        <w:rPr>
          <w:rFonts w:ascii="Times New Roman" w:hAnsi="Times New Roman" w:cs="Times New Roman"/>
          <w:sz w:val="28"/>
          <w:szCs w:val="28"/>
        </w:rPr>
      </w:pPr>
      <w:r w:rsidRPr="0025092F">
        <w:rPr>
          <w:rFonts w:ascii="Times New Roman" w:hAnsi="Times New Roman" w:cs="Times New Roman"/>
          <w:sz w:val="28"/>
          <w:szCs w:val="28"/>
        </w:rPr>
        <w:t>Biases against refugees in social work undermine workplace diversity and have an adverse effect on the development of trust. Fostering a varied, inclusive atmosphere that values the contributions of refugees requires education, cultural sensitivity, and correct information (McCleary &amp; Chaudhry, 2017).</w:t>
      </w:r>
    </w:p>
    <w:p w14:paraId="763BA258" w14:textId="2C3C2244" w:rsidR="00C46485" w:rsidRDefault="00C46485" w:rsidP="00BB6B3F">
      <w:pPr>
        <w:spacing w:line="360" w:lineRule="auto"/>
        <w:rPr>
          <w:rFonts w:ascii="Times New Roman" w:hAnsi="Times New Roman" w:cs="Times New Roman"/>
          <w:sz w:val="28"/>
          <w:szCs w:val="28"/>
        </w:rPr>
      </w:pPr>
      <w:r w:rsidRPr="0025092F">
        <w:rPr>
          <w:rFonts w:ascii="Times New Roman" w:hAnsi="Times New Roman" w:cs="Times New Roman"/>
          <w:sz w:val="28"/>
          <w:szCs w:val="28"/>
        </w:rPr>
        <w:t>Prioritising a thorough plan to guarantee equitable treatment and avoid prejudices by recognising intersectionality and actively embracing culturally sensitive methods is essential in social work practice. I consistently self-reflect to understand how my identities and biases influence my interactions with clients. This introspection enables me to approach everyone openly and learn, helping me recognize my privileges and biases.</w:t>
      </w:r>
    </w:p>
    <w:p w14:paraId="058701C4" w14:textId="64B87141" w:rsidR="00141410" w:rsidRPr="0025092F" w:rsidRDefault="00141410" w:rsidP="00BB6B3F">
      <w:pPr>
        <w:spacing w:line="360" w:lineRule="auto"/>
        <w:rPr>
          <w:rFonts w:ascii="Times New Roman" w:hAnsi="Times New Roman" w:cs="Times New Roman"/>
          <w:sz w:val="28"/>
          <w:szCs w:val="28"/>
        </w:rPr>
      </w:pPr>
      <w:r w:rsidRPr="00141410">
        <w:rPr>
          <w:rFonts w:ascii="Times New Roman" w:hAnsi="Times New Roman" w:cs="Times New Roman"/>
          <w:sz w:val="28"/>
          <w:szCs w:val="28"/>
        </w:rPr>
        <w:t xml:space="preserve">Recognising that each person lives in a unique social, cultural, and historical context is </w:t>
      </w:r>
      <w:r w:rsidRPr="00141410">
        <w:rPr>
          <w:rFonts w:ascii="Times New Roman" w:hAnsi="Times New Roman" w:cs="Times New Roman"/>
          <w:sz w:val="28"/>
          <w:szCs w:val="28"/>
        </w:rPr>
        <w:t>crucial. My</w:t>
      </w:r>
      <w:r w:rsidRPr="00141410">
        <w:rPr>
          <w:rFonts w:ascii="Times New Roman" w:hAnsi="Times New Roman" w:cs="Times New Roman"/>
          <w:sz w:val="28"/>
          <w:szCs w:val="28"/>
        </w:rPr>
        <w:t xml:space="preserve"> goal is to understand the institutional bias, historical injustices, and socioeconomic disparities that shape their </w:t>
      </w:r>
      <w:r w:rsidRPr="00141410">
        <w:rPr>
          <w:rFonts w:ascii="Times New Roman" w:hAnsi="Times New Roman" w:cs="Times New Roman"/>
          <w:sz w:val="28"/>
          <w:szCs w:val="28"/>
        </w:rPr>
        <w:t>experiences. As</w:t>
      </w:r>
      <w:r w:rsidRPr="00141410">
        <w:rPr>
          <w:rFonts w:ascii="Times New Roman" w:hAnsi="Times New Roman" w:cs="Times New Roman"/>
          <w:sz w:val="28"/>
          <w:szCs w:val="28"/>
        </w:rPr>
        <w:t xml:space="preserve"> Collins &amp; Bilge (2016) noted, this deeper comprehension helps put their hardships and experiences in </w:t>
      </w:r>
      <w:r w:rsidRPr="00141410">
        <w:rPr>
          <w:rFonts w:ascii="Times New Roman" w:hAnsi="Times New Roman" w:cs="Times New Roman"/>
          <w:sz w:val="28"/>
          <w:szCs w:val="28"/>
        </w:rPr>
        <w:t>perspective. I</w:t>
      </w:r>
      <w:r w:rsidRPr="00141410">
        <w:rPr>
          <w:rFonts w:ascii="Times New Roman" w:hAnsi="Times New Roman" w:cs="Times New Roman"/>
          <w:sz w:val="28"/>
          <w:szCs w:val="28"/>
        </w:rPr>
        <w:t xml:space="preserve"> concur with Constantine and Sue (2005) that a crucial element of culturally responsive practice is empowering individuals and communities to actively engage in life </w:t>
      </w:r>
      <w:r w:rsidRPr="00141410">
        <w:rPr>
          <w:rFonts w:ascii="Times New Roman" w:hAnsi="Times New Roman" w:cs="Times New Roman"/>
          <w:sz w:val="28"/>
          <w:szCs w:val="28"/>
        </w:rPr>
        <w:t>decisions. To</w:t>
      </w:r>
      <w:r w:rsidRPr="00141410">
        <w:rPr>
          <w:rFonts w:ascii="Times New Roman" w:hAnsi="Times New Roman" w:cs="Times New Roman"/>
          <w:sz w:val="28"/>
          <w:szCs w:val="28"/>
        </w:rPr>
        <w:t xml:space="preserve"> establish a more equitable cooperation, I value collaborative relationships and respect their </w:t>
      </w:r>
      <w:r w:rsidRPr="00141410">
        <w:rPr>
          <w:rFonts w:ascii="Times New Roman" w:hAnsi="Times New Roman" w:cs="Times New Roman"/>
          <w:sz w:val="28"/>
          <w:szCs w:val="28"/>
        </w:rPr>
        <w:t>expertise. Culturally</w:t>
      </w:r>
      <w:r w:rsidRPr="00141410">
        <w:rPr>
          <w:rFonts w:ascii="Times New Roman" w:hAnsi="Times New Roman" w:cs="Times New Roman"/>
          <w:sz w:val="28"/>
          <w:szCs w:val="28"/>
        </w:rPr>
        <w:t xml:space="preserve"> aware practicing is an evolving process that calls for ongoing education and </w:t>
      </w:r>
      <w:r w:rsidRPr="00141410">
        <w:rPr>
          <w:rFonts w:ascii="Times New Roman" w:hAnsi="Times New Roman" w:cs="Times New Roman"/>
          <w:sz w:val="28"/>
          <w:szCs w:val="28"/>
        </w:rPr>
        <w:t>adjustment. To</w:t>
      </w:r>
      <w:r w:rsidRPr="00141410">
        <w:rPr>
          <w:rFonts w:ascii="Times New Roman" w:hAnsi="Times New Roman" w:cs="Times New Roman"/>
          <w:sz w:val="28"/>
          <w:szCs w:val="28"/>
        </w:rPr>
        <w:t xml:space="preserve"> better meet the diverse needs of those I </w:t>
      </w:r>
      <w:r w:rsidRPr="00141410">
        <w:rPr>
          <w:rFonts w:ascii="Times New Roman" w:hAnsi="Times New Roman" w:cs="Times New Roman"/>
          <w:sz w:val="28"/>
          <w:szCs w:val="28"/>
        </w:rPr>
        <w:lastRenderedPageBreak/>
        <w:t>deal with, I solicit feedback, engage in discussions with colleagues, stay current on new findings, and adjust my methodology.</w:t>
      </w:r>
    </w:p>
    <w:p w14:paraId="5602A107" w14:textId="52A7D836" w:rsidR="00F332BF" w:rsidRDefault="00DA3561" w:rsidP="00284668">
      <w:pPr>
        <w:spacing w:line="360" w:lineRule="auto"/>
        <w:rPr>
          <w:rFonts w:ascii="Times New Roman" w:hAnsi="Times New Roman" w:cs="Times New Roman"/>
          <w:sz w:val="28"/>
          <w:szCs w:val="28"/>
        </w:rPr>
      </w:pPr>
      <w:r w:rsidRPr="0025092F">
        <w:rPr>
          <w:rFonts w:ascii="Times New Roman" w:hAnsi="Times New Roman" w:cs="Times New Roman"/>
          <w:sz w:val="28"/>
          <w:szCs w:val="28"/>
        </w:rPr>
        <w:t>Adopting intersectionality and culturally sensitive practises is, in essence, a complicated and ongoing process that calls for constant learning, self-reflection, contextual awareness, individual empowerment, and advocacy for change. By making these efforts, I can be sure that my practise will always be effective, courteous, and attentive to a variety of clientele.</w:t>
      </w:r>
    </w:p>
    <w:p w14:paraId="0D9D60FE" w14:textId="5C2E857C" w:rsidR="0028280E" w:rsidRDefault="0028280E" w:rsidP="00284668">
      <w:pPr>
        <w:spacing w:line="360" w:lineRule="auto"/>
        <w:rPr>
          <w:rFonts w:ascii="Times New Roman" w:hAnsi="Times New Roman" w:cs="Times New Roman"/>
          <w:sz w:val="28"/>
          <w:szCs w:val="28"/>
        </w:rPr>
      </w:pPr>
      <w:r w:rsidRPr="0028280E">
        <w:rPr>
          <w:rFonts w:ascii="Times New Roman" w:hAnsi="Times New Roman" w:cs="Times New Roman"/>
          <w:sz w:val="28"/>
          <w:szCs w:val="28"/>
        </w:rPr>
        <w:t xml:space="preserve">To grow professionally, I must continually work to understand my own unconscious biases. I strongly agree with FitzGerald and Hurst (2017), </w:t>
      </w:r>
      <w:r w:rsidR="00141410" w:rsidRPr="0028280E">
        <w:rPr>
          <w:rFonts w:ascii="Times New Roman" w:hAnsi="Times New Roman" w:cs="Times New Roman"/>
          <w:sz w:val="28"/>
          <w:szCs w:val="28"/>
        </w:rPr>
        <w:t>to</w:t>
      </w:r>
      <w:r w:rsidRPr="0028280E">
        <w:rPr>
          <w:rFonts w:ascii="Times New Roman" w:hAnsi="Times New Roman" w:cs="Times New Roman"/>
          <w:sz w:val="28"/>
          <w:szCs w:val="28"/>
        </w:rPr>
        <w:t xml:space="preserve"> identify and reduce these biases, I must regularly attend seminars and use instruments such as implicit bias </w:t>
      </w:r>
      <w:r w:rsidR="00A004E8" w:rsidRPr="0028280E">
        <w:rPr>
          <w:rFonts w:ascii="Times New Roman" w:hAnsi="Times New Roman" w:cs="Times New Roman"/>
          <w:sz w:val="28"/>
          <w:szCs w:val="28"/>
        </w:rPr>
        <w:t>tests and</w:t>
      </w:r>
      <w:r w:rsidRPr="0028280E">
        <w:rPr>
          <w:rFonts w:ascii="Times New Roman" w:hAnsi="Times New Roman" w:cs="Times New Roman"/>
          <w:sz w:val="28"/>
          <w:szCs w:val="28"/>
        </w:rPr>
        <w:t xml:space="preserve"> strive to make better informed and fair decisions by being aware and coping with unconscious biases.</w:t>
      </w:r>
    </w:p>
    <w:p w14:paraId="41034B6F" w14:textId="5DE927D8" w:rsidR="001D6CBE" w:rsidRPr="0025092F" w:rsidRDefault="001D6CBE" w:rsidP="00284668">
      <w:pPr>
        <w:spacing w:line="360" w:lineRule="auto"/>
        <w:rPr>
          <w:rFonts w:ascii="Times New Roman" w:hAnsi="Times New Roman" w:cs="Times New Roman"/>
          <w:sz w:val="28"/>
          <w:szCs w:val="28"/>
        </w:rPr>
      </w:pPr>
      <w:r w:rsidRPr="001D6CBE">
        <w:rPr>
          <w:rFonts w:ascii="Times New Roman" w:hAnsi="Times New Roman" w:cs="Times New Roman"/>
          <w:sz w:val="28"/>
          <w:szCs w:val="28"/>
        </w:rPr>
        <w:t>I can't do my work without using frameworks to help me make ethical decisions. I employ theories such as the NASW Code of Ethics and Reamer's Ethical Decision-Making Model (Reamer, 2018) to examine situations methodically. This will help me to minimise my biases and ensure that the decisions I make are morally sound and ethical.</w:t>
      </w:r>
    </w:p>
    <w:p w14:paraId="62119BB2" w14:textId="36DE56EE" w:rsidR="0007299E" w:rsidRDefault="001D6CBE" w:rsidP="00284668">
      <w:pPr>
        <w:spacing w:line="360" w:lineRule="auto"/>
        <w:rPr>
          <w:rFonts w:ascii="Times New Roman" w:hAnsi="Times New Roman" w:cs="Times New Roman"/>
          <w:sz w:val="28"/>
          <w:szCs w:val="28"/>
        </w:rPr>
      </w:pPr>
      <w:r w:rsidRPr="001D6CBE">
        <w:rPr>
          <w:rFonts w:ascii="Times New Roman" w:hAnsi="Times New Roman" w:cs="Times New Roman"/>
          <w:sz w:val="28"/>
          <w:szCs w:val="28"/>
        </w:rPr>
        <w:t>I really believe in using collaborative ways and adopting a client-</w:t>
      </w:r>
      <w:r w:rsidR="00607D5B" w:rsidRPr="001D6CBE">
        <w:rPr>
          <w:rFonts w:ascii="Times New Roman" w:hAnsi="Times New Roman" w:cs="Times New Roman"/>
          <w:sz w:val="28"/>
          <w:szCs w:val="28"/>
        </w:rPr>
        <w:t>centred</w:t>
      </w:r>
      <w:r w:rsidRPr="001D6CBE">
        <w:rPr>
          <w:rFonts w:ascii="Times New Roman" w:hAnsi="Times New Roman" w:cs="Times New Roman"/>
          <w:sz w:val="28"/>
          <w:szCs w:val="28"/>
        </w:rPr>
        <w:t xml:space="preserve"> approach, as indicated by </w:t>
      </w:r>
      <w:proofErr w:type="spellStart"/>
      <w:r w:rsidRPr="001D6CBE">
        <w:rPr>
          <w:rFonts w:ascii="Times New Roman" w:hAnsi="Times New Roman" w:cs="Times New Roman"/>
          <w:sz w:val="28"/>
          <w:szCs w:val="28"/>
        </w:rPr>
        <w:t>Saleebey</w:t>
      </w:r>
      <w:proofErr w:type="spellEnd"/>
      <w:r w:rsidRPr="001D6CBE">
        <w:rPr>
          <w:rFonts w:ascii="Times New Roman" w:hAnsi="Times New Roman" w:cs="Times New Roman"/>
          <w:sz w:val="28"/>
          <w:szCs w:val="28"/>
        </w:rPr>
        <w:t xml:space="preserve"> (2023). When clients actively participate in the intervention process, they are given the confidence to voice their desires, inclinations, and opinions. Because of our partnership, I </w:t>
      </w:r>
      <w:r w:rsidR="00607D5B" w:rsidRPr="001D6CBE">
        <w:rPr>
          <w:rFonts w:ascii="Times New Roman" w:hAnsi="Times New Roman" w:cs="Times New Roman"/>
          <w:sz w:val="28"/>
          <w:szCs w:val="28"/>
        </w:rPr>
        <w:t>can</w:t>
      </w:r>
      <w:r w:rsidRPr="001D6CBE">
        <w:rPr>
          <w:rFonts w:ascii="Times New Roman" w:hAnsi="Times New Roman" w:cs="Times New Roman"/>
          <w:sz w:val="28"/>
          <w:szCs w:val="28"/>
        </w:rPr>
        <w:t xml:space="preserve"> provide therapies that are more individually customised and culturally appropriate.</w:t>
      </w:r>
    </w:p>
    <w:p w14:paraId="0EC12FAC" w14:textId="103819FD" w:rsidR="0028280E" w:rsidRDefault="0028280E" w:rsidP="00284668">
      <w:pPr>
        <w:spacing w:line="360" w:lineRule="auto"/>
        <w:rPr>
          <w:rFonts w:ascii="Times New Roman" w:hAnsi="Times New Roman" w:cs="Times New Roman"/>
          <w:sz w:val="28"/>
          <w:szCs w:val="28"/>
        </w:rPr>
      </w:pPr>
      <w:r w:rsidRPr="0028280E">
        <w:rPr>
          <w:rFonts w:ascii="Times New Roman" w:hAnsi="Times New Roman" w:cs="Times New Roman"/>
          <w:sz w:val="28"/>
          <w:szCs w:val="28"/>
        </w:rPr>
        <w:t xml:space="preserve">Compassion fatigue can result from the emotionally taxing situations that social workers deal with on a regular basis. Self-care techniques are crucial for preventing burnout and secondary traumatic stress, according to Lewis and King (2019). According to </w:t>
      </w:r>
      <w:proofErr w:type="spellStart"/>
      <w:r w:rsidRPr="0028280E">
        <w:rPr>
          <w:rFonts w:ascii="Times New Roman" w:hAnsi="Times New Roman" w:cs="Times New Roman"/>
          <w:sz w:val="28"/>
          <w:szCs w:val="28"/>
        </w:rPr>
        <w:t>Smullens</w:t>
      </w:r>
      <w:proofErr w:type="spellEnd"/>
      <w:r w:rsidRPr="0028280E">
        <w:rPr>
          <w:rFonts w:ascii="Times New Roman" w:hAnsi="Times New Roman" w:cs="Times New Roman"/>
          <w:sz w:val="28"/>
          <w:szCs w:val="28"/>
        </w:rPr>
        <w:t xml:space="preserve"> (2019), </w:t>
      </w:r>
      <w:r w:rsidR="00607D5B" w:rsidRPr="0028280E">
        <w:rPr>
          <w:rFonts w:ascii="Times New Roman" w:hAnsi="Times New Roman" w:cs="Times New Roman"/>
          <w:sz w:val="28"/>
          <w:szCs w:val="28"/>
        </w:rPr>
        <w:t>to</w:t>
      </w:r>
      <w:r w:rsidRPr="0028280E">
        <w:rPr>
          <w:rFonts w:ascii="Times New Roman" w:hAnsi="Times New Roman" w:cs="Times New Roman"/>
          <w:sz w:val="28"/>
          <w:szCs w:val="28"/>
        </w:rPr>
        <w:t xml:space="preserve"> sustain well-being and the length of one's employment, self-care practices include things like reaching out </w:t>
      </w:r>
      <w:r w:rsidRPr="0028280E">
        <w:rPr>
          <w:rFonts w:ascii="Times New Roman" w:hAnsi="Times New Roman" w:cs="Times New Roman"/>
          <w:sz w:val="28"/>
          <w:szCs w:val="28"/>
        </w:rPr>
        <w:lastRenderedPageBreak/>
        <w:t>for peer support, making leisure time a priority, engaging in hobbies, and keeping a work-life balance.</w:t>
      </w:r>
    </w:p>
    <w:p w14:paraId="67033F5E" w14:textId="77777777" w:rsidR="009B47A8" w:rsidRPr="0025092F" w:rsidRDefault="009B47A8" w:rsidP="00284668">
      <w:pPr>
        <w:spacing w:line="360" w:lineRule="auto"/>
        <w:rPr>
          <w:rFonts w:ascii="Times New Roman" w:hAnsi="Times New Roman" w:cs="Times New Roman"/>
          <w:sz w:val="28"/>
          <w:szCs w:val="28"/>
        </w:rPr>
      </w:pPr>
    </w:p>
    <w:p w14:paraId="3463A610" w14:textId="3B4533CD" w:rsidR="003527DC" w:rsidRPr="003527DC" w:rsidRDefault="003527DC" w:rsidP="00284668">
      <w:pPr>
        <w:spacing w:line="360" w:lineRule="auto"/>
        <w:rPr>
          <w:rFonts w:ascii="Times New Roman" w:hAnsi="Times New Roman" w:cs="Times New Roman"/>
          <w:b/>
          <w:bCs/>
          <w:sz w:val="32"/>
          <w:szCs w:val="32"/>
        </w:rPr>
      </w:pPr>
      <w:r>
        <w:rPr>
          <w:rFonts w:ascii="Times New Roman" w:hAnsi="Times New Roman" w:cs="Times New Roman"/>
          <w:b/>
          <w:bCs/>
          <w:sz w:val="32"/>
          <w:szCs w:val="32"/>
        </w:rPr>
        <w:t>Conclusion</w:t>
      </w:r>
    </w:p>
    <w:p w14:paraId="785327B4" w14:textId="4E4D2620" w:rsidR="0096115E" w:rsidRDefault="004B5F58" w:rsidP="0096115E">
      <w:pPr>
        <w:spacing w:line="360" w:lineRule="auto"/>
        <w:rPr>
          <w:rFonts w:ascii="Times New Roman" w:hAnsi="Times New Roman" w:cs="Times New Roman"/>
          <w:sz w:val="28"/>
          <w:szCs w:val="28"/>
        </w:rPr>
      </w:pPr>
      <w:r>
        <w:rPr>
          <w:rFonts w:ascii="Times New Roman" w:hAnsi="Times New Roman" w:cs="Times New Roman"/>
          <w:sz w:val="28"/>
          <w:szCs w:val="28"/>
        </w:rPr>
        <w:t>To s</w:t>
      </w:r>
      <w:r w:rsidR="000802C5">
        <w:rPr>
          <w:rFonts w:ascii="Times New Roman" w:hAnsi="Times New Roman" w:cs="Times New Roman"/>
          <w:sz w:val="28"/>
          <w:szCs w:val="28"/>
        </w:rPr>
        <w:t>um up</w:t>
      </w:r>
      <w:r w:rsidR="00F46399" w:rsidRPr="00F46399">
        <w:rPr>
          <w:rFonts w:ascii="Times New Roman" w:hAnsi="Times New Roman" w:cs="Times New Roman"/>
          <w:sz w:val="28"/>
          <w:szCs w:val="28"/>
        </w:rPr>
        <w:t xml:space="preserve">, I use a multifaceted approach to establish a bias-free workplace in social work. It entails being aware of my prejudices, putting moral behaviour first, attending to the needs of my clients, and never stopping learning. It takes more than just awareness to overcome prejudices; </w:t>
      </w:r>
      <w:r w:rsidR="00607D5B" w:rsidRPr="00F46399">
        <w:rPr>
          <w:rFonts w:ascii="Times New Roman" w:hAnsi="Times New Roman" w:cs="Times New Roman"/>
          <w:sz w:val="28"/>
          <w:szCs w:val="28"/>
        </w:rPr>
        <w:t>to</w:t>
      </w:r>
      <w:r w:rsidR="00F46399" w:rsidRPr="00F46399">
        <w:rPr>
          <w:rFonts w:ascii="Times New Roman" w:hAnsi="Times New Roman" w:cs="Times New Roman"/>
          <w:sz w:val="28"/>
          <w:szCs w:val="28"/>
        </w:rPr>
        <w:t xml:space="preserve"> alter ingrained biases, active learning and dialogue are necessary. Our continuous learning and assessment, which aims to help users go past prejudices, demonstrate our dedication to eliminating biases.</w:t>
      </w:r>
    </w:p>
    <w:p w14:paraId="50226EDC" w14:textId="4FD204C7" w:rsidR="00F46399" w:rsidRPr="00F46399" w:rsidRDefault="00F46399" w:rsidP="0096115E">
      <w:pPr>
        <w:spacing w:line="360" w:lineRule="auto"/>
        <w:rPr>
          <w:rFonts w:ascii="Times New Roman" w:hAnsi="Times New Roman" w:cs="Times New Roman"/>
          <w:sz w:val="28"/>
          <w:szCs w:val="28"/>
        </w:rPr>
      </w:pPr>
      <w:r w:rsidRPr="00F46399">
        <w:rPr>
          <w:rFonts w:ascii="Times New Roman" w:hAnsi="Times New Roman" w:cs="Times New Roman"/>
          <w:sz w:val="28"/>
          <w:szCs w:val="28"/>
        </w:rPr>
        <w:t>It is critical to acknowledge how culture affects the mental health of immigrants and refugees. Culturally competent treatment promotes trust and facilitates their assimilation and general wellbeing. I prioritise taking care of myself, control my workload, look for help, and lead a balanced life to avoid burnout. In this hard field, ongoing education, reflective techniques, and a nurturing atmosphere are critical to my long-term health. Early action is essential to my continued success in the social work field.</w:t>
      </w:r>
    </w:p>
    <w:p w14:paraId="29270CD8" w14:textId="77777777" w:rsidR="0096115E" w:rsidRPr="0096115E" w:rsidRDefault="0096115E" w:rsidP="0096115E">
      <w:pPr>
        <w:spacing w:line="360" w:lineRule="auto"/>
        <w:rPr>
          <w:rFonts w:ascii="Times New Roman" w:hAnsi="Times New Roman" w:cs="Times New Roman"/>
        </w:rPr>
      </w:pPr>
    </w:p>
    <w:p w14:paraId="182B069B" w14:textId="77777777" w:rsidR="00594CAC" w:rsidRDefault="00594CAC" w:rsidP="00284668">
      <w:pPr>
        <w:spacing w:line="360" w:lineRule="auto"/>
        <w:rPr>
          <w:rFonts w:ascii="Times New Roman" w:hAnsi="Times New Roman" w:cs="Times New Roman"/>
        </w:rPr>
      </w:pPr>
    </w:p>
    <w:p w14:paraId="713F2536" w14:textId="77777777" w:rsidR="0028280E" w:rsidRDefault="0028280E" w:rsidP="00284668">
      <w:pPr>
        <w:spacing w:line="360" w:lineRule="auto"/>
        <w:rPr>
          <w:rFonts w:ascii="Times New Roman" w:hAnsi="Times New Roman" w:cs="Times New Roman"/>
          <w:sz w:val="28"/>
          <w:szCs w:val="28"/>
        </w:rPr>
      </w:pPr>
    </w:p>
    <w:p w14:paraId="369D980A" w14:textId="77777777" w:rsidR="0028280E" w:rsidRDefault="0028280E" w:rsidP="00284668">
      <w:pPr>
        <w:spacing w:line="360" w:lineRule="auto"/>
        <w:rPr>
          <w:rFonts w:ascii="Times New Roman" w:hAnsi="Times New Roman" w:cs="Times New Roman"/>
          <w:sz w:val="28"/>
          <w:szCs w:val="28"/>
        </w:rPr>
      </w:pPr>
    </w:p>
    <w:p w14:paraId="33B63E2C" w14:textId="77777777" w:rsidR="0028280E" w:rsidRDefault="0028280E" w:rsidP="00284668">
      <w:pPr>
        <w:spacing w:line="360" w:lineRule="auto"/>
        <w:rPr>
          <w:rFonts w:ascii="Times New Roman" w:hAnsi="Times New Roman" w:cs="Times New Roman"/>
          <w:sz w:val="28"/>
          <w:szCs w:val="28"/>
        </w:rPr>
      </w:pPr>
    </w:p>
    <w:p w14:paraId="3B918ED1" w14:textId="77777777" w:rsidR="0028280E" w:rsidRDefault="0028280E" w:rsidP="00284668">
      <w:pPr>
        <w:spacing w:line="360" w:lineRule="auto"/>
        <w:rPr>
          <w:rFonts w:ascii="Times New Roman" w:hAnsi="Times New Roman" w:cs="Times New Roman"/>
          <w:sz w:val="28"/>
          <w:szCs w:val="28"/>
        </w:rPr>
      </w:pPr>
    </w:p>
    <w:p w14:paraId="3C4B5CA9" w14:textId="77777777" w:rsidR="009B47A8" w:rsidRDefault="009B47A8" w:rsidP="009B47A8">
      <w:pPr>
        <w:spacing w:line="360" w:lineRule="auto"/>
        <w:jc w:val="center"/>
        <w:rPr>
          <w:rFonts w:ascii="Times New Roman" w:hAnsi="Times New Roman" w:cs="Times New Roman"/>
          <w:sz w:val="28"/>
          <w:szCs w:val="28"/>
        </w:rPr>
      </w:pPr>
    </w:p>
    <w:p w14:paraId="12A83E62" w14:textId="02A2D829" w:rsidR="00F332BF" w:rsidRDefault="00BC3979" w:rsidP="009B47A8">
      <w:pPr>
        <w:spacing w:line="360" w:lineRule="auto"/>
        <w:jc w:val="center"/>
        <w:rPr>
          <w:rFonts w:ascii="Times New Roman" w:hAnsi="Times New Roman" w:cs="Times New Roman"/>
          <w:b/>
          <w:bCs/>
          <w:sz w:val="32"/>
          <w:szCs w:val="32"/>
        </w:rPr>
      </w:pPr>
      <w:r w:rsidRPr="009B47A8">
        <w:rPr>
          <w:rFonts w:ascii="Times New Roman" w:hAnsi="Times New Roman" w:cs="Times New Roman"/>
          <w:b/>
          <w:bCs/>
          <w:sz w:val="32"/>
          <w:szCs w:val="32"/>
        </w:rPr>
        <w:lastRenderedPageBreak/>
        <w:t>References</w:t>
      </w:r>
    </w:p>
    <w:p w14:paraId="310F464A" w14:textId="77777777" w:rsidR="009B47A8" w:rsidRPr="009B47A8" w:rsidRDefault="009B47A8" w:rsidP="009B47A8">
      <w:pPr>
        <w:spacing w:line="360" w:lineRule="auto"/>
        <w:jc w:val="center"/>
        <w:rPr>
          <w:rFonts w:ascii="Times New Roman" w:hAnsi="Times New Roman" w:cs="Times New Roman"/>
          <w:b/>
          <w:bCs/>
          <w:sz w:val="32"/>
          <w:szCs w:val="32"/>
        </w:rPr>
      </w:pPr>
    </w:p>
    <w:p w14:paraId="7047CEF3" w14:textId="77777777" w:rsidR="00AE4EEA" w:rsidRDefault="00AE4EEA" w:rsidP="00AE4EEA">
      <w:pPr>
        <w:pStyle w:val="NormalWeb"/>
        <w:spacing w:before="0" w:beforeAutospacing="0" w:after="0" w:afterAutospacing="0" w:line="480" w:lineRule="auto"/>
        <w:ind w:left="720" w:hanging="720"/>
      </w:pPr>
      <w:r>
        <w:t xml:space="preserve">Abrego, L. J. (2011). Legal consciousness of Undocumented Latinos: Fear and Stigma as Barriers to Claims-Making for First- and 1.5-Generation Immigrants. </w:t>
      </w:r>
      <w:r>
        <w:rPr>
          <w:i/>
          <w:iCs/>
        </w:rPr>
        <w:t>Law &amp; Society Review</w:t>
      </w:r>
      <w:r>
        <w:t xml:space="preserve">, </w:t>
      </w:r>
      <w:r>
        <w:rPr>
          <w:i/>
          <w:iCs/>
        </w:rPr>
        <w:t>45</w:t>
      </w:r>
      <w:r>
        <w:t>(2), 337–370. https://doi.org/10.1111/j.1540-5893.2011.00435.x</w:t>
      </w:r>
    </w:p>
    <w:p w14:paraId="0DDB26DC" w14:textId="28FBB05E" w:rsidR="00AE4EEA" w:rsidRPr="00594CAC" w:rsidRDefault="00AE4EEA" w:rsidP="00AE4EEA">
      <w:pPr>
        <w:pStyle w:val="NormalWeb"/>
        <w:spacing w:before="0" w:beforeAutospacing="0" w:after="0" w:afterAutospacing="0" w:line="480" w:lineRule="auto"/>
        <w:ind w:left="720" w:hanging="720"/>
      </w:pPr>
      <w:r>
        <w:t xml:space="preserve">Betancourt, J. R., Green, A. R., Carrillo, J. E., &amp; Park, E. R. (2005). Cultural Competence and Health care Disparities: Key Perspectives and Trends. </w:t>
      </w:r>
      <w:r>
        <w:rPr>
          <w:i/>
          <w:iCs/>
        </w:rPr>
        <w:t>Health Affairs</w:t>
      </w:r>
      <w:r>
        <w:t xml:space="preserve">, </w:t>
      </w:r>
      <w:r>
        <w:rPr>
          <w:i/>
          <w:iCs/>
        </w:rPr>
        <w:t>24</w:t>
      </w:r>
      <w:r>
        <w:t xml:space="preserve">(2), 499–505. </w:t>
      </w:r>
      <w:hyperlink r:id="rId5" w:history="1">
        <w:r w:rsidR="00B01B28" w:rsidRPr="00594CAC">
          <w:rPr>
            <w:rStyle w:val="Hyperlink"/>
            <w:color w:val="auto"/>
            <w:u w:val="none"/>
          </w:rPr>
          <w:t>https://doi.org/10.1377/hlthaff.24.2.499</w:t>
        </w:r>
      </w:hyperlink>
    </w:p>
    <w:p w14:paraId="244A940D" w14:textId="45A935EF" w:rsidR="00B01B28" w:rsidRDefault="00B01B28" w:rsidP="00594CAC">
      <w:pPr>
        <w:pStyle w:val="NormalWeb"/>
        <w:spacing w:before="0" w:beforeAutospacing="0" w:after="0" w:afterAutospacing="0" w:line="480" w:lineRule="auto"/>
        <w:ind w:left="720" w:hanging="720"/>
      </w:pPr>
      <w:r>
        <w:t xml:space="preserve">Bustamante, L. H. U., Cerqueira, R. O., Leclerc, E., &amp; Brietzke, E. (2017). Stress, trauma, and posttraumatic stress disorder in migrants: a comprehensive review. </w:t>
      </w:r>
      <w:proofErr w:type="spellStart"/>
      <w:r>
        <w:rPr>
          <w:i/>
          <w:iCs/>
        </w:rPr>
        <w:t>Revista</w:t>
      </w:r>
      <w:proofErr w:type="spellEnd"/>
      <w:r>
        <w:rPr>
          <w:i/>
          <w:iCs/>
        </w:rPr>
        <w:t xml:space="preserve"> Brasileira De </w:t>
      </w:r>
      <w:proofErr w:type="spellStart"/>
      <w:r>
        <w:rPr>
          <w:i/>
          <w:iCs/>
        </w:rPr>
        <w:t>Psiquiatria</w:t>
      </w:r>
      <w:proofErr w:type="spellEnd"/>
      <w:r>
        <w:t xml:space="preserve">, </w:t>
      </w:r>
      <w:r>
        <w:rPr>
          <w:i/>
          <w:iCs/>
        </w:rPr>
        <w:t>40</w:t>
      </w:r>
      <w:r>
        <w:t>(2), 220–225. https://doi.org/10.1590/1516-4446-2017-2290</w:t>
      </w:r>
    </w:p>
    <w:p w14:paraId="2B6E6CA9" w14:textId="77777777" w:rsidR="00AE4EEA" w:rsidRDefault="00AE4EEA" w:rsidP="00AE4EEA">
      <w:pPr>
        <w:pStyle w:val="NormalWeb"/>
        <w:spacing w:before="0" w:beforeAutospacing="0" w:after="0" w:afterAutospacing="0" w:line="480" w:lineRule="auto"/>
        <w:ind w:left="720" w:hanging="720"/>
      </w:pPr>
      <w:r>
        <w:t xml:space="preserve">Chang-Muy, F., JD, &amp; </w:t>
      </w:r>
      <w:proofErr w:type="spellStart"/>
      <w:r>
        <w:t>Dsw</w:t>
      </w:r>
      <w:proofErr w:type="spellEnd"/>
      <w:r>
        <w:t xml:space="preserve">, E. P. C. (2015). </w:t>
      </w:r>
      <w:r>
        <w:rPr>
          <w:i/>
          <w:iCs/>
        </w:rPr>
        <w:t>Social Work with Immigrants and Refugees, Second Edition: Legal Issues, Clinical Skills, and Advocacy</w:t>
      </w:r>
      <w:r>
        <w:t>. Springer Publishing Company.</w:t>
      </w:r>
    </w:p>
    <w:p w14:paraId="076DBC9C" w14:textId="77777777" w:rsidR="00B01B28" w:rsidRDefault="00B01B28" w:rsidP="00B01B28">
      <w:pPr>
        <w:pStyle w:val="NormalWeb"/>
        <w:spacing w:before="0" w:beforeAutospacing="0" w:after="0" w:afterAutospacing="0" w:line="480" w:lineRule="auto"/>
        <w:ind w:left="720" w:hanging="720"/>
      </w:pPr>
      <w:r>
        <w:t xml:space="preserve">Clayden, A., &amp; </w:t>
      </w:r>
      <w:proofErr w:type="spellStart"/>
      <w:r>
        <w:t>Coohey</w:t>
      </w:r>
      <w:proofErr w:type="spellEnd"/>
      <w:r>
        <w:t xml:space="preserve">, C. (2022). Social work practice with refugees and immigrants: a short skill development course. </w:t>
      </w:r>
      <w:r>
        <w:rPr>
          <w:i/>
          <w:iCs/>
        </w:rPr>
        <w:t>Social Work Education</w:t>
      </w:r>
      <w:r>
        <w:t>, 1–19. https://doi.org/10.1080/02615479.2022.2103529</w:t>
      </w:r>
    </w:p>
    <w:p w14:paraId="464B65B6" w14:textId="77777777" w:rsidR="00AE4EEA" w:rsidRDefault="00AE4EEA" w:rsidP="00B01B28">
      <w:pPr>
        <w:pStyle w:val="NormalWeb"/>
        <w:spacing w:before="0" w:beforeAutospacing="0" w:after="0" w:afterAutospacing="0" w:line="480" w:lineRule="auto"/>
      </w:pPr>
      <w:r>
        <w:t xml:space="preserve">Collins, P. H., &amp; Bilge, S. (2016). </w:t>
      </w:r>
      <w:r>
        <w:rPr>
          <w:i/>
          <w:iCs/>
        </w:rPr>
        <w:t>Intersectionality</w:t>
      </w:r>
      <w:r>
        <w:t>. John Wiley &amp; Sons.</w:t>
      </w:r>
    </w:p>
    <w:p w14:paraId="5589DA8C" w14:textId="77777777" w:rsidR="00AE4EEA" w:rsidRDefault="00AE4EEA" w:rsidP="00AE4EEA">
      <w:pPr>
        <w:pStyle w:val="NormalWeb"/>
        <w:spacing w:before="0" w:beforeAutospacing="0" w:after="0" w:afterAutospacing="0" w:line="480" w:lineRule="auto"/>
        <w:ind w:left="720" w:hanging="720"/>
      </w:pPr>
      <w:r>
        <w:t xml:space="preserve">Constantine, M. G., &amp; Sue, D. W. (2005). </w:t>
      </w:r>
      <w:r>
        <w:rPr>
          <w:i/>
          <w:iCs/>
        </w:rPr>
        <w:t>Strategies for building multicultural competence in mental health and educational settings</w:t>
      </w:r>
      <w:r>
        <w:t>. John Wiley &amp; Sons.</w:t>
      </w:r>
    </w:p>
    <w:p w14:paraId="24920820" w14:textId="77777777" w:rsidR="00AE4EEA" w:rsidRDefault="00AE4EEA" w:rsidP="00AE4EEA">
      <w:pPr>
        <w:pStyle w:val="NormalWeb"/>
        <w:spacing w:before="0" w:beforeAutospacing="0" w:after="0" w:afterAutospacing="0" w:line="480" w:lineRule="auto"/>
        <w:ind w:left="720" w:hanging="720"/>
      </w:pPr>
      <w:r>
        <w:t xml:space="preserve">Cooke, N. A. (2016). </w:t>
      </w:r>
      <w:r>
        <w:rPr>
          <w:i/>
          <w:iCs/>
        </w:rPr>
        <w:t>Information services to diverse populations: Developing Culturally Competent Library Professionals</w:t>
      </w:r>
      <w:r>
        <w:t>. Bloomsbury Publishing USA.</w:t>
      </w:r>
    </w:p>
    <w:p w14:paraId="2F9DAEE0" w14:textId="2B6857D1" w:rsidR="00B01B28" w:rsidRDefault="00B01B28" w:rsidP="00B01B28">
      <w:pPr>
        <w:pStyle w:val="NormalWeb"/>
        <w:spacing w:before="0" w:beforeAutospacing="0" w:after="0" w:afterAutospacing="0" w:line="480" w:lineRule="auto"/>
        <w:ind w:left="720" w:hanging="720"/>
      </w:pPr>
      <w:r>
        <w:lastRenderedPageBreak/>
        <w:t xml:space="preserve">De Coninck, D. (2019). Migrant categorizations and European public opinion: diverging attitudes towards immigrants and refugees. </w:t>
      </w:r>
      <w:r>
        <w:rPr>
          <w:i/>
          <w:iCs/>
        </w:rPr>
        <w:t>Journal of Ethnic and Migration Studies</w:t>
      </w:r>
      <w:r>
        <w:t xml:space="preserve">, </w:t>
      </w:r>
      <w:r>
        <w:rPr>
          <w:i/>
          <w:iCs/>
        </w:rPr>
        <w:t>46</w:t>
      </w:r>
      <w:r>
        <w:t xml:space="preserve">(9), 1667–1686. </w:t>
      </w:r>
      <w:hyperlink r:id="rId6" w:history="1">
        <w:r w:rsidR="00594CAC" w:rsidRPr="00594CAC">
          <w:rPr>
            <w:rStyle w:val="Hyperlink"/>
            <w:color w:val="auto"/>
            <w:u w:val="none"/>
          </w:rPr>
          <w:t>https://doi.org/10.1080/1369183x.2019.1694406</w:t>
        </w:r>
      </w:hyperlink>
    </w:p>
    <w:p w14:paraId="772A21B4" w14:textId="611B19BC" w:rsidR="00594CAC" w:rsidRDefault="00594CAC" w:rsidP="00594CAC">
      <w:pPr>
        <w:pStyle w:val="NormalWeb"/>
        <w:spacing w:before="0" w:beforeAutospacing="0" w:after="0" w:afterAutospacing="0" w:line="480" w:lineRule="auto"/>
        <w:ind w:left="720" w:hanging="720"/>
      </w:pPr>
      <w:r>
        <w:t xml:space="preserve">Featherston, R., </w:t>
      </w:r>
      <w:proofErr w:type="spellStart"/>
      <w:r>
        <w:t>Shlonsky</w:t>
      </w:r>
      <w:proofErr w:type="spellEnd"/>
      <w:r>
        <w:t xml:space="preserve">, A., Lewis, C., Luong, M. N., Downie, L. E., Vogel, A. P., Granger, C. L., Hamilton, B., &amp; Galvin, K. L. (2018). Interventions to Mitigate Bias in Social Work Decision-Making: A Systematic Review. </w:t>
      </w:r>
      <w:r>
        <w:rPr>
          <w:i/>
          <w:iCs/>
        </w:rPr>
        <w:t>Research on Social Work Practice</w:t>
      </w:r>
      <w:r>
        <w:t xml:space="preserve">, </w:t>
      </w:r>
      <w:r>
        <w:rPr>
          <w:i/>
          <w:iCs/>
        </w:rPr>
        <w:t>29</w:t>
      </w:r>
      <w:r>
        <w:t>(7), 741–752. https://doi.org/10.1177/1049731518819160</w:t>
      </w:r>
    </w:p>
    <w:p w14:paraId="0934D258" w14:textId="77777777" w:rsidR="00AE4EEA" w:rsidRDefault="00AE4EEA" w:rsidP="00AE4EEA">
      <w:pPr>
        <w:pStyle w:val="NormalWeb"/>
        <w:spacing w:before="0" w:beforeAutospacing="0" w:after="0" w:afterAutospacing="0" w:line="480" w:lineRule="auto"/>
        <w:ind w:left="720" w:hanging="720"/>
      </w:pPr>
      <w:r>
        <w:t xml:space="preserve">Fisher‐Borne, M., Cain, J. M., &amp; Martin, S. L. (2014). From mastery to accountability: Cultural humility as an alternative to cultural competence. </w:t>
      </w:r>
      <w:r>
        <w:rPr>
          <w:i/>
          <w:iCs/>
        </w:rPr>
        <w:t>Social Work Education</w:t>
      </w:r>
      <w:r>
        <w:t xml:space="preserve">, </w:t>
      </w:r>
      <w:r>
        <w:rPr>
          <w:i/>
          <w:iCs/>
        </w:rPr>
        <w:t>34</w:t>
      </w:r>
      <w:r>
        <w:t>(2), 165–181. https://doi.org/10.1080/02615479.2014.977244</w:t>
      </w:r>
    </w:p>
    <w:p w14:paraId="4A7628F3" w14:textId="782B69BF" w:rsidR="00AE4EEA" w:rsidRPr="00594CAC" w:rsidRDefault="00AE4EEA" w:rsidP="00AE4EEA">
      <w:pPr>
        <w:pStyle w:val="NormalWeb"/>
        <w:spacing w:before="0" w:beforeAutospacing="0" w:after="0" w:afterAutospacing="0" w:line="480" w:lineRule="auto"/>
        <w:ind w:left="720" w:hanging="720"/>
      </w:pPr>
      <w:r>
        <w:t xml:space="preserve">FitzGerald, C., &amp; Hurst, S. (2017). Implicit bias in healthcare professionals: a systematic review. </w:t>
      </w:r>
      <w:r>
        <w:rPr>
          <w:i/>
          <w:iCs/>
        </w:rPr>
        <w:t>BMC Medical Ethics</w:t>
      </w:r>
      <w:r>
        <w:t xml:space="preserve">, </w:t>
      </w:r>
      <w:r>
        <w:rPr>
          <w:i/>
          <w:iCs/>
        </w:rPr>
        <w:t>18</w:t>
      </w:r>
      <w:r>
        <w:t xml:space="preserve">(1). </w:t>
      </w:r>
      <w:hyperlink r:id="rId7" w:history="1">
        <w:r w:rsidR="00594CAC" w:rsidRPr="00594CAC">
          <w:rPr>
            <w:rStyle w:val="Hyperlink"/>
            <w:color w:val="auto"/>
            <w:u w:val="none"/>
          </w:rPr>
          <w:t>https://doi.org/10.1186/s12910-017-0179-8</w:t>
        </w:r>
      </w:hyperlink>
    </w:p>
    <w:p w14:paraId="6B6043C7" w14:textId="61F86CDB" w:rsidR="00594CAC" w:rsidRDefault="00594CAC" w:rsidP="00594CAC">
      <w:pPr>
        <w:pStyle w:val="NormalWeb"/>
        <w:spacing w:before="0" w:beforeAutospacing="0" w:after="0" w:afterAutospacing="0" w:line="480" w:lineRule="auto"/>
        <w:ind w:left="720" w:hanging="720"/>
      </w:pPr>
      <w:proofErr w:type="spellStart"/>
      <w:r>
        <w:t>Hagues</w:t>
      </w:r>
      <w:proofErr w:type="spellEnd"/>
      <w:r>
        <w:t xml:space="preserve">, R., Cecil, D., &amp; Stoltzfus, K. (2019). The experiences of German social workers working with refugees. </w:t>
      </w:r>
      <w:r>
        <w:rPr>
          <w:i/>
          <w:iCs/>
        </w:rPr>
        <w:t>Journal of Social Work</w:t>
      </w:r>
      <w:r>
        <w:t xml:space="preserve">, </w:t>
      </w:r>
      <w:r>
        <w:rPr>
          <w:i/>
          <w:iCs/>
        </w:rPr>
        <w:t>21</w:t>
      </w:r>
      <w:r>
        <w:t>(1), 46–68. https://doi.org/10.1177/1468017319860305</w:t>
      </w:r>
    </w:p>
    <w:p w14:paraId="320DC7D9" w14:textId="051BFA4B" w:rsidR="00AE4EEA" w:rsidRDefault="00AE4EEA" w:rsidP="00AE4EEA">
      <w:pPr>
        <w:pStyle w:val="NormalWeb"/>
        <w:spacing w:before="0" w:beforeAutospacing="0" w:after="0" w:afterAutospacing="0" w:line="480" w:lineRule="auto"/>
        <w:ind w:left="720" w:hanging="720"/>
      </w:pPr>
      <w:proofErr w:type="spellStart"/>
      <w:r>
        <w:t>Kirmayer</w:t>
      </w:r>
      <w:proofErr w:type="spellEnd"/>
      <w:r>
        <w:t xml:space="preserve">, L. J., </w:t>
      </w:r>
      <w:proofErr w:type="spellStart"/>
      <w:r>
        <w:t>Narasiah</w:t>
      </w:r>
      <w:proofErr w:type="spellEnd"/>
      <w:r>
        <w:t xml:space="preserve">, L., </w:t>
      </w:r>
      <w:proofErr w:type="spellStart"/>
      <w:r>
        <w:t>Muňoz</w:t>
      </w:r>
      <w:proofErr w:type="spellEnd"/>
      <w:r>
        <w:t xml:space="preserve">, M., Rashid, M., Ryder, A. G., </w:t>
      </w:r>
      <w:proofErr w:type="spellStart"/>
      <w:r>
        <w:t>Guzder</w:t>
      </w:r>
      <w:proofErr w:type="spellEnd"/>
      <w:r>
        <w:t xml:space="preserve">, J., Hassan, G., Rousseau, C., &amp; </w:t>
      </w:r>
      <w:proofErr w:type="spellStart"/>
      <w:r>
        <w:t>Pottie</w:t>
      </w:r>
      <w:proofErr w:type="spellEnd"/>
      <w:r>
        <w:t xml:space="preserve">, K. (2010). Common mental health problems in immigrants and refugees: general approach in primary care. </w:t>
      </w:r>
      <w:r>
        <w:rPr>
          <w:i/>
          <w:iCs/>
        </w:rPr>
        <w:t>Canadian Medical Association Journal</w:t>
      </w:r>
      <w:r>
        <w:t xml:space="preserve">, </w:t>
      </w:r>
      <w:r>
        <w:rPr>
          <w:i/>
          <w:iCs/>
        </w:rPr>
        <w:t>183</w:t>
      </w:r>
      <w:r>
        <w:t>(12), E959–E967</w:t>
      </w:r>
      <w:r w:rsidRPr="00594CAC">
        <w:t xml:space="preserve">. </w:t>
      </w:r>
      <w:hyperlink r:id="rId8" w:history="1">
        <w:r w:rsidR="00594CAC" w:rsidRPr="00594CAC">
          <w:rPr>
            <w:rStyle w:val="Hyperlink"/>
            <w:color w:val="auto"/>
            <w:u w:val="none"/>
          </w:rPr>
          <w:t>https://doi.org/10.1503/cmaj.090292</w:t>
        </w:r>
      </w:hyperlink>
    </w:p>
    <w:p w14:paraId="1C287757" w14:textId="31C5356E" w:rsidR="00594CAC" w:rsidRDefault="00594CAC" w:rsidP="00594CAC">
      <w:pPr>
        <w:pStyle w:val="NormalWeb"/>
        <w:spacing w:before="0" w:beforeAutospacing="0" w:after="0" w:afterAutospacing="0" w:line="480" w:lineRule="auto"/>
        <w:ind w:left="720" w:hanging="720"/>
      </w:pPr>
      <w:r>
        <w:t xml:space="preserve">Lewis, M., &amp; King, D. M. (2019). Teaching self-care: The utilization of self-care in social work practicum to prevent compassion fatigue, burnout, and vicarious trauma. </w:t>
      </w:r>
      <w:r>
        <w:rPr>
          <w:i/>
          <w:iCs/>
        </w:rPr>
        <w:t xml:space="preserve">Journal of Human </w:t>
      </w:r>
      <w:proofErr w:type="spellStart"/>
      <w:r>
        <w:rPr>
          <w:i/>
          <w:iCs/>
        </w:rPr>
        <w:t>Behavior</w:t>
      </w:r>
      <w:proofErr w:type="spellEnd"/>
      <w:r>
        <w:rPr>
          <w:i/>
          <w:iCs/>
        </w:rPr>
        <w:t xml:space="preserve"> in the Social Environment</w:t>
      </w:r>
      <w:r>
        <w:t xml:space="preserve">, </w:t>
      </w:r>
      <w:r>
        <w:rPr>
          <w:i/>
          <w:iCs/>
        </w:rPr>
        <w:t>29</w:t>
      </w:r>
      <w:r>
        <w:t>(1), 96–106. https://doi.org/10.1080/10911359.2018.1482482</w:t>
      </w:r>
    </w:p>
    <w:p w14:paraId="251062AA" w14:textId="77777777" w:rsidR="00AE4EEA" w:rsidRDefault="00AE4EEA" w:rsidP="00AE4EEA">
      <w:pPr>
        <w:pStyle w:val="NormalWeb"/>
        <w:spacing w:before="0" w:beforeAutospacing="0" w:after="0" w:afterAutospacing="0" w:line="480" w:lineRule="auto"/>
        <w:ind w:left="720" w:hanging="720"/>
      </w:pPr>
      <w:r>
        <w:lastRenderedPageBreak/>
        <w:t xml:space="preserve">Mateo, C. M., &amp; Williams, D. R. (2020). More than Words: a vision to address bias and reduce discrimination in the health professions learning environment. </w:t>
      </w:r>
      <w:r>
        <w:rPr>
          <w:i/>
          <w:iCs/>
        </w:rPr>
        <w:t>Academic Medicine</w:t>
      </w:r>
      <w:r>
        <w:t xml:space="preserve">, </w:t>
      </w:r>
      <w:r>
        <w:rPr>
          <w:i/>
          <w:iCs/>
        </w:rPr>
        <w:t>95</w:t>
      </w:r>
      <w:r>
        <w:t>(12S), S169–S177. https://doi.org/10.1097/acm.0000000000003684</w:t>
      </w:r>
    </w:p>
    <w:p w14:paraId="00A5CCA2" w14:textId="77777777" w:rsidR="00AE4EEA" w:rsidRDefault="00AE4EEA" w:rsidP="00AE4EEA">
      <w:pPr>
        <w:pStyle w:val="NormalWeb"/>
        <w:spacing w:before="0" w:beforeAutospacing="0" w:after="0" w:afterAutospacing="0" w:line="480" w:lineRule="auto"/>
        <w:ind w:left="720" w:hanging="720"/>
      </w:pPr>
      <w:r>
        <w:t xml:space="preserve">McCleary, J. S., &amp; Chaudhry, S. (2017). Ethical Considerations </w:t>
      </w:r>
      <w:proofErr w:type="gramStart"/>
      <w:r>
        <w:t>For</w:t>
      </w:r>
      <w:proofErr w:type="gramEnd"/>
      <w:r>
        <w:t xml:space="preserve"> Social Workers Working with Muslim Refugees. </w:t>
      </w:r>
      <w:r>
        <w:rPr>
          <w:i/>
          <w:iCs/>
        </w:rPr>
        <w:t>Social Work in Public Health</w:t>
      </w:r>
      <w:r>
        <w:t xml:space="preserve">, </w:t>
      </w:r>
      <w:r>
        <w:rPr>
          <w:i/>
          <w:iCs/>
        </w:rPr>
        <w:t>32</w:t>
      </w:r>
      <w:r>
        <w:t>(8), 521–528. https://doi.org/10.1080/19371918.2017.1373720</w:t>
      </w:r>
    </w:p>
    <w:p w14:paraId="73A81128" w14:textId="27812A7A" w:rsidR="00AE4EEA" w:rsidRPr="00594CAC" w:rsidRDefault="00AE4EEA" w:rsidP="00AE4EEA">
      <w:pPr>
        <w:pStyle w:val="NormalWeb"/>
        <w:spacing w:before="0" w:beforeAutospacing="0" w:after="0" w:afterAutospacing="0" w:line="480" w:lineRule="auto"/>
        <w:ind w:left="720" w:hanging="720"/>
      </w:pPr>
      <w:r>
        <w:t xml:space="preserve">Miller, K. E., &amp; Rasmussen, A. (2010). Mental health and armed conflict: The importance of distinguishing between war exposure and other sources of adversity: A response to Neuner. </w:t>
      </w:r>
      <w:r>
        <w:rPr>
          <w:i/>
          <w:iCs/>
        </w:rPr>
        <w:t>Social Science &amp; Medicine</w:t>
      </w:r>
      <w:r>
        <w:t xml:space="preserve">, </w:t>
      </w:r>
      <w:r>
        <w:rPr>
          <w:i/>
          <w:iCs/>
        </w:rPr>
        <w:t>71</w:t>
      </w:r>
      <w:r>
        <w:t xml:space="preserve">(8), 1385–1389. </w:t>
      </w:r>
      <w:hyperlink r:id="rId9" w:history="1">
        <w:r w:rsidR="00594CAC" w:rsidRPr="00594CAC">
          <w:rPr>
            <w:rStyle w:val="Hyperlink"/>
            <w:color w:val="auto"/>
            <w:u w:val="none"/>
          </w:rPr>
          <w:t>https://doi.org/10.1016/j.socscimed.2010.07.020</w:t>
        </w:r>
      </w:hyperlink>
    </w:p>
    <w:p w14:paraId="1804C5FC" w14:textId="274C5120" w:rsidR="00594CAC" w:rsidRDefault="00594CAC" w:rsidP="00594CAC">
      <w:pPr>
        <w:pStyle w:val="NormalWeb"/>
        <w:spacing w:before="0" w:beforeAutospacing="0" w:after="0" w:afterAutospacing="0" w:line="480" w:lineRule="auto"/>
        <w:ind w:left="720" w:hanging="720"/>
      </w:pPr>
      <w:r>
        <w:t xml:space="preserve">Park, Y., Bhuyan, R., Richards, C., &amp; Rundle, A. (2011). U.S. Social Work Practitioners’ Attitudes Towards Immigrants and Immigration: Results </w:t>
      </w:r>
      <w:proofErr w:type="gramStart"/>
      <w:r>
        <w:t>From</w:t>
      </w:r>
      <w:proofErr w:type="gramEnd"/>
      <w:r>
        <w:t xml:space="preserve"> an Online Survey. </w:t>
      </w:r>
      <w:r>
        <w:rPr>
          <w:i/>
          <w:iCs/>
        </w:rPr>
        <w:t>Journal of Immigrant &amp; Refugee Studies</w:t>
      </w:r>
      <w:r>
        <w:t xml:space="preserve">, </w:t>
      </w:r>
      <w:r>
        <w:rPr>
          <w:i/>
          <w:iCs/>
        </w:rPr>
        <w:t>9</w:t>
      </w:r>
      <w:r>
        <w:t>(4), 367–392. https://doi.org/10.1080/15562948.2011.616801</w:t>
      </w:r>
    </w:p>
    <w:p w14:paraId="5F4F3934" w14:textId="77777777" w:rsidR="00AE4EEA" w:rsidRDefault="00AE4EEA" w:rsidP="00AE4EEA">
      <w:pPr>
        <w:pStyle w:val="NormalWeb"/>
        <w:spacing w:before="0" w:beforeAutospacing="0" w:after="0" w:afterAutospacing="0" w:line="480" w:lineRule="auto"/>
        <w:ind w:left="720" w:hanging="720"/>
      </w:pPr>
      <w:r>
        <w:t xml:space="preserve">Purkey, A. L. (2014). A dignified approach: legal empowerment and justice for human rights violations in protracted refugee situations. </w:t>
      </w:r>
      <w:r>
        <w:rPr>
          <w:i/>
          <w:iCs/>
        </w:rPr>
        <w:t>Social Science Research Network</w:t>
      </w:r>
      <w:r>
        <w:t>. https://papers.ssrn.com/sol3/papers.cfm?abstract_id=3447522</w:t>
      </w:r>
    </w:p>
    <w:p w14:paraId="7D5265DD" w14:textId="77777777" w:rsidR="00AE4EEA" w:rsidRDefault="00AE4EEA" w:rsidP="00AE4EEA">
      <w:pPr>
        <w:pStyle w:val="NormalWeb"/>
        <w:spacing w:before="0" w:beforeAutospacing="0" w:after="0" w:afterAutospacing="0" w:line="480" w:lineRule="auto"/>
        <w:ind w:left="720" w:hanging="720"/>
      </w:pPr>
      <w:r>
        <w:t xml:space="preserve">Reamer, F. G. (2018). Social work values and ethics. In </w:t>
      </w:r>
      <w:r>
        <w:rPr>
          <w:i/>
          <w:iCs/>
        </w:rPr>
        <w:t>Columbia University Press eBooks</w:t>
      </w:r>
      <w:r>
        <w:t>. https://doi.org/10.7312/ream18828</w:t>
      </w:r>
    </w:p>
    <w:p w14:paraId="5D1AD7A7" w14:textId="77777777" w:rsidR="00AE4EEA" w:rsidRDefault="00AE4EEA" w:rsidP="00AE4EEA">
      <w:pPr>
        <w:pStyle w:val="NormalWeb"/>
        <w:spacing w:before="0" w:beforeAutospacing="0" w:after="0" w:afterAutospacing="0" w:line="480" w:lineRule="auto"/>
        <w:ind w:left="720" w:hanging="720"/>
      </w:pPr>
      <w:proofErr w:type="spellStart"/>
      <w:r>
        <w:t>Saleebey</w:t>
      </w:r>
      <w:proofErr w:type="spellEnd"/>
      <w:r>
        <w:t xml:space="preserve">, D. (2023). The strengths perspective in social work practice. In </w:t>
      </w:r>
      <w:r>
        <w:rPr>
          <w:i/>
          <w:iCs/>
        </w:rPr>
        <w:t>Routledge eBooks</w:t>
      </w:r>
      <w:r>
        <w:t xml:space="preserve"> (pp. 230–235). https://doi.org/10.4324/9781003178699-44</w:t>
      </w:r>
    </w:p>
    <w:p w14:paraId="69D011FC" w14:textId="129C3AE6" w:rsidR="00AE4EEA" w:rsidRDefault="00AE4EEA" w:rsidP="00AE4EEA">
      <w:pPr>
        <w:pStyle w:val="NormalWeb"/>
        <w:spacing w:before="0" w:beforeAutospacing="0" w:after="0" w:afterAutospacing="0" w:line="480" w:lineRule="auto"/>
        <w:ind w:left="720" w:hanging="720"/>
      </w:pPr>
      <w:r>
        <w:t>Schouler‐Ocak, M., Graef-</w:t>
      </w:r>
      <w:proofErr w:type="spellStart"/>
      <w:r>
        <w:t>Calliess</w:t>
      </w:r>
      <w:proofErr w:type="spellEnd"/>
      <w:r>
        <w:t xml:space="preserve">, I. T., Tarricone, I., Qureshi, A., Kastrup, M., &amp; Bhugra, D. (2015). EPA guidance on cultural competence training. </w:t>
      </w:r>
      <w:r>
        <w:rPr>
          <w:i/>
          <w:iCs/>
        </w:rPr>
        <w:t>European Psychiatry</w:t>
      </w:r>
      <w:r>
        <w:t xml:space="preserve">, </w:t>
      </w:r>
      <w:r>
        <w:rPr>
          <w:i/>
          <w:iCs/>
        </w:rPr>
        <w:t>30</w:t>
      </w:r>
      <w:r>
        <w:t xml:space="preserve">(3), 431–440. </w:t>
      </w:r>
      <w:hyperlink r:id="rId10" w:history="1">
        <w:r w:rsidR="00594CAC" w:rsidRPr="00594CAC">
          <w:rPr>
            <w:rStyle w:val="Hyperlink"/>
            <w:color w:val="auto"/>
            <w:u w:val="none"/>
          </w:rPr>
          <w:t>https://doi.org/10.1016/j.eurpsy.2015.01.012</w:t>
        </w:r>
      </w:hyperlink>
    </w:p>
    <w:p w14:paraId="251964FF" w14:textId="480871AE" w:rsidR="00594CAC" w:rsidRDefault="00594CAC" w:rsidP="00594CAC">
      <w:pPr>
        <w:pStyle w:val="NormalWeb"/>
        <w:spacing w:before="0" w:beforeAutospacing="0" w:after="0" w:afterAutospacing="0" w:line="480" w:lineRule="auto"/>
        <w:ind w:left="720" w:hanging="720"/>
      </w:pPr>
      <w:proofErr w:type="spellStart"/>
      <w:r>
        <w:lastRenderedPageBreak/>
        <w:t>Smullens</w:t>
      </w:r>
      <w:proofErr w:type="spellEnd"/>
      <w:r>
        <w:t xml:space="preserve">, S. (2019, July 17). </w:t>
      </w:r>
      <w:r>
        <w:rPr>
          <w:i/>
          <w:iCs/>
        </w:rPr>
        <w:t>What I wish I had known: burnout and Self-Care in our social work profession</w:t>
      </w:r>
      <w:r>
        <w:t>. SocialWorker.com. https://www.socialworker.com/feature-articles/field-placement/What_I_Wish_I_Had_Known_Burnout_and_Self-Care_in_Our_Social_Work_Profession/</w:t>
      </w:r>
    </w:p>
    <w:p w14:paraId="74113266" w14:textId="06FDFB8D" w:rsidR="00AE4EEA" w:rsidRPr="00594CAC" w:rsidRDefault="00AE4EEA" w:rsidP="00594CAC">
      <w:pPr>
        <w:pStyle w:val="NormalWeb"/>
        <w:spacing w:before="0" w:beforeAutospacing="0" w:after="0" w:afterAutospacing="0" w:line="480" w:lineRule="auto"/>
        <w:ind w:left="720" w:hanging="720"/>
      </w:pPr>
      <w:r>
        <w:t xml:space="preserve">Steel, Z., Chey, T., </w:t>
      </w:r>
      <w:proofErr w:type="spellStart"/>
      <w:r>
        <w:t>Silove</w:t>
      </w:r>
      <w:proofErr w:type="spellEnd"/>
      <w:r>
        <w:t xml:space="preserve">, D., Marnane, C., Bryant, R. A., &amp; Van Ommeren, M. (2009). Association of torture and other potentially traumatic events with mental health outcomes among populations exposed to mass conflict and displacement. </w:t>
      </w:r>
      <w:r>
        <w:rPr>
          <w:i/>
          <w:iCs/>
        </w:rPr>
        <w:t>JAMA</w:t>
      </w:r>
      <w:r>
        <w:t xml:space="preserve">, </w:t>
      </w:r>
      <w:r>
        <w:rPr>
          <w:i/>
          <w:iCs/>
        </w:rPr>
        <w:t>302</w:t>
      </w:r>
      <w:r>
        <w:t>(5), 537. https://doi.org/10.1001/jama.2009.1132</w:t>
      </w:r>
    </w:p>
    <w:p w14:paraId="2145EDE8" w14:textId="77777777" w:rsidR="00D41D6A" w:rsidRDefault="00D41D6A" w:rsidP="00D41D6A">
      <w:pPr>
        <w:pStyle w:val="NormalWeb"/>
        <w:spacing w:before="0" w:beforeAutospacing="0" w:after="0" w:afterAutospacing="0" w:line="480" w:lineRule="auto"/>
        <w:ind w:left="720" w:hanging="720"/>
      </w:pPr>
      <w:r>
        <w:t xml:space="preserve">Viola, E., Biondo, E., &amp; Mosso, C. O. (2018). The role of social worker in promoting immigrants’ integration. </w:t>
      </w:r>
      <w:r>
        <w:rPr>
          <w:i/>
          <w:iCs/>
        </w:rPr>
        <w:t>Social Work in Public Health</w:t>
      </w:r>
      <w:r>
        <w:t xml:space="preserve">, </w:t>
      </w:r>
      <w:r>
        <w:rPr>
          <w:i/>
          <w:iCs/>
        </w:rPr>
        <w:t>33</w:t>
      </w:r>
      <w:r>
        <w:t>(7–8), 483–496. https://doi.org/10.1080/19371918.2018.1546252</w:t>
      </w:r>
    </w:p>
    <w:p w14:paraId="67691CF9" w14:textId="12C49302" w:rsidR="00C605F5" w:rsidRPr="00C605F5" w:rsidRDefault="00C605F5" w:rsidP="00F332BF">
      <w:pPr>
        <w:spacing w:line="360" w:lineRule="auto"/>
        <w:jc w:val="both"/>
        <w:rPr>
          <w:rFonts w:ascii="Times New Roman" w:hAnsi="Times New Roman" w:cs="Times New Roman"/>
        </w:rPr>
      </w:pPr>
      <w:r w:rsidRPr="00C605F5">
        <w:rPr>
          <w:rFonts w:ascii="Times New Roman" w:hAnsi="Times New Roman" w:cs="Times New Roman"/>
        </w:rPr>
        <w:t xml:space="preserve">               </w:t>
      </w:r>
    </w:p>
    <w:sectPr w:rsidR="00C605F5" w:rsidRPr="00C605F5" w:rsidSect="00E53E11">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5F5"/>
    <w:rsid w:val="00000793"/>
    <w:rsid w:val="000113B4"/>
    <w:rsid w:val="0007299E"/>
    <w:rsid w:val="000802C5"/>
    <w:rsid w:val="000C3EC9"/>
    <w:rsid w:val="00115904"/>
    <w:rsid w:val="001220EC"/>
    <w:rsid w:val="00127CB7"/>
    <w:rsid w:val="00141410"/>
    <w:rsid w:val="00155A86"/>
    <w:rsid w:val="001B39BA"/>
    <w:rsid w:val="001D6CBE"/>
    <w:rsid w:val="0025092F"/>
    <w:rsid w:val="0028280E"/>
    <w:rsid w:val="00284668"/>
    <w:rsid w:val="002B661C"/>
    <w:rsid w:val="002C547C"/>
    <w:rsid w:val="003527DC"/>
    <w:rsid w:val="00393266"/>
    <w:rsid w:val="003C13BE"/>
    <w:rsid w:val="003F3AC2"/>
    <w:rsid w:val="004A1BCD"/>
    <w:rsid w:val="004B5F58"/>
    <w:rsid w:val="004D4F95"/>
    <w:rsid w:val="004F0D17"/>
    <w:rsid w:val="00551CF3"/>
    <w:rsid w:val="00594CAC"/>
    <w:rsid w:val="005A3E1B"/>
    <w:rsid w:val="005B2289"/>
    <w:rsid w:val="00607D5B"/>
    <w:rsid w:val="00623BDA"/>
    <w:rsid w:val="006A28B4"/>
    <w:rsid w:val="006A49C4"/>
    <w:rsid w:val="00720F4E"/>
    <w:rsid w:val="00770EA1"/>
    <w:rsid w:val="00793181"/>
    <w:rsid w:val="008A7B78"/>
    <w:rsid w:val="0096115E"/>
    <w:rsid w:val="00980898"/>
    <w:rsid w:val="009B47A8"/>
    <w:rsid w:val="009B7982"/>
    <w:rsid w:val="009F372C"/>
    <w:rsid w:val="00A004E8"/>
    <w:rsid w:val="00A02A40"/>
    <w:rsid w:val="00A46105"/>
    <w:rsid w:val="00A667B7"/>
    <w:rsid w:val="00AE4EEA"/>
    <w:rsid w:val="00B01B28"/>
    <w:rsid w:val="00B0267D"/>
    <w:rsid w:val="00BB6B3F"/>
    <w:rsid w:val="00BB6FDB"/>
    <w:rsid w:val="00BC3979"/>
    <w:rsid w:val="00C31E60"/>
    <w:rsid w:val="00C45F52"/>
    <w:rsid w:val="00C46485"/>
    <w:rsid w:val="00C605F5"/>
    <w:rsid w:val="00C93418"/>
    <w:rsid w:val="00CB7EAE"/>
    <w:rsid w:val="00CF1457"/>
    <w:rsid w:val="00D41D6A"/>
    <w:rsid w:val="00D43531"/>
    <w:rsid w:val="00DA3561"/>
    <w:rsid w:val="00DB24DB"/>
    <w:rsid w:val="00DD4AFE"/>
    <w:rsid w:val="00E24970"/>
    <w:rsid w:val="00E40F72"/>
    <w:rsid w:val="00E53E11"/>
    <w:rsid w:val="00E56454"/>
    <w:rsid w:val="00E93F0A"/>
    <w:rsid w:val="00EC5CC1"/>
    <w:rsid w:val="00EE27B7"/>
    <w:rsid w:val="00F25E28"/>
    <w:rsid w:val="00F32ED4"/>
    <w:rsid w:val="00F332BF"/>
    <w:rsid w:val="00F46399"/>
    <w:rsid w:val="00FD04F6"/>
    <w:rsid w:val="00FD5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F506A"/>
  <w15:chartTrackingRefBased/>
  <w15:docId w15:val="{D54297E1-5E9F-4D2B-BA40-B8E732576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5F5"/>
  </w:style>
  <w:style w:type="paragraph" w:styleId="Heading1">
    <w:name w:val="heading 1"/>
    <w:basedOn w:val="Normal"/>
    <w:next w:val="Normal"/>
    <w:link w:val="Heading1Char"/>
    <w:uiPriority w:val="9"/>
    <w:qFormat/>
    <w:rsid w:val="003F3AC2"/>
    <w:pPr>
      <w:keepNext/>
      <w:keepLines/>
      <w:spacing w:before="240" w:after="0"/>
      <w:outlineLvl w:val="0"/>
    </w:pPr>
    <w:rPr>
      <w:rFonts w:asciiTheme="majorHAnsi" w:eastAsiaTheme="majorEastAsia" w:hAnsiTheme="majorHAnsi" w:cstheme="majorBidi"/>
      <w:color w:val="31479E" w:themeColor="accent1" w:themeShade="BF"/>
      <w:sz w:val="32"/>
      <w:szCs w:val="32"/>
    </w:rPr>
  </w:style>
  <w:style w:type="paragraph" w:styleId="Heading2">
    <w:name w:val="heading 2"/>
    <w:basedOn w:val="Normal"/>
    <w:next w:val="Normal"/>
    <w:link w:val="Heading2Char"/>
    <w:uiPriority w:val="9"/>
    <w:unhideWhenUsed/>
    <w:qFormat/>
    <w:rsid w:val="003F3AC2"/>
    <w:pPr>
      <w:keepNext/>
      <w:keepLines/>
      <w:spacing w:before="40" w:after="0"/>
      <w:outlineLvl w:val="1"/>
    </w:pPr>
    <w:rPr>
      <w:rFonts w:asciiTheme="majorHAnsi" w:eastAsiaTheme="majorEastAsia" w:hAnsiTheme="majorHAnsi" w:cstheme="majorBidi"/>
      <w:color w:val="31479E" w:themeColor="accent1" w:themeShade="BF"/>
      <w:sz w:val="26"/>
      <w:szCs w:val="26"/>
    </w:rPr>
  </w:style>
  <w:style w:type="paragraph" w:styleId="Heading3">
    <w:name w:val="heading 3"/>
    <w:basedOn w:val="Normal"/>
    <w:next w:val="Normal"/>
    <w:link w:val="Heading3Char"/>
    <w:uiPriority w:val="9"/>
    <w:unhideWhenUsed/>
    <w:qFormat/>
    <w:rsid w:val="003F3AC2"/>
    <w:pPr>
      <w:keepNext/>
      <w:keepLines/>
      <w:spacing w:before="40" w:after="0"/>
      <w:outlineLvl w:val="2"/>
    </w:pPr>
    <w:rPr>
      <w:rFonts w:asciiTheme="majorHAnsi" w:eastAsiaTheme="majorEastAsia" w:hAnsiTheme="majorHAnsi" w:cstheme="majorBidi"/>
      <w:color w:val="202F69" w:themeColor="accent1" w:themeShade="7F"/>
      <w:sz w:val="24"/>
      <w:szCs w:val="24"/>
    </w:rPr>
  </w:style>
  <w:style w:type="paragraph" w:styleId="Heading4">
    <w:name w:val="heading 4"/>
    <w:basedOn w:val="Normal"/>
    <w:next w:val="Normal"/>
    <w:link w:val="Heading4Char"/>
    <w:uiPriority w:val="9"/>
    <w:unhideWhenUsed/>
    <w:qFormat/>
    <w:rsid w:val="003F3AC2"/>
    <w:pPr>
      <w:keepNext/>
      <w:keepLines/>
      <w:spacing w:before="40" w:after="0"/>
      <w:outlineLvl w:val="3"/>
    </w:pPr>
    <w:rPr>
      <w:rFonts w:asciiTheme="majorHAnsi" w:eastAsiaTheme="majorEastAsia" w:hAnsiTheme="majorHAnsi" w:cstheme="majorBidi"/>
      <w:i/>
      <w:iCs/>
      <w:color w:val="31479E" w:themeColor="accent1" w:themeShade="BF"/>
    </w:rPr>
  </w:style>
  <w:style w:type="paragraph" w:styleId="Heading5">
    <w:name w:val="heading 5"/>
    <w:basedOn w:val="Normal"/>
    <w:next w:val="Normal"/>
    <w:link w:val="Heading5Char"/>
    <w:uiPriority w:val="9"/>
    <w:unhideWhenUsed/>
    <w:qFormat/>
    <w:rsid w:val="003F3AC2"/>
    <w:pPr>
      <w:keepNext/>
      <w:keepLines/>
      <w:spacing w:before="40" w:after="0"/>
      <w:outlineLvl w:val="4"/>
    </w:pPr>
    <w:rPr>
      <w:rFonts w:asciiTheme="majorHAnsi" w:eastAsiaTheme="majorEastAsia" w:hAnsiTheme="majorHAnsi" w:cstheme="majorBidi"/>
      <w:color w:val="31479E"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AC2"/>
    <w:rPr>
      <w:rFonts w:asciiTheme="majorHAnsi" w:eastAsiaTheme="majorEastAsia" w:hAnsiTheme="majorHAnsi" w:cstheme="majorBidi"/>
      <w:color w:val="31479E" w:themeColor="accent1" w:themeShade="BF"/>
      <w:sz w:val="32"/>
      <w:szCs w:val="32"/>
    </w:rPr>
  </w:style>
  <w:style w:type="character" w:customStyle="1" w:styleId="Heading2Char">
    <w:name w:val="Heading 2 Char"/>
    <w:basedOn w:val="DefaultParagraphFont"/>
    <w:link w:val="Heading2"/>
    <w:uiPriority w:val="9"/>
    <w:rsid w:val="003F3AC2"/>
    <w:rPr>
      <w:rFonts w:asciiTheme="majorHAnsi" w:eastAsiaTheme="majorEastAsia" w:hAnsiTheme="majorHAnsi" w:cstheme="majorBidi"/>
      <w:color w:val="31479E" w:themeColor="accent1" w:themeShade="BF"/>
      <w:sz w:val="26"/>
      <w:szCs w:val="26"/>
    </w:rPr>
  </w:style>
  <w:style w:type="character" w:customStyle="1" w:styleId="Heading3Char">
    <w:name w:val="Heading 3 Char"/>
    <w:basedOn w:val="DefaultParagraphFont"/>
    <w:link w:val="Heading3"/>
    <w:uiPriority w:val="9"/>
    <w:rsid w:val="003F3AC2"/>
    <w:rPr>
      <w:rFonts w:asciiTheme="majorHAnsi" w:eastAsiaTheme="majorEastAsia" w:hAnsiTheme="majorHAnsi" w:cstheme="majorBidi"/>
      <w:color w:val="202F69" w:themeColor="accent1" w:themeShade="7F"/>
      <w:sz w:val="24"/>
      <w:szCs w:val="24"/>
    </w:rPr>
  </w:style>
  <w:style w:type="character" w:customStyle="1" w:styleId="Heading4Char">
    <w:name w:val="Heading 4 Char"/>
    <w:basedOn w:val="DefaultParagraphFont"/>
    <w:link w:val="Heading4"/>
    <w:uiPriority w:val="9"/>
    <w:rsid w:val="003F3AC2"/>
    <w:rPr>
      <w:rFonts w:asciiTheme="majorHAnsi" w:eastAsiaTheme="majorEastAsia" w:hAnsiTheme="majorHAnsi" w:cstheme="majorBidi"/>
      <w:i/>
      <w:iCs/>
      <w:color w:val="31479E" w:themeColor="accent1" w:themeShade="BF"/>
    </w:rPr>
  </w:style>
  <w:style w:type="character" w:customStyle="1" w:styleId="Heading5Char">
    <w:name w:val="Heading 5 Char"/>
    <w:basedOn w:val="DefaultParagraphFont"/>
    <w:link w:val="Heading5"/>
    <w:uiPriority w:val="9"/>
    <w:rsid w:val="003F3AC2"/>
    <w:rPr>
      <w:rFonts w:asciiTheme="majorHAnsi" w:eastAsiaTheme="majorEastAsia" w:hAnsiTheme="majorHAnsi" w:cstheme="majorBidi"/>
      <w:color w:val="31479E" w:themeColor="accent1" w:themeShade="BF"/>
    </w:rPr>
  </w:style>
  <w:style w:type="paragraph" w:styleId="Caption">
    <w:name w:val="caption"/>
    <w:basedOn w:val="Normal"/>
    <w:next w:val="Normal"/>
    <w:uiPriority w:val="35"/>
    <w:semiHidden/>
    <w:unhideWhenUsed/>
    <w:qFormat/>
    <w:rsid w:val="003F3AC2"/>
    <w:pPr>
      <w:spacing w:after="200" w:line="240" w:lineRule="auto"/>
    </w:pPr>
    <w:rPr>
      <w:i/>
      <w:iCs/>
      <w:color w:val="212745" w:themeColor="text2"/>
      <w:sz w:val="18"/>
      <w:szCs w:val="18"/>
    </w:rPr>
  </w:style>
  <w:style w:type="paragraph" w:styleId="NoSpacing">
    <w:name w:val="No Spacing"/>
    <w:link w:val="NoSpacingChar"/>
    <w:uiPriority w:val="1"/>
    <w:qFormat/>
    <w:rsid w:val="003F3AC2"/>
    <w:pPr>
      <w:spacing w:after="0" w:line="240" w:lineRule="auto"/>
    </w:pPr>
  </w:style>
  <w:style w:type="character" w:customStyle="1" w:styleId="NoSpacingChar">
    <w:name w:val="No Spacing Char"/>
    <w:basedOn w:val="DefaultParagraphFont"/>
    <w:link w:val="NoSpacing"/>
    <w:uiPriority w:val="1"/>
    <w:rsid w:val="003F3AC2"/>
  </w:style>
  <w:style w:type="paragraph" w:styleId="ListParagraph">
    <w:name w:val="List Paragraph"/>
    <w:basedOn w:val="Normal"/>
    <w:uiPriority w:val="34"/>
    <w:qFormat/>
    <w:rsid w:val="003F3AC2"/>
    <w:pPr>
      <w:ind w:left="720"/>
      <w:contextualSpacing/>
    </w:pPr>
  </w:style>
  <w:style w:type="paragraph" w:styleId="NormalWeb">
    <w:name w:val="Normal (Web)"/>
    <w:basedOn w:val="Normal"/>
    <w:uiPriority w:val="99"/>
    <w:unhideWhenUsed/>
    <w:rsid w:val="00AE4E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TMLPreformatted">
    <w:name w:val="HTML Preformatted"/>
    <w:basedOn w:val="Normal"/>
    <w:link w:val="HTMLPreformattedChar"/>
    <w:uiPriority w:val="99"/>
    <w:semiHidden/>
    <w:unhideWhenUsed/>
    <w:rsid w:val="00CF145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F1457"/>
    <w:rPr>
      <w:rFonts w:ascii="Consolas" w:hAnsi="Consolas"/>
      <w:sz w:val="20"/>
      <w:szCs w:val="20"/>
    </w:rPr>
  </w:style>
  <w:style w:type="character" w:styleId="Hyperlink">
    <w:name w:val="Hyperlink"/>
    <w:basedOn w:val="DefaultParagraphFont"/>
    <w:uiPriority w:val="99"/>
    <w:unhideWhenUsed/>
    <w:rsid w:val="00B01B28"/>
    <w:rPr>
      <w:color w:val="56C7AA" w:themeColor="hyperlink"/>
      <w:u w:val="single"/>
    </w:rPr>
  </w:style>
  <w:style w:type="character" w:styleId="UnresolvedMention">
    <w:name w:val="Unresolved Mention"/>
    <w:basedOn w:val="DefaultParagraphFont"/>
    <w:uiPriority w:val="99"/>
    <w:semiHidden/>
    <w:unhideWhenUsed/>
    <w:rsid w:val="00B01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47631">
      <w:bodyDiv w:val="1"/>
      <w:marLeft w:val="0"/>
      <w:marRight w:val="0"/>
      <w:marTop w:val="0"/>
      <w:marBottom w:val="0"/>
      <w:divBdr>
        <w:top w:val="none" w:sz="0" w:space="0" w:color="auto"/>
        <w:left w:val="none" w:sz="0" w:space="0" w:color="auto"/>
        <w:bottom w:val="none" w:sz="0" w:space="0" w:color="auto"/>
        <w:right w:val="none" w:sz="0" w:space="0" w:color="auto"/>
      </w:divBdr>
    </w:div>
    <w:div w:id="952175364">
      <w:bodyDiv w:val="1"/>
      <w:marLeft w:val="0"/>
      <w:marRight w:val="0"/>
      <w:marTop w:val="0"/>
      <w:marBottom w:val="0"/>
      <w:divBdr>
        <w:top w:val="none" w:sz="0" w:space="0" w:color="auto"/>
        <w:left w:val="none" w:sz="0" w:space="0" w:color="auto"/>
        <w:bottom w:val="none" w:sz="0" w:space="0" w:color="auto"/>
        <w:right w:val="none" w:sz="0" w:space="0" w:color="auto"/>
      </w:divBdr>
      <w:divsChild>
        <w:div w:id="1799371141">
          <w:marLeft w:val="-720"/>
          <w:marRight w:val="0"/>
          <w:marTop w:val="0"/>
          <w:marBottom w:val="0"/>
          <w:divBdr>
            <w:top w:val="none" w:sz="0" w:space="0" w:color="auto"/>
            <w:left w:val="none" w:sz="0" w:space="0" w:color="auto"/>
            <w:bottom w:val="none" w:sz="0" w:space="0" w:color="auto"/>
            <w:right w:val="none" w:sz="0" w:space="0" w:color="auto"/>
          </w:divBdr>
        </w:div>
      </w:divsChild>
    </w:div>
    <w:div w:id="1184829476">
      <w:bodyDiv w:val="1"/>
      <w:marLeft w:val="0"/>
      <w:marRight w:val="0"/>
      <w:marTop w:val="0"/>
      <w:marBottom w:val="0"/>
      <w:divBdr>
        <w:top w:val="none" w:sz="0" w:space="0" w:color="auto"/>
        <w:left w:val="none" w:sz="0" w:space="0" w:color="auto"/>
        <w:bottom w:val="none" w:sz="0" w:space="0" w:color="auto"/>
        <w:right w:val="none" w:sz="0" w:space="0" w:color="auto"/>
      </w:divBdr>
      <w:divsChild>
        <w:div w:id="457114763">
          <w:marLeft w:val="-720"/>
          <w:marRight w:val="0"/>
          <w:marTop w:val="0"/>
          <w:marBottom w:val="0"/>
          <w:divBdr>
            <w:top w:val="none" w:sz="0" w:space="0" w:color="auto"/>
            <w:left w:val="none" w:sz="0" w:space="0" w:color="auto"/>
            <w:bottom w:val="none" w:sz="0" w:space="0" w:color="auto"/>
            <w:right w:val="none" w:sz="0" w:space="0" w:color="auto"/>
          </w:divBdr>
        </w:div>
      </w:divsChild>
    </w:div>
    <w:div w:id="1553734885">
      <w:bodyDiv w:val="1"/>
      <w:marLeft w:val="0"/>
      <w:marRight w:val="0"/>
      <w:marTop w:val="0"/>
      <w:marBottom w:val="0"/>
      <w:divBdr>
        <w:top w:val="none" w:sz="0" w:space="0" w:color="auto"/>
        <w:left w:val="none" w:sz="0" w:space="0" w:color="auto"/>
        <w:bottom w:val="none" w:sz="0" w:space="0" w:color="auto"/>
        <w:right w:val="none" w:sz="0" w:space="0" w:color="auto"/>
      </w:divBdr>
      <w:divsChild>
        <w:div w:id="192795836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3/cmaj.090292" TargetMode="External"/><Relationship Id="rId3" Type="http://schemas.openxmlformats.org/officeDocument/2006/relationships/settings" Target="settings.xml"/><Relationship Id="rId7" Type="http://schemas.openxmlformats.org/officeDocument/2006/relationships/hyperlink" Target="https://doi.org/10.1186/s12910-017-0179-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1369183x.2019.1694406" TargetMode="External"/><Relationship Id="rId11" Type="http://schemas.openxmlformats.org/officeDocument/2006/relationships/fontTable" Target="fontTable.xml"/><Relationship Id="rId5" Type="http://schemas.openxmlformats.org/officeDocument/2006/relationships/hyperlink" Target="https://doi.org/10.1377/hlthaff.24.2.499" TargetMode="External"/><Relationship Id="rId10" Type="http://schemas.openxmlformats.org/officeDocument/2006/relationships/hyperlink" Target="https://doi.org/10.1016/j.eurpsy.2015.01.012" TargetMode="External"/><Relationship Id="rId4" Type="http://schemas.openxmlformats.org/officeDocument/2006/relationships/webSettings" Target="webSettings.xml"/><Relationship Id="rId9" Type="http://schemas.openxmlformats.org/officeDocument/2006/relationships/hyperlink" Target="https://doi.org/10.1016/j.socscimed.2010.07.020" TargetMode="Externa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8F4A6-FAF1-404D-B348-AF1BFC6FC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3119</Words>
  <Characters>17783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cp:revision>
  <dcterms:created xsi:type="dcterms:W3CDTF">2024-01-08T11:00:00Z</dcterms:created>
  <dcterms:modified xsi:type="dcterms:W3CDTF">2024-01-08T11:00:00Z</dcterms:modified>
</cp:coreProperties>
</file>