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4B56F5" w14:textId="77777777" w:rsidR="00C41E1E" w:rsidRDefault="00C41E1E" w:rsidP="00C41E1E">
      <w:pPr>
        <w:jc w:val="center"/>
        <w:rPr>
          <w:sz w:val="72"/>
          <w:szCs w:val="72"/>
        </w:rPr>
      </w:pPr>
    </w:p>
    <w:p w14:paraId="2E9518C4" w14:textId="77777777" w:rsidR="00C41E1E" w:rsidRDefault="00C41E1E" w:rsidP="00C41E1E">
      <w:pPr>
        <w:jc w:val="center"/>
        <w:rPr>
          <w:sz w:val="72"/>
          <w:szCs w:val="72"/>
        </w:rPr>
      </w:pPr>
    </w:p>
    <w:p w14:paraId="6EB14386" w14:textId="28E3DC37" w:rsidR="009818DB" w:rsidRPr="00C41E1E" w:rsidRDefault="009818DB" w:rsidP="00C41E1E">
      <w:pPr>
        <w:jc w:val="center"/>
        <w:rPr>
          <w:sz w:val="72"/>
          <w:szCs w:val="72"/>
        </w:rPr>
      </w:pPr>
      <w:r w:rsidRPr="00C41E1E">
        <w:rPr>
          <w:sz w:val="72"/>
          <w:szCs w:val="72"/>
        </w:rPr>
        <w:t>Policing the public</w:t>
      </w:r>
    </w:p>
    <w:p w14:paraId="2178643E" w14:textId="77777777" w:rsidR="009818DB" w:rsidRPr="00C41E1E" w:rsidRDefault="009818DB" w:rsidP="00C41E1E">
      <w:pPr>
        <w:jc w:val="center"/>
        <w:rPr>
          <w:sz w:val="72"/>
          <w:szCs w:val="72"/>
        </w:rPr>
      </w:pPr>
    </w:p>
    <w:p w14:paraId="22AA5C0B" w14:textId="3ED9F401" w:rsidR="009818DB" w:rsidRPr="00C41E1E" w:rsidRDefault="009818DB" w:rsidP="00C41E1E">
      <w:pPr>
        <w:jc w:val="center"/>
        <w:rPr>
          <w:b/>
          <w:sz w:val="72"/>
          <w:szCs w:val="72"/>
        </w:rPr>
      </w:pPr>
      <w:r w:rsidRPr="00C41E1E">
        <w:rPr>
          <w:b/>
          <w:sz w:val="72"/>
          <w:szCs w:val="72"/>
        </w:rPr>
        <w:t>Evaluate the success and limitations of the Police and Criminal Evidence Act 1984 in preventing Miscarriages of Justice.</w:t>
      </w:r>
    </w:p>
    <w:p w14:paraId="7C99CA57" w14:textId="77777777" w:rsidR="009818DB" w:rsidRPr="00C41E1E" w:rsidRDefault="009818DB" w:rsidP="00C41E1E">
      <w:pPr>
        <w:jc w:val="center"/>
        <w:rPr>
          <w:b/>
          <w:sz w:val="72"/>
          <w:szCs w:val="72"/>
        </w:rPr>
      </w:pPr>
    </w:p>
    <w:p w14:paraId="32F45C39" w14:textId="77777777" w:rsidR="009818DB" w:rsidRPr="00C41E1E" w:rsidRDefault="009818DB" w:rsidP="00C41E1E">
      <w:pPr>
        <w:jc w:val="center"/>
        <w:rPr>
          <w:b/>
          <w:sz w:val="72"/>
          <w:szCs w:val="72"/>
        </w:rPr>
      </w:pPr>
      <w:r w:rsidRPr="00C41E1E">
        <w:rPr>
          <w:b/>
          <w:sz w:val="72"/>
          <w:szCs w:val="72"/>
        </w:rPr>
        <w:t>Ela Roberts</w:t>
      </w:r>
    </w:p>
    <w:p w14:paraId="6382D0D8" w14:textId="77777777" w:rsidR="009818DB" w:rsidRPr="00C41E1E" w:rsidRDefault="009818DB" w:rsidP="00C41E1E">
      <w:pPr>
        <w:jc w:val="center"/>
        <w:rPr>
          <w:sz w:val="72"/>
          <w:szCs w:val="72"/>
        </w:rPr>
      </w:pPr>
      <w:r w:rsidRPr="00C41E1E">
        <w:rPr>
          <w:b/>
          <w:sz w:val="72"/>
          <w:szCs w:val="72"/>
        </w:rPr>
        <w:t>1900589</w:t>
      </w:r>
    </w:p>
    <w:p w14:paraId="4834B639" w14:textId="44852FA6" w:rsidR="003815CB" w:rsidRDefault="003815CB"/>
    <w:p w14:paraId="4481DD1A" w14:textId="450C1A91" w:rsidR="0057423A" w:rsidRDefault="0057423A"/>
    <w:p w14:paraId="7C640AA2" w14:textId="24F8E084" w:rsidR="0057423A" w:rsidRDefault="0057423A"/>
    <w:p w14:paraId="7AC9DE93" w14:textId="2D6C9734" w:rsidR="0057423A" w:rsidRDefault="0057423A"/>
    <w:p w14:paraId="39F16BA6" w14:textId="7DBB9D43" w:rsidR="0057423A" w:rsidRDefault="0057423A"/>
    <w:p w14:paraId="218D0B01" w14:textId="3AEBDBFD" w:rsidR="0057423A" w:rsidRDefault="0057423A"/>
    <w:p w14:paraId="05633C59" w14:textId="4B0EE817" w:rsidR="0057423A" w:rsidRDefault="0057423A"/>
    <w:p w14:paraId="15EA9852" w14:textId="63E22CB9" w:rsidR="0057423A" w:rsidRDefault="0057423A"/>
    <w:p w14:paraId="76DA921D" w14:textId="3A246BBB" w:rsidR="0057423A" w:rsidRDefault="0057423A"/>
    <w:p w14:paraId="2245AEE4" w14:textId="66531F04" w:rsidR="0057423A" w:rsidRDefault="0057423A"/>
    <w:p w14:paraId="6E47630D" w14:textId="43AFE97A" w:rsidR="0057423A" w:rsidRDefault="0057423A"/>
    <w:p w14:paraId="03E6C17C" w14:textId="77777777" w:rsidR="00946419" w:rsidRDefault="00946419" w:rsidP="00F0637D">
      <w:pPr>
        <w:spacing w:line="360" w:lineRule="auto"/>
        <w:rPr>
          <w:rFonts w:ascii="Arial" w:hAnsi="Arial" w:cs="Arial"/>
          <w:color w:val="000000" w:themeColor="text1"/>
        </w:rPr>
      </w:pPr>
    </w:p>
    <w:p w14:paraId="19EF7454" w14:textId="01826EF1" w:rsidR="0057423A" w:rsidRPr="0050096B" w:rsidRDefault="0057423A" w:rsidP="0050096B">
      <w:pPr>
        <w:spacing w:line="360" w:lineRule="auto"/>
        <w:rPr>
          <w:rFonts w:ascii="Arial" w:hAnsi="Arial" w:cs="Arial"/>
          <w:color w:val="000000" w:themeColor="text1"/>
        </w:rPr>
      </w:pPr>
      <w:r w:rsidRPr="0050096B">
        <w:rPr>
          <w:rFonts w:ascii="Arial" w:hAnsi="Arial" w:cs="Arial"/>
          <w:color w:val="000000" w:themeColor="text1"/>
        </w:rPr>
        <w:lastRenderedPageBreak/>
        <w:t xml:space="preserve">This assignment will consider the use of PACE and its effectiveness in preventing the miscarriages of justice. It will demonstrate a critical analysis of how </w:t>
      </w:r>
      <w:r w:rsidR="00875212" w:rsidRPr="0050096B">
        <w:rPr>
          <w:rFonts w:ascii="Arial" w:hAnsi="Arial" w:cs="Arial"/>
          <w:color w:val="000000" w:themeColor="text1"/>
        </w:rPr>
        <w:t>PACE</w:t>
      </w:r>
      <w:r w:rsidRPr="0050096B">
        <w:rPr>
          <w:rFonts w:ascii="Arial" w:hAnsi="Arial" w:cs="Arial"/>
          <w:color w:val="000000" w:themeColor="text1"/>
        </w:rPr>
        <w:t xml:space="preserve"> is used and </w:t>
      </w:r>
      <w:r w:rsidR="00875212" w:rsidRPr="0050096B">
        <w:rPr>
          <w:rFonts w:ascii="Arial" w:hAnsi="Arial" w:cs="Arial"/>
          <w:color w:val="000000" w:themeColor="text1"/>
        </w:rPr>
        <w:t>highlight</w:t>
      </w:r>
      <w:r w:rsidRPr="0050096B">
        <w:rPr>
          <w:rFonts w:ascii="Arial" w:hAnsi="Arial" w:cs="Arial"/>
          <w:color w:val="000000" w:themeColor="text1"/>
        </w:rPr>
        <w:t xml:space="preserve"> the pros and cons of this</w:t>
      </w:r>
      <w:r w:rsidR="00875212" w:rsidRPr="0050096B">
        <w:rPr>
          <w:rFonts w:ascii="Arial" w:hAnsi="Arial" w:cs="Arial"/>
          <w:color w:val="000000" w:themeColor="text1"/>
        </w:rPr>
        <w:t xml:space="preserve"> method</w:t>
      </w:r>
      <w:r w:rsidRPr="0050096B">
        <w:rPr>
          <w:rFonts w:ascii="Arial" w:hAnsi="Arial" w:cs="Arial"/>
          <w:color w:val="000000" w:themeColor="text1"/>
        </w:rPr>
        <w:t xml:space="preserve">. It will use examples and cases of miscarriage of justice being used before and after </w:t>
      </w:r>
      <w:r w:rsidR="00875212" w:rsidRPr="0050096B">
        <w:rPr>
          <w:rFonts w:ascii="Arial" w:hAnsi="Arial" w:cs="Arial"/>
          <w:color w:val="000000" w:themeColor="text1"/>
        </w:rPr>
        <w:t>PACE</w:t>
      </w:r>
      <w:r w:rsidRPr="0050096B">
        <w:rPr>
          <w:rFonts w:ascii="Arial" w:hAnsi="Arial" w:cs="Arial"/>
          <w:color w:val="000000" w:themeColor="text1"/>
        </w:rPr>
        <w:t xml:space="preserve"> was introduced</w:t>
      </w:r>
      <w:r w:rsidR="00875212" w:rsidRPr="0050096B">
        <w:rPr>
          <w:rFonts w:ascii="Arial" w:hAnsi="Arial" w:cs="Arial"/>
          <w:color w:val="000000" w:themeColor="text1"/>
        </w:rPr>
        <w:t>. It will</w:t>
      </w:r>
      <w:r w:rsidRPr="0050096B">
        <w:rPr>
          <w:rFonts w:ascii="Arial" w:hAnsi="Arial" w:cs="Arial"/>
          <w:color w:val="000000" w:themeColor="text1"/>
        </w:rPr>
        <w:t xml:space="preserve"> discuss what underpins the situation </w:t>
      </w:r>
      <w:r w:rsidR="00875212" w:rsidRPr="0050096B">
        <w:rPr>
          <w:rFonts w:ascii="Arial" w:hAnsi="Arial" w:cs="Arial"/>
          <w:color w:val="000000" w:themeColor="text1"/>
        </w:rPr>
        <w:t xml:space="preserve">where PACE is used </w:t>
      </w:r>
      <w:r w:rsidRPr="0050096B">
        <w:rPr>
          <w:rFonts w:ascii="Arial" w:hAnsi="Arial" w:cs="Arial"/>
          <w:color w:val="000000" w:themeColor="text1"/>
        </w:rPr>
        <w:t>and what the outcomes are</w:t>
      </w:r>
      <w:r w:rsidR="00875212" w:rsidRPr="0050096B">
        <w:rPr>
          <w:rFonts w:ascii="Arial" w:hAnsi="Arial" w:cs="Arial"/>
          <w:color w:val="000000" w:themeColor="text1"/>
        </w:rPr>
        <w:t xml:space="preserve"> as a result of this</w:t>
      </w:r>
      <w:r w:rsidRPr="0050096B">
        <w:rPr>
          <w:rFonts w:ascii="Arial" w:hAnsi="Arial" w:cs="Arial"/>
          <w:color w:val="000000" w:themeColor="text1"/>
        </w:rPr>
        <w:t xml:space="preserve">.  A conclusion will identify the findings from the research undertaken and provide possible explanations as to how </w:t>
      </w:r>
      <w:r w:rsidR="00875212" w:rsidRPr="0050096B">
        <w:rPr>
          <w:rFonts w:ascii="Arial" w:hAnsi="Arial" w:cs="Arial"/>
          <w:color w:val="000000" w:themeColor="text1"/>
        </w:rPr>
        <w:t>findings of the research are l</w:t>
      </w:r>
      <w:r w:rsidRPr="0050096B">
        <w:rPr>
          <w:rFonts w:ascii="Arial" w:hAnsi="Arial" w:cs="Arial"/>
          <w:color w:val="000000" w:themeColor="text1"/>
        </w:rPr>
        <w:t xml:space="preserve">inked and how </w:t>
      </w:r>
      <w:r w:rsidR="00875212" w:rsidRPr="0050096B">
        <w:rPr>
          <w:rFonts w:ascii="Arial" w:hAnsi="Arial" w:cs="Arial"/>
          <w:color w:val="000000" w:themeColor="text1"/>
        </w:rPr>
        <w:t>PACE</w:t>
      </w:r>
      <w:r w:rsidRPr="0050096B">
        <w:rPr>
          <w:rFonts w:ascii="Arial" w:hAnsi="Arial" w:cs="Arial"/>
          <w:color w:val="000000" w:themeColor="text1"/>
        </w:rPr>
        <w:t xml:space="preserve"> being introduced has helped and made a difference</w:t>
      </w:r>
      <w:r w:rsidR="00875212" w:rsidRPr="0050096B">
        <w:rPr>
          <w:rFonts w:ascii="Arial" w:hAnsi="Arial" w:cs="Arial"/>
          <w:color w:val="000000" w:themeColor="text1"/>
        </w:rPr>
        <w:t xml:space="preserve"> in the outcomes</w:t>
      </w:r>
      <w:r w:rsidRPr="0050096B">
        <w:rPr>
          <w:rFonts w:ascii="Arial" w:hAnsi="Arial" w:cs="Arial"/>
          <w:color w:val="000000" w:themeColor="text1"/>
        </w:rPr>
        <w:t xml:space="preserve">. </w:t>
      </w:r>
    </w:p>
    <w:p w14:paraId="3C33AB32" w14:textId="253B6C24" w:rsidR="002E591F" w:rsidRPr="0050096B" w:rsidRDefault="002E591F" w:rsidP="0050096B">
      <w:pPr>
        <w:spacing w:line="360" w:lineRule="auto"/>
        <w:rPr>
          <w:rFonts w:ascii="Arial" w:hAnsi="Arial" w:cs="Arial"/>
          <w:color w:val="000000" w:themeColor="text1"/>
        </w:rPr>
      </w:pPr>
    </w:p>
    <w:p w14:paraId="59DC817D" w14:textId="77777777" w:rsidR="00FD1128" w:rsidRPr="0050096B" w:rsidRDefault="00882DFA" w:rsidP="0050096B">
      <w:pPr>
        <w:spacing w:line="360" w:lineRule="auto"/>
        <w:rPr>
          <w:rFonts w:ascii="Arial" w:hAnsi="Arial" w:cs="Arial"/>
          <w:color w:val="000000" w:themeColor="text1"/>
        </w:rPr>
      </w:pPr>
      <w:r w:rsidRPr="0050096B">
        <w:rPr>
          <w:rFonts w:ascii="Arial" w:hAnsi="Arial" w:cs="Arial"/>
          <w:color w:val="000000" w:themeColor="text1"/>
          <w:shd w:val="clear" w:color="auto" w:fill="FFFFFF"/>
        </w:rPr>
        <w:t>The Police and Criminal Evidence Act of 1984 was enacted as a result of the Royal Commission on Criminal Procedure's findings.</w:t>
      </w:r>
      <w:r w:rsidRPr="0050096B">
        <w:rPr>
          <w:rFonts w:ascii="Arial" w:hAnsi="Arial" w:cs="Arial"/>
          <w:color w:val="000000" w:themeColor="text1"/>
          <w:shd w:val="clear" w:color="auto" w:fill="FFFFFF"/>
        </w:rPr>
        <w:t xml:space="preserve"> </w:t>
      </w:r>
      <w:r w:rsidRPr="0050096B">
        <w:rPr>
          <w:rFonts w:ascii="Arial" w:hAnsi="Arial" w:cs="Arial"/>
          <w:color w:val="000000" w:themeColor="text1"/>
          <w:shd w:val="clear" w:color="auto" w:fill="FFFFFF"/>
        </w:rPr>
        <w:t>The Police and Criminal Evidence Act of 1984 was enacted to unify police powers under a single code of conduct and to carefully balance individual rights against police powers.</w:t>
      </w:r>
      <w:r w:rsidRPr="0050096B">
        <w:rPr>
          <w:rFonts w:ascii="Arial" w:hAnsi="Arial" w:cs="Arial"/>
          <w:color w:val="000000" w:themeColor="text1"/>
        </w:rPr>
        <w:t xml:space="preserve"> </w:t>
      </w:r>
    </w:p>
    <w:p w14:paraId="410590A7" w14:textId="77777777" w:rsidR="00FD1128" w:rsidRPr="0050096B" w:rsidRDefault="00FD1128" w:rsidP="0050096B">
      <w:pPr>
        <w:spacing w:line="360" w:lineRule="auto"/>
        <w:rPr>
          <w:rFonts w:ascii="Arial" w:hAnsi="Arial" w:cs="Arial"/>
          <w:color w:val="000000" w:themeColor="text1"/>
        </w:rPr>
      </w:pPr>
    </w:p>
    <w:p w14:paraId="11973F42" w14:textId="7DEAC53A" w:rsidR="00FD1128" w:rsidRPr="0050096B" w:rsidRDefault="00FD1128"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 xml:space="preserve">The Police and Criminal Evidence Act of 1984 has now officially provided a significant increase in intrusive, confrontation-oriented powers, signalling how our society will be policed in the future. Coercion, rather than public consent, is the new mode of policing (Baxter and </w:t>
      </w:r>
      <w:proofErr w:type="spellStart"/>
      <w:r w:rsidRPr="0050096B">
        <w:rPr>
          <w:rFonts w:ascii="Arial" w:hAnsi="Arial" w:cs="Arial"/>
          <w:color w:val="000000" w:themeColor="text1"/>
          <w:shd w:val="clear" w:color="auto" w:fill="FFFFFF"/>
        </w:rPr>
        <w:t>Koffman</w:t>
      </w:r>
      <w:proofErr w:type="spellEnd"/>
      <w:r w:rsidRPr="0050096B">
        <w:rPr>
          <w:rFonts w:ascii="Arial" w:hAnsi="Arial" w:cs="Arial"/>
          <w:color w:val="000000" w:themeColor="text1"/>
          <w:shd w:val="clear" w:color="auto" w:fill="FFFFFF"/>
        </w:rPr>
        <w:t xml:space="preserve">, 1985: 1). </w:t>
      </w:r>
      <w:r w:rsidR="00882DFA" w:rsidRPr="0050096B">
        <w:rPr>
          <w:rFonts w:ascii="Arial" w:hAnsi="Arial" w:cs="Arial"/>
          <w:color w:val="000000" w:themeColor="text1"/>
          <w:shd w:val="clear" w:color="auto" w:fill="FFFFFF"/>
        </w:rPr>
        <w:t>The Act is accompanied by codes of practi</w:t>
      </w:r>
      <w:r w:rsidR="00F82860" w:rsidRPr="0050096B">
        <w:rPr>
          <w:rFonts w:ascii="Arial" w:hAnsi="Arial" w:cs="Arial"/>
          <w:color w:val="000000" w:themeColor="text1"/>
          <w:shd w:val="clear" w:color="auto" w:fill="FFFFFF"/>
        </w:rPr>
        <w:t>c</w:t>
      </w:r>
      <w:r w:rsidR="00882DFA" w:rsidRPr="0050096B">
        <w:rPr>
          <w:rFonts w:ascii="Arial" w:hAnsi="Arial" w:cs="Arial"/>
          <w:color w:val="000000" w:themeColor="text1"/>
          <w:shd w:val="clear" w:color="auto" w:fill="FFFFFF"/>
        </w:rPr>
        <w:t xml:space="preserve">e that help </w:t>
      </w:r>
      <w:r w:rsidR="00F82860" w:rsidRPr="0050096B">
        <w:rPr>
          <w:rFonts w:ascii="Arial" w:hAnsi="Arial" w:cs="Arial"/>
          <w:color w:val="000000" w:themeColor="text1"/>
          <w:shd w:val="clear" w:color="auto" w:fill="FFFFFF"/>
        </w:rPr>
        <w:t xml:space="preserve">and assist </w:t>
      </w:r>
      <w:r w:rsidR="00882DFA" w:rsidRPr="0050096B">
        <w:rPr>
          <w:rFonts w:ascii="Arial" w:hAnsi="Arial" w:cs="Arial"/>
          <w:color w:val="000000" w:themeColor="text1"/>
          <w:shd w:val="clear" w:color="auto" w:fill="FFFFFF"/>
        </w:rPr>
        <w:t>police officers understand the scope of their authority.</w:t>
      </w:r>
      <w:r w:rsidR="00882DFA" w:rsidRPr="0050096B">
        <w:rPr>
          <w:rFonts w:ascii="Arial" w:hAnsi="Arial" w:cs="Arial"/>
          <w:color w:val="000000" w:themeColor="text1"/>
          <w:shd w:val="clear" w:color="auto" w:fill="FFFFFF"/>
        </w:rPr>
        <w:t xml:space="preserve"> </w:t>
      </w:r>
    </w:p>
    <w:p w14:paraId="389C9E99" w14:textId="388FC496" w:rsidR="00FD1128" w:rsidRPr="0050096B" w:rsidRDefault="0019605B"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The Secretary of State is required by Sections 60 and 66 of the Police and Criminal Evidence Act 1984 to issue codes of conduct in accordance with the exercise of different powers</w:t>
      </w:r>
      <w:r w:rsidR="00FD1128" w:rsidRPr="0050096B">
        <w:rPr>
          <w:rFonts w:ascii="Arial" w:hAnsi="Arial" w:cs="Arial"/>
          <w:color w:val="000000" w:themeColor="text1"/>
          <w:shd w:val="clear" w:color="auto" w:fill="FFFFFF"/>
        </w:rPr>
        <w:t xml:space="preserve"> </w:t>
      </w:r>
      <w:r w:rsidR="00FD1128" w:rsidRPr="0050096B">
        <w:rPr>
          <w:rFonts w:ascii="Arial" w:hAnsi="Arial" w:cs="Arial"/>
          <w:color w:val="000000" w:themeColor="text1"/>
          <w:shd w:val="clear" w:color="auto" w:fill="FFFFFF"/>
        </w:rPr>
        <w:t>(UK Law, 2018).</w:t>
      </w:r>
    </w:p>
    <w:p w14:paraId="5ACEAF9F" w14:textId="6B7D14B1" w:rsidR="00FD1128" w:rsidRPr="0050096B" w:rsidRDefault="00FD1128" w:rsidP="0050096B">
      <w:pPr>
        <w:spacing w:line="360" w:lineRule="auto"/>
        <w:rPr>
          <w:rFonts w:ascii="Arial" w:hAnsi="Arial" w:cs="Arial"/>
          <w:color w:val="000000" w:themeColor="text1"/>
          <w:shd w:val="clear" w:color="auto" w:fill="FFFFFF"/>
        </w:rPr>
      </w:pPr>
    </w:p>
    <w:p w14:paraId="228FF780" w14:textId="79C3E1EF" w:rsidR="002E591F" w:rsidRPr="0050096B" w:rsidRDefault="0019605B"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There have been eight such codes given so far</w:t>
      </w:r>
      <w:r w:rsidRPr="0050096B">
        <w:rPr>
          <w:rFonts w:ascii="Arial" w:hAnsi="Arial" w:cs="Arial"/>
          <w:color w:val="000000" w:themeColor="text1"/>
          <w:shd w:val="clear" w:color="auto" w:fill="FFFFFF"/>
        </w:rPr>
        <w:t xml:space="preserve">, </w:t>
      </w:r>
      <w:r w:rsidR="002E591F" w:rsidRPr="0050096B">
        <w:rPr>
          <w:rFonts w:ascii="Arial" w:hAnsi="Arial" w:cs="Arial"/>
          <w:color w:val="000000" w:themeColor="text1"/>
          <w:shd w:val="clear" w:color="auto" w:fill="FFFFFF"/>
        </w:rPr>
        <w:t xml:space="preserve">these codes </w:t>
      </w:r>
      <w:r w:rsidR="00F82860" w:rsidRPr="0050096B">
        <w:rPr>
          <w:rFonts w:ascii="Arial" w:hAnsi="Arial" w:cs="Arial"/>
          <w:color w:val="000000" w:themeColor="text1"/>
          <w:shd w:val="clear" w:color="auto" w:fill="FFFFFF"/>
        </w:rPr>
        <w:t>range</w:t>
      </w:r>
      <w:r w:rsidR="002E591F" w:rsidRPr="0050096B">
        <w:rPr>
          <w:rFonts w:ascii="Arial" w:hAnsi="Arial" w:cs="Arial"/>
          <w:color w:val="000000" w:themeColor="text1"/>
          <w:shd w:val="clear" w:color="auto" w:fill="FFFFFF"/>
        </w:rPr>
        <w:t xml:space="preserve"> from code A to code H. </w:t>
      </w:r>
      <w:r w:rsidR="00E5071C" w:rsidRPr="0050096B">
        <w:rPr>
          <w:rFonts w:ascii="Arial" w:hAnsi="Arial" w:cs="Arial"/>
          <w:color w:val="000000" w:themeColor="text1"/>
          <w:shd w:val="clear" w:color="auto" w:fill="FFFFFF"/>
        </w:rPr>
        <w:t>Stop and search is covered by Code A, which includes police legislative powers as well as the provisions for officers and personnel to report public incidents. It covers the main concepts a police officer must apply when determining whether to use a power of search on someone who isn't under arrest and provides instructions for investigating people who are</w:t>
      </w:r>
      <w:r w:rsidR="00F82860" w:rsidRPr="0050096B">
        <w:rPr>
          <w:rFonts w:ascii="Arial" w:hAnsi="Arial" w:cs="Arial"/>
          <w:color w:val="000000" w:themeColor="text1"/>
          <w:shd w:val="clear" w:color="auto" w:fill="FFFFFF"/>
        </w:rPr>
        <w:t xml:space="preserve"> not</w:t>
      </w:r>
      <w:r w:rsidR="00E5071C" w:rsidRPr="0050096B">
        <w:rPr>
          <w:rFonts w:ascii="Arial" w:hAnsi="Arial" w:cs="Arial"/>
          <w:color w:val="000000" w:themeColor="text1"/>
          <w:shd w:val="clear" w:color="auto" w:fill="FFFFFF"/>
        </w:rPr>
        <w:t xml:space="preserve"> under arrest.</w:t>
      </w:r>
      <w:r w:rsidR="00E5071C" w:rsidRPr="0050096B">
        <w:rPr>
          <w:rFonts w:ascii="Arial" w:hAnsi="Arial" w:cs="Arial"/>
          <w:color w:val="000000" w:themeColor="text1"/>
          <w:shd w:val="clear" w:color="auto" w:fill="FFFFFF"/>
        </w:rPr>
        <w:t xml:space="preserve"> </w:t>
      </w:r>
      <w:r w:rsidR="003D3189" w:rsidRPr="0050096B">
        <w:rPr>
          <w:rFonts w:ascii="Arial" w:hAnsi="Arial" w:cs="Arial"/>
          <w:color w:val="000000" w:themeColor="text1"/>
        </w:rPr>
        <w:t xml:space="preserve">Code B covers searches of premises by police officers and the seizure of any property found. It provides guidelines on how to protect a person’s rights in relation to the conduct of the search, and the record to be made after the search. </w:t>
      </w:r>
      <w:r w:rsidR="006862DC" w:rsidRPr="0050096B">
        <w:rPr>
          <w:rFonts w:ascii="Arial" w:hAnsi="Arial" w:cs="Arial"/>
          <w:color w:val="000000" w:themeColor="text1"/>
        </w:rPr>
        <w:t xml:space="preserve">Code C covers the detention, treatment, and questioning of suspects not related to terrorism by police officers and applies </w:t>
      </w:r>
      <w:r w:rsidR="006862DC" w:rsidRPr="0050096B">
        <w:rPr>
          <w:rFonts w:ascii="Arial" w:hAnsi="Arial" w:cs="Arial"/>
          <w:color w:val="000000" w:themeColor="text1"/>
        </w:rPr>
        <w:lastRenderedPageBreak/>
        <w:t xml:space="preserve">primarily to suspects under arrest. Code D covers the identification of persons by police officers. </w:t>
      </w:r>
      <w:r w:rsidR="00E5071C" w:rsidRPr="0050096B">
        <w:rPr>
          <w:rFonts w:ascii="Arial" w:hAnsi="Arial" w:cs="Arial"/>
          <w:color w:val="000000" w:themeColor="text1"/>
        </w:rPr>
        <w:t>It applies to identification parade procedures, identification by body samples and fingerprints, and showing witnesses photos of suspects</w:t>
      </w:r>
      <w:r w:rsidR="00F82860" w:rsidRPr="0050096B">
        <w:rPr>
          <w:rFonts w:ascii="Arial" w:hAnsi="Arial" w:cs="Arial"/>
          <w:color w:val="000000" w:themeColor="text1"/>
        </w:rPr>
        <w:t>. It also</w:t>
      </w:r>
      <w:r w:rsidR="00E5071C" w:rsidRPr="0050096B">
        <w:rPr>
          <w:rFonts w:ascii="Arial" w:hAnsi="Arial" w:cs="Arial"/>
          <w:color w:val="000000" w:themeColor="text1"/>
        </w:rPr>
        <w:t xml:space="preserve"> covers a suspect's rights to identification before and after detention.</w:t>
      </w:r>
      <w:r w:rsidR="00F82860" w:rsidRPr="0050096B">
        <w:rPr>
          <w:rFonts w:ascii="Arial" w:hAnsi="Arial" w:cs="Arial"/>
          <w:color w:val="000000" w:themeColor="text1"/>
          <w:shd w:val="clear" w:color="auto" w:fill="FFFFFF"/>
        </w:rPr>
        <w:t xml:space="preserve"> </w:t>
      </w:r>
      <w:r w:rsidR="006862DC" w:rsidRPr="0050096B">
        <w:rPr>
          <w:rFonts w:ascii="Arial" w:hAnsi="Arial" w:cs="Arial"/>
          <w:color w:val="000000" w:themeColor="text1"/>
        </w:rPr>
        <w:t xml:space="preserve">Code E covers the audio recording of interviews with </w:t>
      </w:r>
      <w:r w:rsidR="0063790F" w:rsidRPr="0050096B">
        <w:rPr>
          <w:rFonts w:ascii="Arial" w:hAnsi="Arial" w:cs="Arial"/>
          <w:color w:val="000000" w:themeColor="text1"/>
        </w:rPr>
        <w:t>suspects and</w:t>
      </w:r>
      <w:r w:rsidR="006862DC" w:rsidRPr="0050096B">
        <w:rPr>
          <w:rFonts w:ascii="Arial" w:hAnsi="Arial" w:cs="Arial"/>
          <w:color w:val="000000" w:themeColor="text1"/>
        </w:rPr>
        <w:t xml:space="preserve"> safeguarding the rights of an individual. </w:t>
      </w:r>
      <w:r w:rsidR="0063790F" w:rsidRPr="0050096B">
        <w:rPr>
          <w:rFonts w:ascii="Arial" w:hAnsi="Arial" w:cs="Arial"/>
          <w:color w:val="000000" w:themeColor="text1"/>
        </w:rPr>
        <w:t xml:space="preserve">Code F covers audio visually recorded interviews with suspects and outlines the procedures to be followed. </w:t>
      </w:r>
      <w:r w:rsidR="00FE48CF" w:rsidRPr="0050096B">
        <w:rPr>
          <w:rFonts w:ascii="Arial" w:hAnsi="Arial" w:cs="Arial"/>
          <w:color w:val="000000" w:themeColor="text1"/>
        </w:rPr>
        <w:t xml:space="preserve"> Code G covers the statutory power of arrest by police officers. It outlines the correct procedures for arresting a person in order </w:t>
      </w:r>
      <w:r w:rsidR="005337F8" w:rsidRPr="0050096B">
        <w:rPr>
          <w:rFonts w:ascii="Arial" w:hAnsi="Arial" w:cs="Arial"/>
          <w:color w:val="000000" w:themeColor="text1"/>
        </w:rPr>
        <w:t>that his</w:t>
      </w:r>
      <w:r w:rsidR="00F82860" w:rsidRPr="0050096B">
        <w:rPr>
          <w:rFonts w:ascii="Arial" w:hAnsi="Arial" w:cs="Arial"/>
          <w:color w:val="000000" w:themeColor="text1"/>
        </w:rPr>
        <w:t xml:space="preserve"> or </w:t>
      </w:r>
      <w:r w:rsidR="005337F8" w:rsidRPr="0050096B">
        <w:rPr>
          <w:rFonts w:ascii="Arial" w:hAnsi="Arial" w:cs="Arial"/>
          <w:color w:val="000000" w:themeColor="text1"/>
        </w:rPr>
        <w:t xml:space="preserve">her right to liberty is considered at all times and lastly code H covers suspects arrested on suspicion of being a terrorist under </w:t>
      </w:r>
      <w:r w:rsidR="00F82860" w:rsidRPr="0050096B">
        <w:rPr>
          <w:rFonts w:ascii="Arial" w:hAnsi="Arial" w:cs="Arial"/>
          <w:color w:val="000000" w:themeColor="text1"/>
        </w:rPr>
        <w:t xml:space="preserve">Section </w:t>
      </w:r>
      <w:r w:rsidR="005337F8" w:rsidRPr="0050096B">
        <w:rPr>
          <w:rFonts w:ascii="Arial" w:hAnsi="Arial" w:cs="Arial"/>
          <w:color w:val="000000" w:themeColor="text1"/>
        </w:rPr>
        <w:t>41 of the terrorism act 2000</w:t>
      </w:r>
      <w:r w:rsidR="00665D41" w:rsidRPr="0050096B">
        <w:rPr>
          <w:rFonts w:ascii="Arial" w:hAnsi="Arial" w:cs="Arial"/>
          <w:color w:val="000000" w:themeColor="text1"/>
        </w:rPr>
        <w:t xml:space="preserve"> (Bryant, 2020). </w:t>
      </w:r>
    </w:p>
    <w:p w14:paraId="5C202A83" w14:textId="77777777" w:rsidR="00461D14" w:rsidRPr="0050096B" w:rsidRDefault="00461D14" w:rsidP="0050096B">
      <w:pPr>
        <w:spacing w:line="360" w:lineRule="auto"/>
        <w:rPr>
          <w:rFonts w:ascii="Arial" w:hAnsi="Arial" w:cs="Arial"/>
          <w:color w:val="000000" w:themeColor="text1"/>
        </w:rPr>
      </w:pPr>
    </w:p>
    <w:p w14:paraId="7382CD39" w14:textId="5CB07C81" w:rsidR="00665D41" w:rsidRPr="0050096B" w:rsidRDefault="004D67E2" w:rsidP="0050096B">
      <w:pPr>
        <w:spacing w:line="360" w:lineRule="auto"/>
        <w:rPr>
          <w:rFonts w:ascii="Arial" w:hAnsi="Arial" w:cs="Arial"/>
          <w:color w:val="000000" w:themeColor="text1"/>
        </w:rPr>
      </w:pPr>
      <w:r w:rsidRPr="0050096B">
        <w:rPr>
          <w:rFonts w:ascii="Arial" w:hAnsi="Arial" w:cs="Arial"/>
          <w:color w:val="000000" w:themeColor="text1"/>
        </w:rPr>
        <w:t xml:space="preserve">A miscarriage of justice has been defined as a “grossly unfair outcome in a judicial proceeding, as when a defendant is convicted despite a lack of evidence on an essential element of the crime” (Garner, 2000, p. 811). </w:t>
      </w:r>
      <w:r w:rsidR="00F12650" w:rsidRPr="0050096B">
        <w:rPr>
          <w:rFonts w:ascii="Arial" w:hAnsi="Arial" w:cs="Arial"/>
          <w:color w:val="000000" w:themeColor="text1"/>
        </w:rPr>
        <w:t xml:space="preserve">This definition focuses on convictions which are </w:t>
      </w:r>
      <w:r w:rsidR="00F82860" w:rsidRPr="0050096B">
        <w:rPr>
          <w:rFonts w:ascii="Arial" w:hAnsi="Arial" w:cs="Arial"/>
          <w:color w:val="000000" w:themeColor="text1"/>
        </w:rPr>
        <w:t xml:space="preserve">deemed to have been </w:t>
      </w:r>
      <w:r w:rsidR="00F12650" w:rsidRPr="0050096B">
        <w:rPr>
          <w:rFonts w:ascii="Arial" w:hAnsi="Arial" w:cs="Arial"/>
          <w:color w:val="000000" w:themeColor="text1"/>
        </w:rPr>
        <w:t xml:space="preserve">dealt with wrongly. </w:t>
      </w:r>
    </w:p>
    <w:p w14:paraId="34660000" w14:textId="77777777" w:rsidR="00461D14" w:rsidRPr="0050096B" w:rsidRDefault="00461D14" w:rsidP="0050096B">
      <w:pPr>
        <w:spacing w:line="360" w:lineRule="auto"/>
        <w:rPr>
          <w:rFonts w:ascii="Arial" w:hAnsi="Arial" w:cs="Arial"/>
          <w:color w:val="000000" w:themeColor="text1"/>
        </w:rPr>
      </w:pPr>
    </w:p>
    <w:p w14:paraId="6E27FC21" w14:textId="14EDAFCD" w:rsidR="00DA4A78" w:rsidRPr="0050096B" w:rsidRDefault="00F12650"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rPr>
        <w:t>Miscarriage of justice usually takes place when a person has been convicted of a crime which they did</w:t>
      </w:r>
      <w:r w:rsidR="00F82860" w:rsidRPr="0050096B">
        <w:rPr>
          <w:rFonts w:ascii="Arial" w:hAnsi="Arial" w:cs="Arial"/>
          <w:color w:val="000000" w:themeColor="text1"/>
        </w:rPr>
        <w:t xml:space="preserve"> not</w:t>
      </w:r>
      <w:r w:rsidRPr="0050096B">
        <w:rPr>
          <w:rFonts w:ascii="Arial" w:hAnsi="Arial" w:cs="Arial"/>
          <w:color w:val="000000" w:themeColor="text1"/>
        </w:rPr>
        <w:t xml:space="preserve"> commit</w:t>
      </w:r>
      <w:r w:rsidR="00F82860" w:rsidRPr="0050096B">
        <w:rPr>
          <w:rFonts w:ascii="Arial" w:hAnsi="Arial" w:cs="Arial"/>
          <w:color w:val="000000" w:themeColor="text1"/>
        </w:rPr>
        <w:t>. L</w:t>
      </w:r>
      <w:r w:rsidRPr="0050096B">
        <w:rPr>
          <w:rFonts w:ascii="Arial" w:hAnsi="Arial" w:cs="Arial"/>
          <w:color w:val="000000" w:themeColor="text1"/>
        </w:rPr>
        <w:t xml:space="preserve">ater their case would re-open and their conviction is found unsafe (Jukes, 2019). </w:t>
      </w:r>
      <w:r w:rsidR="00461D14" w:rsidRPr="0050096B">
        <w:rPr>
          <w:rFonts w:ascii="Arial" w:hAnsi="Arial" w:cs="Arial"/>
          <w:color w:val="000000" w:themeColor="text1"/>
        </w:rPr>
        <w:t xml:space="preserve"> A lot of miscarriage of justice cases began before the PACE </w:t>
      </w:r>
      <w:r w:rsidR="00F82860" w:rsidRPr="0050096B">
        <w:rPr>
          <w:rFonts w:ascii="Arial" w:hAnsi="Arial" w:cs="Arial"/>
          <w:color w:val="000000" w:themeColor="text1"/>
        </w:rPr>
        <w:t>A</w:t>
      </w:r>
      <w:r w:rsidR="00461D14" w:rsidRPr="0050096B">
        <w:rPr>
          <w:rFonts w:ascii="Arial" w:hAnsi="Arial" w:cs="Arial"/>
          <w:color w:val="000000" w:themeColor="text1"/>
        </w:rPr>
        <w:t xml:space="preserve">ct 1984 came into effect. Before PACE was introduced </w:t>
      </w:r>
      <w:r w:rsidR="00DA4A78" w:rsidRPr="0050096B">
        <w:rPr>
          <w:rFonts w:ascii="Arial" w:hAnsi="Arial" w:cs="Arial"/>
          <w:color w:val="000000" w:themeColor="text1"/>
        </w:rPr>
        <w:t>it was easier for police officers to commit such crimes while investigating a case and not be caught</w:t>
      </w:r>
      <w:r w:rsidR="00DA4A78" w:rsidRPr="0050096B">
        <w:rPr>
          <w:rFonts w:ascii="Arial" w:hAnsi="Arial" w:cs="Arial"/>
          <w:color w:val="000000" w:themeColor="text1"/>
        </w:rPr>
        <w:t xml:space="preserve"> </w:t>
      </w:r>
      <w:r w:rsidR="000E3FFF" w:rsidRPr="0050096B">
        <w:rPr>
          <w:rFonts w:ascii="Arial" w:hAnsi="Arial" w:cs="Arial"/>
          <w:color w:val="000000" w:themeColor="text1"/>
          <w:shd w:val="clear" w:color="auto" w:fill="FFFFFF"/>
        </w:rPr>
        <w:t xml:space="preserve">statute such as PACE. </w:t>
      </w:r>
      <w:r w:rsidR="00DA4A78" w:rsidRPr="0050096B">
        <w:rPr>
          <w:rFonts w:ascii="Arial" w:hAnsi="Arial" w:cs="Arial"/>
          <w:color w:val="000000" w:themeColor="text1"/>
          <w:shd w:val="clear" w:color="auto" w:fill="FFFFFF"/>
        </w:rPr>
        <w:t xml:space="preserve">The 1984 Act was designed </w:t>
      </w:r>
      <w:r w:rsidR="00F82860" w:rsidRPr="0050096B">
        <w:rPr>
          <w:rFonts w:ascii="Arial" w:hAnsi="Arial" w:cs="Arial"/>
          <w:color w:val="000000" w:themeColor="text1"/>
          <w:shd w:val="clear" w:color="auto" w:fill="FFFFFF"/>
        </w:rPr>
        <w:t xml:space="preserve">and implemented </w:t>
      </w:r>
      <w:r w:rsidR="00DA4A78" w:rsidRPr="0050096B">
        <w:rPr>
          <w:rFonts w:ascii="Arial" w:hAnsi="Arial" w:cs="Arial"/>
          <w:color w:val="000000" w:themeColor="text1"/>
          <w:shd w:val="clear" w:color="auto" w:fill="FFFFFF"/>
        </w:rPr>
        <w:t>to strike a balance between police and citizen forces.</w:t>
      </w:r>
    </w:p>
    <w:p w14:paraId="6CB52F2A" w14:textId="7DDF3DA4" w:rsidR="009D385A" w:rsidRPr="0050096B" w:rsidRDefault="009D385A" w:rsidP="0050096B">
      <w:pPr>
        <w:spacing w:line="360" w:lineRule="auto"/>
        <w:rPr>
          <w:rFonts w:ascii="Arial" w:hAnsi="Arial" w:cs="Arial"/>
          <w:color w:val="000000" w:themeColor="text1"/>
          <w:shd w:val="clear" w:color="auto" w:fill="FFFFFF"/>
        </w:rPr>
      </w:pPr>
    </w:p>
    <w:p w14:paraId="784CB62F" w14:textId="78C1167E" w:rsidR="009D385A" w:rsidRPr="0050096B" w:rsidRDefault="009D385A"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 xml:space="preserve">Following high-profile miscarriages of justice cases like the Guilford four, there </w:t>
      </w:r>
      <w:r w:rsidR="00F82860" w:rsidRPr="0050096B">
        <w:rPr>
          <w:rFonts w:ascii="Arial" w:hAnsi="Arial" w:cs="Arial"/>
          <w:color w:val="000000" w:themeColor="text1"/>
          <w:shd w:val="clear" w:color="auto" w:fill="FFFFFF"/>
        </w:rPr>
        <w:t>was</w:t>
      </w:r>
      <w:r w:rsidRPr="0050096B">
        <w:rPr>
          <w:rFonts w:ascii="Arial" w:hAnsi="Arial" w:cs="Arial"/>
          <w:color w:val="000000" w:themeColor="text1"/>
          <w:shd w:val="clear" w:color="auto" w:fill="FFFFFF"/>
        </w:rPr>
        <w:t xml:space="preserve"> a growing sense of public responsibility for the police</w:t>
      </w:r>
      <w:r w:rsidR="00F82860" w:rsidRPr="0050096B">
        <w:rPr>
          <w:rFonts w:ascii="Arial" w:hAnsi="Arial" w:cs="Arial"/>
          <w:color w:val="000000" w:themeColor="text1"/>
          <w:shd w:val="clear" w:color="auto" w:fill="FFFFFF"/>
        </w:rPr>
        <w:t>. There was also</w:t>
      </w:r>
      <w:r w:rsidRPr="0050096B">
        <w:rPr>
          <w:rFonts w:ascii="Arial" w:hAnsi="Arial" w:cs="Arial"/>
          <w:color w:val="000000" w:themeColor="text1"/>
          <w:shd w:val="clear" w:color="auto" w:fill="FFFFFF"/>
        </w:rPr>
        <w:t xml:space="preserve"> a need for the</w:t>
      </w:r>
      <w:r w:rsidR="00F82860" w:rsidRPr="0050096B">
        <w:rPr>
          <w:rFonts w:ascii="Arial" w:hAnsi="Arial" w:cs="Arial"/>
          <w:color w:val="000000" w:themeColor="text1"/>
          <w:shd w:val="clear" w:color="auto" w:fill="FFFFFF"/>
        </w:rPr>
        <w:t xml:space="preserve"> police</w:t>
      </w:r>
      <w:r w:rsidRPr="0050096B">
        <w:rPr>
          <w:rFonts w:ascii="Arial" w:hAnsi="Arial" w:cs="Arial"/>
          <w:color w:val="000000" w:themeColor="text1"/>
          <w:shd w:val="clear" w:color="auto" w:fill="FFFFFF"/>
        </w:rPr>
        <w:t xml:space="preserve"> to be accountable </w:t>
      </w:r>
      <w:r w:rsidR="00F82860" w:rsidRPr="0050096B">
        <w:rPr>
          <w:rFonts w:ascii="Arial" w:hAnsi="Arial" w:cs="Arial"/>
          <w:color w:val="000000" w:themeColor="text1"/>
          <w:shd w:val="clear" w:color="auto" w:fill="FFFFFF"/>
        </w:rPr>
        <w:t>for</w:t>
      </w:r>
      <w:r w:rsidRPr="0050096B">
        <w:rPr>
          <w:rFonts w:ascii="Arial" w:hAnsi="Arial" w:cs="Arial"/>
          <w:color w:val="000000" w:themeColor="text1"/>
          <w:shd w:val="clear" w:color="auto" w:fill="FFFFFF"/>
        </w:rPr>
        <w:t xml:space="preserve"> their practises and for the public to understand their rights if they </w:t>
      </w:r>
      <w:r w:rsidR="00F82860" w:rsidRPr="0050096B">
        <w:rPr>
          <w:rFonts w:ascii="Arial" w:hAnsi="Arial" w:cs="Arial"/>
          <w:color w:val="000000" w:themeColor="text1"/>
          <w:shd w:val="clear" w:color="auto" w:fill="FFFFFF"/>
        </w:rPr>
        <w:t>were</w:t>
      </w:r>
      <w:r w:rsidRPr="0050096B">
        <w:rPr>
          <w:rFonts w:ascii="Arial" w:hAnsi="Arial" w:cs="Arial"/>
          <w:color w:val="000000" w:themeColor="text1"/>
          <w:shd w:val="clear" w:color="auto" w:fill="FFFFFF"/>
        </w:rPr>
        <w:t xml:space="preserve"> detained or threatened with arrest.</w:t>
      </w:r>
      <w:r w:rsidR="00C43D91" w:rsidRPr="0050096B">
        <w:rPr>
          <w:rFonts w:ascii="Arial" w:hAnsi="Arial" w:cs="Arial"/>
          <w:color w:val="000000" w:themeColor="text1"/>
          <w:shd w:val="clear" w:color="auto" w:fill="FFFFFF"/>
        </w:rPr>
        <w:t xml:space="preserve"> Rowe (2014) highlights that although accountability of the police is based upon their responsibilities and decision making, much of the work they carry out is often unknown therefore, this unknown work does not account toward the influential part of the decision-making process. This also includes the additional aspect of policing where the influence and learning of models of practice are implemented. </w:t>
      </w:r>
    </w:p>
    <w:p w14:paraId="393808D5" w14:textId="35B7A0B5" w:rsidR="00461D14" w:rsidRPr="0050096B" w:rsidRDefault="00461D14" w:rsidP="0050096B">
      <w:pPr>
        <w:spacing w:line="360" w:lineRule="auto"/>
        <w:rPr>
          <w:rFonts w:ascii="Arial" w:hAnsi="Arial" w:cs="Arial"/>
          <w:color w:val="000000" w:themeColor="text1"/>
          <w:shd w:val="clear" w:color="auto" w:fill="FFFFFF"/>
        </w:rPr>
      </w:pPr>
    </w:p>
    <w:p w14:paraId="609D049D" w14:textId="716EC660" w:rsidR="00461D14" w:rsidRPr="0050096B" w:rsidRDefault="00461D14"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On October 5</w:t>
      </w:r>
      <w:r w:rsidRPr="0050096B">
        <w:rPr>
          <w:rFonts w:ascii="Arial" w:hAnsi="Arial" w:cs="Arial"/>
          <w:color w:val="000000" w:themeColor="text1"/>
          <w:shd w:val="clear" w:color="auto" w:fill="FFFFFF"/>
          <w:vertAlign w:val="superscript"/>
        </w:rPr>
        <w:t>th</w:t>
      </w:r>
      <w:r w:rsidRPr="0050096B">
        <w:rPr>
          <w:rFonts w:ascii="Arial" w:hAnsi="Arial" w:cs="Arial"/>
          <w:color w:val="000000" w:themeColor="text1"/>
          <w:shd w:val="clear" w:color="auto" w:fill="FFFFFF"/>
        </w:rPr>
        <w:t xml:space="preserve">, 1974 four people were killed in a pub in Guildford by an IRA bomb which was done by the British military personnel, while another bomb killed three </w:t>
      </w:r>
      <w:r w:rsidR="00F82860" w:rsidRPr="0050096B">
        <w:rPr>
          <w:rFonts w:ascii="Arial" w:hAnsi="Arial" w:cs="Arial"/>
          <w:color w:val="000000" w:themeColor="text1"/>
          <w:shd w:val="clear" w:color="auto" w:fill="FFFFFF"/>
        </w:rPr>
        <w:t xml:space="preserve">people </w:t>
      </w:r>
      <w:r w:rsidRPr="0050096B">
        <w:rPr>
          <w:rFonts w:ascii="Arial" w:hAnsi="Arial" w:cs="Arial"/>
          <w:color w:val="000000" w:themeColor="text1"/>
          <w:shd w:val="clear" w:color="auto" w:fill="FFFFFF"/>
        </w:rPr>
        <w:t>in Woolwich.</w:t>
      </w:r>
      <w:r w:rsidR="00CD6EB2" w:rsidRPr="0050096B">
        <w:rPr>
          <w:rFonts w:ascii="Arial" w:hAnsi="Arial" w:cs="Arial"/>
          <w:color w:val="000000" w:themeColor="text1"/>
          <w:shd w:val="clear" w:color="auto" w:fill="FFFFFF"/>
        </w:rPr>
        <w:t xml:space="preserve"> </w:t>
      </w:r>
      <w:r w:rsidR="00F82860" w:rsidRPr="0050096B">
        <w:rPr>
          <w:rFonts w:ascii="Arial" w:hAnsi="Arial" w:cs="Arial"/>
          <w:color w:val="000000" w:themeColor="text1"/>
          <w:shd w:val="clear" w:color="auto" w:fill="FFFFFF"/>
        </w:rPr>
        <w:t>As a result of this incident, f</w:t>
      </w:r>
      <w:r w:rsidR="00CD6EB2" w:rsidRPr="0050096B">
        <w:rPr>
          <w:rFonts w:ascii="Arial" w:hAnsi="Arial" w:cs="Arial"/>
          <w:color w:val="000000" w:themeColor="text1"/>
          <w:shd w:val="clear" w:color="auto" w:fill="FFFFFF"/>
        </w:rPr>
        <w:t xml:space="preserve">ive people were killed </w:t>
      </w:r>
      <w:r w:rsidR="00F82860" w:rsidRPr="0050096B">
        <w:rPr>
          <w:rFonts w:ascii="Arial" w:hAnsi="Arial" w:cs="Arial"/>
          <w:color w:val="000000" w:themeColor="text1"/>
          <w:shd w:val="clear" w:color="auto" w:fill="FFFFFF"/>
        </w:rPr>
        <w:t xml:space="preserve">in total </w:t>
      </w:r>
      <w:r w:rsidR="00CD6EB2" w:rsidRPr="0050096B">
        <w:rPr>
          <w:rFonts w:ascii="Arial" w:hAnsi="Arial" w:cs="Arial"/>
          <w:color w:val="000000" w:themeColor="text1"/>
          <w:shd w:val="clear" w:color="auto" w:fill="FFFFFF"/>
        </w:rPr>
        <w:t xml:space="preserve">and over </w:t>
      </w:r>
      <w:r w:rsidR="00F82860" w:rsidRPr="0050096B">
        <w:rPr>
          <w:rFonts w:ascii="Arial" w:hAnsi="Arial" w:cs="Arial"/>
          <w:color w:val="000000" w:themeColor="text1"/>
          <w:shd w:val="clear" w:color="auto" w:fill="FFFFFF"/>
        </w:rPr>
        <w:t>one hundred</w:t>
      </w:r>
      <w:r w:rsidR="00CD6EB2" w:rsidRPr="0050096B">
        <w:rPr>
          <w:rFonts w:ascii="Arial" w:hAnsi="Arial" w:cs="Arial"/>
          <w:color w:val="000000" w:themeColor="text1"/>
          <w:shd w:val="clear" w:color="auto" w:fill="FFFFFF"/>
        </w:rPr>
        <w:t xml:space="preserve"> people were injured. </w:t>
      </w:r>
      <w:r w:rsidRPr="0050096B">
        <w:rPr>
          <w:rFonts w:ascii="Arial" w:hAnsi="Arial" w:cs="Arial"/>
          <w:color w:val="000000" w:themeColor="text1"/>
          <w:shd w:val="clear" w:color="auto" w:fill="FFFFFF"/>
        </w:rPr>
        <w:t xml:space="preserve">Gerry Conlon and Paul Hill who were two Northern Ireland residents who had been in the area at the time of the event were both accused of being suspects after British investigators rushed to find evidence (History.com, 2020). </w:t>
      </w:r>
    </w:p>
    <w:p w14:paraId="39CC00C7" w14:textId="62469A13" w:rsidR="00461D14" w:rsidRPr="0050096B" w:rsidRDefault="00461D14" w:rsidP="0050096B">
      <w:pPr>
        <w:spacing w:line="360" w:lineRule="auto"/>
        <w:rPr>
          <w:rFonts w:ascii="Arial" w:hAnsi="Arial" w:cs="Arial"/>
          <w:color w:val="000000" w:themeColor="text1"/>
          <w:shd w:val="clear" w:color="auto" w:fill="FFFFFF"/>
        </w:rPr>
      </w:pPr>
    </w:p>
    <w:p w14:paraId="4BE4D66A" w14:textId="5BC47D72" w:rsidR="00116360" w:rsidRPr="0050096B" w:rsidRDefault="009F23A2"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The Guildford Four and the Maguire Seven were the first to be detained and challenged under PTA 1974's new powers.</w:t>
      </w:r>
      <w:r w:rsidRPr="0050096B">
        <w:rPr>
          <w:rFonts w:ascii="Arial" w:hAnsi="Arial" w:cs="Arial"/>
          <w:color w:val="000000" w:themeColor="text1"/>
          <w:shd w:val="clear" w:color="auto" w:fill="FFFFFF"/>
        </w:rPr>
        <w:t xml:space="preserve"> </w:t>
      </w:r>
      <w:r w:rsidR="00CD6EB2" w:rsidRPr="0050096B">
        <w:rPr>
          <w:rFonts w:ascii="Arial" w:hAnsi="Arial" w:cs="Arial"/>
          <w:color w:val="000000" w:themeColor="text1"/>
          <w:shd w:val="clear" w:color="auto" w:fill="FFFFFF"/>
        </w:rPr>
        <w:t xml:space="preserve">The four were arrested for alleged involvement on behalf of the IRA in the bombings. The four men were all given life sentences and they were all convicted of murder. </w:t>
      </w:r>
      <w:r w:rsidR="00116360" w:rsidRPr="0050096B">
        <w:rPr>
          <w:rFonts w:ascii="Arial" w:hAnsi="Arial" w:cs="Arial"/>
          <w:color w:val="000000" w:themeColor="text1"/>
          <w:shd w:val="clear" w:color="auto" w:fill="FFFFFF"/>
        </w:rPr>
        <w:t xml:space="preserve"> </w:t>
      </w:r>
      <w:r w:rsidR="00116360" w:rsidRPr="0050096B">
        <w:rPr>
          <w:rFonts w:ascii="Arial" w:hAnsi="Arial" w:cs="Arial"/>
          <w:color w:val="000000" w:themeColor="text1"/>
        </w:rPr>
        <w:t xml:space="preserve">Literature highlights that examples of miscarriage of justice within Britain have used physical punishment toward individuals in custody and cohesion to comply and confess even when the individuals were innocent. This process of cohesive control by police was discussed by Devlin (1991) as “the greatest disasters that have shaken British justice in my time”. </w:t>
      </w:r>
    </w:p>
    <w:p w14:paraId="49228212" w14:textId="77777777" w:rsidR="00116360" w:rsidRPr="0050096B" w:rsidRDefault="00116360" w:rsidP="0050096B">
      <w:pPr>
        <w:spacing w:line="360" w:lineRule="auto"/>
        <w:rPr>
          <w:rFonts w:ascii="Arial" w:hAnsi="Arial" w:cs="Arial"/>
          <w:color w:val="000000" w:themeColor="text1"/>
          <w:shd w:val="clear" w:color="auto" w:fill="FFFFFF"/>
        </w:rPr>
      </w:pPr>
    </w:p>
    <w:p w14:paraId="59C0F15C" w14:textId="6956CD73" w:rsidR="005173CF" w:rsidRPr="0050096B" w:rsidRDefault="00C91265"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T</w:t>
      </w:r>
      <w:r w:rsidR="005173CF" w:rsidRPr="0050096B">
        <w:rPr>
          <w:rFonts w:ascii="Arial" w:hAnsi="Arial" w:cs="Arial"/>
          <w:color w:val="000000" w:themeColor="text1"/>
          <w:shd w:val="clear" w:color="auto" w:fill="FFFFFF"/>
        </w:rPr>
        <w:t xml:space="preserve">his </w:t>
      </w:r>
      <w:r w:rsidR="00654FDF" w:rsidRPr="0050096B">
        <w:rPr>
          <w:rFonts w:ascii="Arial" w:hAnsi="Arial" w:cs="Arial"/>
          <w:color w:val="000000" w:themeColor="text1"/>
          <w:shd w:val="clear" w:color="auto" w:fill="FFFFFF"/>
        </w:rPr>
        <w:t xml:space="preserve">incident </w:t>
      </w:r>
      <w:r w:rsidR="005173CF" w:rsidRPr="0050096B">
        <w:rPr>
          <w:rFonts w:ascii="Arial" w:hAnsi="Arial" w:cs="Arial"/>
          <w:color w:val="000000" w:themeColor="text1"/>
          <w:shd w:val="clear" w:color="auto" w:fill="FFFFFF"/>
        </w:rPr>
        <w:t xml:space="preserve">had all happened before PACE was introduced meaning that the </w:t>
      </w:r>
      <w:r w:rsidR="009B6406" w:rsidRPr="0050096B">
        <w:rPr>
          <w:rFonts w:ascii="Arial" w:hAnsi="Arial" w:cs="Arial"/>
          <w:color w:val="000000" w:themeColor="text1"/>
          <w:shd w:val="clear" w:color="auto" w:fill="FFFFFF"/>
        </w:rPr>
        <w:t xml:space="preserve">elements of this </w:t>
      </w:r>
      <w:r w:rsidR="005173CF" w:rsidRPr="0050096B">
        <w:rPr>
          <w:rFonts w:ascii="Arial" w:hAnsi="Arial" w:cs="Arial"/>
          <w:color w:val="000000" w:themeColor="text1"/>
          <w:shd w:val="clear" w:color="auto" w:fill="FFFFFF"/>
        </w:rPr>
        <w:t>act w</w:t>
      </w:r>
      <w:r w:rsidR="009B6406" w:rsidRPr="0050096B">
        <w:rPr>
          <w:rFonts w:ascii="Arial" w:hAnsi="Arial" w:cs="Arial"/>
          <w:color w:val="000000" w:themeColor="text1"/>
          <w:shd w:val="clear" w:color="auto" w:fill="FFFFFF"/>
        </w:rPr>
        <w:t>ere not</w:t>
      </w:r>
      <w:r w:rsidR="005173CF" w:rsidRPr="0050096B">
        <w:rPr>
          <w:rFonts w:ascii="Arial" w:hAnsi="Arial" w:cs="Arial"/>
          <w:color w:val="000000" w:themeColor="text1"/>
          <w:shd w:val="clear" w:color="auto" w:fill="FFFFFF"/>
        </w:rPr>
        <w:t xml:space="preserve"> </w:t>
      </w:r>
      <w:r w:rsidR="009B6406" w:rsidRPr="0050096B">
        <w:rPr>
          <w:rFonts w:ascii="Arial" w:hAnsi="Arial" w:cs="Arial"/>
          <w:color w:val="000000" w:themeColor="text1"/>
          <w:shd w:val="clear" w:color="auto" w:fill="FFFFFF"/>
        </w:rPr>
        <w:t>in place</w:t>
      </w:r>
      <w:r w:rsidR="005173CF" w:rsidRPr="0050096B">
        <w:rPr>
          <w:rFonts w:ascii="Arial" w:hAnsi="Arial" w:cs="Arial"/>
          <w:color w:val="000000" w:themeColor="text1"/>
          <w:shd w:val="clear" w:color="auto" w:fill="FFFFFF"/>
        </w:rPr>
        <w:t xml:space="preserve"> to </w:t>
      </w:r>
      <w:r w:rsidR="009B6406" w:rsidRPr="0050096B">
        <w:rPr>
          <w:rFonts w:ascii="Arial" w:hAnsi="Arial" w:cs="Arial"/>
          <w:color w:val="000000" w:themeColor="text1"/>
          <w:shd w:val="clear" w:color="auto" w:fill="FFFFFF"/>
        </w:rPr>
        <w:t>assist with</w:t>
      </w:r>
      <w:r w:rsidR="005173CF" w:rsidRPr="0050096B">
        <w:rPr>
          <w:rFonts w:ascii="Arial" w:hAnsi="Arial" w:cs="Arial"/>
          <w:color w:val="000000" w:themeColor="text1"/>
          <w:shd w:val="clear" w:color="auto" w:fill="FFFFFF"/>
        </w:rPr>
        <w:t xml:space="preserve"> </w:t>
      </w:r>
      <w:r w:rsidR="009B6406" w:rsidRPr="0050096B">
        <w:rPr>
          <w:rFonts w:ascii="Arial" w:hAnsi="Arial" w:cs="Arial"/>
          <w:color w:val="000000" w:themeColor="text1"/>
          <w:shd w:val="clear" w:color="auto" w:fill="FFFFFF"/>
        </w:rPr>
        <w:t>supporting</w:t>
      </w:r>
      <w:r w:rsidR="005173CF" w:rsidRPr="0050096B">
        <w:rPr>
          <w:rFonts w:ascii="Arial" w:hAnsi="Arial" w:cs="Arial"/>
          <w:color w:val="000000" w:themeColor="text1"/>
          <w:shd w:val="clear" w:color="auto" w:fill="FFFFFF"/>
        </w:rPr>
        <w:t xml:space="preserve"> the case. </w:t>
      </w:r>
      <w:r w:rsidR="0010618B" w:rsidRPr="0050096B">
        <w:rPr>
          <w:rFonts w:ascii="Arial" w:hAnsi="Arial" w:cs="Arial"/>
          <w:color w:val="000000" w:themeColor="text1"/>
          <w:shd w:val="clear" w:color="auto" w:fill="FFFFFF"/>
        </w:rPr>
        <w:t xml:space="preserve">It appears from the detail of the case </w:t>
      </w:r>
      <w:r w:rsidR="00343E72" w:rsidRPr="0050096B">
        <w:rPr>
          <w:rFonts w:ascii="Arial" w:hAnsi="Arial" w:cs="Arial"/>
          <w:color w:val="000000" w:themeColor="text1"/>
          <w:shd w:val="clear" w:color="auto" w:fill="FFFFFF"/>
        </w:rPr>
        <w:t>study;</w:t>
      </w:r>
      <w:r w:rsidR="0010618B" w:rsidRPr="0050096B">
        <w:rPr>
          <w:rFonts w:ascii="Arial" w:hAnsi="Arial" w:cs="Arial"/>
          <w:color w:val="000000" w:themeColor="text1"/>
          <w:shd w:val="clear" w:color="auto" w:fill="FFFFFF"/>
        </w:rPr>
        <w:t xml:space="preserve"> code of practice C would have been beneficial </w:t>
      </w:r>
      <w:r w:rsidR="009B6406" w:rsidRPr="0050096B">
        <w:rPr>
          <w:rFonts w:ascii="Arial" w:hAnsi="Arial" w:cs="Arial"/>
          <w:color w:val="000000" w:themeColor="text1"/>
          <w:shd w:val="clear" w:color="auto" w:fill="FFFFFF"/>
        </w:rPr>
        <w:t xml:space="preserve">if it had been </w:t>
      </w:r>
      <w:r w:rsidR="0010618B" w:rsidRPr="0050096B">
        <w:rPr>
          <w:rFonts w:ascii="Arial" w:hAnsi="Arial" w:cs="Arial"/>
          <w:color w:val="000000" w:themeColor="text1"/>
          <w:shd w:val="clear" w:color="auto" w:fill="FFFFFF"/>
        </w:rPr>
        <w:t>utilis</w:t>
      </w:r>
      <w:r w:rsidR="009B6406" w:rsidRPr="0050096B">
        <w:rPr>
          <w:rFonts w:ascii="Arial" w:hAnsi="Arial" w:cs="Arial"/>
          <w:color w:val="000000" w:themeColor="text1"/>
          <w:shd w:val="clear" w:color="auto" w:fill="FFFFFF"/>
        </w:rPr>
        <w:t>ed</w:t>
      </w:r>
      <w:r w:rsidR="0010618B" w:rsidRPr="0050096B">
        <w:rPr>
          <w:rFonts w:ascii="Arial" w:hAnsi="Arial" w:cs="Arial"/>
          <w:color w:val="000000" w:themeColor="text1"/>
          <w:shd w:val="clear" w:color="auto" w:fill="FFFFFF"/>
        </w:rPr>
        <w:t xml:space="preserve">. The type of practice used in this case study was defensive practice which did not consider the wider facts and information that could have been used to analyse and assess in readiness for criminalising the persons involved if at all. </w:t>
      </w:r>
      <w:r w:rsidR="00654FDF" w:rsidRPr="0050096B">
        <w:rPr>
          <w:rFonts w:ascii="Arial" w:hAnsi="Arial" w:cs="Arial"/>
          <w:color w:val="000000" w:themeColor="text1"/>
          <w:shd w:val="clear" w:color="auto" w:fill="FFFFFF"/>
        </w:rPr>
        <w:t xml:space="preserve">It was also noted to have been undertaken in a rushed manner without full consideration and gathering of the facts required in the current climate of policing. In this instance, </w:t>
      </w:r>
      <w:r w:rsidR="0010618B" w:rsidRPr="0050096B">
        <w:rPr>
          <w:rFonts w:ascii="Arial" w:hAnsi="Arial" w:cs="Arial"/>
          <w:color w:val="000000" w:themeColor="text1"/>
          <w:shd w:val="clear" w:color="auto" w:fill="FFFFFF"/>
        </w:rPr>
        <w:t xml:space="preserve">Code C would </w:t>
      </w:r>
      <w:r w:rsidR="00654FDF" w:rsidRPr="0050096B">
        <w:rPr>
          <w:rFonts w:ascii="Arial" w:hAnsi="Arial" w:cs="Arial"/>
          <w:color w:val="000000" w:themeColor="text1"/>
          <w:shd w:val="clear" w:color="auto" w:fill="FFFFFF"/>
        </w:rPr>
        <w:t xml:space="preserve">have </w:t>
      </w:r>
      <w:r w:rsidR="0010618B" w:rsidRPr="0050096B">
        <w:rPr>
          <w:rFonts w:ascii="Arial" w:hAnsi="Arial" w:cs="Arial"/>
          <w:color w:val="000000" w:themeColor="text1"/>
          <w:shd w:val="clear" w:color="auto" w:fill="FFFFFF"/>
        </w:rPr>
        <w:t>provide</w:t>
      </w:r>
      <w:r w:rsidR="00654FDF" w:rsidRPr="0050096B">
        <w:rPr>
          <w:rFonts w:ascii="Arial" w:hAnsi="Arial" w:cs="Arial"/>
          <w:color w:val="000000" w:themeColor="text1"/>
          <w:shd w:val="clear" w:color="auto" w:fill="FFFFFF"/>
        </w:rPr>
        <w:t>d</w:t>
      </w:r>
      <w:r w:rsidR="0010618B" w:rsidRPr="0050096B">
        <w:rPr>
          <w:rFonts w:ascii="Arial" w:hAnsi="Arial" w:cs="Arial"/>
          <w:color w:val="000000" w:themeColor="text1"/>
          <w:shd w:val="clear" w:color="auto" w:fill="FFFFFF"/>
        </w:rPr>
        <w:t xml:space="preserve"> a wider ability to gather the information needed in a fair manner.</w:t>
      </w:r>
      <w:r w:rsidR="009B6406" w:rsidRPr="0050096B">
        <w:rPr>
          <w:rFonts w:ascii="Arial" w:hAnsi="Arial" w:cs="Arial"/>
          <w:color w:val="000000" w:themeColor="text1"/>
          <w:shd w:val="clear" w:color="auto" w:fill="FFFFFF"/>
        </w:rPr>
        <w:t xml:space="preserve"> </w:t>
      </w:r>
      <w:r w:rsidR="0010618B" w:rsidRPr="0050096B">
        <w:rPr>
          <w:rFonts w:ascii="Arial" w:hAnsi="Arial" w:cs="Arial"/>
          <w:color w:val="000000" w:themeColor="text1"/>
          <w:shd w:val="clear" w:color="auto" w:fill="FFFFFF"/>
        </w:rPr>
        <w:t xml:space="preserve"> </w:t>
      </w:r>
    </w:p>
    <w:p w14:paraId="2D170DE3" w14:textId="77777777" w:rsidR="00654FDF" w:rsidRPr="0050096B" w:rsidRDefault="00654FDF" w:rsidP="0050096B">
      <w:pPr>
        <w:spacing w:line="360" w:lineRule="auto"/>
        <w:rPr>
          <w:rFonts w:ascii="Arial" w:hAnsi="Arial" w:cs="Arial"/>
          <w:color w:val="000000" w:themeColor="text1"/>
        </w:rPr>
      </w:pPr>
    </w:p>
    <w:p w14:paraId="4A74CA23" w14:textId="6BAF466B" w:rsidR="00A46E8A" w:rsidRPr="0050096B" w:rsidRDefault="00A46E8A" w:rsidP="0050096B">
      <w:pPr>
        <w:spacing w:line="360" w:lineRule="auto"/>
        <w:rPr>
          <w:rFonts w:ascii="Arial" w:hAnsi="Arial" w:cs="Arial"/>
          <w:color w:val="000000" w:themeColor="text1"/>
        </w:rPr>
      </w:pPr>
      <w:r w:rsidRPr="0050096B">
        <w:rPr>
          <w:rFonts w:ascii="Arial" w:hAnsi="Arial" w:cs="Arial"/>
          <w:color w:val="000000" w:themeColor="text1"/>
        </w:rPr>
        <w:t xml:space="preserve">Code </w:t>
      </w:r>
      <w:r w:rsidR="00654FDF" w:rsidRPr="0050096B">
        <w:rPr>
          <w:rFonts w:ascii="Arial" w:hAnsi="Arial" w:cs="Arial"/>
          <w:color w:val="000000" w:themeColor="text1"/>
        </w:rPr>
        <w:t>D</w:t>
      </w:r>
      <w:r w:rsidRPr="0050096B">
        <w:rPr>
          <w:rFonts w:ascii="Arial" w:hAnsi="Arial" w:cs="Arial"/>
          <w:color w:val="000000" w:themeColor="text1"/>
        </w:rPr>
        <w:t xml:space="preserve"> would have been another code which would have helped in the Guilford four case</w:t>
      </w:r>
      <w:r w:rsidR="00654FDF" w:rsidRPr="0050096B">
        <w:rPr>
          <w:rFonts w:ascii="Arial" w:hAnsi="Arial" w:cs="Arial"/>
          <w:color w:val="000000" w:themeColor="text1"/>
        </w:rPr>
        <w:t xml:space="preserve"> as this would have provided clarity of the persons arrested to ensure they were the correct people.</w:t>
      </w:r>
      <w:r w:rsidRPr="0050096B">
        <w:rPr>
          <w:rFonts w:ascii="Arial" w:hAnsi="Arial" w:cs="Arial"/>
          <w:color w:val="000000" w:themeColor="text1"/>
        </w:rPr>
        <w:t xml:space="preserve"> The main techniques used by police to classify suspects in connection with criminal investigations and the maintaining of correct and reliable </w:t>
      </w:r>
      <w:r w:rsidRPr="0050096B">
        <w:rPr>
          <w:rFonts w:ascii="Arial" w:hAnsi="Arial" w:cs="Arial"/>
          <w:color w:val="000000" w:themeColor="text1"/>
        </w:rPr>
        <w:lastRenderedPageBreak/>
        <w:t>criminal records are covered by this Code of Practice. This code's powers and procedures must be applied equally, reasonably, with reverence for the citizens to whom they relate, and without prejudice</w:t>
      </w:r>
      <w:r w:rsidR="00CE2C4F" w:rsidRPr="0050096B">
        <w:rPr>
          <w:rFonts w:ascii="Arial" w:hAnsi="Arial" w:cs="Arial"/>
          <w:color w:val="000000" w:themeColor="text1"/>
        </w:rPr>
        <w:t xml:space="preserve"> (Gov.uk, 2017).</w:t>
      </w:r>
    </w:p>
    <w:p w14:paraId="4E25CDEF" w14:textId="1F550016" w:rsidR="00343E72" w:rsidRPr="0050096B" w:rsidRDefault="00343E72" w:rsidP="0050096B">
      <w:pPr>
        <w:spacing w:line="360" w:lineRule="auto"/>
        <w:rPr>
          <w:rFonts w:ascii="Arial" w:hAnsi="Arial" w:cs="Arial"/>
          <w:color w:val="000000" w:themeColor="text1"/>
        </w:rPr>
      </w:pPr>
    </w:p>
    <w:p w14:paraId="1AF1022C" w14:textId="2C9A94CB" w:rsidR="0093034F" w:rsidRPr="0050096B" w:rsidRDefault="00A100BD" w:rsidP="0050096B">
      <w:pPr>
        <w:spacing w:line="360" w:lineRule="auto"/>
        <w:rPr>
          <w:rFonts w:ascii="Arial" w:hAnsi="Arial" w:cs="Arial"/>
          <w:color w:val="000000" w:themeColor="text1"/>
        </w:rPr>
      </w:pPr>
      <w:r w:rsidRPr="0050096B">
        <w:rPr>
          <w:rFonts w:ascii="Arial" w:hAnsi="Arial" w:cs="Arial"/>
          <w:color w:val="000000" w:themeColor="text1"/>
        </w:rPr>
        <w:t xml:space="preserve">This miscarriage of justice was </w:t>
      </w:r>
      <w:r w:rsidR="00654FDF" w:rsidRPr="0050096B">
        <w:rPr>
          <w:rFonts w:ascii="Arial" w:hAnsi="Arial" w:cs="Arial"/>
          <w:color w:val="000000" w:themeColor="text1"/>
        </w:rPr>
        <w:t xml:space="preserve">deemed as </w:t>
      </w:r>
      <w:r w:rsidRPr="0050096B">
        <w:rPr>
          <w:rFonts w:ascii="Arial" w:hAnsi="Arial" w:cs="Arial"/>
          <w:color w:val="000000" w:themeColor="text1"/>
        </w:rPr>
        <w:t xml:space="preserve">very serious. </w:t>
      </w:r>
      <w:r w:rsidR="00654FDF" w:rsidRPr="0050096B">
        <w:rPr>
          <w:rFonts w:ascii="Arial" w:hAnsi="Arial" w:cs="Arial"/>
          <w:color w:val="000000" w:themeColor="text1"/>
        </w:rPr>
        <w:t>As a result of the errors in practice, t</w:t>
      </w:r>
      <w:r w:rsidRPr="0050096B">
        <w:rPr>
          <w:rFonts w:ascii="Arial" w:hAnsi="Arial" w:cs="Arial"/>
          <w:color w:val="000000" w:themeColor="text1"/>
        </w:rPr>
        <w:t>he government believe and are determined that lessons are learned from these occasions and case</w:t>
      </w:r>
      <w:r w:rsidR="00654FDF" w:rsidRPr="0050096B">
        <w:rPr>
          <w:rFonts w:ascii="Arial" w:hAnsi="Arial" w:cs="Arial"/>
          <w:color w:val="000000" w:themeColor="text1"/>
        </w:rPr>
        <w:t>s</w:t>
      </w:r>
      <w:r w:rsidRPr="0050096B">
        <w:rPr>
          <w:rFonts w:ascii="Arial" w:hAnsi="Arial" w:cs="Arial"/>
          <w:color w:val="000000" w:themeColor="text1"/>
        </w:rPr>
        <w:t xml:space="preserve"> like this one</w:t>
      </w:r>
      <w:r w:rsidR="00654FDF" w:rsidRPr="0050096B">
        <w:rPr>
          <w:rFonts w:ascii="Arial" w:hAnsi="Arial" w:cs="Arial"/>
          <w:color w:val="000000" w:themeColor="text1"/>
        </w:rPr>
        <w:t>. They also believe that the need to ensure professional practices</w:t>
      </w:r>
      <w:r w:rsidRPr="0050096B">
        <w:rPr>
          <w:rFonts w:ascii="Arial" w:hAnsi="Arial" w:cs="Arial"/>
          <w:color w:val="000000" w:themeColor="text1"/>
        </w:rPr>
        <w:t xml:space="preserve"> are applied effectively </w:t>
      </w:r>
      <w:r w:rsidR="00654FDF" w:rsidRPr="0050096B">
        <w:rPr>
          <w:rFonts w:ascii="Arial" w:hAnsi="Arial" w:cs="Arial"/>
          <w:color w:val="000000" w:themeColor="text1"/>
        </w:rPr>
        <w:t xml:space="preserve">and promptly </w:t>
      </w:r>
      <w:r w:rsidRPr="0050096B">
        <w:rPr>
          <w:rFonts w:ascii="Arial" w:hAnsi="Arial" w:cs="Arial"/>
          <w:color w:val="000000" w:themeColor="text1"/>
        </w:rPr>
        <w:t xml:space="preserve">in the future which is why the PACE </w:t>
      </w:r>
      <w:r w:rsidR="00654FDF" w:rsidRPr="0050096B">
        <w:rPr>
          <w:rFonts w:ascii="Arial" w:hAnsi="Arial" w:cs="Arial"/>
          <w:color w:val="000000" w:themeColor="text1"/>
        </w:rPr>
        <w:t>A</w:t>
      </w:r>
      <w:r w:rsidRPr="0050096B">
        <w:rPr>
          <w:rFonts w:ascii="Arial" w:hAnsi="Arial" w:cs="Arial"/>
          <w:color w:val="000000" w:themeColor="text1"/>
        </w:rPr>
        <w:t xml:space="preserve">ct </w:t>
      </w:r>
      <w:r w:rsidR="00654FDF" w:rsidRPr="0050096B">
        <w:rPr>
          <w:rFonts w:ascii="Arial" w:hAnsi="Arial" w:cs="Arial"/>
          <w:color w:val="000000" w:themeColor="text1"/>
        </w:rPr>
        <w:t xml:space="preserve">1984 </w:t>
      </w:r>
      <w:r w:rsidRPr="0050096B">
        <w:rPr>
          <w:rFonts w:ascii="Arial" w:hAnsi="Arial" w:cs="Arial"/>
          <w:color w:val="000000" w:themeColor="text1"/>
        </w:rPr>
        <w:t xml:space="preserve">was introduced.  </w:t>
      </w:r>
    </w:p>
    <w:p w14:paraId="6F7A9680" w14:textId="77777777" w:rsidR="00EB577F" w:rsidRPr="0050096B" w:rsidRDefault="00EB577F" w:rsidP="0050096B">
      <w:pPr>
        <w:spacing w:line="360" w:lineRule="auto"/>
        <w:rPr>
          <w:rFonts w:ascii="Arial" w:hAnsi="Arial" w:cs="Arial"/>
          <w:color w:val="000000" w:themeColor="text1"/>
        </w:rPr>
      </w:pPr>
    </w:p>
    <w:p w14:paraId="4C1BA116" w14:textId="1B15C1DB" w:rsidR="005173CF" w:rsidRPr="0050096B" w:rsidRDefault="00EB577F" w:rsidP="0050096B">
      <w:pPr>
        <w:spacing w:line="360" w:lineRule="auto"/>
        <w:rPr>
          <w:rFonts w:ascii="Arial" w:hAnsi="Arial" w:cs="Arial"/>
          <w:color w:val="000000" w:themeColor="text1"/>
        </w:rPr>
      </w:pPr>
      <w:r w:rsidRPr="0050096B">
        <w:rPr>
          <w:rFonts w:ascii="Arial" w:hAnsi="Arial" w:cs="Arial"/>
          <w:color w:val="000000" w:themeColor="text1"/>
        </w:rPr>
        <w:t>Following the passage of the Police and Criminal Evidence Act 1984 (PACE) and the subsequent changes made in the control of such matters as suspect questioning, the amount of time they may be held in detention before being taken before the courts, and their care while in custody under the 1984 Act's codes of practise.</w:t>
      </w:r>
      <w:r w:rsidR="00A07E4A" w:rsidRPr="0050096B">
        <w:rPr>
          <w:rFonts w:ascii="Arial" w:hAnsi="Arial" w:cs="Arial"/>
          <w:color w:val="000000" w:themeColor="text1"/>
        </w:rPr>
        <w:t xml:space="preserve"> </w:t>
      </w:r>
      <w:r w:rsidRPr="0050096B">
        <w:rPr>
          <w:rFonts w:ascii="Arial" w:hAnsi="Arial" w:cs="Arial"/>
          <w:color w:val="000000" w:themeColor="text1"/>
        </w:rPr>
        <w:t>The police are now much more educated of how they can conduct their authority. There has been detailed guidance given</w:t>
      </w:r>
      <w:r w:rsidR="00654FDF" w:rsidRPr="0050096B">
        <w:rPr>
          <w:rFonts w:ascii="Arial" w:hAnsi="Arial" w:cs="Arial"/>
          <w:color w:val="000000" w:themeColor="text1"/>
        </w:rPr>
        <w:t xml:space="preserve">, taught and reviewed </w:t>
      </w:r>
      <w:r w:rsidRPr="0050096B">
        <w:rPr>
          <w:rFonts w:ascii="Arial" w:hAnsi="Arial" w:cs="Arial"/>
          <w:color w:val="000000" w:themeColor="text1"/>
        </w:rPr>
        <w:t>which is augmented by daily briefings.</w:t>
      </w:r>
    </w:p>
    <w:p w14:paraId="1EAABA7E" w14:textId="775AC324" w:rsidR="002E591F" w:rsidRPr="0050096B" w:rsidRDefault="002E591F" w:rsidP="0050096B">
      <w:pPr>
        <w:spacing w:line="360" w:lineRule="auto"/>
        <w:rPr>
          <w:rFonts w:ascii="Arial" w:hAnsi="Arial" w:cs="Arial"/>
          <w:color w:val="000000" w:themeColor="text1"/>
        </w:rPr>
      </w:pPr>
    </w:p>
    <w:p w14:paraId="16FBA6A0" w14:textId="67A2BCEA" w:rsidR="00D206C5" w:rsidRPr="0050096B" w:rsidRDefault="00277278" w:rsidP="0050096B">
      <w:pPr>
        <w:spacing w:line="360" w:lineRule="auto"/>
        <w:rPr>
          <w:rFonts w:ascii="Arial" w:hAnsi="Arial" w:cs="Arial"/>
          <w:color w:val="000000" w:themeColor="text1"/>
        </w:rPr>
      </w:pPr>
      <w:r w:rsidRPr="0050096B">
        <w:rPr>
          <w:rFonts w:ascii="Arial" w:hAnsi="Arial" w:cs="Arial"/>
          <w:color w:val="000000" w:themeColor="text1"/>
        </w:rPr>
        <w:t>All people detained under the PTA in England and Wales are covered either by PACE's statutory protections or by the PTA's own special safeguards. PACE Code of Practice C, which governs the apprehension, treatment, and interrogation of people by police officers, applies to all in police custody, including those detained under the PTA.</w:t>
      </w:r>
      <w:r w:rsidR="00D23D46" w:rsidRPr="0050096B">
        <w:rPr>
          <w:rFonts w:ascii="Arial" w:hAnsi="Arial" w:cs="Arial"/>
          <w:color w:val="000000" w:themeColor="text1"/>
        </w:rPr>
        <w:t xml:space="preserve"> This ensures that individuals rights and needs are considered during this process. An example of this is when a person has a health need during their time in custody this is considered as a priority treatment before interview or questioning. Additionally, it also applies to a person deemed not to have capacity during detention. </w:t>
      </w:r>
      <w:r w:rsidR="00654FDF" w:rsidRPr="0050096B">
        <w:rPr>
          <w:rFonts w:ascii="Arial" w:hAnsi="Arial" w:cs="Arial"/>
          <w:color w:val="000000" w:themeColor="text1"/>
        </w:rPr>
        <w:t xml:space="preserve">For example, </w:t>
      </w:r>
      <w:r w:rsidR="00D23D46" w:rsidRPr="0050096B">
        <w:rPr>
          <w:rFonts w:ascii="Arial" w:hAnsi="Arial" w:cs="Arial"/>
          <w:color w:val="000000" w:themeColor="text1"/>
        </w:rPr>
        <w:t xml:space="preserve">If their capacity is impaired due to alcohol or substance misuse the individual will be given time to rest and sober prior to interview commencing and charge of offence. </w:t>
      </w:r>
      <w:r w:rsidR="00CB2D74" w:rsidRPr="0050096B">
        <w:rPr>
          <w:rFonts w:ascii="Arial" w:hAnsi="Arial" w:cs="Arial"/>
          <w:color w:val="000000" w:themeColor="text1"/>
        </w:rPr>
        <w:t xml:space="preserve">If PACE was not in place during this process it could lead to an unfair assessment of the crime thus, potentially leading to a miscarriage of justice. </w:t>
      </w:r>
    </w:p>
    <w:p w14:paraId="18C0CF30" w14:textId="77777777" w:rsidR="00D206C5" w:rsidRPr="0050096B" w:rsidRDefault="00D206C5" w:rsidP="0050096B">
      <w:pPr>
        <w:spacing w:line="360" w:lineRule="auto"/>
        <w:rPr>
          <w:rFonts w:ascii="Arial" w:hAnsi="Arial" w:cs="Arial"/>
          <w:color w:val="000000" w:themeColor="text1"/>
        </w:rPr>
      </w:pPr>
    </w:p>
    <w:p w14:paraId="157CBE65" w14:textId="683F8330" w:rsidR="00D206C5" w:rsidRPr="0050096B" w:rsidRDefault="00CB2D74" w:rsidP="0050096B">
      <w:pPr>
        <w:spacing w:line="360" w:lineRule="auto"/>
        <w:rPr>
          <w:rFonts w:ascii="Arial" w:hAnsi="Arial" w:cs="Arial"/>
          <w:color w:val="000000" w:themeColor="text1"/>
        </w:rPr>
      </w:pPr>
      <w:r w:rsidRPr="0050096B">
        <w:rPr>
          <w:rFonts w:ascii="Arial" w:hAnsi="Arial" w:cs="Arial"/>
          <w:color w:val="000000" w:themeColor="text1"/>
        </w:rPr>
        <w:t>Historically, w</w:t>
      </w:r>
      <w:r w:rsidR="00D206C5" w:rsidRPr="0050096B">
        <w:rPr>
          <w:rFonts w:ascii="Arial" w:hAnsi="Arial" w:cs="Arial"/>
          <w:color w:val="000000" w:themeColor="text1"/>
        </w:rPr>
        <w:t xml:space="preserve">here sufficient evidence was available, the claims of misconduct and ill treatment by police officers were the subject of reasonable action, including </w:t>
      </w:r>
      <w:r w:rsidR="00D206C5" w:rsidRPr="0050096B">
        <w:rPr>
          <w:rFonts w:ascii="Arial" w:hAnsi="Arial" w:cs="Arial"/>
          <w:color w:val="000000" w:themeColor="text1"/>
        </w:rPr>
        <w:lastRenderedPageBreak/>
        <w:t>disciplinary action. Since the 1970s, there have been significant changes in the way allegations against the police are handled. If similar accusations were raised today, the police inquiry will almost certainly be carried out by a different department under the guidance of a member of the Police Complaints Authority.</w:t>
      </w:r>
      <w:r w:rsidRPr="0050096B">
        <w:rPr>
          <w:rFonts w:ascii="Arial" w:hAnsi="Arial" w:cs="Arial"/>
          <w:color w:val="000000" w:themeColor="text1"/>
        </w:rPr>
        <w:t xml:space="preserve"> This regulatory process supports police officers from accusation and also places safeguarding for individuals in police custody to ensure they are treated fairly. </w:t>
      </w:r>
      <w:r w:rsidR="00634D8B" w:rsidRPr="0050096B">
        <w:rPr>
          <w:rFonts w:ascii="Arial" w:hAnsi="Arial" w:cs="Arial"/>
          <w:color w:val="000000" w:themeColor="text1"/>
        </w:rPr>
        <w:t xml:space="preserve">Misconduct by police officers is considered very seriously and is now over arched by the Police (Conduct) Regulations 2020 which defines misconduct as “a breach of the Standards of Professional Behaviour that is so serious as to justice disciplinary Action” (Bryant and Bryant, 2020, p.83). </w:t>
      </w:r>
    </w:p>
    <w:p w14:paraId="1B724F9B" w14:textId="77777777" w:rsidR="00D206C5" w:rsidRPr="0050096B" w:rsidRDefault="00D206C5" w:rsidP="0050096B">
      <w:pPr>
        <w:spacing w:line="360" w:lineRule="auto"/>
        <w:rPr>
          <w:rFonts w:ascii="Arial" w:hAnsi="Arial" w:cs="Arial"/>
          <w:color w:val="000000" w:themeColor="text1"/>
        </w:rPr>
      </w:pPr>
    </w:p>
    <w:p w14:paraId="354BC826" w14:textId="61A979C4" w:rsidR="00A5175E" w:rsidRPr="0050096B" w:rsidRDefault="00A5175E" w:rsidP="0050096B">
      <w:pPr>
        <w:spacing w:line="360" w:lineRule="auto"/>
        <w:rPr>
          <w:rFonts w:ascii="Arial" w:hAnsi="Arial" w:cs="Arial"/>
          <w:color w:val="000000" w:themeColor="text1"/>
        </w:rPr>
      </w:pPr>
      <w:r w:rsidRPr="0050096B">
        <w:rPr>
          <w:rFonts w:ascii="Arial" w:hAnsi="Arial" w:cs="Arial"/>
          <w:color w:val="000000" w:themeColor="text1"/>
        </w:rPr>
        <w:t>PACE was created to provide protection for criminal offenders and to avoid false prosecutions by requiring, for example, that interviews be tape-recorded. However, we know that miscarriages of justice will occur where criminals are "verbalised" "off the record" and subjected to other means of negotiation and intimidation on their way to the police department and whilst in custody prior to the official tape-recorded interview (</w:t>
      </w:r>
      <w:proofErr w:type="spellStart"/>
      <w:r w:rsidRPr="0050096B">
        <w:rPr>
          <w:rFonts w:ascii="Arial" w:hAnsi="Arial" w:cs="Arial"/>
          <w:color w:val="000000" w:themeColor="text1"/>
        </w:rPr>
        <w:t>Eades</w:t>
      </w:r>
      <w:proofErr w:type="spellEnd"/>
      <w:r w:rsidRPr="0050096B">
        <w:rPr>
          <w:rFonts w:ascii="Arial" w:hAnsi="Arial" w:cs="Arial"/>
          <w:color w:val="000000" w:themeColor="text1"/>
        </w:rPr>
        <w:t xml:space="preserve">, 2010: 237). </w:t>
      </w:r>
      <w:r w:rsidR="004B33FB" w:rsidRPr="0050096B">
        <w:rPr>
          <w:rFonts w:ascii="Arial" w:hAnsi="Arial" w:cs="Arial"/>
          <w:color w:val="000000" w:themeColor="text1"/>
        </w:rPr>
        <w:t xml:space="preserve">Code E refers to audio recordings within the police station as a necessity which again ensures safeguarding and accurate record of evidence. </w:t>
      </w:r>
    </w:p>
    <w:p w14:paraId="3DB1462B" w14:textId="54DDC406" w:rsidR="00AD7997" w:rsidRPr="0050096B" w:rsidRDefault="00AD7997" w:rsidP="0050096B">
      <w:pPr>
        <w:spacing w:line="360" w:lineRule="auto"/>
        <w:rPr>
          <w:rFonts w:ascii="Arial" w:hAnsi="Arial" w:cs="Arial"/>
          <w:color w:val="000000" w:themeColor="text1"/>
        </w:rPr>
      </w:pPr>
    </w:p>
    <w:p w14:paraId="13A99B1C" w14:textId="77777777" w:rsidR="00AD7997" w:rsidRPr="0050096B" w:rsidRDefault="00AD7997" w:rsidP="0050096B">
      <w:pPr>
        <w:spacing w:line="360" w:lineRule="auto"/>
        <w:rPr>
          <w:rFonts w:ascii="Arial" w:hAnsi="Arial" w:cs="Arial"/>
          <w:color w:val="000000" w:themeColor="text1"/>
        </w:rPr>
      </w:pPr>
      <w:r w:rsidRPr="0050096B">
        <w:rPr>
          <w:rFonts w:ascii="Arial" w:hAnsi="Arial" w:cs="Arial"/>
          <w:color w:val="000000" w:themeColor="text1"/>
        </w:rPr>
        <w:t>While miscarriages of justice played a significant role in bringing about these improvements, it is important to remember that regulatory reform did not eliminate them, nor did it immediately increase the consistency of police interviews, as post-PACE studies like Baldwin's (1992) showed. The police continued to pressure offenders to confess rather than seeking a reliable and credible explanation by a course of investigation, resulting in low interrogation quality (Milne et al., 2007). Bad police interrogation was also having a negative impact on many people (Savage and Milne, 2007), which was adding to miscarriages of justice.</w:t>
      </w:r>
    </w:p>
    <w:p w14:paraId="5AB6034E" w14:textId="77777777" w:rsidR="00AD7997" w:rsidRPr="0050096B" w:rsidRDefault="00AD7997" w:rsidP="0050096B">
      <w:pPr>
        <w:spacing w:line="360" w:lineRule="auto"/>
        <w:rPr>
          <w:rFonts w:ascii="Arial" w:hAnsi="Arial" w:cs="Arial"/>
          <w:color w:val="000000" w:themeColor="text1"/>
        </w:rPr>
      </w:pPr>
    </w:p>
    <w:p w14:paraId="30A85C7F" w14:textId="3CEADD75" w:rsidR="004B33FB" w:rsidRPr="0050096B" w:rsidRDefault="004B33FB" w:rsidP="0050096B">
      <w:pPr>
        <w:spacing w:line="360" w:lineRule="auto"/>
        <w:rPr>
          <w:rFonts w:ascii="Arial" w:hAnsi="Arial" w:cs="Arial"/>
          <w:color w:val="000000" w:themeColor="text1"/>
        </w:rPr>
      </w:pPr>
      <w:r w:rsidRPr="0050096B">
        <w:rPr>
          <w:rFonts w:ascii="Arial" w:hAnsi="Arial" w:cs="Arial"/>
          <w:color w:val="000000" w:themeColor="text1"/>
        </w:rPr>
        <w:t xml:space="preserve">Accuracy of evidence within all cases is essential. Having the tools and means to ensure that this type of evidence is collated correctly can be later used in court or toward evidence to decide upon the correct criminal charge. It is essential that accuracy is key at all times which also supports to ensure that miscarriages of justice do not occur. </w:t>
      </w:r>
    </w:p>
    <w:p w14:paraId="32FA0624" w14:textId="77777777" w:rsidR="00A5175E" w:rsidRPr="0050096B" w:rsidRDefault="00A5175E" w:rsidP="0050096B">
      <w:pPr>
        <w:spacing w:line="360" w:lineRule="auto"/>
        <w:rPr>
          <w:rFonts w:ascii="Arial" w:hAnsi="Arial" w:cs="Arial"/>
          <w:color w:val="000000" w:themeColor="text1"/>
        </w:rPr>
      </w:pPr>
    </w:p>
    <w:p w14:paraId="231C927F" w14:textId="320D18BE" w:rsidR="00AF4597" w:rsidRPr="0050096B" w:rsidRDefault="00A5175E" w:rsidP="0050096B">
      <w:pPr>
        <w:spacing w:line="360" w:lineRule="auto"/>
        <w:rPr>
          <w:rFonts w:ascii="Arial" w:hAnsi="Arial" w:cs="Arial"/>
          <w:color w:val="000000" w:themeColor="text1"/>
        </w:rPr>
      </w:pPr>
      <w:r w:rsidRPr="0050096B">
        <w:rPr>
          <w:rFonts w:ascii="Arial" w:hAnsi="Arial" w:cs="Arial"/>
          <w:color w:val="000000" w:themeColor="text1"/>
        </w:rPr>
        <w:t xml:space="preserve">This important information is valuable because it can </w:t>
      </w:r>
      <w:r w:rsidR="004B33FB" w:rsidRPr="0050096B">
        <w:rPr>
          <w:rFonts w:ascii="Arial" w:hAnsi="Arial" w:cs="Arial"/>
          <w:color w:val="000000" w:themeColor="text1"/>
        </w:rPr>
        <w:t xml:space="preserve">also </w:t>
      </w:r>
      <w:r w:rsidRPr="0050096B">
        <w:rPr>
          <w:rFonts w:ascii="Arial" w:hAnsi="Arial" w:cs="Arial"/>
          <w:color w:val="000000" w:themeColor="text1"/>
        </w:rPr>
        <w:t xml:space="preserve">aid in the development of policies and reforms to prevent potential miscarriages of justice caused by </w:t>
      </w:r>
      <w:r w:rsidR="009A2105" w:rsidRPr="0050096B">
        <w:rPr>
          <w:rFonts w:ascii="Arial" w:hAnsi="Arial" w:cs="Arial"/>
          <w:color w:val="000000" w:themeColor="text1"/>
        </w:rPr>
        <w:t xml:space="preserve">areas where there is missing information and links to relevant and necessary evidence. </w:t>
      </w:r>
      <w:r w:rsidRPr="0050096B">
        <w:rPr>
          <w:rFonts w:ascii="Arial" w:hAnsi="Arial" w:cs="Arial"/>
          <w:color w:val="000000" w:themeColor="text1"/>
        </w:rPr>
        <w:t>To continue on the same scenario, a potential alternative to the issue of off-the-record verballing may be that police officers are no longer allowed to enter into discussions with offenders until they are audio- or video-recorded, which could be conveniently accomplished with portable recording devices.</w:t>
      </w:r>
      <w:r w:rsidR="00EF55CE" w:rsidRPr="0050096B">
        <w:rPr>
          <w:rFonts w:ascii="Arial" w:hAnsi="Arial" w:cs="Arial"/>
          <w:color w:val="000000" w:themeColor="text1"/>
        </w:rPr>
        <w:t xml:space="preserve"> This would not only safeguard police offenders from miscarriages of justice, but it would also protect police officers from false claims of misconduct and corruption, boosting public confidence in the criminal justice system and the rule of law</w:t>
      </w:r>
      <w:r w:rsidR="00AF4597" w:rsidRPr="0050096B">
        <w:rPr>
          <w:rFonts w:ascii="Arial" w:hAnsi="Arial" w:cs="Arial"/>
          <w:color w:val="000000" w:themeColor="text1"/>
        </w:rPr>
        <w:t xml:space="preserve"> (Naughton, 2013). </w:t>
      </w:r>
    </w:p>
    <w:p w14:paraId="1172B3EB" w14:textId="77777777" w:rsidR="000A076C" w:rsidRPr="0050096B" w:rsidRDefault="000A076C" w:rsidP="0050096B">
      <w:pPr>
        <w:spacing w:line="360" w:lineRule="auto"/>
        <w:rPr>
          <w:rFonts w:ascii="Arial" w:hAnsi="Arial" w:cs="Arial"/>
          <w:color w:val="000000" w:themeColor="text1"/>
        </w:rPr>
      </w:pPr>
    </w:p>
    <w:p w14:paraId="608A988E" w14:textId="632E1635" w:rsidR="000A076C" w:rsidRPr="0050096B" w:rsidRDefault="00376AE6" w:rsidP="0050096B">
      <w:pPr>
        <w:spacing w:line="360" w:lineRule="auto"/>
        <w:rPr>
          <w:rFonts w:ascii="Arial" w:hAnsi="Arial" w:cs="Arial"/>
          <w:color w:val="000000" w:themeColor="text1"/>
        </w:rPr>
      </w:pPr>
      <w:r w:rsidRPr="0050096B">
        <w:rPr>
          <w:rFonts w:ascii="Arial" w:hAnsi="Arial" w:cs="Arial"/>
          <w:color w:val="000000" w:themeColor="text1"/>
        </w:rPr>
        <w:t>It is apparent from the research undertaken that the importance of PACE and the contemporary changes within the criminal justice system have been a necessary implementation in ensuring positive change</w:t>
      </w:r>
      <w:r w:rsidR="009A2105" w:rsidRPr="0050096B">
        <w:rPr>
          <w:rFonts w:ascii="Arial" w:hAnsi="Arial" w:cs="Arial"/>
          <w:color w:val="000000" w:themeColor="text1"/>
        </w:rPr>
        <w:t>. The changes have also ensured</w:t>
      </w:r>
      <w:r w:rsidRPr="0050096B">
        <w:rPr>
          <w:rFonts w:ascii="Arial" w:hAnsi="Arial" w:cs="Arial"/>
          <w:color w:val="000000" w:themeColor="text1"/>
        </w:rPr>
        <w:t xml:space="preserve"> that miscarriage of justice or unfair treatment does not occur and is </w:t>
      </w:r>
      <w:r w:rsidR="009A2105" w:rsidRPr="0050096B">
        <w:rPr>
          <w:rFonts w:ascii="Arial" w:hAnsi="Arial" w:cs="Arial"/>
          <w:color w:val="000000" w:themeColor="text1"/>
        </w:rPr>
        <w:t xml:space="preserve">practice is </w:t>
      </w:r>
      <w:r w:rsidRPr="0050096B">
        <w:rPr>
          <w:rFonts w:ascii="Arial" w:hAnsi="Arial" w:cs="Arial"/>
          <w:color w:val="000000" w:themeColor="text1"/>
        </w:rPr>
        <w:t xml:space="preserve">safely regulated. It is sad that in the past ill treatment has contributed to miscarriage of justice however, it is also positive to see that the impact of the contemporary safeguards </w:t>
      </w:r>
      <w:r w:rsidR="009A2105" w:rsidRPr="0050096B">
        <w:rPr>
          <w:rFonts w:ascii="Arial" w:hAnsi="Arial" w:cs="Arial"/>
          <w:color w:val="000000" w:themeColor="text1"/>
        </w:rPr>
        <w:t xml:space="preserve">being </w:t>
      </w:r>
      <w:r w:rsidRPr="0050096B">
        <w:rPr>
          <w:rFonts w:ascii="Arial" w:hAnsi="Arial" w:cs="Arial"/>
          <w:color w:val="000000" w:themeColor="text1"/>
        </w:rPr>
        <w:t>in place prevent this from occurring in the future</w:t>
      </w:r>
      <w:r w:rsidR="009A2105" w:rsidRPr="0050096B">
        <w:rPr>
          <w:rFonts w:ascii="Arial" w:hAnsi="Arial" w:cs="Arial"/>
          <w:color w:val="000000" w:themeColor="text1"/>
        </w:rPr>
        <w:t xml:space="preserve">. It is also a positive change </w:t>
      </w:r>
      <w:r w:rsidRPr="0050096B">
        <w:rPr>
          <w:rFonts w:ascii="Arial" w:hAnsi="Arial" w:cs="Arial"/>
          <w:color w:val="000000" w:themeColor="text1"/>
        </w:rPr>
        <w:t xml:space="preserve">that the professionalism of policing is </w:t>
      </w:r>
      <w:r w:rsidR="009A2105" w:rsidRPr="0050096B">
        <w:rPr>
          <w:rFonts w:ascii="Arial" w:hAnsi="Arial" w:cs="Arial"/>
          <w:color w:val="000000" w:themeColor="text1"/>
        </w:rPr>
        <w:t xml:space="preserve">now </w:t>
      </w:r>
      <w:r w:rsidRPr="0050096B">
        <w:rPr>
          <w:rFonts w:ascii="Arial" w:hAnsi="Arial" w:cs="Arial"/>
          <w:color w:val="000000" w:themeColor="text1"/>
        </w:rPr>
        <w:t>regulated and reviewed as part of this ongoing practice. Had PACE not been introduced this could have led to ongoing unfair practice and further cases of miscarriage of justice</w:t>
      </w:r>
      <w:r w:rsidR="009A2105" w:rsidRPr="0050096B">
        <w:rPr>
          <w:rFonts w:ascii="Arial" w:hAnsi="Arial" w:cs="Arial"/>
          <w:color w:val="000000" w:themeColor="text1"/>
        </w:rPr>
        <w:t xml:space="preserve"> with the additional loss of trust from the public in the criminal justice system</w:t>
      </w:r>
      <w:r w:rsidRPr="0050096B">
        <w:rPr>
          <w:rFonts w:ascii="Arial" w:hAnsi="Arial" w:cs="Arial"/>
          <w:color w:val="000000" w:themeColor="text1"/>
        </w:rPr>
        <w:t xml:space="preserve">. This would </w:t>
      </w:r>
      <w:r w:rsidR="009A2105" w:rsidRPr="0050096B">
        <w:rPr>
          <w:rFonts w:ascii="Arial" w:hAnsi="Arial" w:cs="Arial"/>
          <w:color w:val="000000" w:themeColor="text1"/>
        </w:rPr>
        <w:t xml:space="preserve">have </w:t>
      </w:r>
      <w:r w:rsidRPr="0050096B">
        <w:rPr>
          <w:rFonts w:ascii="Arial" w:hAnsi="Arial" w:cs="Arial"/>
          <w:color w:val="000000" w:themeColor="text1"/>
        </w:rPr>
        <w:t>portray</w:t>
      </w:r>
      <w:r w:rsidR="009A2105" w:rsidRPr="0050096B">
        <w:rPr>
          <w:rFonts w:ascii="Arial" w:hAnsi="Arial" w:cs="Arial"/>
          <w:color w:val="000000" w:themeColor="text1"/>
        </w:rPr>
        <w:t>ed</w:t>
      </w:r>
      <w:r w:rsidRPr="0050096B">
        <w:rPr>
          <w:rFonts w:ascii="Arial" w:hAnsi="Arial" w:cs="Arial"/>
          <w:color w:val="000000" w:themeColor="text1"/>
        </w:rPr>
        <w:t xml:space="preserve"> a</w:t>
      </w:r>
      <w:r w:rsidR="009A2105" w:rsidRPr="0050096B">
        <w:rPr>
          <w:rFonts w:ascii="Arial" w:hAnsi="Arial" w:cs="Arial"/>
          <w:color w:val="000000" w:themeColor="text1"/>
        </w:rPr>
        <w:t>n even more</w:t>
      </w:r>
      <w:r w:rsidRPr="0050096B">
        <w:rPr>
          <w:rFonts w:ascii="Arial" w:hAnsi="Arial" w:cs="Arial"/>
          <w:color w:val="000000" w:themeColor="text1"/>
        </w:rPr>
        <w:t xml:space="preserve"> negative view of policing practice which is </w:t>
      </w:r>
      <w:r w:rsidR="009A2105" w:rsidRPr="0050096B">
        <w:rPr>
          <w:rFonts w:ascii="Arial" w:hAnsi="Arial" w:cs="Arial"/>
          <w:color w:val="000000" w:themeColor="text1"/>
        </w:rPr>
        <w:t xml:space="preserve">an area of professionalism that is </w:t>
      </w:r>
      <w:r w:rsidRPr="0050096B">
        <w:rPr>
          <w:rFonts w:ascii="Arial" w:hAnsi="Arial" w:cs="Arial"/>
          <w:color w:val="000000" w:themeColor="text1"/>
        </w:rPr>
        <w:t xml:space="preserve">always under </w:t>
      </w:r>
      <w:r w:rsidR="00364954" w:rsidRPr="0050096B">
        <w:rPr>
          <w:rFonts w:ascii="Arial" w:hAnsi="Arial" w:cs="Arial"/>
          <w:color w:val="000000" w:themeColor="text1"/>
        </w:rPr>
        <w:t xml:space="preserve">scrutiny anyway.  </w:t>
      </w:r>
      <w:r w:rsidR="000A076C" w:rsidRPr="0050096B">
        <w:rPr>
          <w:rFonts w:ascii="Arial" w:hAnsi="Arial" w:cs="Arial"/>
          <w:color w:val="000000" w:themeColor="text1"/>
          <w:shd w:val="clear" w:color="auto" w:fill="FFFFFF"/>
        </w:rPr>
        <w:t>PACE 1984 was mainly directed at the police due to the most “</w:t>
      </w:r>
      <w:r w:rsidR="000A076C" w:rsidRPr="0050096B">
        <w:rPr>
          <w:rStyle w:val="Emphasis"/>
          <w:rFonts w:ascii="Arial" w:hAnsi="Arial" w:cs="Arial"/>
          <w:color w:val="000000" w:themeColor="text1"/>
          <w:shd w:val="clear" w:color="auto" w:fill="FFFFFF"/>
        </w:rPr>
        <w:t xml:space="preserve">roots of a </w:t>
      </w:r>
      <w:r w:rsidR="000A076C" w:rsidRPr="0050096B">
        <w:rPr>
          <w:rStyle w:val="Emphasis"/>
          <w:rFonts w:ascii="Arial" w:hAnsi="Arial" w:cs="Arial"/>
          <w:i w:val="0"/>
          <w:iCs w:val="0"/>
          <w:color w:val="000000" w:themeColor="text1"/>
          <w:shd w:val="clear" w:color="auto" w:fill="FFFFFF"/>
        </w:rPr>
        <w:t>miscarriage of justice usually lie in the police investigation</w:t>
      </w:r>
      <w:r w:rsidR="000A076C" w:rsidRPr="0050096B">
        <w:rPr>
          <w:rFonts w:ascii="Arial" w:hAnsi="Arial" w:cs="Arial"/>
          <w:i/>
          <w:iCs/>
          <w:color w:val="000000" w:themeColor="text1"/>
          <w:shd w:val="clear" w:color="auto" w:fill="FFFFFF"/>
        </w:rPr>
        <w:t xml:space="preserve">” </w:t>
      </w:r>
      <w:r w:rsidR="000A076C" w:rsidRPr="0050096B">
        <w:rPr>
          <w:rFonts w:ascii="Arial" w:hAnsi="Arial" w:cs="Arial"/>
          <w:color w:val="000000" w:themeColor="text1"/>
          <w:shd w:val="clear" w:color="auto" w:fill="FFFFFF"/>
        </w:rPr>
        <w:t>additionally at the time “</w:t>
      </w:r>
      <w:r w:rsidR="000A076C" w:rsidRPr="0050096B">
        <w:rPr>
          <w:rStyle w:val="Emphasis"/>
          <w:rFonts w:ascii="Arial" w:hAnsi="Arial" w:cs="Arial"/>
          <w:i w:val="0"/>
          <w:iCs w:val="0"/>
          <w:color w:val="000000" w:themeColor="text1"/>
          <w:shd w:val="clear" w:color="auto" w:fill="FFFFFF"/>
        </w:rPr>
        <w:t>police powers were piecemeal and ill defined</w:t>
      </w:r>
      <w:r w:rsidR="000A076C" w:rsidRPr="0050096B">
        <w:rPr>
          <w:rFonts w:ascii="Arial" w:hAnsi="Arial" w:cs="Arial"/>
          <w:i/>
          <w:iCs/>
          <w:color w:val="000000" w:themeColor="text1"/>
          <w:shd w:val="clear" w:color="auto" w:fill="FFFFFF"/>
        </w:rPr>
        <w:t>” (</w:t>
      </w:r>
      <w:r w:rsidR="000A076C" w:rsidRPr="0050096B">
        <w:rPr>
          <w:rFonts w:ascii="Arial" w:hAnsi="Arial" w:cs="Arial"/>
          <w:color w:val="000000" w:themeColor="text1"/>
          <w:shd w:val="clear" w:color="auto" w:fill="FFFFFF"/>
        </w:rPr>
        <w:t xml:space="preserve">Ward, 2011, p. 438). </w:t>
      </w:r>
      <w:r w:rsidR="000A076C" w:rsidRPr="0050096B">
        <w:rPr>
          <w:rFonts w:ascii="Arial" w:hAnsi="Arial" w:cs="Arial"/>
          <w:i/>
          <w:iCs/>
          <w:color w:val="000000" w:themeColor="text1"/>
          <w:shd w:val="clear" w:color="auto" w:fill="FFFFFF"/>
        </w:rPr>
        <w:t xml:space="preserve">The </w:t>
      </w:r>
      <w:r w:rsidR="000A076C" w:rsidRPr="0050096B">
        <w:rPr>
          <w:rFonts w:ascii="Arial" w:hAnsi="Arial" w:cs="Arial"/>
          <w:color w:val="000000" w:themeColor="text1"/>
          <w:shd w:val="clear" w:color="auto" w:fill="FFFFFF"/>
        </w:rPr>
        <w:t>legislation's primary goal</w:t>
      </w:r>
      <w:r w:rsidR="000A076C" w:rsidRPr="0050096B">
        <w:rPr>
          <w:rFonts w:ascii="Arial" w:hAnsi="Arial" w:cs="Arial"/>
          <w:i/>
          <w:iCs/>
          <w:color w:val="000000" w:themeColor="text1"/>
          <w:shd w:val="clear" w:color="auto" w:fill="FFFFFF"/>
        </w:rPr>
        <w:t xml:space="preserve"> “</w:t>
      </w:r>
      <w:r w:rsidR="000A076C" w:rsidRPr="0050096B">
        <w:rPr>
          <w:rStyle w:val="Emphasis"/>
          <w:rFonts w:ascii="Arial" w:hAnsi="Arial" w:cs="Arial"/>
          <w:i w:val="0"/>
          <w:iCs w:val="0"/>
          <w:color w:val="000000" w:themeColor="text1"/>
          <w:shd w:val="clear" w:color="auto" w:fill="FFFFFF"/>
        </w:rPr>
        <w:t>standardise and professionalise police work</w:t>
      </w:r>
      <w:r w:rsidR="000A076C" w:rsidRPr="0050096B">
        <w:rPr>
          <w:rFonts w:ascii="Arial" w:hAnsi="Arial" w:cs="Arial"/>
          <w:color w:val="000000" w:themeColor="text1"/>
          <w:shd w:val="clear" w:color="auto" w:fill="FFFFFF"/>
        </w:rPr>
        <w:t>”</w:t>
      </w:r>
      <w:r w:rsidR="000A076C" w:rsidRPr="0050096B">
        <w:rPr>
          <w:rFonts w:ascii="Arial" w:hAnsi="Arial" w:cs="Arial"/>
          <w:color w:val="000000" w:themeColor="text1"/>
        </w:rPr>
        <w:t xml:space="preserve"> (Zander, 2011, p.6)</w:t>
      </w:r>
      <w:r w:rsidR="000A076C" w:rsidRPr="0050096B">
        <w:rPr>
          <w:rFonts w:ascii="Arial" w:hAnsi="Arial" w:cs="Arial"/>
          <w:color w:val="000000" w:themeColor="text1"/>
          <w:shd w:val="clear" w:color="auto" w:fill="FFFFFF"/>
        </w:rPr>
        <w:t> Changing the public's view of a police department that is inefficient and inept.</w:t>
      </w:r>
    </w:p>
    <w:p w14:paraId="640556D3" w14:textId="400B742D" w:rsidR="00376AE6" w:rsidRPr="0050096B" w:rsidRDefault="00376AE6" w:rsidP="0050096B">
      <w:pPr>
        <w:spacing w:line="360" w:lineRule="auto"/>
        <w:rPr>
          <w:rFonts w:ascii="Arial" w:hAnsi="Arial" w:cs="Arial"/>
          <w:color w:val="000000" w:themeColor="text1"/>
        </w:rPr>
      </w:pPr>
    </w:p>
    <w:p w14:paraId="3DA6758C" w14:textId="1A2CE5E9" w:rsidR="000E57A5" w:rsidRPr="0050096B" w:rsidRDefault="000E57A5" w:rsidP="0050096B">
      <w:pPr>
        <w:spacing w:line="360" w:lineRule="auto"/>
        <w:rPr>
          <w:rFonts w:ascii="Arial" w:hAnsi="Arial" w:cs="Arial"/>
          <w:color w:val="000000" w:themeColor="text1"/>
        </w:rPr>
      </w:pPr>
    </w:p>
    <w:p w14:paraId="0761467D" w14:textId="39D9DD30" w:rsidR="002E591F" w:rsidRPr="0050096B" w:rsidRDefault="002E591F" w:rsidP="0050096B">
      <w:pPr>
        <w:spacing w:line="360" w:lineRule="auto"/>
        <w:rPr>
          <w:rFonts w:ascii="Arial" w:hAnsi="Arial" w:cs="Arial"/>
          <w:color w:val="000000" w:themeColor="text1"/>
        </w:rPr>
      </w:pPr>
    </w:p>
    <w:p w14:paraId="0AC2E2A1" w14:textId="77777777" w:rsidR="00635E15" w:rsidRPr="0050096B" w:rsidRDefault="00635E15" w:rsidP="0050096B">
      <w:pPr>
        <w:spacing w:line="360" w:lineRule="auto"/>
        <w:rPr>
          <w:rFonts w:ascii="Arial" w:hAnsi="Arial" w:cs="Arial"/>
          <w:color w:val="000000" w:themeColor="text1"/>
        </w:rPr>
      </w:pPr>
    </w:p>
    <w:p w14:paraId="65A37D76" w14:textId="16CB27CF" w:rsidR="002E591F" w:rsidRPr="0050096B" w:rsidRDefault="002E591F" w:rsidP="0050096B">
      <w:pPr>
        <w:spacing w:line="360" w:lineRule="auto"/>
        <w:rPr>
          <w:rFonts w:ascii="Arial" w:hAnsi="Arial" w:cs="Arial"/>
          <w:color w:val="000000" w:themeColor="text1"/>
        </w:rPr>
      </w:pPr>
      <w:r w:rsidRPr="0050096B">
        <w:rPr>
          <w:rFonts w:ascii="Arial" w:hAnsi="Arial" w:cs="Arial"/>
          <w:color w:val="000000" w:themeColor="text1"/>
        </w:rPr>
        <w:lastRenderedPageBreak/>
        <w:t xml:space="preserve">References </w:t>
      </w:r>
    </w:p>
    <w:p w14:paraId="3BC6E83D" w14:textId="58C83AE9" w:rsidR="00B41AD3" w:rsidRPr="0050096B" w:rsidRDefault="00B41AD3" w:rsidP="0050096B">
      <w:pPr>
        <w:spacing w:line="360" w:lineRule="auto"/>
        <w:rPr>
          <w:rFonts w:ascii="Arial" w:hAnsi="Arial" w:cs="Arial"/>
          <w:color w:val="000000" w:themeColor="text1"/>
        </w:rPr>
      </w:pPr>
    </w:p>
    <w:p w14:paraId="600C4B0E" w14:textId="78840DC3" w:rsidR="00B41AD3" w:rsidRPr="0050096B" w:rsidRDefault="00B41AD3"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Assets.publishing.service.gov.uk. 2017. Code of Practice for the identification of persons by Police Officers. [online] Available at: &lt;https://assets.publishing.service.gov.uk/government/uploads/system/uploads/attachment_data/file/903812/pace-code-d-2017.pdf&gt; [Accessed 5 March 2021].</w:t>
      </w:r>
    </w:p>
    <w:p w14:paraId="7D10F436" w14:textId="77777777" w:rsidR="00B41AD3" w:rsidRPr="0050096B" w:rsidRDefault="00B41AD3" w:rsidP="0050096B">
      <w:pPr>
        <w:spacing w:line="360" w:lineRule="auto"/>
        <w:rPr>
          <w:rFonts w:ascii="Arial" w:hAnsi="Arial" w:cs="Arial"/>
          <w:color w:val="000000" w:themeColor="text1"/>
        </w:rPr>
      </w:pPr>
    </w:p>
    <w:p w14:paraId="1488D2D1" w14:textId="1B02F217" w:rsidR="00B41AD3" w:rsidRPr="0050096B" w:rsidRDefault="00B41AD3" w:rsidP="0050096B">
      <w:pPr>
        <w:spacing w:line="360" w:lineRule="auto"/>
        <w:rPr>
          <w:rFonts w:ascii="Arial" w:hAnsi="Arial" w:cs="Arial"/>
          <w:color w:val="000000" w:themeColor="text1"/>
        </w:rPr>
      </w:pPr>
    </w:p>
    <w:p w14:paraId="7F59F058" w14:textId="0E75BDEC" w:rsidR="00B41AD3" w:rsidRPr="0050096B" w:rsidRDefault="00B41AD3"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Assets.publishing.service.gov.uk. 2014. </w:t>
      </w:r>
      <w:r w:rsidRPr="0050096B">
        <w:rPr>
          <w:rFonts w:ascii="Arial" w:hAnsi="Arial" w:cs="Arial"/>
          <w:i/>
          <w:iCs/>
          <w:color w:val="000000" w:themeColor="text1"/>
          <w:shd w:val="clear" w:color="auto" w:fill="FFFFFF"/>
        </w:rPr>
        <w:t>Revised code of practice for the exercise by: Police Officers of Statutory Powers of stop and search</w:t>
      </w:r>
      <w:r w:rsidRPr="0050096B">
        <w:rPr>
          <w:rFonts w:ascii="Arial" w:hAnsi="Arial" w:cs="Arial"/>
          <w:color w:val="000000" w:themeColor="text1"/>
          <w:shd w:val="clear" w:color="auto" w:fill="FFFFFF"/>
        </w:rPr>
        <w:t>. [online] Available at: &lt;https://assets.publishing.service.gov.uk/government/uploads/system/uploads/attachment_data/file/384122/PaceCodeAWeb.pdf&gt; [Accessed 5 March 2021].</w:t>
      </w:r>
    </w:p>
    <w:p w14:paraId="5603B56A" w14:textId="02A5941A" w:rsidR="00B41AD3" w:rsidRPr="0050096B" w:rsidRDefault="00B41AD3" w:rsidP="0050096B">
      <w:pPr>
        <w:spacing w:line="360" w:lineRule="auto"/>
        <w:rPr>
          <w:rFonts w:ascii="Arial" w:hAnsi="Arial" w:cs="Arial"/>
          <w:color w:val="000000" w:themeColor="text1"/>
        </w:rPr>
      </w:pPr>
    </w:p>
    <w:p w14:paraId="28989F6D" w14:textId="77777777" w:rsidR="001B442C" w:rsidRPr="0050096B" w:rsidRDefault="001B442C" w:rsidP="0050096B">
      <w:pPr>
        <w:spacing w:line="360" w:lineRule="auto"/>
        <w:rPr>
          <w:rFonts w:ascii="Arial" w:hAnsi="Arial" w:cs="Arial"/>
          <w:color w:val="000000" w:themeColor="text1"/>
        </w:rPr>
      </w:pPr>
      <w:r w:rsidRPr="0050096B">
        <w:rPr>
          <w:rFonts w:ascii="Arial" w:hAnsi="Arial" w:cs="Arial"/>
          <w:color w:val="000000" w:themeColor="text1"/>
        </w:rPr>
        <w:t>Baldwin, J. (1992), Video Taping Police Interviews with Suspects: An Evaluation, Police Research Series Paper No 1, Home Office, London.</w:t>
      </w:r>
    </w:p>
    <w:p w14:paraId="252F6850" w14:textId="26C187C1" w:rsidR="001B442C" w:rsidRPr="0050096B" w:rsidRDefault="001B442C" w:rsidP="0050096B">
      <w:pPr>
        <w:spacing w:line="360" w:lineRule="auto"/>
        <w:rPr>
          <w:rFonts w:ascii="Arial" w:hAnsi="Arial" w:cs="Arial"/>
          <w:color w:val="000000" w:themeColor="text1"/>
        </w:rPr>
      </w:pPr>
    </w:p>
    <w:p w14:paraId="6981B48D" w14:textId="77777777" w:rsidR="001B442C" w:rsidRPr="0050096B" w:rsidRDefault="001B442C" w:rsidP="0050096B">
      <w:pPr>
        <w:spacing w:line="360" w:lineRule="auto"/>
        <w:rPr>
          <w:rFonts w:ascii="Arial" w:hAnsi="Arial" w:cs="Arial"/>
          <w:color w:val="000000" w:themeColor="text1"/>
        </w:rPr>
      </w:pPr>
    </w:p>
    <w:p w14:paraId="32214A82" w14:textId="77777777" w:rsidR="00B41AD3" w:rsidRPr="0050096B" w:rsidRDefault="00B41AD3" w:rsidP="0050096B">
      <w:pPr>
        <w:spacing w:line="360" w:lineRule="auto"/>
        <w:rPr>
          <w:rFonts w:ascii="Arial" w:hAnsi="Arial" w:cs="Arial"/>
          <w:color w:val="000000" w:themeColor="text1"/>
          <w:spacing w:val="4"/>
          <w:shd w:val="clear" w:color="auto" w:fill="FCFCFC"/>
        </w:rPr>
      </w:pPr>
      <w:proofErr w:type="spellStart"/>
      <w:r w:rsidRPr="0050096B">
        <w:rPr>
          <w:rFonts w:ascii="Arial" w:hAnsi="Arial" w:cs="Arial"/>
          <w:color w:val="000000" w:themeColor="text1"/>
          <w:spacing w:val="4"/>
          <w:shd w:val="clear" w:color="auto" w:fill="FCFCFC"/>
        </w:rPr>
        <w:t>Belloni</w:t>
      </w:r>
      <w:proofErr w:type="spellEnd"/>
      <w:r w:rsidRPr="0050096B">
        <w:rPr>
          <w:rFonts w:ascii="Arial" w:hAnsi="Arial" w:cs="Arial"/>
          <w:color w:val="000000" w:themeColor="text1"/>
          <w:spacing w:val="4"/>
          <w:shd w:val="clear" w:color="auto" w:fill="FCFCFC"/>
        </w:rPr>
        <w:t xml:space="preserve"> F., Hodgson J. (2000) The Criminal Justice System and Miscarriages of Justice in England and Wales. In: Criminal Injustice. Palgrave Macmillan, London. </w:t>
      </w:r>
      <w:hyperlink r:id="rId4" w:history="1">
        <w:r w:rsidRPr="0050096B">
          <w:rPr>
            <w:rStyle w:val="Hyperlink"/>
            <w:rFonts w:ascii="Arial" w:hAnsi="Arial" w:cs="Arial"/>
            <w:color w:val="000000" w:themeColor="text1"/>
            <w:spacing w:val="4"/>
            <w:shd w:val="clear" w:color="auto" w:fill="FCFCFC"/>
          </w:rPr>
          <w:t>https://doi.org/10.1057/9780230599765_1</w:t>
        </w:r>
      </w:hyperlink>
    </w:p>
    <w:p w14:paraId="4EFC26E4" w14:textId="478A8C14" w:rsidR="00030DD3" w:rsidRPr="0050096B" w:rsidRDefault="00030DD3" w:rsidP="0050096B">
      <w:pPr>
        <w:spacing w:line="360" w:lineRule="auto"/>
        <w:rPr>
          <w:rFonts w:ascii="Arial" w:hAnsi="Arial" w:cs="Arial"/>
          <w:color w:val="000000" w:themeColor="text1"/>
        </w:rPr>
      </w:pPr>
    </w:p>
    <w:p w14:paraId="292CAE23" w14:textId="77777777" w:rsidR="00B41AD3" w:rsidRPr="0050096B" w:rsidRDefault="00B41AD3" w:rsidP="0050096B">
      <w:pPr>
        <w:spacing w:line="360" w:lineRule="auto"/>
        <w:rPr>
          <w:rFonts w:ascii="Arial" w:hAnsi="Arial" w:cs="Arial"/>
          <w:color w:val="000000" w:themeColor="text1"/>
        </w:rPr>
      </w:pPr>
    </w:p>
    <w:p w14:paraId="7C6A7553" w14:textId="717CF754" w:rsidR="00030DD3" w:rsidRPr="0050096B" w:rsidRDefault="00030DD3" w:rsidP="0050096B">
      <w:pPr>
        <w:spacing w:line="360" w:lineRule="auto"/>
        <w:rPr>
          <w:rFonts w:ascii="Arial" w:hAnsi="Arial" w:cs="Arial"/>
          <w:color w:val="000000" w:themeColor="text1"/>
        </w:rPr>
      </w:pPr>
      <w:r w:rsidRPr="0050096B">
        <w:rPr>
          <w:rFonts w:ascii="Arial" w:hAnsi="Arial" w:cs="Arial"/>
          <w:color w:val="000000" w:themeColor="text1"/>
        </w:rPr>
        <w:t>Bohm, R, M. (2005), Contemporary criminal justice [Online]. Florida: Sage Publications, 21 (3), p. 196-200</w:t>
      </w:r>
    </w:p>
    <w:p w14:paraId="62293E3C" w14:textId="63457337" w:rsidR="00635E15" w:rsidRPr="0050096B" w:rsidRDefault="00635E15" w:rsidP="0050096B">
      <w:pPr>
        <w:spacing w:line="360" w:lineRule="auto"/>
        <w:rPr>
          <w:rFonts w:ascii="Arial" w:hAnsi="Arial" w:cs="Arial"/>
          <w:color w:val="000000" w:themeColor="text1"/>
        </w:rPr>
      </w:pPr>
    </w:p>
    <w:p w14:paraId="7A61E2A3" w14:textId="41856D2B" w:rsidR="00635E15" w:rsidRPr="0050096B" w:rsidRDefault="00635E15" w:rsidP="0050096B">
      <w:pPr>
        <w:spacing w:line="360" w:lineRule="auto"/>
        <w:rPr>
          <w:rFonts w:ascii="Arial" w:hAnsi="Arial" w:cs="Arial"/>
          <w:color w:val="000000" w:themeColor="text1"/>
        </w:rPr>
      </w:pPr>
      <w:r w:rsidRPr="0050096B">
        <w:rPr>
          <w:rFonts w:ascii="Arial" w:hAnsi="Arial" w:cs="Arial"/>
          <w:color w:val="000000" w:themeColor="text1"/>
        </w:rPr>
        <w:t>Bryant R, Bryant</w:t>
      </w:r>
      <w:r w:rsidR="0050096B" w:rsidRPr="0050096B">
        <w:rPr>
          <w:rFonts w:ascii="Arial" w:hAnsi="Arial" w:cs="Arial"/>
          <w:color w:val="000000" w:themeColor="text1"/>
        </w:rPr>
        <w:t xml:space="preserve">, S, (2020), </w:t>
      </w:r>
      <w:r w:rsidR="0050096B" w:rsidRPr="0050096B">
        <w:rPr>
          <w:rFonts w:ascii="Arial" w:hAnsi="Arial" w:cs="Arial"/>
          <w:i/>
          <w:iCs/>
          <w:color w:val="000000" w:themeColor="text1"/>
        </w:rPr>
        <w:t>Handbook for Policing Students</w:t>
      </w:r>
      <w:r w:rsidR="0050096B" w:rsidRPr="0050096B">
        <w:rPr>
          <w:rFonts w:ascii="Arial" w:hAnsi="Arial" w:cs="Arial"/>
          <w:color w:val="000000" w:themeColor="text1"/>
        </w:rPr>
        <w:t xml:space="preserve">, Blackstone’s, Oxford. </w:t>
      </w:r>
    </w:p>
    <w:p w14:paraId="09EB2646" w14:textId="77777777" w:rsidR="00B41AD3" w:rsidRPr="0050096B" w:rsidRDefault="00B41AD3" w:rsidP="0050096B">
      <w:pPr>
        <w:spacing w:line="360" w:lineRule="auto"/>
        <w:rPr>
          <w:rFonts w:ascii="Arial" w:hAnsi="Arial" w:cs="Arial"/>
          <w:color w:val="000000" w:themeColor="text1"/>
        </w:rPr>
      </w:pPr>
    </w:p>
    <w:p w14:paraId="0B23C96E" w14:textId="76F324B3" w:rsidR="00B41AD3" w:rsidRPr="0050096B" w:rsidRDefault="00B41AD3" w:rsidP="0050096B">
      <w:pPr>
        <w:spacing w:line="360" w:lineRule="auto"/>
        <w:rPr>
          <w:rFonts w:ascii="Arial" w:hAnsi="Arial" w:cs="Arial"/>
          <w:color w:val="000000" w:themeColor="text1"/>
        </w:rPr>
      </w:pPr>
    </w:p>
    <w:p w14:paraId="224C8BC6" w14:textId="1D2801AE" w:rsidR="00B41AD3" w:rsidRPr="0050096B" w:rsidRDefault="00B41AD3" w:rsidP="0050096B">
      <w:pPr>
        <w:spacing w:line="360" w:lineRule="auto"/>
        <w:rPr>
          <w:rFonts w:ascii="Arial" w:hAnsi="Arial" w:cs="Arial"/>
          <w:color w:val="000000" w:themeColor="text1"/>
          <w:shd w:val="clear" w:color="auto" w:fill="FFFFFF"/>
        </w:rPr>
      </w:pPr>
      <w:proofErr w:type="spellStart"/>
      <w:r w:rsidRPr="0050096B">
        <w:rPr>
          <w:rFonts w:ascii="Arial" w:hAnsi="Arial" w:cs="Arial"/>
          <w:color w:val="000000" w:themeColor="text1"/>
          <w:shd w:val="clear" w:color="auto" w:fill="FFFFFF"/>
        </w:rPr>
        <w:t>Cacchione</w:t>
      </w:r>
      <w:proofErr w:type="spellEnd"/>
      <w:r w:rsidRPr="0050096B">
        <w:rPr>
          <w:rFonts w:ascii="Arial" w:hAnsi="Arial" w:cs="Arial"/>
          <w:color w:val="000000" w:themeColor="text1"/>
          <w:shd w:val="clear" w:color="auto" w:fill="FFFFFF"/>
        </w:rPr>
        <w:t xml:space="preserve">, P.Z., </w:t>
      </w:r>
      <w:proofErr w:type="spellStart"/>
      <w:r w:rsidRPr="0050096B">
        <w:rPr>
          <w:rFonts w:ascii="Arial" w:hAnsi="Arial" w:cs="Arial"/>
          <w:color w:val="000000" w:themeColor="text1"/>
          <w:shd w:val="clear" w:color="auto" w:fill="FFFFFF"/>
        </w:rPr>
        <w:t>Eible</w:t>
      </w:r>
      <w:proofErr w:type="spellEnd"/>
      <w:r w:rsidRPr="0050096B">
        <w:rPr>
          <w:rFonts w:ascii="Arial" w:hAnsi="Arial" w:cs="Arial"/>
          <w:color w:val="000000" w:themeColor="text1"/>
          <w:shd w:val="clear" w:color="auto" w:fill="FFFFFF"/>
        </w:rPr>
        <w:t xml:space="preserve">, L., Gill, L.L., </w:t>
      </w:r>
      <w:proofErr w:type="spellStart"/>
      <w:r w:rsidRPr="0050096B">
        <w:rPr>
          <w:rFonts w:ascii="Arial" w:hAnsi="Arial" w:cs="Arial"/>
          <w:color w:val="000000" w:themeColor="text1"/>
          <w:shd w:val="clear" w:color="auto" w:fill="FFFFFF"/>
        </w:rPr>
        <w:t>Huege</w:t>
      </w:r>
      <w:proofErr w:type="spellEnd"/>
      <w:r w:rsidRPr="0050096B">
        <w:rPr>
          <w:rFonts w:ascii="Arial" w:hAnsi="Arial" w:cs="Arial"/>
          <w:color w:val="000000" w:themeColor="text1"/>
          <w:shd w:val="clear" w:color="auto" w:fill="FFFFFF"/>
        </w:rPr>
        <w:t>, S.F. (2016). </w:t>
      </w:r>
      <w:hyperlink r:id="rId5" w:tgtFrame="_blank" w:history="1">
        <w:r w:rsidRPr="0050096B">
          <w:rPr>
            <w:rStyle w:val="Hyperlink"/>
            <w:rFonts w:ascii="Arial" w:hAnsi="Arial" w:cs="Arial"/>
            <w:color w:val="000000" w:themeColor="text1"/>
            <w:u w:val="none"/>
            <w:bdr w:val="none" w:sz="0" w:space="0" w:color="auto" w:frame="1"/>
            <w:shd w:val="clear" w:color="auto" w:fill="FFFFFF"/>
          </w:rPr>
          <w:t>Person-</w:t>
        </w:r>
        <w:proofErr w:type="spellStart"/>
        <w:r w:rsidRPr="0050096B">
          <w:rPr>
            <w:rStyle w:val="Hyperlink"/>
            <w:rFonts w:ascii="Arial" w:hAnsi="Arial" w:cs="Arial"/>
            <w:color w:val="000000" w:themeColor="text1"/>
            <w:u w:val="none"/>
            <w:bdr w:val="none" w:sz="0" w:space="0" w:color="auto" w:frame="1"/>
            <w:shd w:val="clear" w:color="auto" w:fill="FFFFFF"/>
          </w:rPr>
          <w:t>Centered</w:t>
        </w:r>
        <w:proofErr w:type="spellEnd"/>
        <w:r w:rsidRPr="0050096B">
          <w:rPr>
            <w:rStyle w:val="Hyperlink"/>
            <w:rFonts w:ascii="Arial" w:hAnsi="Arial" w:cs="Arial"/>
            <w:color w:val="000000" w:themeColor="text1"/>
            <w:u w:val="none"/>
            <w:bdr w:val="none" w:sz="0" w:space="0" w:color="auto" w:frame="1"/>
            <w:shd w:val="clear" w:color="auto" w:fill="FFFFFF"/>
          </w:rPr>
          <w:t xml:space="preserve"> Care for Older Adults With Serious Mental Illness and Substance Misuse Within a Program of All-Inclusive Care for the Elderly.</w:t>
        </w:r>
      </w:hyperlink>
      <w:r w:rsidRPr="0050096B">
        <w:rPr>
          <w:rFonts w:ascii="Arial" w:hAnsi="Arial" w:cs="Arial"/>
          <w:color w:val="000000" w:themeColor="text1"/>
          <w:shd w:val="clear" w:color="auto" w:fill="FFFFFF"/>
        </w:rPr>
        <w:t> </w:t>
      </w:r>
      <w:r w:rsidRPr="0050096B">
        <w:rPr>
          <w:rStyle w:val="Emphasis"/>
          <w:rFonts w:ascii="Arial" w:hAnsi="Arial" w:cs="Arial"/>
          <w:color w:val="000000" w:themeColor="text1"/>
          <w:bdr w:val="none" w:sz="0" w:space="0" w:color="auto" w:frame="1"/>
          <w:shd w:val="clear" w:color="auto" w:fill="FFFFFF"/>
        </w:rPr>
        <w:t>Journal of Gerontological Nursing,</w:t>
      </w:r>
      <w:r w:rsidRPr="0050096B">
        <w:rPr>
          <w:rFonts w:ascii="Arial" w:hAnsi="Arial" w:cs="Arial"/>
          <w:color w:val="000000" w:themeColor="text1"/>
          <w:shd w:val="clear" w:color="auto" w:fill="FFFFFF"/>
        </w:rPr>
        <w:t> 42 (5): 11-7.</w:t>
      </w:r>
    </w:p>
    <w:p w14:paraId="22D5372C" w14:textId="77777777" w:rsidR="00B41AD3" w:rsidRPr="0050096B" w:rsidRDefault="00B41AD3" w:rsidP="0050096B">
      <w:pPr>
        <w:spacing w:line="360" w:lineRule="auto"/>
        <w:rPr>
          <w:rFonts w:ascii="Arial" w:hAnsi="Arial" w:cs="Arial"/>
          <w:color w:val="000000" w:themeColor="text1"/>
        </w:rPr>
      </w:pPr>
    </w:p>
    <w:p w14:paraId="68D3D984" w14:textId="6D9AF734" w:rsidR="00B41AD3" w:rsidRPr="0050096B" w:rsidRDefault="00B41AD3" w:rsidP="0050096B">
      <w:pPr>
        <w:spacing w:line="360" w:lineRule="auto"/>
        <w:rPr>
          <w:rFonts w:ascii="Arial" w:hAnsi="Arial" w:cs="Arial"/>
          <w:color w:val="000000" w:themeColor="text1"/>
        </w:rPr>
      </w:pPr>
    </w:p>
    <w:p w14:paraId="025C8371" w14:textId="77777777" w:rsidR="00B41AD3" w:rsidRPr="0050096B" w:rsidRDefault="00B41AD3" w:rsidP="0050096B">
      <w:pPr>
        <w:spacing w:line="360" w:lineRule="auto"/>
        <w:rPr>
          <w:rFonts w:ascii="Arial" w:hAnsi="Arial" w:cs="Arial"/>
          <w:color w:val="000000" w:themeColor="text1"/>
        </w:rPr>
      </w:pPr>
      <w:r w:rsidRPr="0050096B">
        <w:rPr>
          <w:rFonts w:ascii="Arial" w:hAnsi="Arial" w:cs="Arial"/>
          <w:i/>
          <w:iCs/>
          <w:color w:val="000000" w:themeColor="text1"/>
          <w:shd w:val="clear" w:color="auto" w:fill="FFFFFF"/>
        </w:rPr>
        <w:lastRenderedPageBreak/>
        <w:t>Codes of Practice for Social Service Workers and Employers</w:t>
      </w:r>
      <w:r w:rsidRPr="0050096B">
        <w:rPr>
          <w:rFonts w:ascii="Arial" w:hAnsi="Arial" w:cs="Arial"/>
          <w:color w:val="000000" w:themeColor="text1"/>
          <w:shd w:val="clear" w:color="auto" w:fill="FFFFFF"/>
        </w:rPr>
        <w:t>. (2016), 2nd ed. [</w:t>
      </w:r>
      <w:proofErr w:type="spellStart"/>
      <w:r w:rsidRPr="0050096B">
        <w:rPr>
          <w:rFonts w:ascii="Arial" w:hAnsi="Arial" w:cs="Arial"/>
          <w:color w:val="000000" w:themeColor="text1"/>
          <w:shd w:val="clear" w:color="auto" w:fill="FFFFFF"/>
        </w:rPr>
        <w:t>ebook</w:t>
      </w:r>
      <w:proofErr w:type="spellEnd"/>
      <w:r w:rsidRPr="0050096B">
        <w:rPr>
          <w:rFonts w:ascii="Arial" w:hAnsi="Arial" w:cs="Arial"/>
          <w:color w:val="000000" w:themeColor="text1"/>
          <w:shd w:val="clear" w:color="auto" w:fill="FFFFFF"/>
        </w:rPr>
        <w:t>] Dundee: Scottish Social Services Council. Available at: &lt;http://www.sssc.uk.com/about-the-sssc/multimedia-library/publications?task=document.viewdoc&amp;id=239&gt; [Accessed 20 November 2016].</w:t>
      </w:r>
    </w:p>
    <w:p w14:paraId="6B5B66B1" w14:textId="77777777" w:rsidR="00B41AD3" w:rsidRPr="0050096B" w:rsidRDefault="00B41AD3" w:rsidP="0050096B">
      <w:pPr>
        <w:spacing w:line="360" w:lineRule="auto"/>
        <w:rPr>
          <w:rFonts w:ascii="Arial" w:hAnsi="Arial" w:cs="Arial"/>
          <w:color w:val="000000" w:themeColor="text1"/>
        </w:rPr>
      </w:pPr>
    </w:p>
    <w:p w14:paraId="3F1CC3C9" w14:textId="68B246FC" w:rsidR="00B41AD3" w:rsidRPr="0050096B" w:rsidRDefault="00B41AD3"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Elks, L., 2008. </w:t>
      </w:r>
      <w:r w:rsidRPr="0050096B">
        <w:rPr>
          <w:rFonts w:ascii="Arial" w:hAnsi="Arial" w:cs="Arial"/>
          <w:i/>
          <w:iCs/>
          <w:color w:val="000000" w:themeColor="text1"/>
          <w:shd w:val="clear" w:color="auto" w:fill="FFFFFF"/>
        </w:rPr>
        <w:t>RIGHTING MISCARRIAGES OF JUSTICE?</w:t>
      </w:r>
      <w:r w:rsidRPr="0050096B">
        <w:rPr>
          <w:rFonts w:ascii="Arial" w:hAnsi="Arial" w:cs="Arial"/>
          <w:color w:val="000000" w:themeColor="text1"/>
          <w:shd w:val="clear" w:color="auto" w:fill="FFFFFF"/>
        </w:rPr>
        <w:t>. [online] Justice.org.uk. Available at: &lt;https://justice.org.uk/wp-content/uploads/2016/04/Righting-Miscarriages-of-Justice.pdf&gt; [Accessed 5 March 2021].</w:t>
      </w:r>
    </w:p>
    <w:p w14:paraId="1A5A0DA3" w14:textId="77777777" w:rsidR="00B41AD3" w:rsidRPr="0050096B" w:rsidRDefault="00B41AD3" w:rsidP="0050096B">
      <w:pPr>
        <w:spacing w:line="360" w:lineRule="auto"/>
        <w:rPr>
          <w:rFonts w:ascii="Arial" w:hAnsi="Arial" w:cs="Arial"/>
          <w:color w:val="000000" w:themeColor="text1"/>
        </w:rPr>
      </w:pPr>
    </w:p>
    <w:p w14:paraId="481654E9" w14:textId="77777777" w:rsidR="000D4740" w:rsidRPr="0050096B" w:rsidRDefault="000D4740" w:rsidP="0050096B">
      <w:pPr>
        <w:spacing w:line="360" w:lineRule="auto"/>
        <w:rPr>
          <w:rFonts w:ascii="Arial" w:hAnsi="Arial" w:cs="Arial"/>
          <w:color w:val="000000" w:themeColor="text1"/>
        </w:rPr>
      </w:pPr>
    </w:p>
    <w:p w14:paraId="4A7E2B61" w14:textId="0BC9E2C3" w:rsidR="00B41AD3" w:rsidRPr="0050096B" w:rsidRDefault="00B41AD3"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HISTORY. 2020. </w:t>
      </w:r>
      <w:r w:rsidRPr="0050096B">
        <w:rPr>
          <w:rFonts w:ascii="Arial" w:hAnsi="Arial" w:cs="Arial"/>
          <w:i/>
          <w:iCs/>
          <w:color w:val="000000" w:themeColor="text1"/>
          <w:shd w:val="clear" w:color="auto" w:fill="FFFFFF"/>
        </w:rPr>
        <w:t>Guildford Four are cleared of IRA bombings</w:t>
      </w:r>
      <w:r w:rsidRPr="0050096B">
        <w:rPr>
          <w:rFonts w:ascii="Arial" w:hAnsi="Arial" w:cs="Arial"/>
          <w:color w:val="000000" w:themeColor="text1"/>
          <w:shd w:val="clear" w:color="auto" w:fill="FFFFFF"/>
        </w:rPr>
        <w:t>. [online] Available at: &lt;https://www.history.com/this-day-in-history/guildford-four-are-cleared&gt; [Accessed 5 March 2021].</w:t>
      </w:r>
    </w:p>
    <w:p w14:paraId="5B0CFD53" w14:textId="77777777" w:rsidR="00B41AD3" w:rsidRPr="0050096B" w:rsidRDefault="00B41AD3" w:rsidP="0050096B">
      <w:pPr>
        <w:spacing w:line="360" w:lineRule="auto"/>
        <w:rPr>
          <w:rFonts w:ascii="Arial" w:hAnsi="Arial" w:cs="Arial"/>
          <w:color w:val="000000" w:themeColor="text1"/>
        </w:rPr>
      </w:pPr>
    </w:p>
    <w:p w14:paraId="2EA28FCB" w14:textId="22E9484B" w:rsidR="00030DD3" w:rsidRPr="0050096B" w:rsidRDefault="00030DD3" w:rsidP="0050096B">
      <w:pPr>
        <w:spacing w:line="360" w:lineRule="auto"/>
        <w:rPr>
          <w:rFonts w:ascii="Arial" w:hAnsi="Arial" w:cs="Arial"/>
          <w:color w:val="000000" w:themeColor="text1"/>
        </w:rPr>
      </w:pPr>
    </w:p>
    <w:p w14:paraId="49D12BA4" w14:textId="77777777" w:rsidR="00B41AD3" w:rsidRPr="0050096B" w:rsidRDefault="00B41AD3" w:rsidP="0050096B">
      <w:pPr>
        <w:spacing w:line="360" w:lineRule="auto"/>
        <w:rPr>
          <w:rFonts w:ascii="Arial" w:hAnsi="Arial" w:cs="Arial"/>
          <w:color w:val="000000" w:themeColor="text1"/>
        </w:rPr>
      </w:pPr>
      <w:proofErr w:type="spellStart"/>
      <w:r w:rsidRPr="0050096B">
        <w:rPr>
          <w:rFonts w:ascii="Arial" w:hAnsi="Arial" w:cs="Arial"/>
          <w:color w:val="000000" w:themeColor="text1"/>
        </w:rPr>
        <w:t>Humberstone</w:t>
      </w:r>
      <w:proofErr w:type="spellEnd"/>
      <w:r w:rsidRPr="0050096B">
        <w:rPr>
          <w:rFonts w:ascii="Arial" w:hAnsi="Arial" w:cs="Arial"/>
          <w:color w:val="000000" w:themeColor="text1"/>
        </w:rPr>
        <w:t>, L (1993) “</w:t>
      </w:r>
      <w:proofErr w:type="spellStart"/>
      <w:r w:rsidRPr="0050096B">
        <w:rPr>
          <w:rFonts w:ascii="Arial" w:hAnsi="Arial" w:cs="Arial"/>
          <w:color w:val="000000" w:themeColor="text1"/>
        </w:rPr>
        <w:t>Keither</w:t>
      </w:r>
      <w:proofErr w:type="spellEnd"/>
      <w:r w:rsidRPr="0050096B">
        <w:rPr>
          <w:rFonts w:ascii="Arial" w:hAnsi="Arial" w:cs="Arial"/>
          <w:color w:val="000000" w:themeColor="text1"/>
        </w:rPr>
        <w:t xml:space="preserve"> Devlin. Logic and information. Cambridge University Press, Cambridge etc. 1991, xxi 308pp., “Journal of symbolic logic, Cambridge university press, 58 (3), pp. 11082-1084</w:t>
      </w:r>
    </w:p>
    <w:p w14:paraId="0A7BC8C0" w14:textId="77777777" w:rsidR="00B41AD3" w:rsidRPr="0050096B" w:rsidRDefault="00B41AD3" w:rsidP="0050096B">
      <w:pPr>
        <w:spacing w:line="360" w:lineRule="auto"/>
        <w:rPr>
          <w:rFonts w:ascii="Arial" w:hAnsi="Arial" w:cs="Arial"/>
          <w:color w:val="000000" w:themeColor="text1"/>
        </w:rPr>
      </w:pPr>
    </w:p>
    <w:p w14:paraId="5329A668" w14:textId="77777777" w:rsidR="00030DD3" w:rsidRPr="0050096B" w:rsidRDefault="00030DD3" w:rsidP="0050096B">
      <w:pPr>
        <w:spacing w:line="360" w:lineRule="auto"/>
        <w:rPr>
          <w:rFonts w:ascii="Arial" w:hAnsi="Arial" w:cs="Arial"/>
          <w:color w:val="000000" w:themeColor="text1"/>
        </w:rPr>
      </w:pPr>
      <w:r w:rsidRPr="0050096B">
        <w:rPr>
          <w:rFonts w:ascii="Arial" w:hAnsi="Arial" w:cs="Arial"/>
          <w:color w:val="000000" w:themeColor="text1"/>
          <w:shd w:val="clear" w:color="auto" w:fill="FFFFFF"/>
        </w:rPr>
        <w:t>Jukes, K., 2019. </w:t>
      </w:r>
      <w:r w:rsidRPr="0050096B">
        <w:rPr>
          <w:rFonts w:ascii="Arial" w:hAnsi="Arial" w:cs="Arial"/>
          <w:i/>
          <w:iCs/>
          <w:color w:val="000000" w:themeColor="text1"/>
          <w:shd w:val="clear" w:color="auto" w:fill="FFFFFF"/>
        </w:rPr>
        <w:t xml:space="preserve">What Are Miscarriages Of Justice? And How Do Human Rights Prevent And Remedy Them? - </w:t>
      </w:r>
      <w:proofErr w:type="spellStart"/>
      <w:r w:rsidRPr="0050096B">
        <w:rPr>
          <w:rFonts w:ascii="Arial" w:hAnsi="Arial" w:cs="Arial"/>
          <w:i/>
          <w:iCs/>
          <w:color w:val="000000" w:themeColor="text1"/>
          <w:shd w:val="clear" w:color="auto" w:fill="FFFFFF"/>
        </w:rPr>
        <w:t>EachOther</w:t>
      </w:r>
      <w:proofErr w:type="spellEnd"/>
      <w:r w:rsidRPr="0050096B">
        <w:rPr>
          <w:rFonts w:ascii="Arial" w:hAnsi="Arial" w:cs="Arial"/>
          <w:color w:val="000000" w:themeColor="text1"/>
          <w:shd w:val="clear" w:color="auto" w:fill="FFFFFF"/>
        </w:rPr>
        <w:t xml:space="preserve">. [online] </w:t>
      </w:r>
      <w:proofErr w:type="spellStart"/>
      <w:r w:rsidRPr="0050096B">
        <w:rPr>
          <w:rFonts w:ascii="Arial" w:hAnsi="Arial" w:cs="Arial"/>
          <w:color w:val="000000" w:themeColor="text1"/>
          <w:shd w:val="clear" w:color="auto" w:fill="FFFFFF"/>
        </w:rPr>
        <w:t>EachOther</w:t>
      </w:r>
      <w:proofErr w:type="spellEnd"/>
      <w:r w:rsidRPr="0050096B">
        <w:rPr>
          <w:rFonts w:ascii="Arial" w:hAnsi="Arial" w:cs="Arial"/>
          <w:color w:val="000000" w:themeColor="text1"/>
          <w:shd w:val="clear" w:color="auto" w:fill="FFFFFF"/>
        </w:rPr>
        <w:t>. Available at: &lt;https://eachother.org.uk/5-shocking-miscarriages-justice-prisoners-need-human-rights/&gt; [Accessed 5 March 2021].</w:t>
      </w:r>
    </w:p>
    <w:p w14:paraId="391ABAFC" w14:textId="77777777" w:rsidR="00030DD3" w:rsidRPr="0050096B" w:rsidRDefault="00030DD3" w:rsidP="0050096B">
      <w:pPr>
        <w:spacing w:line="360" w:lineRule="auto"/>
        <w:rPr>
          <w:rFonts w:ascii="Arial" w:hAnsi="Arial" w:cs="Arial"/>
          <w:color w:val="000000" w:themeColor="text1"/>
        </w:rPr>
      </w:pPr>
    </w:p>
    <w:p w14:paraId="4521BA2E" w14:textId="27F14942" w:rsidR="000E3FFF" w:rsidRPr="0050096B" w:rsidRDefault="000E3FFF" w:rsidP="0050096B">
      <w:pPr>
        <w:spacing w:line="360" w:lineRule="auto"/>
        <w:rPr>
          <w:rFonts w:ascii="Arial" w:hAnsi="Arial" w:cs="Arial"/>
          <w:color w:val="000000" w:themeColor="text1"/>
        </w:rPr>
      </w:pPr>
    </w:p>
    <w:p w14:paraId="5C913373" w14:textId="77777777" w:rsidR="00FA6B8A" w:rsidRPr="0050096B" w:rsidRDefault="00FA6B8A" w:rsidP="0050096B">
      <w:pPr>
        <w:spacing w:line="360" w:lineRule="auto"/>
        <w:rPr>
          <w:rFonts w:ascii="Arial" w:hAnsi="Arial" w:cs="Arial"/>
          <w:color w:val="000000" w:themeColor="text1"/>
        </w:rPr>
      </w:pPr>
      <w:r w:rsidRPr="0050096B">
        <w:rPr>
          <w:rFonts w:ascii="Arial" w:hAnsi="Arial" w:cs="Arial"/>
          <w:color w:val="000000" w:themeColor="text1"/>
          <w:shd w:val="clear" w:color="auto" w:fill="FFFFFF"/>
        </w:rPr>
        <w:t>Legislation.gov.uk. 2015. </w:t>
      </w:r>
      <w:r w:rsidRPr="0050096B">
        <w:rPr>
          <w:rFonts w:ascii="Arial" w:hAnsi="Arial" w:cs="Arial"/>
          <w:i/>
          <w:iCs/>
          <w:color w:val="000000" w:themeColor="text1"/>
          <w:shd w:val="clear" w:color="auto" w:fill="FFFFFF"/>
        </w:rPr>
        <w:t>Police and Criminal Evidence Act 1984</w:t>
      </w:r>
      <w:r w:rsidRPr="0050096B">
        <w:rPr>
          <w:rFonts w:ascii="Arial" w:hAnsi="Arial" w:cs="Arial"/>
          <w:color w:val="000000" w:themeColor="text1"/>
          <w:shd w:val="clear" w:color="auto" w:fill="FFFFFF"/>
        </w:rPr>
        <w:t>. [online] Available at: &lt;http://www.legislation.gov.uk/ukpga/1984/60/part/I&gt; [Accessed 5 May 2015].</w:t>
      </w:r>
    </w:p>
    <w:p w14:paraId="4B1CD201" w14:textId="42A40349" w:rsidR="00FA6B8A" w:rsidRPr="0050096B" w:rsidRDefault="00FA6B8A" w:rsidP="0050096B">
      <w:pPr>
        <w:spacing w:line="360" w:lineRule="auto"/>
        <w:rPr>
          <w:rFonts w:ascii="Arial" w:hAnsi="Arial" w:cs="Arial"/>
          <w:color w:val="000000" w:themeColor="text1"/>
        </w:rPr>
      </w:pPr>
    </w:p>
    <w:p w14:paraId="291EDCCA" w14:textId="2008FFFC" w:rsidR="00FA6B8A" w:rsidRPr="0050096B" w:rsidRDefault="00FA6B8A" w:rsidP="0050096B">
      <w:pPr>
        <w:spacing w:line="360" w:lineRule="auto"/>
        <w:rPr>
          <w:rFonts w:ascii="Arial" w:hAnsi="Arial" w:cs="Arial"/>
          <w:color w:val="000000" w:themeColor="text1"/>
        </w:rPr>
      </w:pPr>
    </w:p>
    <w:p w14:paraId="4925E5B3" w14:textId="77777777" w:rsidR="001B442C" w:rsidRPr="0050096B" w:rsidRDefault="001B442C" w:rsidP="0050096B">
      <w:pPr>
        <w:spacing w:line="360" w:lineRule="auto"/>
        <w:rPr>
          <w:rFonts w:ascii="Arial" w:hAnsi="Arial" w:cs="Arial"/>
          <w:color w:val="000000" w:themeColor="text1"/>
          <w:shd w:val="clear" w:color="auto" w:fill="FFFFFF"/>
        </w:rPr>
      </w:pPr>
    </w:p>
    <w:p w14:paraId="1DB5590F" w14:textId="77777777" w:rsidR="001B442C" w:rsidRPr="0050096B" w:rsidRDefault="001B442C" w:rsidP="0050096B">
      <w:pPr>
        <w:spacing w:line="360" w:lineRule="auto"/>
        <w:rPr>
          <w:rFonts w:ascii="Arial" w:hAnsi="Arial" w:cs="Arial"/>
          <w:color w:val="000000" w:themeColor="text1"/>
          <w:shd w:val="clear" w:color="auto" w:fill="FFFFFF"/>
        </w:rPr>
      </w:pPr>
    </w:p>
    <w:p w14:paraId="5872679A" w14:textId="37FD5184" w:rsidR="0050096B" w:rsidRPr="0050096B" w:rsidRDefault="00FA6B8A"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 xml:space="preserve">Meunier, M.J., Brant, J.M., </w:t>
      </w:r>
      <w:proofErr w:type="spellStart"/>
      <w:r w:rsidRPr="0050096B">
        <w:rPr>
          <w:rFonts w:ascii="Arial" w:hAnsi="Arial" w:cs="Arial"/>
          <w:color w:val="000000" w:themeColor="text1"/>
          <w:shd w:val="clear" w:color="auto" w:fill="FFFFFF"/>
        </w:rPr>
        <w:t>Audet</w:t>
      </w:r>
      <w:proofErr w:type="spellEnd"/>
      <w:r w:rsidRPr="0050096B">
        <w:rPr>
          <w:rFonts w:ascii="Arial" w:hAnsi="Arial" w:cs="Arial"/>
          <w:color w:val="000000" w:themeColor="text1"/>
          <w:shd w:val="clear" w:color="auto" w:fill="FFFFFF"/>
        </w:rPr>
        <w:t xml:space="preserve">, S., Dickerson, D., </w:t>
      </w:r>
      <w:proofErr w:type="spellStart"/>
      <w:r w:rsidRPr="0050096B">
        <w:rPr>
          <w:rFonts w:ascii="Arial" w:hAnsi="Arial" w:cs="Arial"/>
          <w:color w:val="000000" w:themeColor="text1"/>
          <w:shd w:val="clear" w:color="auto" w:fill="FFFFFF"/>
        </w:rPr>
        <w:t>Gransbery</w:t>
      </w:r>
      <w:proofErr w:type="spellEnd"/>
      <w:r w:rsidRPr="0050096B">
        <w:rPr>
          <w:rFonts w:ascii="Arial" w:hAnsi="Arial" w:cs="Arial"/>
          <w:color w:val="000000" w:themeColor="text1"/>
          <w:shd w:val="clear" w:color="auto" w:fill="FFFFFF"/>
        </w:rPr>
        <w:t xml:space="preserve">, K., </w:t>
      </w:r>
      <w:proofErr w:type="spellStart"/>
      <w:r w:rsidRPr="0050096B">
        <w:rPr>
          <w:rFonts w:ascii="Arial" w:hAnsi="Arial" w:cs="Arial"/>
          <w:color w:val="000000" w:themeColor="text1"/>
          <w:shd w:val="clear" w:color="auto" w:fill="FFFFFF"/>
        </w:rPr>
        <w:t>Ciemins</w:t>
      </w:r>
      <w:proofErr w:type="spellEnd"/>
      <w:r w:rsidRPr="0050096B">
        <w:rPr>
          <w:rFonts w:ascii="Arial" w:hAnsi="Arial" w:cs="Arial"/>
          <w:color w:val="000000" w:themeColor="text1"/>
          <w:shd w:val="clear" w:color="auto" w:fill="FFFFFF"/>
        </w:rPr>
        <w:t>, E.L. (2016). </w:t>
      </w:r>
      <w:hyperlink r:id="rId6" w:tgtFrame="_blank" w:history="1">
        <w:r w:rsidRPr="0050096B">
          <w:rPr>
            <w:rStyle w:val="Hyperlink"/>
            <w:rFonts w:ascii="Arial" w:hAnsi="Arial" w:cs="Arial"/>
            <w:color w:val="000000" w:themeColor="text1"/>
            <w:u w:val="none"/>
            <w:bdr w:val="none" w:sz="0" w:space="0" w:color="auto" w:frame="1"/>
            <w:shd w:val="clear" w:color="auto" w:fill="FFFFFF"/>
          </w:rPr>
          <w:t xml:space="preserve">Life after PACE (Program of All-Inclusive Care for the Elderly): A </w:t>
        </w:r>
        <w:r w:rsidRPr="0050096B">
          <w:rPr>
            <w:rStyle w:val="Hyperlink"/>
            <w:rFonts w:ascii="Arial" w:hAnsi="Arial" w:cs="Arial"/>
            <w:color w:val="000000" w:themeColor="text1"/>
            <w:u w:val="none"/>
            <w:bdr w:val="none" w:sz="0" w:space="0" w:color="auto" w:frame="1"/>
            <w:shd w:val="clear" w:color="auto" w:fill="FFFFFF"/>
          </w:rPr>
          <w:lastRenderedPageBreak/>
          <w:t>r</w:t>
        </w:r>
        <w:r w:rsidRPr="0050096B">
          <w:rPr>
            <w:rStyle w:val="Hyperlink"/>
            <w:rFonts w:ascii="Arial" w:hAnsi="Arial" w:cs="Arial"/>
            <w:color w:val="000000" w:themeColor="text1"/>
            <w:u w:val="none"/>
            <w:bdr w:val="none" w:sz="0" w:space="0" w:color="auto" w:frame="1"/>
            <w:shd w:val="clear" w:color="auto" w:fill="FFFFFF"/>
          </w:rPr>
          <w:t xml:space="preserve">etrospective/prospective, qualitative analysis of the impact of closing a nurse practitioner </w:t>
        </w:r>
        <w:proofErr w:type="spellStart"/>
        <w:r w:rsidRPr="0050096B">
          <w:rPr>
            <w:rStyle w:val="Hyperlink"/>
            <w:rFonts w:ascii="Arial" w:hAnsi="Arial" w:cs="Arial"/>
            <w:color w:val="000000" w:themeColor="text1"/>
            <w:u w:val="none"/>
            <w:bdr w:val="none" w:sz="0" w:space="0" w:color="auto" w:frame="1"/>
            <w:shd w:val="clear" w:color="auto" w:fill="FFFFFF"/>
          </w:rPr>
          <w:t>centered</w:t>
        </w:r>
        <w:proofErr w:type="spellEnd"/>
        <w:r w:rsidRPr="0050096B">
          <w:rPr>
            <w:rStyle w:val="Hyperlink"/>
            <w:rFonts w:ascii="Arial" w:hAnsi="Arial" w:cs="Arial"/>
            <w:color w:val="000000" w:themeColor="text1"/>
            <w:u w:val="none"/>
            <w:bdr w:val="none" w:sz="0" w:space="0" w:color="auto" w:frame="1"/>
            <w:shd w:val="clear" w:color="auto" w:fill="FFFFFF"/>
          </w:rPr>
          <w:t xml:space="preserve"> PACE site. </w:t>
        </w:r>
      </w:hyperlink>
      <w:r w:rsidRPr="0050096B">
        <w:rPr>
          <w:rStyle w:val="Emphasis"/>
          <w:rFonts w:ascii="Arial" w:hAnsi="Arial" w:cs="Arial"/>
          <w:color w:val="000000" w:themeColor="text1"/>
          <w:bdr w:val="none" w:sz="0" w:space="0" w:color="auto" w:frame="1"/>
          <w:shd w:val="clear" w:color="auto" w:fill="FFFFFF"/>
        </w:rPr>
        <w:t>Journal of the American Association of Nurse Practitioners</w:t>
      </w:r>
      <w:r w:rsidRPr="0050096B">
        <w:rPr>
          <w:rFonts w:ascii="Arial" w:hAnsi="Arial" w:cs="Arial"/>
          <w:color w:val="000000" w:themeColor="text1"/>
          <w:shd w:val="clear" w:color="auto" w:fill="FFFFFF"/>
        </w:rPr>
        <w:t xml:space="preserve">, May 27. </w:t>
      </w:r>
      <w:proofErr w:type="spellStart"/>
      <w:r w:rsidRPr="0050096B">
        <w:rPr>
          <w:rFonts w:ascii="Arial" w:hAnsi="Arial" w:cs="Arial"/>
          <w:color w:val="000000" w:themeColor="text1"/>
          <w:shd w:val="clear" w:color="auto" w:fill="FFFFFF"/>
        </w:rPr>
        <w:t>doi</w:t>
      </w:r>
      <w:proofErr w:type="spellEnd"/>
      <w:r w:rsidRPr="0050096B">
        <w:rPr>
          <w:rFonts w:ascii="Arial" w:hAnsi="Arial" w:cs="Arial"/>
          <w:color w:val="000000" w:themeColor="text1"/>
          <w:shd w:val="clear" w:color="auto" w:fill="FFFFFF"/>
        </w:rPr>
        <w:t>: 10.1002/2327-6924.12379</w:t>
      </w:r>
    </w:p>
    <w:p w14:paraId="46BBA896" w14:textId="283F5883" w:rsidR="001B442C" w:rsidRPr="0050096B" w:rsidRDefault="001B442C" w:rsidP="0050096B">
      <w:pPr>
        <w:spacing w:line="360" w:lineRule="auto"/>
        <w:rPr>
          <w:rFonts w:ascii="Arial" w:hAnsi="Arial" w:cs="Arial"/>
          <w:color w:val="000000" w:themeColor="text1"/>
          <w:shd w:val="clear" w:color="auto" w:fill="FFFFFF"/>
        </w:rPr>
      </w:pPr>
    </w:p>
    <w:p w14:paraId="4B22B430" w14:textId="5549FB46" w:rsidR="001B442C" w:rsidRPr="0050096B" w:rsidRDefault="001B442C" w:rsidP="0050096B">
      <w:pPr>
        <w:spacing w:line="360" w:lineRule="auto"/>
        <w:rPr>
          <w:rFonts w:ascii="Arial" w:hAnsi="Arial" w:cs="Arial"/>
          <w:color w:val="000000" w:themeColor="text1"/>
        </w:rPr>
      </w:pPr>
      <w:proofErr w:type="spellStart"/>
      <w:r w:rsidRPr="0050096B">
        <w:rPr>
          <w:rFonts w:ascii="Arial" w:hAnsi="Arial" w:cs="Arial"/>
          <w:color w:val="000000" w:themeColor="text1"/>
        </w:rPr>
        <w:t>Muncle</w:t>
      </w:r>
      <w:proofErr w:type="spellEnd"/>
      <w:r w:rsidRPr="0050096B">
        <w:rPr>
          <w:rFonts w:ascii="Arial" w:hAnsi="Arial" w:cs="Arial"/>
          <w:color w:val="000000" w:themeColor="text1"/>
        </w:rPr>
        <w:t xml:space="preserve">, J, (2015), </w:t>
      </w:r>
      <w:r w:rsidRPr="0050096B">
        <w:rPr>
          <w:rFonts w:ascii="Arial" w:hAnsi="Arial" w:cs="Arial"/>
          <w:i/>
          <w:iCs/>
          <w:color w:val="000000" w:themeColor="text1"/>
        </w:rPr>
        <w:t>Youth and Crime</w:t>
      </w:r>
      <w:r w:rsidRPr="0050096B">
        <w:rPr>
          <w:rFonts w:ascii="Arial" w:hAnsi="Arial" w:cs="Arial"/>
          <w:color w:val="000000" w:themeColor="text1"/>
        </w:rPr>
        <w:t>, 4</w:t>
      </w:r>
      <w:r w:rsidRPr="0050096B">
        <w:rPr>
          <w:rFonts w:ascii="Arial" w:hAnsi="Arial" w:cs="Arial"/>
          <w:color w:val="000000" w:themeColor="text1"/>
          <w:vertAlign w:val="superscript"/>
        </w:rPr>
        <w:t>th</w:t>
      </w:r>
      <w:r w:rsidRPr="0050096B">
        <w:rPr>
          <w:rFonts w:ascii="Arial" w:hAnsi="Arial" w:cs="Arial"/>
          <w:color w:val="000000" w:themeColor="text1"/>
        </w:rPr>
        <w:t xml:space="preserve"> edition, SAGE, London. </w:t>
      </w:r>
    </w:p>
    <w:p w14:paraId="12398778" w14:textId="440ED4AB" w:rsidR="001B442C" w:rsidRPr="0050096B" w:rsidRDefault="001B442C" w:rsidP="0050096B">
      <w:pPr>
        <w:spacing w:line="360" w:lineRule="auto"/>
        <w:rPr>
          <w:rFonts w:ascii="Arial" w:hAnsi="Arial" w:cs="Arial"/>
          <w:color w:val="000000" w:themeColor="text1"/>
        </w:rPr>
      </w:pPr>
    </w:p>
    <w:p w14:paraId="3DD6C631" w14:textId="0C2D153D" w:rsidR="001B442C" w:rsidRPr="0050096B" w:rsidRDefault="001B442C" w:rsidP="0050096B">
      <w:pPr>
        <w:spacing w:line="360" w:lineRule="auto"/>
        <w:rPr>
          <w:rFonts w:ascii="Arial" w:hAnsi="Arial" w:cs="Arial"/>
          <w:color w:val="000000" w:themeColor="text1"/>
        </w:rPr>
      </w:pPr>
      <w:r w:rsidRPr="0050096B">
        <w:rPr>
          <w:rFonts w:ascii="Arial" w:hAnsi="Arial" w:cs="Arial"/>
          <w:color w:val="000000" w:themeColor="text1"/>
        </w:rPr>
        <w:t xml:space="preserve">Naughton, M (2013), </w:t>
      </w:r>
      <w:r w:rsidRPr="0050096B">
        <w:rPr>
          <w:rFonts w:ascii="Arial" w:hAnsi="Arial" w:cs="Arial"/>
          <w:i/>
          <w:iCs/>
          <w:color w:val="000000" w:themeColor="text1"/>
        </w:rPr>
        <w:t xml:space="preserve">The Innocent and the Criminal Justice System: A Sociological Analysis of Miscarriages of Justice, </w:t>
      </w:r>
      <w:r w:rsidRPr="0050096B">
        <w:rPr>
          <w:rFonts w:ascii="Arial" w:hAnsi="Arial" w:cs="Arial"/>
          <w:color w:val="000000" w:themeColor="text1"/>
        </w:rPr>
        <w:t xml:space="preserve">PALGRAVE MACMILLAN, England. </w:t>
      </w:r>
    </w:p>
    <w:p w14:paraId="3894884C" w14:textId="353D9BDC" w:rsidR="0050096B" w:rsidRPr="0050096B" w:rsidRDefault="0050096B" w:rsidP="0050096B">
      <w:pPr>
        <w:spacing w:line="360" w:lineRule="auto"/>
        <w:rPr>
          <w:rFonts w:ascii="Arial" w:hAnsi="Arial" w:cs="Arial"/>
          <w:color w:val="000000" w:themeColor="text1"/>
        </w:rPr>
      </w:pPr>
    </w:p>
    <w:p w14:paraId="17910F01" w14:textId="2FD98546" w:rsidR="0050096B" w:rsidRPr="0050096B" w:rsidRDefault="0050096B" w:rsidP="0050096B">
      <w:pPr>
        <w:spacing w:line="360" w:lineRule="auto"/>
        <w:rPr>
          <w:rFonts w:ascii="Arial" w:hAnsi="Arial" w:cs="Arial"/>
          <w:color w:val="000000" w:themeColor="text1"/>
        </w:rPr>
      </w:pPr>
      <w:r w:rsidRPr="0050096B">
        <w:rPr>
          <w:rFonts w:ascii="Arial" w:hAnsi="Arial" w:cs="Arial"/>
          <w:color w:val="000000" w:themeColor="text1"/>
        </w:rPr>
        <w:t xml:space="preserve">Rowe, M (2014), </w:t>
      </w:r>
      <w:r w:rsidRPr="0050096B">
        <w:rPr>
          <w:rFonts w:ascii="Arial" w:hAnsi="Arial" w:cs="Arial"/>
          <w:i/>
          <w:iCs/>
          <w:color w:val="000000" w:themeColor="text1"/>
        </w:rPr>
        <w:t>Introduction to policing</w:t>
      </w:r>
      <w:r w:rsidRPr="0050096B">
        <w:rPr>
          <w:rFonts w:ascii="Arial" w:hAnsi="Arial" w:cs="Arial"/>
          <w:color w:val="000000" w:themeColor="text1"/>
        </w:rPr>
        <w:t>, 2</w:t>
      </w:r>
      <w:r w:rsidRPr="0050096B">
        <w:rPr>
          <w:rFonts w:ascii="Arial" w:hAnsi="Arial" w:cs="Arial"/>
          <w:color w:val="000000" w:themeColor="text1"/>
          <w:vertAlign w:val="superscript"/>
        </w:rPr>
        <w:t>nd</w:t>
      </w:r>
      <w:r w:rsidRPr="0050096B">
        <w:rPr>
          <w:rFonts w:ascii="Arial" w:hAnsi="Arial" w:cs="Arial"/>
          <w:color w:val="000000" w:themeColor="text1"/>
        </w:rPr>
        <w:t xml:space="preserve"> edition, SAGE, London</w:t>
      </w:r>
    </w:p>
    <w:p w14:paraId="0801884E" w14:textId="77777777" w:rsidR="001B442C" w:rsidRPr="0050096B" w:rsidRDefault="001B442C" w:rsidP="0050096B">
      <w:pPr>
        <w:spacing w:line="360" w:lineRule="auto"/>
        <w:rPr>
          <w:rFonts w:ascii="Arial" w:hAnsi="Arial" w:cs="Arial"/>
          <w:color w:val="000000" w:themeColor="text1"/>
        </w:rPr>
      </w:pPr>
    </w:p>
    <w:p w14:paraId="3678F04B" w14:textId="77777777" w:rsidR="001B442C" w:rsidRPr="0050096B" w:rsidRDefault="001B442C" w:rsidP="0050096B">
      <w:pPr>
        <w:spacing w:line="360" w:lineRule="auto"/>
        <w:rPr>
          <w:rFonts w:ascii="Arial" w:hAnsi="Arial" w:cs="Arial"/>
          <w:color w:val="000000" w:themeColor="text1"/>
        </w:rPr>
      </w:pPr>
      <w:r w:rsidRPr="0050096B">
        <w:rPr>
          <w:rFonts w:ascii="Arial" w:hAnsi="Arial" w:cs="Arial"/>
          <w:color w:val="000000" w:themeColor="text1"/>
        </w:rPr>
        <w:t>Savage, S. and Milne, R. (2007), ‘‘Miscarriages of justice – the role of the investigative process’’, in Newburn, T., Williamson, T. and Wright, A. (Eds), Handbook of Criminal Investigation, Willan, Cullompton, pp. 610-27.</w:t>
      </w:r>
    </w:p>
    <w:p w14:paraId="76E9AFDE" w14:textId="77777777" w:rsidR="001B442C" w:rsidRPr="0050096B" w:rsidRDefault="001B442C" w:rsidP="0050096B">
      <w:pPr>
        <w:spacing w:line="360" w:lineRule="auto"/>
        <w:rPr>
          <w:rFonts w:ascii="Arial" w:hAnsi="Arial" w:cs="Arial"/>
          <w:color w:val="000000" w:themeColor="text1"/>
        </w:rPr>
      </w:pPr>
    </w:p>
    <w:p w14:paraId="2070AFB0" w14:textId="1E10C549" w:rsidR="00FA6B8A" w:rsidRPr="0050096B" w:rsidRDefault="00FA6B8A" w:rsidP="0050096B">
      <w:pPr>
        <w:spacing w:line="360" w:lineRule="auto"/>
        <w:rPr>
          <w:rFonts w:ascii="Arial" w:hAnsi="Arial" w:cs="Arial"/>
          <w:color w:val="000000" w:themeColor="text1"/>
        </w:rPr>
      </w:pPr>
    </w:p>
    <w:p w14:paraId="078D90F6" w14:textId="77777777" w:rsidR="00B41AD3" w:rsidRPr="0050096B" w:rsidRDefault="00B41AD3" w:rsidP="0050096B">
      <w:pPr>
        <w:spacing w:line="360" w:lineRule="auto"/>
        <w:rPr>
          <w:rFonts w:ascii="Arial" w:hAnsi="Arial" w:cs="Arial"/>
          <w:color w:val="000000" w:themeColor="text1"/>
        </w:rPr>
      </w:pPr>
      <w:r w:rsidRPr="0050096B">
        <w:rPr>
          <w:rFonts w:ascii="Arial" w:hAnsi="Arial" w:cs="Arial"/>
          <w:color w:val="000000" w:themeColor="text1"/>
          <w:shd w:val="clear" w:color="auto" w:fill="FFFFFF"/>
        </w:rPr>
        <w:t>Ward, R., Akhtar, A., </w:t>
      </w:r>
      <w:r w:rsidRPr="0050096B">
        <w:rPr>
          <w:rStyle w:val="Emphasis"/>
          <w:rFonts w:ascii="Arial" w:hAnsi="Arial" w:cs="Arial"/>
          <w:color w:val="000000" w:themeColor="text1"/>
          <w:shd w:val="clear" w:color="auto" w:fill="FFFFFF"/>
        </w:rPr>
        <w:t>Walker &amp; Walker’s English Legal System</w:t>
      </w:r>
      <w:r w:rsidRPr="0050096B">
        <w:rPr>
          <w:rFonts w:ascii="Arial" w:hAnsi="Arial" w:cs="Arial"/>
          <w:color w:val="000000" w:themeColor="text1"/>
          <w:shd w:val="clear" w:color="auto" w:fill="FFFFFF"/>
        </w:rPr>
        <w:t>, (11</w:t>
      </w:r>
      <w:r w:rsidRPr="0050096B">
        <w:rPr>
          <w:rFonts w:ascii="Arial" w:hAnsi="Arial" w:cs="Arial"/>
          <w:color w:val="000000" w:themeColor="text1"/>
          <w:shd w:val="clear" w:color="auto" w:fill="FFFFFF"/>
          <w:vertAlign w:val="superscript"/>
        </w:rPr>
        <w:t>th</w:t>
      </w:r>
      <w:r w:rsidRPr="0050096B">
        <w:rPr>
          <w:rFonts w:ascii="Arial" w:hAnsi="Arial" w:cs="Arial"/>
          <w:color w:val="000000" w:themeColor="text1"/>
          <w:shd w:val="clear" w:color="auto" w:fill="FFFFFF"/>
        </w:rPr>
        <w:t> Edition, Oxford University Press, 2011) at p.438</w:t>
      </w:r>
    </w:p>
    <w:p w14:paraId="680AF608" w14:textId="77777777" w:rsidR="00B41AD3" w:rsidRPr="0050096B" w:rsidRDefault="00B41AD3" w:rsidP="0050096B">
      <w:pPr>
        <w:spacing w:line="360" w:lineRule="auto"/>
        <w:rPr>
          <w:rFonts w:ascii="Arial" w:hAnsi="Arial" w:cs="Arial"/>
          <w:color w:val="000000" w:themeColor="text1"/>
        </w:rPr>
      </w:pPr>
    </w:p>
    <w:p w14:paraId="16D3ED42" w14:textId="77777777" w:rsidR="00A4765E" w:rsidRPr="0050096B" w:rsidRDefault="00A4765E" w:rsidP="0050096B">
      <w:pPr>
        <w:spacing w:line="360" w:lineRule="auto"/>
        <w:rPr>
          <w:rFonts w:ascii="Arial" w:hAnsi="Arial" w:cs="Arial"/>
          <w:color w:val="000000" w:themeColor="text1"/>
        </w:rPr>
      </w:pPr>
    </w:p>
    <w:p w14:paraId="389A67C6" w14:textId="13DAF1F5" w:rsidR="00A4765E" w:rsidRPr="0050096B" w:rsidRDefault="00A4765E" w:rsidP="0050096B">
      <w:pPr>
        <w:spacing w:line="360" w:lineRule="auto"/>
        <w:rPr>
          <w:rFonts w:ascii="Arial" w:hAnsi="Arial" w:cs="Arial"/>
          <w:color w:val="000000" w:themeColor="text1"/>
        </w:rPr>
      </w:pPr>
      <w:r w:rsidRPr="0050096B">
        <w:rPr>
          <w:rFonts w:ascii="Arial" w:hAnsi="Arial" w:cs="Arial"/>
          <w:color w:val="000000" w:themeColor="text1"/>
        </w:rPr>
        <w:t xml:space="preserve">  Zander, M. (1995). The Police and Criminal Evidence Act 1984 (3rded. ed.). Sweet &amp; Maxwell.</w:t>
      </w:r>
    </w:p>
    <w:p w14:paraId="518104BE" w14:textId="77777777" w:rsidR="000D4740" w:rsidRPr="0050096B" w:rsidRDefault="000D4740" w:rsidP="0050096B">
      <w:pPr>
        <w:spacing w:line="360" w:lineRule="auto"/>
        <w:rPr>
          <w:rFonts w:ascii="Arial" w:hAnsi="Arial" w:cs="Arial"/>
          <w:color w:val="000000" w:themeColor="text1"/>
        </w:rPr>
      </w:pPr>
    </w:p>
    <w:p w14:paraId="07C7CD36" w14:textId="5956C00B" w:rsidR="00BD788E" w:rsidRPr="0050096B" w:rsidRDefault="00BD788E" w:rsidP="0050096B">
      <w:pPr>
        <w:spacing w:line="360" w:lineRule="auto"/>
        <w:rPr>
          <w:rFonts w:ascii="Arial" w:hAnsi="Arial" w:cs="Arial"/>
          <w:color w:val="000000" w:themeColor="text1"/>
          <w:shd w:val="clear" w:color="auto" w:fill="FFFFFF"/>
        </w:rPr>
      </w:pPr>
      <w:r w:rsidRPr="0050096B">
        <w:rPr>
          <w:rFonts w:ascii="Arial" w:hAnsi="Arial" w:cs="Arial"/>
          <w:color w:val="000000" w:themeColor="text1"/>
          <w:shd w:val="clear" w:color="auto" w:fill="FFFFFF"/>
        </w:rPr>
        <w:t>Zander, M., ‘PACE (The Police and Criminal Evidence Act 1984): Past, Present and Future’ </w:t>
      </w:r>
      <w:r w:rsidRPr="0050096B">
        <w:rPr>
          <w:rStyle w:val="Emphasis"/>
          <w:rFonts w:ascii="Arial" w:hAnsi="Arial" w:cs="Arial"/>
          <w:color w:val="000000" w:themeColor="text1"/>
          <w:shd w:val="clear" w:color="auto" w:fill="FFFFFF"/>
        </w:rPr>
        <w:t>[2011] 23 NLSI Rev 1</w:t>
      </w:r>
      <w:r w:rsidRPr="0050096B">
        <w:rPr>
          <w:rFonts w:ascii="Arial" w:hAnsi="Arial" w:cs="Arial"/>
          <w:color w:val="000000" w:themeColor="text1"/>
          <w:shd w:val="clear" w:color="auto" w:fill="FFFFFF"/>
        </w:rPr>
        <w:t>at p.6</w:t>
      </w:r>
    </w:p>
    <w:p w14:paraId="70125D0E" w14:textId="0B88D3FB" w:rsidR="00BD788E" w:rsidRPr="000A076C" w:rsidRDefault="00BD788E" w:rsidP="00BD788E">
      <w:pPr>
        <w:rPr>
          <w:rFonts w:ascii="Arial" w:hAnsi="Arial" w:cs="Arial"/>
          <w:color w:val="000000" w:themeColor="text1"/>
          <w:shd w:val="clear" w:color="auto" w:fill="FFFFFF"/>
        </w:rPr>
      </w:pPr>
    </w:p>
    <w:p w14:paraId="1B38FB42" w14:textId="77777777" w:rsidR="00BD788E" w:rsidRDefault="00BD788E" w:rsidP="00BD788E"/>
    <w:p w14:paraId="21B5089A" w14:textId="1718507F" w:rsidR="0020740D" w:rsidRDefault="0020740D" w:rsidP="000D4740">
      <w:pPr>
        <w:spacing w:line="360" w:lineRule="auto"/>
        <w:rPr>
          <w:rFonts w:ascii="Arial" w:hAnsi="Arial" w:cs="Arial"/>
          <w:color w:val="000000" w:themeColor="text1"/>
        </w:rPr>
      </w:pPr>
    </w:p>
    <w:p w14:paraId="1AD4D8FD" w14:textId="7295309F" w:rsidR="00BD788E" w:rsidRDefault="00BD788E" w:rsidP="000D4740">
      <w:pPr>
        <w:spacing w:line="360" w:lineRule="auto"/>
        <w:rPr>
          <w:rFonts w:ascii="Arial" w:hAnsi="Arial" w:cs="Arial"/>
          <w:color w:val="000000" w:themeColor="text1"/>
        </w:rPr>
      </w:pPr>
    </w:p>
    <w:p w14:paraId="607729A0" w14:textId="5684C9E6" w:rsidR="00BD788E" w:rsidRDefault="00BD788E" w:rsidP="000D4740">
      <w:pPr>
        <w:spacing w:line="360" w:lineRule="auto"/>
        <w:rPr>
          <w:rFonts w:ascii="Arial" w:hAnsi="Arial" w:cs="Arial"/>
          <w:color w:val="000000" w:themeColor="text1"/>
        </w:rPr>
      </w:pPr>
    </w:p>
    <w:p w14:paraId="3F42502D" w14:textId="77777777" w:rsidR="00BD788E" w:rsidRPr="000D4740" w:rsidRDefault="00BD788E" w:rsidP="000D4740">
      <w:pPr>
        <w:spacing w:line="360" w:lineRule="auto"/>
        <w:rPr>
          <w:rFonts w:ascii="Arial" w:hAnsi="Arial" w:cs="Arial"/>
          <w:color w:val="000000" w:themeColor="text1"/>
        </w:rPr>
      </w:pPr>
    </w:p>
    <w:sectPr w:rsidR="00BD788E" w:rsidRPr="000D4740"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8DB"/>
    <w:rsid w:val="00030DD3"/>
    <w:rsid w:val="000610E0"/>
    <w:rsid w:val="000A076C"/>
    <w:rsid w:val="000B56E1"/>
    <w:rsid w:val="000D4740"/>
    <w:rsid w:val="000E3FFF"/>
    <w:rsid w:val="000E57A5"/>
    <w:rsid w:val="0010618B"/>
    <w:rsid w:val="00116360"/>
    <w:rsid w:val="0019605B"/>
    <w:rsid w:val="001B442C"/>
    <w:rsid w:val="0020740D"/>
    <w:rsid w:val="002078FF"/>
    <w:rsid w:val="00257BBA"/>
    <w:rsid w:val="00277278"/>
    <w:rsid w:val="002C4794"/>
    <w:rsid w:val="002E5845"/>
    <w:rsid w:val="002E591F"/>
    <w:rsid w:val="00306148"/>
    <w:rsid w:val="00343E72"/>
    <w:rsid w:val="00364954"/>
    <w:rsid w:val="00376AE6"/>
    <w:rsid w:val="003815CB"/>
    <w:rsid w:val="003B2868"/>
    <w:rsid w:val="003D3189"/>
    <w:rsid w:val="003F1B85"/>
    <w:rsid w:val="0045536E"/>
    <w:rsid w:val="00461D14"/>
    <w:rsid w:val="004B33FB"/>
    <w:rsid w:val="004D67E2"/>
    <w:rsid w:val="0050096B"/>
    <w:rsid w:val="005173CF"/>
    <w:rsid w:val="005337F8"/>
    <w:rsid w:val="00543EA5"/>
    <w:rsid w:val="0057423A"/>
    <w:rsid w:val="005838C3"/>
    <w:rsid w:val="005948E5"/>
    <w:rsid w:val="00600773"/>
    <w:rsid w:val="00604F59"/>
    <w:rsid w:val="00634D8B"/>
    <w:rsid w:val="00635E15"/>
    <w:rsid w:val="0063790F"/>
    <w:rsid w:val="00654FDF"/>
    <w:rsid w:val="00665D41"/>
    <w:rsid w:val="006862DC"/>
    <w:rsid w:val="006E78DA"/>
    <w:rsid w:val="006E7E32"/>
    <w:rsid w:val="00731E4D"/>
    <w:rsid w:val="007C0110"/>
    <w:rsid w:val="0081415B"/>
    <w:rsid w:val="00875212"/>
    <w:rsid w:val="00882DFA"/>
    <w:rsid w:val="008D2171"/>
    <w:rsid w:val="0093034F"/>
    <w:rsid w:val="00941553"/>
    <w:rsid w:val="00946419"/>
    <w:rsid w:val="00955D56"/>
    <w:rsid w:val="009654AD"/>
    <w:rsid w:val="00971198"/>
    <w:rsid w:val="009818DB"/>
    <w:rsid w:val="009A2105"/>
    <w:rsid w:val="009B6406"/>
    <w:rsid w:val="009D385A"/>
    <w:rsid w:val="009F23A2"/>
    <w:rsid w:val="00A07E4A"/>
    <w:rsid w:val="00A100BD"/>
    <w:rsid w:val="00A26575"/>
    <w:rsid w:val="00A46E8A"/>
    <w:rsid w:val="00A4765E"/>
    <w:rsid w:val="00A5175E"/>
    <w:rsid w:val="00A85802"/>
    <w:rsid w:val="00AD7997"/>
    <w:rsid w:val="00AF4597"/>
    <w:rsid w:val="00B41AD3"/>
    <w:rsid w:val="00BA2842"/>
    <w:rsid w:val="00BD788E"/>
    <w:rsid w:val="00C41E1E"/>
    <w:rsid w:val="00C43D91"/>
    <w:rsid w:val="00C91265"/>
    <w:rsid w:val="00C97465"/>
    <w:rsid w:val="00CB2D74"/>
    <w:rsid w:val="00CD6EB2"/>
    <w:rsid w:val="00CE2C4F"/>
    <w:rsid w:val="00D003E0"/>
    <w:rsid w:val="00D206C5"/>
    <w:rsid w:val="00D23D46"/>
    <w:rsid w:val="00DA4A78"/>
    <w:rsid w:val="00E5071C"/>
    <w:rsid w:val="00EB577F"/>
    <w:rsid w:val="00EF55CE"/>
    <w:rsid w:val="00F0637D"/>
    <w:rsid w:val="00F12650"/>
    <w:rsid w:val="00F82860"/>
    <w:rsid w:val="00FA6B8A"/>
    <w:rsid w:val="00FD1128"/>
    <w:rsid w:val="00FE4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AC32C"/>
  <w15:chartTrackingRefBased/>
  <w15:docId w15:val="{7CB55735-DDE8-B24C-959F-77183EEF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88E"/>
    <w:rPr>
      <w:rFonts w:ascii="Times New Roman" w:eastAsia="Times New Roman" w:hAnsi="Times New Roman" w:cs="Times New Roman"/>
      <w:lang w:eastAsia="en-GB"/>
    </w:rPr>
  </w:style>
  <w:style w:type="paragraph" w:styleId="Heading1">
    <w:name w:val="heading 1"/>
    <w:basedOn w:val="Normal"/>
    <w:link w:val="Heading1Char"/>
    <w:uiPriority w:val="9"/>
    <w:qFormat/>
    <w:rsid w:val="000D474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0773"/>
    <w:rPr>
      <w:color w:val="0563C1" w:themeColor="hyperlink"/>
      <w:u w:val="single"/>
    </w:rPr>
  </w:style>
  <w:style w:type="character" w:styleId="UnresolvedMention">
    <w:name w:val="Unresolved Mention"/>
    <w:basedOn w:val="DefaultParagraphFont"/>
    <w:uiPriority w:val="99"/>
    <w:semiHidden/>
    <w:unhideWhenUsed/>
    <w:rsid w:val="00600773"/>
    <w:rPr>
      <w:color w:val="605E5C"/>
      <w:shd w:val="clear" w:color="auto" w:fill="E1DFDD"/>
    </w:rPr>
  </w:style>
  <w:style w:type="character" w:styleId="Strong">
    <w:name w:val="Strong"/>
    <w:basedOn w:val="DefaultParagraphFont"/>
    <w:uiPriority w:val="22"/>
    <w:qFormat/>
    <w:rsid w:val="00F12650"/>
    <w:rPr>
      <w:b/>
      <w:bCs/>
    </w:rPr>
  </w:style>
  <w:style w:type="character" w:styleId="Emphasis">
    <w:name w:val="Emphasis"/>
    <w:basedOn w:val="DefaultParagraphFont"/>
    <w:uiPriority w:val="20"/>
    <w:qFormat/>
    <w:rsid w:val="00FA6B8A"/>
    <w:rPr>
      <w:i/>
      <w:iCs/>
    </w:rPr>
  </w:style>
  <w:style w:type="character" w:styleId="FollowedHyperlink">
    <w:name w:val="FollowedHyperlink"/>
    <w:basedOn w:val="DefaultParagraphFont"/>
    <w:uiPriority w:val="99"/>
    <w:semiHidden/>
    <w:unhideWhenUsed/>
    <w:rsid w:val="00030DD3"/>
    <w:rPr>
      <w:color w:val="954F72" w:themeColor="followedHyperlink"/>
      <w:u w:val="single"/>
    </w:rPr>
  </w:style>
  <w:style w:type="character" w:customStyle="1" w:styleId="Heading1Char">
    <w:name w:val="Heading 1 Char"/>
    <w:basedOn w:val="DefaultParagraphFont"/>
    <w:link w:val="Heading1"/>
    <w:uiPriority w:val="9"/>
    <w:rsid w:val="000D474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5639">
      <w:bodyDiv w:val="1"/>
      <w:marLeft w:val="0"/>
      <w:marRight w:val="0"/>
      <w:marTop w:val="0"/>
      <w:marBottom w:val="0"/>
      <w:divBdr>
        <w:top w:val="none" w:sz="0" w:space="0" w:color="auto"/>
        <w:left w:val="none" w:sz="0" w:space="0" w:color="auto"/>
        <w:bottom w:val="none" w:sz="0" w:space="0" w:color="auto"/>
        <w:right w:val="none" w:sz="0" w:space="0" w:color="auto"/>
      </w:divBdr>
    </w:div>
    <w:div w:id="114443801">
      <w:bodyDiv w:val="1"/>
      <w:marLeft w:val="0"/>
      <w:marRight w:val="0"/>
      <w:marTop w:val="0"/>
      <w:marBottom w:val="0"/>
      <w:divBdr>
        <w:top w:val="none" w:sz="0" w:space="0" w:color="auto"/>
        <w:left w:val="none" w:sz="0" w:space="0" w:color="auto"/>
        <w:bottom w:val="none" w:sz="0" w:space="0" w:color="auto"/>
        <w:right w:val="none" w:sz="0" w:space="0" w:color="auto"/>
      </w:divBdr>
    </w:div>
    <w:div w:id="174073159">
      <w:bodyDiv w:val="1"/>
      <w:marLeft w:val="0"/>
      <w:marRight w:val="0"/>
      <w:marTop w:val="0"/>
      <w:marBottom w:val="0"/>
      <w:divBdr>
        <w:top w:val="none" w:sz="0" w:space="0" w:color="auto"/>
        <w:left w:val="none" w:sz="0" w:space="0" w:color="auto"/>
        <w:bottom w:val="none" w:sz="0" w:space="0" w:color="auto"/>
        <w:right w:val="none" w:sz="0" w:space="0" w:color="auto"/>
      </w:divBdr>
    </w:div>
    <w:div w:id="209464735">
      <w:bodyDiv w:val="1"/>
      <w:marLeft w:val="0"/>
      <w:marRight w:val="0"/>
      <w:marTop w:val="0"/>
      <w:marBottom w:val="0"/>
      <w:divBdr>
        <w:top w:val="none" w:sz="0" w:space="0" w:color="auto"/>
        <w:left w:val="none" w:sz="0" w:space="0" w:color="auto"/>
        <w:bottom w:val="none" w:sz="0" w:space="0" w:color="auto"/>
        <w:right w:val="none" w:sz="0" w:space="0" w:color="auto"/>
      </w:divBdr>
    </w:div>
    <w:div w:id="281107702">
      <w:bodyDiv w:val="1"/>
      <w:marLeft w:val="0"/>
      <w:marRight w:val="0"/>
      <w:marTop w:val="0"/>
      <w:marBottom w:val="0"/>
      <w:divBdr>
        <w:top w:val="none" w:sz="0" w:space="0" w:color="auto"/>
        <w:left w:val="none" w:sz="0" w:space="0" w:color="auto"/>
        <w:bottom w:val="none" w:sz="0" w:space="0" w:color="auto"/>
        <w:right w:val="none" w:sz="0" w:space="0" w:color="auto"/>
      </w:divBdr>
    </w:div>
    <w:div w:id="333454499">
      <w:bodyDiv w:val="1"/>
      <w:marLeft w:val="0"/>
      <w:marRight w:val="0"/>
      <w:marTop w:val="0"/>
      <w:marBottom w:val="0"/>
      <w:divBdr>
        <w:top w:val="none" w:sz="0" w:space="0" w:color="auto"/>
        <w:left w:val="none" w:sz="0" w:space="0" w:color="auto"/>
        <w:bottom w:val="none" w:sz="0" w:space="0" w:color="auto"/>
        <w:right w:val="none" w:sz="0" w:space="0" w:color="auto"/>
      </w:divBdr>
    </w:div>
    <w:div w:id="404104899">
      <w:bodyDiv w:val="1"/>
      <w:marLeft w:val="0"/>
      <w:marRight w:val="0"/>
      <w:marTop w:val="0"/>
      <w:marBottom w:val="0"/>
      <w:divBdr>
        <w:top w:val="none" w:sz="0" w:space="0" w:color="auto"/>
        <w:left w:val="none" w:sz="0" w:space="0" w:color="auto"/>
        <w:bottom w:val="none" w:sz="0" w:space="0" w:color="auto"/>
        <w:right w:val="none" w:sz="0" w:space="0" w:color="auto"/>
      </w:divBdr>
    </w:div>
    <w:div w:id="416753820">
      <w:bodyDiv w:val="1"/>
      <w:marLeft w:val="0"/>
      <w:marRight w:val="0"/>
      <w:marTop w:val="0"/>
      <w:marBottom w:val="0"/>
      <w:divBdr>
        <w:top w:val="none" w:sz="0" w:space="0" w:color="auto"/>
        <w:left w:val="none" w:sz="0" w:space="0" w:color="auto"/>
        <w:bottom w:val="none" w:sz="0" w:space="0" w:color="auto"/>
        <w:right w:val="none" w:sz="0" w:space="0" w:color="auto"/>
      </w:divBdr>
    </w:div>
    <w:div w:id="607733513">
      <w:bodyDiv w:val="1"/>
      <w:marLeft w:val="0"/>
      <w:marRight w:val="0"/>
      <w:marTop w:val="0"/>
      <w:marBottom w:val="0"/>
      <w:divBdr>
        <w:top w:val="none" w:sz="0" w:space="0" w:color="auto"/>
        <w:left w:val="none" w:sz="0" w:space="0" w:color="auto"/>
        <w:bottom w:val="none" w:sz="0" w:space="0" w:color="auto"/>
        <w:right w:val="none" w:sz="0" w:space="0" w:color="auto"/>
      </w:divBdr>
    </w:div>
    <w:div w:id="693119168">
      <w:bodyDiv w:val="1"/>
      <w:marLeft w:val="0"/>
      <w:marRight w:val="0"/>
      <w:marTop w:val="0"/>
      <w:marBottom w:val="0"/>
      <w:divBdr>
        <w:top w:val="none" w:sz="0" w:space="0" w:color="auto"/>
        <w:left w:val="none" w:sz="0" w:space="0" w:color="auto"/>
        <w:bottom w:val="none" w:sz="0" w:space="0" w:color="auto"/>
        <w:right w:val="none" w:sz="0" w:space="0" w:color="auto"/>
      </w:divBdr>
    </w:div>
    <w:div w:id="763650223">
      <w:bodyDiv w:val="1"/>
      <w:marLeft w:val="0"/>
      <w:marRight w:val="0"/>
      <w:marTop w:val="0"/>
      <w:marBottom w:val="0"/>
      <w:divBdr>
        <w:top w:val="none" w:sz="0" w:space="0" w:color="auto"/>
        <w:left w:val="none" w:sz="0" w:space="0" w:color="auto"/>
        <w:bottom w:val="none" w:sz="0" w:space="0" w:color="auto"/>
        <w:right w:val="none" w:sz="0" w:space="0" w:color="auto"/>
      </w:divBdr>
    </w:div>
    <w:div w:id="863251439">
      <w:bodyDiv w:val="1"/>
      <w:marLeft w:val="0"/>
      <w:marRight w:val="0"/>
      <w:marTop w:val="0"/>
      <w:marBottom w:val="0"/>
      <w:divBdr>
        <w:top w:val="none" w:sz="0" w:space="0" w:color="auto"/>
        <w:left w:val="none" w:sz="0" w:space="0" w:color="auto"/>
        <w:bottom w:val="none" w:sz="0" w:space="0" w:color="auto"/>
        <w:right w:val="none" w:sz="0" w:space="0" w:color="auto"/>
      </w:divBdr>
    </w:div>
    <w:div w:id="873613070">
      <w:bodyDiv w:val="1"/>
      <w:marLeft w:val="0"/>
      <w:marRight w:val="0"/>
      <w:marTop w:val="0"/>
      <w:marBottom w:val="0"/>
      <w:divBdr>
        <w:top w:val="none" w:sz="0" w:space="0" w:color="auto"/>
        <w:left w:val="none" w:sz="0" w:space="0" w:color="auto"/>
        <w:bottom w:val="none" w:sz="0" w:space="0" w:color="auto"/>
        <w:right w:val="none" w:sz="0" w:space="0" w:color="auto"/>
      </w:divBdr>
    </w:div>
    <w:div w:id="960571219">
      <w:bodyDiv w:val="1"/>
      <w:marLeft w:val="0"/>
      <w:marRight w:val="0"/>
      <w:marTop w:val="0"/>
      <w:marBottom w:val="0"/>
      <w:divBdr>
        <w:top w:val="none" w:sz="0" w:space="0" w:color="auto"/>
        <w:left w:val="none" w:sz="0" w:space="0" w:color="auto"/>
        <w:bottom w:val="none" w:sz="0" w:space="0" w:color="auto"/>
        <w:right w:val="none" w:sz="0" w:space="0" w:color="auto"/>
      </w:divBdr>
    </w:div>
    <w:div w:id="1051656757">
      <w:bodyDiv w:val="1"/>
      <w:marLeft w:val="0"/>
      <w:marRight w:val="0"/>
      <w:marTop w:val="0"/>
      <w:marBottom w:val="0"/>
      <w:divBdr>
        <w:top w:val="none" w:sz="0" w:space="0" w:color="auto"/>
        <w:left w:val="none" w:sz="0" w:space="0" w:color="auto"/>
        <w:bottom w:val="none" w:sz="0" w:space="0" w:color="auto"/>
        <w:right w:val="none" w:sz="0" w:space="0" w:color="auto"/>
      </w:divBdr>
    </w:div>
    <w:div w:id="1072968006">
      <w:bodyDiv w:val="1"/>
      <w:marLeft w:val="0"/>
      <w:marRight w:val="0"/>
      <w:marTop w:val="0"/>
      <w:marBottom w:val="0"/>
      <w:divBdr>
        <w:top w:val="none" w:sz="0" w:space="0" w:color="auto"/>
        <w:left w:val="none" w:sz="0" w:space="0" w:color="auto"/>
        <w:bottom w:val="none" w:sz="0" w:space="0" w:color="auto"/>
        <w:right w:val="none" w:sz="0" w:space="0" w:color="auto"/>
      </w:divBdr>
    </w:div>
    <w:div w:id="1125538819">
      <w:bodyDiv w:val="1"/>
      <w:marLeft w:val="0"/>
      <w:marRight w:val="0"/>
      <w:marTop w:val="0"/>
      <w:marBottom w:val="0"/>
      <w:divBdr>
        <w:top w:val="none" w:sz="0" w:space="0" w:color="auto"/>
        <w:left w:val="none" w:sz="0" w:space="0" w:color="auto"/>
        <w:bottom w:val="none" w:sz="0" w:space="0" w:color="auto"/>
        <w:right w:val="none" w:sz="0" w:space="0" w:color="auto"/>
      </w:divBdr>
    </w:div>
    <w:div w:id="1165510463">
      <w:bodyDiv w:val="1"/>
      <w:marLeft w:val="0"/>
      <w:marRight w:val="0"/>
      <w:marTop w:val="0"/>
      <w:marBottom w:val="0"/>
      <w:divBdr>
        <w:top w:val="none" w:sz="0" w:space="0" w:color="auto"/>
        <w:left w:val="none" w:sz="0" w:space="0" w:color="auto"/>
        <w:bottom w:val="none" w:sz="0" w:space="0" w:color="auto"/>
        <w:right w:val="none" w:sz="0" w:space="0" w:color="auto"/>
      </w:divBdr>
    </w:div>
    <w:div w:id="1273855598">
      <w:bodyDiv w:val="1"/>
      <w:marLeft w:val="0"/>
      <w:marRight w:val="0"/>
      <w:marTop w:val="0"/>
      <w:marBottom w:val="0"/>
      <w:divBdr>
        <w:top w:val="none" w:sz="0" w:space="0" w:color="auto"/>
        <w:left w:val="none" w:sz="0" w:space="0" w:color="auto"/>
        <w:bottom w:val="none" w:sz="0" w:space="0" w:color="auto"/>
        <w:right w:val="none" w:sz="0" w:space="0" w:color="auto"/>
      </w:divBdr>
    </w:div>
    <w:div w:id="1287278050">
      <w:bodyDiv w:val="1"/>
      <w:marLeft w:val="0"/>
      <w:marRight w:val="0"/>
      <w:marTop w:val="0"/>
      <w:marBottom w:val="0"/>
      <w:divBdr>
        <w:top w:val="none" w:sz="0" w:space="0" w:color="auto"/>
        <w:left w:val="none" w:sz="0" w:space="0" w:color="auto"/>
        <w:bottom w:val="none" w:sz="0" w:space="0" w:color="auto"/>
        <w:right w:val="none" w:sz="0" w:space="0" w:color="auto"/>
      </w:divBdr>
    </w:div>
    <w:div w:id="1323701527">
      <w:bodyDiv w:val="1"/>
      <w:marLeft w:val="0"/>
      <w:marRight w:val="0"/>
      <w:marTop w:val="0"/>
      <w:marBottom w:val="0"/>
      <w:divBdr>
        <w:top w:val="none" w:sz="0" w:space="0" w:color="auto"/>
        <w:left w:val="none" w:sz="0" w:space="0" w:color="auto"/>
        <w:bottom w:val="none" w:sz="0" w:space="0" w:color="auto"/>
        <w:right w:val="none" w:sz="0" w:space="0" w:color="auto"/>
      </w:divBdr>
    </w:div>
    <w:div w:id="1443499697">
      <w:bodyDiv w:val="1"/>
      <w:marLeft w:val="0"/>
      <w:marRight w:val="0"/>
      <w:marTop w:val="0"/>
      <w:marBottom w:val="0"/>
      <w:divBdr>
        <w:top w:val="none" w:sz="0" w:space="0" w:color="auto"/>
        <w:left w:val="none" w:sz="0" w:space="0" w:color="auto"/>
        <w:bottom w:val="none" w:sz="0" w:space="0" w:color="auto"/>
        <w:right w:val="none" w:sz="0" w:space="0" w:color="auto"/>
      </w:divBdr>
    </w:div>
    <w:div w:id="1535389414">
      <w:bodyDiv w:val="1"/>
      <w:marLeft w:val="0"/>
      <w:marRight w:val="0"/>
      <w:marTop w:val="0"/>
      <w:marBottom w:val="0"/>
      <w:divBdr>
        <w:top w:val="none" w:sz="0" w:space="0" w:color="auto"/>
        <w:left w:val="none" w:sz="0" w:space="0" w:color="auto"/>
        <w:bottom w:val="none" w:sz="0" w:space="0" w:color="auto"/>
        <w:right w:val="none" w:sz="0" w:space="0" w:color="auto"/>
      </w:divBdr>
    </w:div>
    <w:div w:id="1536233815">
      <w:bodyDiv w:val="1"/>
      <w:marLeft w:val="0"/>
      <w:marRight w:val="0"/>
      <w:marTop w:val="0"/>
      <w:marBottom w:val="0"/>
      <w:divBdr>
        <w:top w:val="none" w:sz="0" w:space="0" w:color="auto"/>
        <w:left w:val="none" w:sz="0" w:space="0" w:color="auto"/>
        <w:bottom w:val="none" w:sz="0" w:space="0" w:color="auto"/>
        <w:right w:val="none" w:sz="0" w:space="0" w:color="auto"/>
      </w:divBdr>
    </w:div>
    <w:div w:id="1588882178">
      <w:bodyDiv w:val="1"/>
      <w:marLeft w:val="0"/>
      <w:marRight w:val="0"/>
      <w:marTop w:val="0"/>
      <w:marBottom w:val="0"/>
      <w:divBdr>
        <w:top w:val="none" w:sz="0" w:space="0" w:color="auto"/>
        <w:left w:val="none" w:sz="0" w:space="0" w:color="auto"/>
        <w:bottom w:val="none" w:sz="0" w:space="0" w:color="auto"/>
        <w:right w:val="none" w:sz="0" w:space="0" w:color="auto"/>
      </w:divBdr>
    </w:div>
    <w:div w:id="1687902156">
      <w:bodyDiv w:val="1"/>
      <w:marLeft w:val="0"/>
      <w:marRight w:val="0"/>
      <w:marTop w:val="0"/>
      <w:marBottom w:val="0"/>
      <w:divBdr>
        <w:top w:val="none" w:sz="0" w:space="0" w:color="auto"/>
        <w:left w:val="none" w:sz="0" w:space="0" w:color="auto"/>
        <w:bottom w:val="none" w:sz="0" w:space="0" w:color="auto"/>
        <w:right w:val="none" w:sz="0" w:space="0" w:color="auto"/>
      </w:divBdr>
    </w:div>
    <w:div w:id="1712609500">
      <w:bodyDiv w:val="1"/>
      <w:marLeft w:val="0"/>
      <w:marRight w:val="0"/>
      <w:marTop w:val="0"/>
      <w:marBottom w:val="0"/>
      <w:divBdr>
        <w:top w:val="none" w:sz="0" w:space="0" w:color="auto"/>
        <w:left w:val="none" w:sz="0" w:space="0" w:color="auto"/>
        <w:bottom w:val="none" w:sz="0" w:space="0" w:color="auto"/>
        <w:right w:val="none" w:sz="0" w:space="0" w:color="auto"/>
      </w:divBdr>
    </w:div>
    <w:div w:id="1778719669">
      <w:bodyDiv w:val="1"/>
      <w:marLeft w:val="0"/>
      <w:marRight w:val="0"/>
      <w:marTop w:val="0"/>
      <w:marBottom w:val="0"/>
      <w:divBdr>
        <w:top w:val="none" w:sz="0" w:space="0" w:color="auto"/>
        <w:left w:val="none" w:sz="0" w:space="0" w:color="auto"/>
        <w:bottom w:val="none" w:sz="0" w:space="0" w:color="auto"/>
        <w:right w:val="none" w:sz="0" w:space="0" w:color="auto"/>
      </w:divBdr>
    </w:div>
    <w:div w:id="1838379830">
      <w:bodyDiv w:val="1"/>
      <w:marLeft w:val="0"/>
      <w:marRight w:val="0"/>
      <w:marTop w:val="0"/>
      <w:marBottom w:val="0"/>
      <w:divBdr>
        <w:top w:val="none" w:sz="0" w:space="0" w:color="auto"/>
        <w:left w:val="none" w:sz="0" w:space="0" w:color="auto"/>
        <w:bottom w:val="none" w:sz="0" w:space="0" w:color="auto"/>
        <w:right w:val="none" w:sz="0" w:space="0" w:color="auto"/>
      </w:divBdr>
    </w:div>
    <w:div w:id="1841702593">
      <w:bodyDiv w:val="1"/>
      <w:marLeft w:val="0"/>
      <w:marRight w:val="0"/>
      <w:marTop w:val="0"/>
      <w:marBottom w:val="0"/>
      <w:divBdr>
        <w:top w:val="none" w:sz="0" w:space="0" w:color="auto"/>
        <w:left w:val="none" w:sz="0" w:space="0" w:color="auto"/>
        <w:bottom w:val="none" w:sz="0" w:space="0" w:color="auto"/>
        <w:right w:val="none" w:sz="0" w:space="0" w:color="auto"/>
      </w:divBdr>
    </w:div>
    <w:div w:id="1855415251">
      <w:bodyDiv w:val="1"/>
      <w:marLeft w:val="0"/>
      <w:marRight w:val="0"/>
      <w:marTop w:val="0"/>
      <w:marBottom w:val="0"/>
      <w:divBdr>
        <w:top w:val="none" w:sz="0" w:space="0" w:color="auto"/>
        <w:left w:val="none" w:sz="0" w:space="0" w:color="auto"/>
        <w:bottom w:val="none" w:sz="0" w:space="0" w:color="auto"/>
        <w:right w:val="none" w:sz="0" w:space="0" w:color="auto"/>
      </w:divBdr>
    </w:div>
    <w:div w:id="1886670624">
      <w:bodyDiv w:val="1"/>
      <w:marLeft w:val="0"/>
      <w:marRight w:val="0"/>
      <w:marTop w:val="0"/>
      <w:marBottom w:val="0"/>
      <w:divBdr>
        <w:top w:val="none" w:sz="0" w:space="0" w:color="auto"/>
        <w:left w:val="none" w:sz="0" w:space="0" w:color="auto"/>
        <w:bottom w:val="none" w:sz="0" w:space="0" w:color="auto"/>
        <w:right w:val="none" w:sz="0" w:space="0" w:color="auto"/>
      </w:divBdr>
    </w:div>
    <w:div w:id="1910771487">
      <w:bodyDiv w:val="1"/>
      <w:marLeft w:val="0"/>
      <w:marRight w:val="0"/>
      <w:marTop w:val="0"/>
      <w:marBottom w:val="0"/>
      <w:divBdr>
        <w:top w:val="none" w:sz="0" w:space="0" w:color="auto"/>
        <w:left w:val="none" w:sz="0" w:space="0" w:color="auto"/>
        <w:bottom w:val="none" w:sz="0" w:space="0" w:color="auto"/>
        <w:right w:val="none" w:sz="0" w:space="0" w:color="auto"/>
      </w:divBdr>
    </w:div>
    <w:div w:id="1938516680">
      <w:bodyDiv w:val="1"/>
      <w:marLeft w:val="0"/>
      <w:marRight w:val="0"/>
      <w:marTop w:val="0"/>
      <w:marBottom w:val="0"/>
      <w:divBdr>
        <w:top w:val="none" w:sz="0" w:space="0" w:color="auto"/>
        <w:left w:val="none" w:sz="0" w:space="0" w:color="auto"/>
        <w:bottom w:val="none" w:sz="0" w:space="0" w:color="auto"/>
        <w:right w:val="none" w:sz="0" w:space="0" w:color="auto"/>
      </w:divBdr>
    </w:div>
    <w:div w:id="2080012187">
      <w:bodyDiv w:val="1"/>
      <w:marLeft w:val="0"/>
      <w:marRight w:val="0"/>
      <w:marTop w:val="0"/>
      <w:marBottom w:val="0"/>
      <w:divBdr>
        <w:top w:val="none" w:sz="0" w:space="0" w:color="auto"/>
        <w:left w:val="none" w:sz="0" w:space="0" w:color="auto"/>
        <w:bottom w:val="none" w:sz="0" w:space="0" w:color="auto"/>
        <w:right w:val="none" w:sz="0" w:space="0" w:color="auto"/>
      </w:divBdr>
    </w:div>
    <w:div w:id="210383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cbi.nlm.nih.gov/pubmed/27232590" TargetMode="External"/><Relationship Id="rId5" Type="http://schemas.openxmlformats.org/officeDocument/2006/relationships/hyperlink" Target="http://www.ncbi.nlm.nih.gov/pubmed/27110737" TargetMode="External"/><Relationship Id="rId4" Type="http://schemas.openxmlformats.org/officeDocument/2006/relationships/hyperlink" Target="https://doi.org/10.1057/9780230599765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565</TotalTime>
  <Pages>10</Pages>
  <Words>2728</Words>
  <Characters>15553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77</cp:revision>
  <dcterms:created xsi:type="dcterms:W3CDTF">2021-02-21T11:16:00Z</dcterms:created>
  <dcterms:modified xsi:type="dcterms:W3CDTF">2021-03-05T21:40:00Z</dcterms:modified>
</cp:coreProperties>
</file>