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E81777" w14:textId="590E411C" w:rsidR="00A72F12" w:rsidRDefault="00A72F12" w:rsidP="00793DE7">
      <w:pPr>
        <w:pStyle w:val="Heading1"/>
        <w:spacing w:after="0"/>
        <w:jc w:val="center"/>
      </w:pPr>
      <w:r>
        <w:t>Critical examination of health education, or wellbeing initiatives that have helped to develop a community</w:t>
      </w:r>
    </w:p>
    <w:p w14:paraId="6B1D6AC7" w14:textId="77777777" w:rsidR="00A72F12" w:rsidRDefault="00A72F12" w:rsidP="00793DE7">
      <w:pPr>
        <w:pStyle w:val="Heading1"/>
        <w:spacing w:after="0"/>
        <w:jc w:val="center"/>
      </w:pPr>
    </w:p>
    <w:p w14:paraId="39461FB7" w14:textId="77777777" w:rsidR="00A72F12" w:rsidRDefault="00A72F12" w:rsidP="00793DE7">
      <w:pPr>
        <w:pStyle w:val="Heading1"/>
        <w:spacing w:after="0"/>
        <w:jc w:val="center"/>
      </w:pPr>
    </w:p>
    <w:p w14:paraId="4D8C28F0" w14:textId="77777777" w:rsidR="00A72F12" w:rsidRDefault="00A72F12" w:rsidP="00793DE7">
      <w:pPr>
        <w:pStyle w:val="Heading1"/>
        <w:spacing w:after="0"/>
        <w:jc w:val="center"/>
      </w:pPr>
    </w:p>
    <w:p w14:paraId="72E6EABC" w14:textId="77777777" w:rsidR="00A72F12" w:rsidRDefault="00A72F12" w:rsidP="00793DE7">
      <w:pPr>
        <w:pStyle w:val="Heading1"/>
        <w:spacing w:after="0"/>
        <w:jc w:val="center"/>
      </w:pPr>
    </w:p>
    <w:p w14:paraId="5A06805A" w14:textId="77777777" w:rsidR="00A72F12" w:rsidRDefault="00A72F12" w:rsidP="00793DE7">
      <w:pPr>
        <w:pStyle w:val="Heading1"/>
        <w:spacing w:after="0"/>
        <w:jc w:val="center"/>
      </w:pPr>
    </w:p>
    <w:p w14:paraId="599525FB" w14:textId="77777777" w:rsidR="00A72F12" w:rsidRDefault="00A72F12" w:rsidP="00793DE7">
      <w:pPr>
        <w:pStyle w:val="Heading1"/>
        <w:spacing w:after="0"/>
        <w:jc w:val="center"/>
      </w:pPr>
    </w:p>
    <w:p w14:paraId="0A43BFA7" w14:textId="77777777" w:rsidR="00A72F12" w:rsidRDefault="00A72F12" w:rsidP="00793DE7">
      <w:pPr>
        <w:pStyle w:val="Heading1"/>
        <w:spacing w:after="0"/>
        <w:jc w:val="center"/>
      </w:pPr>
    </w:p>
    <w:p w14:paraId="26F87635" w14:textId="77777777" w:rsidR="00A72F12" w:rsidRDefault="00A72F12" w:rsidP="00793DE7">
      <w:pPr>
        <w:pStyle w:val="Heading1"/>
        <w:spacing w:after="0"/>
        <w:jc w:val="center"/>
      </w:pPr>
    </w:p>
    <w:p w14:paraId="18A83E44" w14:textId="77777777" w:rsidR="00A72F12" w:rsidRDefault="00A72F12" w:rsidP="00793DE7">
      <w:pPr>
        <w:pStyle w:val="Heading1"/>
        <w:spacing w:after="0"/>
        <w:jc w:val="center"/>
      </w:pPr>
    </w:p>
    <w:p w14:paraId="389AE816" w14:textId="77777777" w:rsidR="00A72F12" w:rsidRDefault="00A72F12" w:rsidP="00793DE7">
      <w:pPr>
        <w:pStyle w:val="Heading1"/>
        <w:spacing w:after="0"/>
        <w:jc w:val="center"/>
      </w:pPr>
      <w:r>
        <w:t>Name: Rotimi Amos</w:t>
      </w:r>
    </w:p>
    <w:p w14:paraId="1A77189A" w14:textId="35F95CC3" w:rsidR="00A72F12" w:rsidRDefault="00A72F12" w:rsidP="00793DE7">
      <w:pPr>
        <w:pStyle w:val="Heading1"/>
        <w:spacing w:after="0"/>
        <w:jc w:val="center"/>
      </w:pPr>
      <w:r>
        <w:t>Lecturer: Corey</w:t>
      </w:r>
    </w:p>
    <w:p w14:paraId="2136B0AC" w14:textId="20B1F94D" w:rsidR="00A72F12" w:rsidRDefault="00A72F12" w:rsidP="00A72F12">
      <w:pPr>
        <w:rPr>
          <w:lang w:val="en-GB"/>
        </w:rPr>
      </w:pPr>
      <w:r>
        <w:rPr>
          <w:lang w:val="en-GB"/>
        </w:rPr>
        <w:t xml:space="preserve">                                                              Course code: BMHP6022</w:t>
      </w:r>
    </w:p>
    <w:p w14:paraId="65BC3E3B" w14:textId="77777777" w:rsidR="00A72F12" w:rsidRDefault="00A72F12" w:rsidP="00A72F12">
      <w:pPr>
        <w:rPr>
          <w:lang w:val="en-GB"/>
        </w:rPr>
      </w:pPr>
    </w:p>
    <w:p w14:paraId="470DA763" w14:textId="77777777" w:rsidR="00A72F12" w:rsidRDefault="00A72F12" w:rsidP="00A72F12">
      <w:pPr>
        <w:rPr>
          <w:lang w:val="en-GB"/>
        </w:rPr>
      </w:pPr>
    </w:p>
    <w:p w14:paraId="05ADAB3B" w14:textId="77777777" w:rsidR="00A72F12" w:rsidRDefault="00A72F12" w:rsidP="00A72F12">
      <w:pPr>
        <w:rPr>
          <w:lang w:val="en-GB"/>
        </w:rPr>
      </w:pPr>
    </w:p>
    <w:p w14:paraId="68CB0247" w14:textId="77777777" w:rsidR="00A72F12" w:rsidRDefault="00A72F12" w:rsidP="00A72F12">
      <w:pPr>
        <w:rPr>
          <w:lang w:val="en-GB"/>
        </w:rPr>
      </w:pPr>
    </w:p>
    <w:p w14:paraId="1650858F" w14:textId="77777777" w:rsidR="00A72F12" w:rsidRDefault="00A72F12" w:rsidP="00A72F12">
      <w:pPr>
        <w:rPr>
          <w:lang w:val="en-GB"/>
        </w:rPr>
      </w:pPr>
    </w:p>
    <w:p w14:paraId="3C0BB7AA" w14:textId="77777777" w:rsidR="00A72F12" w:rsidRDefault="00A72F12" w:rsidP="00A72F12">
      <w:pPr>
        <w:rPr>
          <w:lang w:val="en-GB"/>
        </w:rPr>
      </w:pPr>
    </w:p>
    <w:p w14:paraId="7B11A7E0" w14:textId="77777777" w:rsidR="00A72F12" w:rsidRDefault="00A72F12" w:rsidP="00A72F12">
      <w:pPr>
        <w:rPr>
          <w:lang w:val="en-GB"/>
        </w:rPr>
      </w:pPr>
    </w:p>
    <w:p w14:paraId="239BAF78" w14:textId="77777777" w:rsidR="00A72F12" w:rsidRDefault="00A72F12" w:rsidP="00A72F12">
      <w:pPr>
        <w:rPr>
          <w:lang w:val="en-GB"/>
        </w:rPr>
      </w:pPr>
    </w:p>
    <w:p w14:paraId="79D23BE1" w14:textId="77777777" w:rsidR="00A72F12" w:rsidRDefault="00A72F12" w:rsidP="00A72F12">
      <w:pPr>
        <w:rPr>
          <w:lang w:val="en-GB"/>
        </w:rPr>
      </w:pPr>
    </w:p>
    <w:p w14:paraId="4B4339AD" w14:textId="77777777" w:rsidR="00A72F12" w:rsidRDefault="00A72F12" w:rsidP="00A72F12">
      <w:pPr>
        <w:rPr>
          <w:lang w:val="en-GB"/>
        </w:rPr>
      </w:pPr>
    </w:p>
    <w:p w14:paraId="7A6C75DF" w14:textId="77777777" w:rsidR="00A72F12" w:rsidRDefault="00A72F12" w:rsidP="00A72F12">
      <w:pPr>
        <w:rPr>
          <w:lang w:val="en-GB"/>
        </w:rPr>
      </w:pPr>
    </w:p>
    <w:p w14:paraId="5BCA06D0" w14:textId="77777777" w:rsidR="00A72F12" w:rsidRDefault="00A72F12" w:rsidP="00A72F12">
      <w:pPr>
        <w:rPr>
          <w:lang w:val="en-GB"/>
        </w:rPr>
      </w:pPr>
    </w:p>
    <w:p w14:paraId="35662245" w14:textId="77777777" w:rsidR="00A72F12" w:rsidRDefault="00A72F12" w:rsidP="00A72F12">
      <w:pPr>
        <w:rPr>
          <w:lang w:val="en-GB"/>
        </w:rPr>
      </w:pPr>
    </w:p>
    <w:p w14:paraId="22F7425B" w14:textId="568C09D9" w:rsidR="00A72F12" w:rsidRPr="00A72F12" w:rsidRDefault="00A72F12" w:rsidP="00A72F12">
      <w:pPr>
        <w:rPr>
          <w:lang w:val="en-GB"/>
        </w:rPr>
      </w:pPr>
      <w:r>
        <w:rPr>
          <w:lang w:val="en-GB"/>
        </w:rPr>
        <w:t>April 2024.</w:t>
      </w:r>
    </w:p>
    <w:p w14:paraId="69CC4D25" w14:textId="3B572D71" w:rsidR="00793DE7" w:rsidRDefault="00793DE7" w:rsidP="00793DE7">
      <w:pPr>
        <w:pStyle w:val="Heading1"/>
        <w:spacing w:after="0"/>
        <w:jc w:val="center"/>
      </w:pPr>
      <w:r>
        <w:lastRenderedPageBreak/>
        <w:t>TABLE OF CONTENTS</w:t>
      </w:r>
    </w:p>
    <w:sdt>
      <w:sdtPr>
        <w:rPr>
          <w:rFonts w:asciiTheme="majorBidi" w:eastAsiaTheme="minorHAnsi" w:hAnsiTheme="majorBidi" w:cstheme="minorBidi"/>
          <w:color w:val="auto"/>
          <w:kern w:val="2"/>
          <w:sz w:val="24"/>
          <w:szCs w:val="22"/>
          <w:lang/>
          <w14:ligatures w14:val="standardContextual"/>
        </w:rPr>
        <w:id w:val="1630048906"/>
        <w:docPartObj>
          <w:docPartGallery w:val="Table of Contents"/>
          <w:docPartUnique/>
        </w:docPartObj>
      </w:sdtPr>
      <w:sdtEndPr>
        <w:rPr>
          <w:b/>
          <w:bCs/>
          <w:noProof/>
        </w:rPr>
      </w:sdtEndPr>
      <w:sdtContent>
        <w:p w14:paraId="568F4075" w14:textId="7EB207DA" w:rsidR="00793DE7" w:rsidRPr="00793DE7" w:rsidRDefault="00793DE7" w:rsidP="00793DE7">
          <w:pPr>
            <w:pStyle w:val="TOCHeading"/>
            <w:spacing w:before="0" w:line="360" w:lineRule="auto"/>
            <w:rPr>
              <w:color w:val="auto"/>
            </w:rPr>
          </w:pPr>
        </w:p>
        <w:p w14:paraId="64CF0F75" w14:textId="42244A4C" w:rsidR="00793DE7" w:rsidRPr="00793DE7" w:rsidRDefault="00793DE7" w:rsidP="00793DE7">
          <w:pPr>
            <w:pStyle w:val="TOC1"/>
            <w:rPr>
              <w:rFonts w:asciiTheme="minorHAnsi" w:eastAsiaTheme="minorEastAsia" w:hAnsiTheme="minorHAnsi"/>
              <w:noProof/>
              <w:sz w:val="22"/>
              <w:lang/>
            </w:rPr>
          </w:pPr>
          <w:r w:rsidRPr="00793DE7">
            <w:fldChar w:fldCharType="begin"/>
          </w:r>
          <w:r w:rsidRPr="00793DE7">
            <w:instrText xml:space="preserve"> TOC \o "1-3" \h \z \u </w:instrText>
          </w:r>
          <w:r w:rsidRPr="00793DE7">
            <w:fldChar w:fldCharType="separate"/>
          </w:r>
          <w:hyperlink w:anchor="_Toc153389205" w:history="1">
            <w:r w:rsidRPr="00793DE7">
              <w:rPr>
                <w:rStyle w:val="Hyperlink"/>
                <w:noProof/>
                <w:color w:val="auto"/>
              </w:rPr>
              <w:t>REPORT: DEVELOPING A LOCAL COMMUNITY (BRIXTON)</w:t>
            </w:r>
            <w:r w:rsidRPr="00793DE7">
              <w:rPr>
                <w:noProof/>
                <w:webHidden/>
              </w:rPr>
              <w:tab/>
            </w:r>
            <w:r w:rsidRPr="00793DE7">
              <w:rPr>
                <w:noProof/>
                <w:webHidden/>
              </w:rPr>
              <w:fldChar w:fldCharType="begin"/>
            </w:r>
            <w:r w:rsidRPr="00793DE7">
              <w:rPr>
                <w:noProof/>
                <w:webHidden/>
              </w:rPr>
              <w:instrText xml:space="preserve"> PAGEREF _Toc153389205 \h </w:instrText>
            </w:r>
            <w:r w:rsidRPr="00793DE7">
              <w:rPr>
                <w:noProof/>
                <w:webHidden/>
              </w:rPr>
            </w:r>
            <w:r w:rsidRPr="00793DE7">
              <w:rPr>
                <w:noProof/>
                <w:webHidden/>
              </w:rPr>
              <w:fldChar w:fldCharType="separate"/>
            </w:r>
            <w:r w:rsidRPr="00793DE7">
              <w:rPr>
                <w:noProof/>
                <w:webHidden/>
              </w:rPr>
              <w:t>2</w:t>
            </w:r>
            <w:r w:rsidRPr="00793DE7">
              <w:rPr>
                <w:noProof/>
                <w:webHidden/>
              </w:rPr>
              <w:fldChar w:fldCharType="end"/>
            </w:r>
          </w:hyperlink>
        </w:p>
        <w:p w14:paraId="7690EA65" w14:textId="6163A9E0" w:rsidR="00793DE7" w:rsidRPr="00793DE7" w:rsidRDefault="00CC02B8" w:rsidP="00793DE7">
          <w:pPr>
            <w:pStyle w:val="TOC2"/>
            <w:tabs>
              <w:tab w:val="left" w:pos="880"/>
              <w:tab w:val="right" w:leader="dot" w:pos="9016"/>
            </w:tabs>
            <w:rPr>
              <w:rFonts w:asciiTheme="minorHAnsi" w:eastAsiaTheme="minorEastAsia" w:hAnsiTheme="minorHAnsi"/>
              <w:noProof/>
              <w:sz w:val="22"/>
              <w:lang/>
            </w:rPr>
          </w:pPr>
          <w:hyperlink w:anchor="_Toc153389206" w:history="1">
            <w:r w:rsidR="00793DE7" w:rsidRPr="00793DE7">
              <w:rPr>
                <w:rStyle w:val="Hyperlink"/>
                <w:noProof/>
                <w:color w:val="auto"/>
              </w:rPr>
              <w:t>1.1</w:t>
            </w:r>
            <w:r w:rsidR="00793DE7" w:rsidRPr="00793DE7">
              <w:rPr>
                <w:rFonts w:asciiTheme="minorHAnsi" w:eastAsiaTheme="minorEastAsia" w:hAnsiTheme="minorHAnsi"/>
                <w:noProof/>
                <w:sz w:val="22"/>
                <w:lang/>
              </w:rPr>
              <w:tab/>
            </w:r>
            <w:r w:rsidR="00793DE7" w:rsidRPr="00793DE7">
              <w:rPr>
                <w:rStyle w:val="Hyperlink"/>
                <w:noProof/>
                <w:color w:val="auto"/>
              </w:rPr>
              <w:t>INTRODUCTION</w:t>
            </w:r>
            <w:r w:rsidR="00793DE7" w:rsidRPr="00793DE7">
              <w:rPr>
                <w:noProof/>
                <w:webHidden/>
              </w:rPr>
              <w:tab/>
            </w:r>
            <w:r w:rsidR="00793DE7" w:rsidRPr="00793DE7">
              <w:rPr>
                <w:noProof/>
                <w:webHidden/>
              </w:rPr>
              <w:fldChar w:fldCharType="begin"/>
            </w:r>
            <w:r w:rsidR="00793DE7" w:rsidRPr="00793DE7">
              <w:rPr>
                <w:noProof/>
                <w:webHidden/>
              </w:rPr>
              <w:instrText xml:space="preserve"> PAGEREF _Toc153389206 \h </w:instrText>
            </w:r>
            <w:r w:rsidR="00793DE7" w:rsidRPr="00793DE7">
              <w:rPr>
                <w:noProof/>
                <w:webHidden/>
              </w:rPr>
            </w:r>
            <w:r w:rsidR="00793DE7" w:rsidRPr="00793DE7">
              <w:rPr>
                <w:noProof/>
                <w:webHidden/>
              </w:rPr>
              <w:fldChar w:fldCharType="separate"/>
            </w:r>
            <w:r w:rsidR="00793DE7" w:rsidRPr="00793DE7">
              <w:rPr>
                <w:noProof/>
                <w:webHidden/>
              </w:rPr>
              <w:t>2</w:t>
            </w:r>
            <w:r w:rsidR="00793DE7" w:rsidRPr="00793DE7">
              <w:rPr>
                <w:noProof/>
                <w:webHidden/>
              </w:rPr>
              <w:fldChar w:fldCharType="end"/>
            </w:r>
          </w:hyperlink>
        </w:p>
        <w:p w14:paraId="307D1E4D" w14:textId="1EC1DF82" w:rsidR="00793DE7" w:rsidRPr="00793DE7" w:rsidRDefault="00CC02B8" w:rsidP="00793DE7">
          <w:pPr>
            <w:pStyle w:val="TOC2"/>
            <w:tabs>
              <w:tab w:val="left" w:pos="880"/>
              <w:tab w:val="right" w:leader="dot" w:pos="9016"/>
            </w:tabs>
            <w:rPr>
              <w:rFonts w:asciiTheme="minorHAnsi" w:eastAsiaTheme="minorEastAsia" w:hAnsiTheme="minorHAnsi"/>
              <w:noProof/>
              <w:sz w:val="22"/>
              <w:lang/>
            </w:rPr>
          </w:pPr>
          <w:hyperlink w:anchor="_Toc153389207" w:history="1">
            <w:r w:rsidR="00793DE7" w:rsidRPr="00793DE7">
              <w:rPr>
                <w:rStyle w:val="Hyperlink"/>
                <w:noProof/>
                <w:color w:val="auto"/>
              </w:rPr>
              <w:t>1.2</w:t>
            </w:r>
            <w:r w:rsidR="00793DE7" w:rsidRPr="00793DE7">
              <w:rPr>
                <w:rFonts w:asciiTheme="minorHAnsi" w:eastAsiaTheme="minorEastAsia" w:hAnsiTheme="minorHAnsi"/>
                <w:noProof/>
                <w:sz w:val="22"/>
                <w:lang/>
              </w:rPr>
              <w:tab/>
            </w:r>
            <w:r w:rsidR="00793DE7" w:rsidRPr="00793DE7">
              <w:rPr>
                <w:rStyle w:val="Hyperlink"/>
                <w:noProof/>
                <w:color w:val="auto"/>
              </w:rPr>
              <w:t>BACKGROUND</w:t>
            </w:r>
            <w:r w:rsidR="00793DE7" w:rsidRPr="00793DE7">
              <w:rPr>
                <w:noProof/>
                <w:webHidden/>
              </w:rPr>
              <w:tab/>
            </w:r>
            <w:r w:rsidR="00793DE7" w:rsidRPr="00793DE7">
              <w:rPr>
                <w:noProof/>
                <w:webHidden/>
              </w:rPr>
              <w:fldChar w:fldCharType="begin"/>
            </w:r>
            <w:r w:rsidR="00793DE7" w:rsidRPr="00793DE7">
              <w:rPr>
                <w:noProof/>
                <w:webHidden/>
              </w:rPr>
              <w:instrText xml:space="preserve"> PAGEREF _Toc153389207 \h </w:instrText>
            </w:r>
            <w:r w:rsidR="00793DE7" w:rsidRPr="00793DE7">
              <w:rPr>
                <w:noProof/>
                <w:webHidden/>
              </w:rPr>
            </w:r>
            <w:r w:rsidR="00793DE7" w:rsidRPr="00793DE7">
              <w:rPr>
                <w:noProof/>
                <w:webHidden/>
              </w:rPr>
              <w:fldChar w:fldCharType="separate"/>
            </w:r>
            <w:r w:rsidR="00793DE7" w:rsidRPr="00793DE7">
              <w:rPr>
                <w:noProof/>
                <w:webHidden/>
              </w:rPr>
              <w:t>2</w:t>
            </w:r>
            <w:r w:rsidR="00793DE7" w:rsidRPr="00793DE7">
              <w:rPr>
                <w:noProof/>
                <w:webHidden/>
              </w:rPr>
              <w:fldChar w:fldCharType="end"/>
            </w:r>
          </w:hyperlink>
        </w:p>
        <w:p w14:paraId="4B004252" w14:textId="0228F85A" w:rsidR="00793DE7" w:rsidRPr="00793DE7" w:rsidRDefault="00CC02B8" w:rsidP="00793DE7">
          <w:pPr>
            <w:pStyle w:val="TOC2"/>
            <w:tabs>
              <w:tab w:val="left" w:pos="880"/>
              <w:tab w:val="right" w:leader="dot" w:pos="9016"/>
            </w:tabs>
            <w:rPr>
              <w:rFonts w:asciiTheme="minorHAnsi" w:eastAsiaTheme="minorEastAsia" w:hAnsiTheme="minorHAnsi"/>
              <w:noProof/>
              <w:sz w:val="22"/>
              <w:lang/>
            </w:rPr>
          </w:pPr>
          <w:hyperlink w:anchor="_Toc153389208" w:history="1">
            <w:r w:rsidR="00793DE7" w:rsidRPr="00793DE7">
              <w:rPr>
                <w:rStyle w:val="Hyperlink"/>
                <w:noProof/>
                <w:color w:val="auto"/>
              </w:rPr>
              <w:t>1.3</w:t>
            </w:r>
            <w:r w:rsidR="00793DE7" w:rsidRPr="00793DE7">
              <w:rPr>
                <w:rFonts w:asciiTheme="minorHAnsi" w:eastAsiaTheme="minorEastAsia" w:hAnsiTheme="minorHAnsi"/>
                <w:noProof/>
                <w:sz w:val="22"/>
                <w:lang/>
              </w:rPr>
              <w:tab/>
            </w:r>
            <w:r w:rsidR="00793DE7" w:rsidRPr="00793DE7">
              <w:rPr>
                <w:rStyle w:val="Hyperlink"/>
                <w:noProof/>
                <w:color w:val="auto"/>
              </w:rPr>
              <w:t>IMAGERY AND CULTURAL IMPACT</w:t>
            </w:r>
            <w:r w:rsidR="00793DE7" w:rsidRPr="00793DE7">
              <w:rPr>
                <w:noProof/>
                <w:webHidden/>
              </w:rPr>
              <w:tab/>
            </w:r>
            <w:r w:rsidR="00793DE7" w:rsidRPr="00793DE7">
              <w:rPr>
                <w:noProof/>
                <w:webHidden/>
              </w:rPr>
              <w:fldChar w:fldCharType="begin"/>
            </w:r>
            <w:r w:rsidR="00793DE7" w:rsidRPr="00793DE7">
              <w:rPr>
                <w:noProof/>
                <w:webHidden/>
              </w:rPr>
              <w:instrText xml:space="preserve"> PAGEREF _Toc153389208 \h </w:instrText>
            </w:r>
            <w:r w:rsidR="00793DE7" w:rsidRPr="00793DE7">
              <w:rPr>
                <w:noProof/>
                <w:webHidden/>
              </w:rPr>
            </w:r>
            <w:r w:rsidR="00793DE7" w:rsidRPr="00793DE7">
              <w:rPr>
                <w:noProof/>
                <w:webHidden/>
              </w:rPr>
              <w:fldChar w:fldCharType="separate"/>
            </w:r>
            <w:r w:rsidR="00793DE7" w:rsidRPr="00793DE7">
              <w:rPr>
                <w:noProof/>
                <w:webHidden/>
              </w:rPr>
              <w:t>3</w:t>
            </w:r>
            <w:r w:rsidR="00793DE7" w:rsidRPr="00793DE7">
              <w:rPr>
                <w:noProof/>
                <w:webHidden/>
              </w:rPr>
              <w:fldChar w:fldCharType="end"/>
            </w:r>
          </w:hyperlink>
        </w:p>
        <w:p w14:paraId="63FD0F2A" w14:textId="58456B25" w:rsidR="00793DE7" w:rsidRPr="00793DE7" w:rsidRDefault="00CC02B8" w:rsidP="00793DE7">
          <w:pPr>
            <w:pStyle w:val="TOC2"/>
            <w:tabs>
              <w:tab w:val="left" w:pos="880"/>
              <w:tab w:val="right" w:leader="dot" w:pos="9016"/>
            </w:tabs>
            <w:rPr>
              <w:rFonts w:asciiTheme="minorHAnsi" w:eastAsiaTheme="minorEastAsia" w:hAnsiTheme="minorHAnsi"/>
              <w:noProof/>
              <w:sz w:val="22"/>
              <w:lang/>
            </w:rPr>
          </w:pPr>
          <w:hyperlink w:anchor="_Toc153389209" w:history="1">
            <w:r w:rsidR="00793DE7" w:rsidRPr="00793DE7">
              <w:rPr>
                <w:rStyle w:val="Hyperlink"/>
                <w:noProof/>
                <w:color w:val="auto"/>
              </w:rPr>
              <w:t>1.4</w:t>
            </w:r>
            <w:r w:rsidR="00793DE7" w:rsidRPr="00793DE7">
              <w:rPr>
                <w:rFonts w:asciiTheme="minorHAnsi" w:eastAsiaTheme="minorEastAsia" w:hAnsiTheme="minorHAnsi"/>
                <w:noProof/>
                <w:sz w:val="22"/>
                <w:lang/>
              </w:rPr>
              <w:tab/>
            </w:r>
            <w:r w:rsidR="00793DE7" w:rsidRPr="00793DE7">
              <w:rPr>
                <w:rStyle w:val="Hyperlink"/>
                <w:noProof/>
                <w:color w:val="auto"/>
              </w:rPr>
              <w:t>APPROACHES TO DEVELOPMENT</w:t>
            </w:r>
            <w:r w:rsidR="00793DE7" w:rsidRPr="00793DE7">
              <w:rPr>
                <w:noProof/>
                <w:webHidden/>
              </w:rPr>
              <w:tab/>
            </w:r>
            <w:r w:rsidR="00793DE7" w:rsidRPr="00793DE7">
              <w:rPr>
                <w:noProof/>
                <w:webHidden/>
              </w:rPr>
              <w:fldChar w:fldCharType="begin"/>
            </w:r>
            <w:r w:rsidR="00793DE7" w:rsidRPr="00793DE7">
              <w:rPr>
                <w:noProof/>
                <w:webHidden/>
              </w:rPr>
              <w:instrText xml:space="preserve"> PAGEREF _Toc153389209 \h </w:instrText>
            </w:r>
            <w:r w:rsidR="00793DE7" w:rsidRPr="00793DE7">
              <w:rPr>
                <w:noProof/>
                <w:webHidden/>
              </w:rPr>
            </w:r>
            <w:r w:rsidR="00793DE7" w:rsidRPr="00793DE7">
              <w:rPr>
                <w:noProof/>
                <w:webHidden/>
              </w:rPr>
              <w:fldChar w:fldCharType="separate"/>
            </w:r>
            <w:r w:rsidR="00793DE7" w:rsidRPr="00793DE7">
              <w:rPr>
                <w:noProof/>
                <w:webHidden/>
              </w:rPr>
              <w:t>4</w:t>
            </w:r>
            <w:r w:rsidR="00793DE7" w:rsidRPr="00793DE7">
              <w:rPr>
                <w:noProof/>
                <w:webHidden/>
              </w:rPr>
              <w:fldChar w:fldCharType="end"/>
            </w:r>
          </w:hyperlink>
        </w:p>
        <w:p w14:paraId="7E3BB41E" w14:textId="508B1AC7" w:rsidR="00793DE7" w:rsidRPr="00793DE7" w:rsidRDefault="00CC02B8" w:rsidP="00793DE7">
          <w:pPr>
            <w:pStyle w:val="TOC2"/>
            <w:tabs>
              <w:tab w:val="left" w:pos="880"/>
              <w:tab w:val="right" w:leader="dot" w:pos="9016"/>
            </w:tabs>
            <w:rPr>
              <w:rFonts w:asciiTheme="minorHAnsi" w:eastAsiaTheme="minorEastAsia" w:hAnsiTheme="minorHAnsi"/>
              <w:noProof/>
              <w:sz w:val="22"/>
              <w:lang/>
            </w:rPr>
          </w:pPr>
          <w:hyperlink w:anchor="_Toc153389210" w:history="1">
            <w:r w:rsidR="00793DE7" w:rsidRPr="00793DE7">
              <w:rPr>
                <w:rStyle w:val="Hyperlink"/>
                <w:noProof/>
                <w:color w:val="auto"/>
              </w:rPr>
              <w:t>1.5</w:t>
            </w:r>
            <w:r w:rsidR="00793DE7" w:rsidRPr="00793DE7">
              <w:rPr>
                <w:rFonts w:asciiTheme="minorHAnsi" w:eastAsiaTheme="minorEastAsia" w:hAnsiTheme="minorHAnsi"/>
                <w:noProof/>
                <w:sz w:val="22"/>
                <w:lang/>
              </w:rPr>
              <w:tab/>
            </w:r>
            <w:r w:rsidR="00793DE7" w:rsidRPr="00793DE7">
              <w:rPr>
                <w:rStyle w:val="Hyperlink"/>
                <w:noProof/>
                <w:color w:val="auto"/>
              </w:rPr>
              <w:t>BEHAVIOURAL CHANGE AND CHALLENGES</w:t>
            </w:r>
            <w:r w:rsidR="00793DE7" w:rsidRPr="00793DE7">
              <w:rPr>
                <w:noProof/>
                <w:webHidden/>
              </w:rPr>
              <w:tab/>
            </w:r>
            <w:r w:rsidR="00793DE7" w:rsidRPr="00793DE7">
              <w:rPr>
                <w:noProof/>
                <w:webHidden/>
              </w:rPr>
              <w:fldChar w:fldCharType="begin"/>
            </w:r>
            <w:r w:rsidR="00793DE7" w:rsidRPr="00793DE7">
              <w:rPr>
                <w:noProof/>
                <w:webHidden/>
              </w:rPr>
              <w:instrText xml:space="preserve"> PAGEREF _Toc153389210 \h </w:instrText>
            </w:r>
            <w:r w:rsidR="00793DE7" w:rsidRPr="00793DE7">
              <w:rPr>
                <w:noProof/>
                <w:webHidden/>
              </w:rPr>
            </w:r>
            <w:r w:rsidR="00793DE7" w:rsidRPr="00793DE7">
              <w:rPr>
                <w:noProof/>
                <w:webHidden/>
              </w:rPr>
              <w:fldChar w:fldCharType="separate"/>
            </w:r>
            <w:r w:rsidR="00793DE7" w:rsidRPr="00793DE7">
              <w:rPr>
                <w:noProof/>
                <w:webHidden/>
              </w:rPr>
              <w:t>5</w:t>
            </w:r>
            <w:r w:rsidR="00793DE7" w:rsidRPr="00793DE7">
              <w:rPr>
                <w:noProof/>
                <w:webHidden/>
              </w:rPr>
              <w:fldChar w:fldCharType="end"/>
            </w:r>
          </w:hyperlink>
        </w:p>
        <w:p w14:paraId="5379D863" w14:textId="57E598D7" w:rsidR="00793DE7" w:rsidRPr="00793DE7" w:rsidRDefault="00CC02B8" w:rsidP="00793DE7">
          <w:pPr>
            <w:pStyle w:val="TOC2"/>
            <w:tabs>
              <w:tab w:val="left" w:pos="880"/>
              <w:tab w:val="right" w:leader="dot" w:pos="9016"/>
            </w:tabs>
            <w:rPr>
              <w:rFonts w:asciiTheme="minorHAnsi" w:eastAsiaTheme="minorEastAsia" w:hAnsiTheme="minorHAnsi"/>
              <w:noProof/>
              <w:sz w:val="22"/>
              <w:lang/>
            </w:rPr>
          </w:pPr>
          <w:hyperlink w:anchor="_Toc153389211" w:history="1">
            <w:r w:rsidR="00793DE7" w:rsidRPr="00793DE7">
              <w:rPr>
                <w:rStyle w:val="Hyperlink"/>
                <w:noProof/>
                <w:color w:val="auto"/>
              </w:rPr>
              <w:t>1.6</w:t>
            </w:r>
            <w:r w:rsidR="00793DE7" w:rsidRPr="00793DE7">
              <w:rPr>
                <w:rFonts w:asciiTheme="minorHAnsi" w:eastAsiaTheme="minorEastAsia" w:hAnsiTheme="minorHAnsi"/>
                <w:noProof/>
                <w:sz w:val="22"/>
                <w:lang/>
              </w:rPr>
              <w:tab/>
            </w:r>
            <w:r w:rsidR="00793DE7" w:rsidRPr="00793DE7">
              <w:rPr>
                <w:rStyle w:val="Hyperlink"/>
                <w:noProof/>
                <w:color w:val="auto"/>
              </w:rPr>
              <w:t>ANALYSIS</w:t>
            </w:r>
            <w:r w:rsidR="00793DE7" w:rsidRPr="00793DE7">
              <w:rPr>
                <w:noProof/>
                <w:webHidden/>
              </w:rPr>
              <w:tab/>
            </w:r>
            <w:r w:rsidR="00793DE7" w:rsidRPr="00793DE7">
              <w:rPr>
                <w:noProof/>
                <w:webHidden/>
              </w:rPr>
              <w:fldChar w:fldCharType="begin"/>
            </w:r>
            <w:r w:rsidR="00793DE7" w:rsidRPr="00793DE7">
              <w:rPr>
                <w:noProof/>
                <w:webHidden/>
              </w:rPr>
              <w:instrText xml:space="preserve"> PAGEREF _Toc153389211 \h </w:instrText>
            </w:r>
            <w:r w:rsidR="00793DE7" w:rsidRPr="00793DE7">
              <w:rPr>
                <w:noProof/>
                <w:webHidden/>
              </w:rPr>
            </w:r>
            <w:r w:rsidR="00793DE7" w:rsidRPr="00793DE7">
              <w:rPr>
                <w:noProof/>
                <w:webHidden/>
              </w:rPr>
              <w:fldChar w:fldCharType="separate"/>
            </w:r>
            <w:r w:rsidR="00793DE7" w:rsidRPr="00793DE7">
              <w:rPr>
                <w:noProof/>
                <w:webHidden/>
              </w:rPr>
              <w:t>6</w:t>
            </w:r>
            <w:r w:rsidR="00793DE7" w:rsidRPr="00793DE7">
              <w:rPr>
                <w:noProof/>
                <w:webHidden/>
              </w:rPr>
              <w:fldChar w:fldCharType="end"/>
            </w:r>
          </w:hyperlink>
        </w:p>
        <w:p w14:paraId="046F209D" w14:textId="2535CF2B" w:rsidR="00793DE7" w:rsidRPr="00793DE7" w:rsidRDefault="00CC02B8" w:rsidP="00793DE7">
          <w:pPr>
            <w:pStyle w:val="TOC2"/>
            <w:tabs>
              <w:tab w:val="left" w:pos="880"/>
              <w:tab w:val="right" w:leader="dot" w:pos="9016"/>
            </w:tabs>
            <w:rPr>
              <w:rFonts w:asciiTheme="minorHAnsi" w:eastAsiaTheme="minorEastAsia" w:hAnsiTheme="minorHAnsi"/>
              <w:noProof/>
              <w:sz w:val="22"/>
              <w:lang/>
            </w:rPr>
          </w:pPr>
          <w:hyperlink w:anchor="_Toc153389212" w:history="1">
            <w:r w:rsidR="00793DE7" w:rsidRPr="00793DE7">
              <w:rPr>
                <w:rStyle w:val="Hyperlink"/>
                <w:noProof/>
                <w:color w:val="auto"/>
              </w:rPr>
              <w:t>1.7</w:t>
            </w:r>
            <w:r w:rsidR="00793DE7" w:rsidRPr="00793DE7">
              <w:rPr>
                <w:rFonts w:asciiTheme="minorHAnsi" w:eastAsiaTheme="minorEastAsia" w:hAnsiTheme="minorHAnsi"/>
                <w:noProof/>
                <w:sz w:val="22"/>
                <w:lang/>
              </w:rPr>
              <w:tab/>
            </w:r>
            <w:r w:rsidR="00793DE7" w:rsidRPr="00793DE7">
              <w:rPr>
                <w:rStyle w:val="Hyperlink"/>
                <w:noProof/>
                <w:color w:val="auto"/>
              </w:rPr>
              <w:t>RECOMMENDATIONS</w:t>
            </w:r>
            <w:r w:rsidR="00793DE7" w:rsidRPr="00793DE7">
              <w:rPr>
                <w:noProof/>
                <w:webHidden/>
              </w:rPr>
              <w:tab/>
            </w:r>
            <w:r w:rsidR="00793DE7" w:rsidRPr="00793DE7">
              <w:rPr>
                <w:noProof/>
                <w:webHidden/>
              </w:rPr>
              <w:fldChar w:fldCharType="begin"/>
            </w:r>
            <w:r w:rsidR="00793DE7" w:rsidRPr="00793DE7">
              <w:rPr>
                <w:noProof/>
                <w:webHidden/>
              </w:rPr>
              <w:instrText xml:space="preserve"> PAGEREF _Toc153389212 \h </w:instrText>
            </w:r>
            <w:r w:rsidR="00793DE7" w:rsidRPr="00793DE7">
              <w:rPr>
                <w:noProof/>
                <w:webHidden/>
              </w:rPr>
            </w:r>
            <w:r w:rsidR="00793DE7" w:rsidRPr="00793DE7">
              <w:rPr>
                <w:noProof/>
                <w:webHidden/>
              </w:rPr>
              <w:fldChar w:fldCharType="separate"/>
            </w:r>
            <w:r w:rsidR="00793DE7" w:rsidRPr="00793DE7">
              <w:rPr>
                <w:noProof/>
                <w:webHidden/>
              </w:rPr>
              <w:t>7</w:t>
            </w:r>
            <w:r w:rsidR="00793DE7" w:rsidRPr="00793DE7">
              <w:rPr>
                <w:noProof/>
                <w:webHidden/>
              </w:rPr>
              <w:fldChar w:fldCharType="end"/>
            </w:r>
          </w:hyperlink>
        </w:p>
        <w:p w14:paraId="3642E7ED" w14:textId="13D0BEE1" w:rsidR="00793DE7" w:rsidRPr="00793DE7" w:rsidRDefault="00CC02B8" w:rsidP="00793DE7">
          <w:pPr>
            <w:pStyle w:val="TOC1"/>
            <w:rPr>
              <w:rFonts w:asciiTheme="minorHAnsi" w:eastAsiaTheme="minorEastAsia" w:hAnsiTheme="minorHAnsi"/>
              <w:noProof/>
              <w:sz w:val="22"/>
              <w:lang/>
            </w:rPr>
          </w:pPr>
          <w:hyperlink w:anchor="_Toc153389213" w:history="1">
            <w:r w:rsidR="00793DE7" w:rsidRPr="00793DE7">
              <w:rPr>
                <w:rStyle w:val="Hyperlink"/>
                <w:noProof/>
                <w:color w:val="auto"/>
              </w:rPr>
              <w:t>REFERENCES</w:t>
            </w:r>
            <w:r w:rsidR="00793DE7" w:rsidRPr="00793DE7">
              <w:rPr>
                <w:noProof/>
                <w:webHidden/>
              </w:rPr>
              <w:tab/>
            </w:r>
            <w:r w:rsidR="00793DE7" w:rsidRPr="00793DE7">
              <w:rPr>
                <w:noProof/>
                <w:webHidden/>
              </w:rPr>
              <w:fldChar w:fldCharType="begin"/>
            </w:r>
            <w:r w:rsidR="00793DE7" w:rsidRPr="00793DE7">
              <w:rPr>
                <w:noProof/>
                <w:webHidden/>
              </w:rPr>
              <w:instrText xml:space="preserve"> PAGEREF _Toc153389213 \h </w:instrText>
            </w:r>
            <w:r w:rsidR="00793DE7" w:rsidRPr="00793DE7">
              <w:rPr>
                <w:noProof/>
                <w:webHidden/>
              </w:rPr>
            </w:r>
            <w:r w:rsidR="00793DE7" w:rsidRPr="00793DE7">
              <w:rPr>
                <w:noProof/>
                <w:webHidden/>
              </w:rPr>
              <w:fldChar w:fldCharType="separate"/>
            </w:r>
            <w:r w:rsidR="00793DE7" w:rsidRPr="00793DE7">
              <w:rPr>
                <w:noProof/>
                <w:webHidden/>
              </w:rPr>
              <w:t>8</w:t>
            </w:r>
            <w:r w:rsidR="00793DE7" w:rsidRPr="00793DE7">
              <w:rPr>
                <w:noProof/>
                <w:webHidden/>
              </w:rPr>
              <w:fldChar w:fldCharType="end"/>
            </w:r>
          </w:hyperlink>
        </w:p>
        <w:p w14:paraId="50A89E39" w14:textId="4A377004" w:rsidR="00793DE7" w:rsidRDefault="00793DE7" w:rsidP="00793DE7">
          <w:r w:rsidRPr="00793DE7">
            <w:rPr>
              <w:b/>
              <w:bCs/>
              <w:noProof/>
            </w:rPr>
            <w:fldChar w:fldCharType="end"/>
          </w:r>
        </w:p>
      </w:sdtContent>
    </w:sdt>
    <w:p w14:paraId="0DE6589E" w14:textId="77777777" w:rsidR="00793DE7" w:rsidRDefault="00793DE7" w:rsidP="00793DE7">
      <w:pPr>
        <w:rPr>
          <w:lang w:val="en-GB"/>
        </w:rPr>
        <w:sectPr w:rsidR="00793DE7" w:rsidSect="00C65F04">
          <w:pgSz w:w="11906" w:h="16838"/>
          <w:pgMar w:top="1440" w:right="1440" w:bottom="1440" w:left="1440" w:header="708" w:footer="708" w:gutter="0"/>
          <w:cols w:space="708"/>
          <w:docGrid w:linePitch="360"/>
        </w:sectPr>
      </w:pPr>
    </w:p>
    <w:p w14:paraId="48EEFBEA" w14:textId="5DB87F79" w:rsidR="004B3B8E" w:rsidRPr="004B3B8E" w:rsidRDefault="004B3B8E" w:rsidP="004B3B8E">
      <w:pPr>
        <w:pStyle w:val="Heading1"/>
        <w:spacing w:after="240"/>
        <w:jc w:val="center"/>
      </w:pPr>
      <w:bookmarkStart w:id="0" w:name="_Toc153389205"/>
      <w:r w:rsidRPr="004B3B8E">
        <w:lastRenderedPageBreak/>
        <w:t>REPORT: DEVELOPING A LOCAL COMMUNITY</w:t>
      </w:r>
      <w:r>
        <w:t xml:space="preserve"> (BRIXTON)</w:t>
      </w:r>
      <w:bookmarkEnd w:id="0"/>
    </w:p>
    <w:p w14:paraId="4B96AC57" w14:textId="1188A0C4" w:rsidR="00F51B2D" w:rsidRPr="004B3B8E" w:rsidRDefault="004B3B8E" w:rsidP="004B3B8E">
      <w:pPr>
        <w:pStyle w:val="Heading2"/>
      </w:pPr>
      <w:bookmarkStart w:id="1" w:name="_Toc153389206"/>
      <w:r w:rsidRPr="004B3B8E">
        <w:t>INTRODUCTION</w:t>
      </w:r>
      <w:bookmarkEnd w:id="1"/>
    </w:p>
    <w:p w14:paraId="459A9902" w14:textId="6670BB47" w:rsidR="00777EF0" w:rsidRPr="00677EE4" w:rsidRDefault="00677EE4" w:rsidP="000F3806">
      <w:pPr>
        <w:jc w:val="both"/>
        <w:rPr>
          <w:lang w:val="en-GB"/>
        </w:rPr>
      </w:pPr>
      <w:r w:rsidRPr="00677EE4">
        <w:rPr>
          <w:lang w:val="en-GB"/>
        </w:rPr>
        <w:t>Brixton, a</w:t>
      </w:r>
      <w:r>
        <w:rPr>
          <w:lang w:val="en-GB"/>
        </w:rPr>
        <w:t>n</w:t>
      </w:r>
      <w:r w:rsidRPr="00677EE4">
        <w:rPr>
          <w:lang w:val="en-GB"/>
        </w:rPr>
        <w:t xml:space="preserve"> </w:t>
      </w:r>
      <w:r>
        <w:rPr>
          <w:lang w:val="en-GB"/>
        </w:rPr>
        <w:t xml:space="preserve">active community </w:t>
      </w:r>
      <w:r w:rsidRPr="00677EE4">
        <w:rPr>
          <w:lang w:val="en-GB"/>
        </w:rPr>
        <w:t>with a diverse population from all over the world, epitomizes urban life in the United Kingdom (UK) and is located in the London Borough of Lambeth (Mayor of London, 2008).</w:t>
      </w:r>
    </w:p>
    <w:p w14:paraId="4795CE2C" w14:textId="4A39D37E" w:rsidR="00A27C0A" w:rsidRDefault="00677EE4" w:rsidP="000F3806">
      <w:pPr>
        <w:jc w:val="both"/>
      </w:pPr>
      <w:r w:rsidRPr="00677EE4">
        <w:t>Since the 19th century, Brixton, which was once a tranquil rural area, has evolved into a bustling neighborhood that is a fusion of various cultures and cus</w:t>
      </w:r>
      <w:r>
        <w:t>toms (History of Brixton, 2008)</w:t>
      </w:r>
      <w:r w:rsidR="000F3806" w:rsidRPr="000F3806">
        <w:t xml:space="preserve">. </w:t>
      </w:r>
      <w:r w:rsidRPr="00677EE4">
        <w:t>Understanding Brixton's growth and evolution is crucial, ev</w:t>
      </w:r>
      <w:r>
        <w:t xml:space="preserve">en outside its physical bounds as </w:t>
      </w:r>
      <w:r w:rsidR="00C1687B">
        <w:t>i</w:t>
      </w:r>
      <w:r w:rsidRPr="00677EE4">
        <w:t xml:space="preserve">t serves as a depiction of the various substance that permeates London and offers a unique viewpoint on the challenges and successes faced by metropolitan communities across the United Kingdom. </w:t>
      </w:r>
      <w:r w:rsidR="00682003">
        <w:t>(One Journey, 2023)</w:t>
      </w:r>
      <w:r w:rsidR="000F3806" w:rsidRPr="000F3806">
        <w:t xml:space="preserve">. Furthermore, </w:t>
      </w:r>
      <w:r w:rsidR="002033DA" w:rsidRPr="002033DA">
        <w:t>Brixton's diverse population and cultural heritage make it a microcosm of the UK's multicultural society. Exploring its development sheds light on issues of immigration, integration, and multiculturalism that are relevant across the country.</w:t>
      </w:r>
      <w:r w:rsidR="007B6241">
        <w:rPr>
          <w:lang w:val="en-GB"/>
        </w:rPr>
        <w:t xml:space="preserve"> </w:t>
      </w:r>
      <w:r w:rsidR="007B6241">
        <w:t>(Lambeth Council, 2023)</w:t>
      </w:r>
      <w:r w:rsidR="000F3806" w:rsidRPr="000F3806">
        <w:t>.</w:t>
      </w:r>
    </w:p>
    <w:p w14:paraId="70A0CB09" w14:textId="0E37E34C" w:rsidR="00F51B2D" w:rsidRPr="00F51B2D" w:rsidRDefault="004B3B8E" w:rsidP="004B3B8E">
      <w:pPr>
        <w:pStyle w:val="Heading2"/>
      </w:pPr>
      <w:bookmarkStart w:id="2" w:name="_Toc153389207"/>
      <w:r w:rsidRPr="00F51B2D">
        <w:t>BACKGROUND</w:t>
      </w:r>
      <w:bookmarkEnd w:id="2"/>
    </w:p>
    <w:p w14:paraId="3E1ED836" w14:textId="597F76CF" w:rsidR="002033DA" w:rsidRPr="002033DA" w:rsidRDefault="002033DA" w:rsidP="002033DA">
      <w:pPr>
        <w:jc w:val="both"/>
        <w:rPr>
          <w:lang w:val="en-GB"/>
        </w:rPr>
      </w:pPr>
      <w:r w:rsidRPr="002033DA">
        <w:t>Brixton's history is rich and diverse, spanning centuries of development from a rural area to a vibrant urban district</w:t>
      </w:r>
      <w:r>
        <w:rPr>
          <w:lang w:val="en-GB"/>
        </w:rPr>
        <w:t xml:space="preserve">. </w:t>
      </w:r>
      <w:r w:rsidRPr="002033DA">
        <w:rPr>
          <w:lang w:val="en-GB"/>
        </w:rPr>
        <w:t xml:space="preserve">Brixton's origins can be traced back to Anglo-Saxon times when it was a small settlement in the countryside of Surrey. The name "Brixton" is believed to have Celtic origins, possibly meaning "the stone of </w:t>
      </w:r>
      <w:proofErr w:type="spellStart"/>
      <w:r w:rsidRPr="002033DA">
        <w:rPr>
          <w:lang w:val="en-GB"/>
        </w:rPr>
        <w:t>Brixi</w:t>
      </w:r>
      <w:proofErr w:type="spellEnd"/>
      <w:r w:rsidRPr="002033DA">
        <w:rPr>
          <w:lang w:val="en-GB"/>
        </w:rPr>
        <w:t>," referring to a local landmark</w:t>
      </w:r>
      <w:r>
        <w:rPr>
          <w:lang w:val="en-GB"/>
        </w:rPr>
        <w:t xml:space="preserve"> (M</w:t>
      </w:r>
      <w:r w:rsidR="00AC7E61">
        <w:rPr>
          <w:lang w:val="en-GB"/>
        </w:rPr>
        <w:t>ills, 2011</w:t>
      </w:r>
      <w:r>
        <w:rPr>
          <w:lang w:val="en-GB"/>
        </w:rPr>
        <w:t>)</w:t>
      </w:r>
      <w:r w:rsidRPr="002033DA">
        <w:rPr>
          <w:lang w:val="en-GB"/>
        </w:rPr>
        <w:t>.</w:t>
      </w:r>
    </w:p>
    <w:p w14:paraId="40597153" w14:textId="403F26E7" w:rsidR="002033DA" w:rsidRPr="002033DA" w:rsidRDefault="002033DA" w:rsidP="002033DA">
      <w:pPr>
        <w:jc w:val="both"/>
        <w:rPr>
          <w:lang w:val="en-GB"/>
        </w:rPr>
      </w:pPr>
      <w:r w:rsidRPr="002033DA">
        <w:rPr>
          <w:lang w:val="en-GB"/>
        </w:rPr>
        <w:t>For much of its history, Brixton remained a rural village surrounded by farmland and woods. It was known for its agricultural produce and market gardens, supplying fresh produce to the growing city of London.</w:t>
      </w:r>
      <w:r w:rsidR="00970895">
        <w:rPr>
          <w:lang w:val="en-GB"/>
        </w:rPr>
        <w:t xml:space="preserve"> (Survey of London, 1956)</w:t>
      </w:r>
    </w:p>
    <w:p w14:paraId="11102943" w14:textId="517DAEC5" w:rsidR="002033DA" w:rsidRPr="002033DA" w:rsidRDefault="002033DA" w:rsidP="002033DA">
      <w:pPr>
        <w:jc w:val="both"/>
        <w:rPr>
          <w:lang w:val="en-GB"/>
        </w:rPr>
      </w:pPr>
      <w:r w:rsidRPr="002033DA">
        <w:rPr>
          <w:lang w:val="en-GB"/>
        </w:rPr>
        <w:t>Brixton began to urbanize rapidly in the 19th century with the expansion of London's urban area. The arrival of the railway in the mid-19th century facilitated this growth, making Brixton more accessible from central London and attracting new residents.</w:t>
      </w:r>
      <w:r w:rsidR="00970895">
        <w:rPr>
          <w:lang w:val="en-GB"/>
        </w:rPr>
        <w:t xml:space="preserve"> (</w:t>
      </w:r>
      <w:r w:rsidR="00970895">
        <w:t>Cherry and Pevsner</w:t>
      </w:r>
      <w:r w:rsidR="00970895">
        <w:rPr>
          <w:lang w:val="en-GB"/>
        </w:rPr>
        <w:t>,</w:t>
      </w:r>
      <w:r w:rsidR="00970895" w:rsidRPr="00970895">
        <w:t xml:space="preserve"> </w:t>
      </w:r>
      <w:r w:rsidR="00970895">
        <w:t>1983</w:t>
      </w:r>
      <w:r w:rsidR="00970895">
        <w:rPr>
          <w:lang w:val="en-GB"/>
        </w:rPr>
        <w:t xml:space="preserve">). </w:t>
      </w:r>
      <w:r w:rsidRPr="002033DA">
        <w:rPr>
          <w:lang w:val="en-GB"/>
        </w:rPr>
        <w:t>During the Victorian era, Brixton saw significant development with the construction of terraced houses, shops, and public buildings. It became a bustling suburb with a diverse population, including middle-class families, artisans, and immigrants.</w:t>
      </w:r>
      <w:r w:rsidR="00970895">
        <w:rPr>
          <w:lang w:val="en-GB"/>
        </w:rPr>
        <w:t xml:space="preserve"> (</w:t>
      </w:r>
      <w:r w:rsidR="00970895" w:rsidRPr="00970895">
        <w:t>Cherry and Pevsner</w:t>
      </w:r>
      <w:r w:rsidR="00970895" w:rsidRPr="00970895">
        <w:rPr>
          <w:lang w:val="en-GB"/>
        </w:rPr>
        <w:t>,</w:t>
      </w:r>
      <w:r w:rsidR="00970895" w:rsidRPr="00970895">
        <w:t xml:space="preserve"> 1983</w:t>
      </w:r>
      <w:r w:rsidR="00970895" w:rsidRPr="00970895">
        <w:rPr>
          <w:lang w:val="en-GB"/>
        </w:rPr>
        <w:t>)</w:t>
      </w:r>
      <w:r w:rsidR="00970895">
        <w:rPr>
          <w:lang w:val="en-GB"/>
        </w:rPr>
        <w:t>.</w:t>
      </w:r>
    </w:p>
    <w:p w14:paraId="3BD9CFF6" w14:textId="3C86E3AA" w:rsidR="002033DA" w:rsidRPr="002033DA" w:rsidRDefault="002033DA" w:rsidP="002033DA">
      <w:pPr>
        <w:jc w:val="both"/>
        <w:rPr>
          <w:lang w:val="en-GB"/>
        </w:rPr>
      </w:pPr>
      <w:r w:rsidRPr="002033DA">
        <w:rPr>
          <w:lang w:val="en-GB"/>
        </w:rPr>
        <w:t xml:space="preserve">Brixton has long been known for its cultural diversity, shaped by waves of immigration from the Caribbean, Africa, and other parts of the world. The post-World War II period saw a large </w:t>
      </w:r>
      <w:r w:rsidRPr="002033DA">
        <w:rPr>
          <w:lang w:val="en-GB"/>
        </w:rPr>
        <w:lastRenderedPageBreak/>
        <w:t>influx of Caribbean immigrants, contributing to Brixton's vibrant multicultural identity.</w:t>
      </w:r>
      <w:r w:rsidR="00970895">
        <w:rPr>
          <w:lang w:val="en-GB"/>
        </w:rPr>
        <w:t xml:space="preserve"> (Davidson, 1999)</w:t>
      </w:r>
      <w:r w:rsidR="00AC7E61">
        <w:rPr>
          <w:lang w:val="en-GB"/>
        </w:rPr>
        <w:t xml:space="preserve">. </w:t>
      </w:r>
      <w:r w:rsidRPr="002033DA">
        <w:rPr>
          <w:lang w:val="en-GB"/>
        </w:rPr>
        <w:t>Brixton gained national attention in the 1980s due to social unrest and tensions between the police and the local community. The Brixton riots of 1981 and 1985 highlighted issues of racial discrimination, unemployment, and police brutality, leading to calls for social and economic reform.</w:t>
      </w:r>
      <w:r w:rsidR="00970895">
        <w:rPr>
          <w:lang w:val="en-GB"/>
        </w:rPr>
        <w:t xml:space="preserve"> (Scarman, 1981)</w:t>
      </w:r>
    </w:p>
    <w:p w14:paraId="454E29B8" w14:textId="4DB47ABA" w:rsidR="00AC7E61" w:rsidRDefault="002033DA" w:rsidP="002033DA">
      <w:pPr>
        <w:jc w:val="both"/>
        <w:rPr>
          <w:lang w:val="en-GB"/>
        </w:rPr>
      </w:pPr>
      <w:r w:rsidRPr="002033DA">
        <w:rPr>
          <w:lang w:val="en-GB"/>
        </w:rPr>
        <w:t>In recent decades, Brixton has undergone regeneration efforts aimed at revitalizing the area and improving infrastructure. However, these initiatives have also led to gentrification and concerns about the displacement of long-term residents and the loss of community identity.</w:t>
      </w:r>
      <w:r w:rsidR="00970895">
        <w:rPr>
          <w:lang w:val="en-GB"/>
        </w:rPr>
        <w:t xml:space="preserve"> (London Borough of Lambeth, 2017).</w:t>
      </w:r>
      <w:r w:rsidR="00AC7E61">
        <w:rPr>
          <w:lang w:val="en-GB"/>
        </w:rPr>
        <w:t xml:space="preserve"> </w:t>
      </w:r>
      <w:r w:rsidR="00970895">
        <w:rPr>
          <w:lang w:val="en-GB"/>
        </w:rPr>
        <w:t>Furthermore,</w:t>
      </w:r>
      <w:r w:rsidRPr="002033DA">
        <w:rPr>
          <w:lang w:val="en-GB"/>
        </w:rPr>
        <w:t xml:space="preserve"> Brixton is a dynamic cultural hub known for its music scene, street markets, and diverse culinary offerings. It continues to attract people from all backgrounds, drawn by its lively atmosphere and sense of community.</w:t>
      </w:r>
      <w:r w:rsidR="00970895">
        <w:rPr>
          <w:lang w:val="en-GB"/>
        </w:rPr>
        <w:t xml:space="preserve"> (</w:t>
      </w:r>
      <w:r w:rsidR="00AC7E61">
        <w:rPr>
          <w:lang w:val="en-GB"/>
        </w:rPr>
        <w:t>Chen, 2023</w:t>
      </w:r>
      <w:r w:rsidR="00970895">
        <w:rPr>
          <w:lang w:val="en-GB"/>
        </w:rPr>
        <w:t>)</w:t>
      </w:r>
      <w:r w:rsidR="00AC7E61">
        <w:rPr>
          <w:lang w:val="en-GB"/>
        </w:rPr>
        <w:t xml:space="preserve">. </w:t>
      </w:r>
    </w:p>
    <w:p w14:paraId="48E4EA9A" w14:textId="0260ABBB" w:rsidR="00327416" w:rsidRPr="00327416" w:rsidRDefault="00657048" w:rsidP="00327416">
      <w:pPr>
        <w:jc w:val="both"/>
        <w:rPr>
          <w:lang w:val="en-GB"/>
        </w:rPr>
      </w:pPr>
      <w:r w:rsidRPr="00657048">
        <w:t>Brixton's vibrant cultural landscape is largely a result of the advantages and drawbacks that the 20th century offered, most notably t</w:t>
      </w:r>
      <w:r>
        <w:t>he increasing rate of migration</w:t>
      </w:r>
      <w:r w:rsidR="00327416" w:rsidRPr="00327416">
        <w:rPr>
          <w:lang w:val="en-GB"/>
        </w:rPr>
        <w:t xml:space="preserve">. </w:t>
      </w:r>
      <w:r w:rsidRPr="00657048">
        <w:t>To be more precise, the wave of Windrush migrants left a lasting influence and contributed to the neighborhood's current ethnically diverse hub status (Haringey Council, 2023).</w:t>
      </w:r>
      <w:r w:rsidR="00327416" w:rsidRPr="00327416">
        <w:rPr>
          <w:lang w:val="en-GB"/>
        </w:rPr>
        <w:t xml:space="preserve"> </w:t>
      </w:r>
      <w:r w:rsidR="006A7D3D" w:rsidRPr="006A7D3D">
        <w:t xml:space="preserve">The travelers of the HMT Empire Windrush took off the following day after it arrived at the Port of Tilbury on June 21, 1948 </w:t>
      </w:r>
      <w:r w:rsidR="006A7D3D">
        <w:t>(Royal Museums Greenwich, 2022)</w:t>
      </w:r>
      <w:r w:rsidR="00327416" w:rsidRPr="00327416">
        <w:rPr>
          <w:lang w:val="en-GB"/>
        </w:rPr>
        <w:t xml:space="preserve">. </w:t>
      </w:r>
      <w:r w:rsidR="006A7D3D" w:rsidRPr="006A7D3D">
        <w:t>Among the 492 Caribbean refugees on board were numerous World War II military personnel. The Windrush Generation began with the ship and its passengers, which made a significant contribution. Given that Brixton was the labor exchange facility nearest to Ports, it was an ideal location for long-term habitation (Royal Museums Greenwich, 2022).</w:t>
      </w:r>
    </w:p>
    <w:p w14:paraId="632E38F1" w14:textId="56CA57EB" w:rsidR="002033DA" w:rsidRDefault="002033DA" w:rsidP="006F2ECF">
      <w:pPr>
        <w:jc w:val="both"/>
        <w:rPr>
          <w:lang w:val="en-GB"/>
        </w:rPr>
      </w:pPr>
      <w:r w:rsidRPr="002033DA">
        <w:rPr>
          <w:lang w:val="en-GB"/>
        </w:rPr>
        <w:t xml:space="preserve">Throughout its history, Brixton has evolved from a rural village to a vibrant urban </w:t>
      </w:r>
      <w:proofErr w:type="spellStart"/>
      <w:r w:rsidRPr="002033DA">
        <w:rPr>
          <w:lang w:val="en-GB"/>
        </w:rPr>
        <w:t>center</w:t>
      </w:r>
      <w:proofErr w:type="spellEnd"/>
      <w:r w:rsidRPr="002033DA">
        <w:rPr>
          <w:lang w:val="en-GB"/>
        </w:rPr>
        <w:t>, shaped by waves of immigration, social movements, and economic changes. Its rich cultural heritage and resilient community spirit make it a unique and enduring part of London's landscape.</w:t>
      </w:r>
    </w:p>
    <w:p w14:paraId="66910CD4" w14:textId="510BA425" w:rsidR="00470174" w:rsidRPr="004B3B8E" w:rsidRDefault="004B3B8E" w:rsidP="004B3B8E">
      <w:pPr>
        <w:pStyle w:val="Heading2"/>
      </w:pPr>
      <w:bookmarkStart w:id="3" w:name="_Toc153389208"/>
      <w:r w:rsidRPr="004B3B8E">
        <w:t>IMAGERY AND CULTURAL IMPACT</w:t>
      </w:r>
      <w:bookmarkEnd w:id="3"/>
    </w:p>
    <w:p w14:paraId="28BBBC9E" w14:textId="77777777" w:rsidR="00752414" w:rsidRDefault="00AF3174" w:rsidP="00963F4D">
      <w:pPr>
        <w:jc w:val="both"/>
      </w:pPr>
      <w:r w:rsidRPr="00AF3174">
        <w:t xml:space="preserve">Brixton's architecture serves as a visual narrative of its history, reflecting waves of immigration, urban development, and cultural evolution. </w:t>
      </w:r>
      <w:r>
        <w:rPr>
          <w:lang w:val="en-GB"/>
        </w:rPr>
        <w:t xml:space="preserve">It </w:t>
      </w:r>
      <w:r w:rsidRPr="00AF3174">
        <w:t>saw significant development during the Victorian era, characterized by rows of Victorian terraced houses built to accommodate the growing population.</w:t>
      </w:r>
      <w:r>
        <w:rPr>
          <w:lang w:val="en-GB"/>
        </w:rPr>
        <w:t xml:space="preserve"> </w:t>
      </w:r>
      <w:r w:rsidRPr="00AF3174">
        <w:t>These houses typically feature intricate brickwork, ornate facades, and bay windows, reflecting the architectural styles of the time.</w:t>
      </w:r>
    </w:p>
    <w:p w14:paraId="7C666EE8" w14:textId="4ED1D79A" w:rsidR="00752414" w:rsidRPr="00752414" w:rsidRDefault="00752414" w:rsidP="00752414">
      <w:pPr>
        <w:rPr>
          <w:b/>
          <w:lang w:val="en-GB"/>
        </w:rPr>
      </w:pPr>
      <w:r w:rsidRPr="00752414">
        <w:rPr>
          <w:b/>
          <w:lang w:val="en-GB"/>
        </w:rPr>
        <w:lastRenderedPageBreak/>
        <w:t>Figure 1</w:t>
      </w:r>
      <w:r w:rsidR="00F80D4F">
        <w:rPr>
          <w:b/>
          <w:lang w:val="en-GB"/>
        </w:rPr>
        <w:t>:</w:t>
      </w:r>
      <w:r w:rsidRPr="00752414">
        <w:rPr>
          <w:b/>
          <w:lang w:val="en-GB"/>
        </w:rPr>
        <w:t xml:space="preserve"> Victorian Terrace Houses at </w:t>
      </w:r>
      <w:proofErr w:type="spellStart"/>
      <w:r w:rsidRPr="00752414">
        <w:rPr>
          <w:b/>
          <w:lang w:val="en-GB"/>
        </w:rPr>
        <w:t>Saltaire</w:t>
      </w:r>
      <w:proofErr w:type="spellEnd"/>
      <w:r w:rsidRPr="00752414">
        <w:rPr>
          <w:b/>
          <w:lang w:val="en-GB"/>
        </w:rPr>
        <w:t xml:space="preserve">, </w:t>
      </w:r>
      <w:r w:rsidR="00F80D4F">
        <w:rPr>
          <w:b/>
          <w:lang w:val="en-GB"/>
        </w:rPr>
        <w:t>H</w:t>
      </w:r>
      <w:r w:rsidRPr="00752414">
        <w:rPr>
          <w:b/>
          <w:lang w:val="en-GB"/>
        </w:rPr>
        <w:t xml:space="preserve">eritage </w:t>
      </w:r>
      <w:r w:rsidR="00F80D4F">
        <w:rPr>
          <w:b/>
          <w:lang w:val="en-GB"/>
        </w:rPr>
        <w:t>V</w:t>
      </w:r>
      <w:r w:rsidRPr="00752414">
        <w:rPr>
          <w:b/>
          <w:lang w:val="en-GB"/>
        </w:rPr>
        <w:t>illage, Bradford</w:t>
      </w:r>
    </w:p>
    <w:p w14:paraId="3B5B6B0F" w14:textId="4276A836" w:rsidR="00752414" w:rsidRDefault="00752414" w:rsidP="00752414">
      <w:pPr>
        <w:jc w:val="center"/>
        <w:rPr>
          <w:lang w:val="en-GB"/>
        </w:rPr>
      </w:pPr>
      <w:r>
        <w:rPr>
          <w:noProof/>
          <w:lang w:val="en-US"/>
        </w:rPr>
        <w:drawing>
          <wp:inline distT="0" distB="0" distL="0" distR="0" wp14:anchorId="5D2006DE" wp14:editId="449CBAE0">
            <wp:extent cx="3618000" cy="2802002"/>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ictorian-terrace-houses-at-saltaire-heritage-village-bradford-S1B7WY.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18000" cy="2802002"/>
                    </a:xfrm>
                    <a:prstGeom prst="rect">
                      <a:avLst/>
                    </a:prstGeom>
                  </pic:spPr>
                </pic:pic>
              </a:graphicData>
            </a:graphic>
          </wp:inline>
        </w:drawing>
      </w:r>
    </w:p>
    <w:p w14:paraId="438668AF" w14:textId="68B52ACA" w:rsidR="00752414" w:rsidRPr="00793403" w:rsidRDefault="00752414" w:rsidP="00F80D4F">
      <w:pPr>
        <w:jc w:val="center"/>
      </w:pPr>
      <w:r w:rsidRPr="00CA704F">
        <w:rPr>
          <w:i/>
          <w:lang w:val="fr-FR"/>
        </w:rPr>
        <w:t>Source:</w:t>
      </w:r>
      <w:r w:rsidR="0068165C" w:rsidRPr="00CA704F">
        <w:rPr>
          <w:i/>
          <w:lang w:val="fr-FR"/>
        </w:rPr>
        <w:t xml:space="preserve"> (</w:t>
      </w:r>
      <w:r w:rsidR="00793403" w:rsidRPr="00CA704F">
        <w:rPr>
          <w:i/>
          <w:lang w:val="fr-FR"/>
        </w:rPr>
        <w:t>https://www.alamy.com/stock-photo-victorian-terrace-houses-at-saltaire-heritage-village-bradford-310648967.html</w:t>
      </w:r>
      <w:r w:rsidR="0068165C" w:rsidRPr="00CA704F">
        <w:rPr>
          <w:i/>
          <w:lang w:val="fr-FR"/>
        </w:rPr>
        <w:t>)</w:t>
      </w:r>
    </w:p>
    <w:p w14:paraId="19F08D7D" w14:textId="368C9EC6" w:rsidR="00752414" w:rsidRPr="00A805E4" w:rsidRDefault="00F80D4F" w:rsidP="00963F4D">
      <w:pPr>
        <w:jc w:val="both"/>
        <w:rPr>
          <w:lang w:val="en-GB"/>
        </w:rPr>
      </w:pPr>
      <w:r>
        <w:rPr>
          <w:lang w:val="en-GB"/>
        </w:rPr>
        <w:t xml:space="preserve">Furthermore, </w:t>
      </w:r>
      <w:proofErr w:type="spellStart"/>
      <w:r>
        <w:rPr>
          <w:lang w:val="en-GB"/>
        </w:rPr>
        <w:t>i</w:t>
      </w:r>
      <w:proofErr w:type="spellEnd"/>
      <w:r w:rsidRPr="00F80D4F">
        <w:t>n the early 20th century, Brixton experienced a wave of Art Deco architecture, particularly in its commercial buildings and cinemas. The Art Deco style is characterized by geometric shapes, bold colors, and decorative motifs, reflecting the modernist aesthetic of the time</w:t>
      </w:r>
      <w:r w:rsidR="00A805E4">
        <w:rPr>
          <w:lang w:val="en-GB"/>
        </w:rPr>
        <w:t xml:space="preserve"> (</w:t>
      </w:r>
      <w:r w:rsidR="00A805E4">
        <w:t>Mail and Honey PR</w:t>
      </w:r>
      <w:r w:rsidR="00A805E4">
        <w:rPr>
          <w:lang w:val="en-GB"/>
        </w:rPr>
        <w:t>,</w:t>
      </w:r>
      <w:r w:rsidR="00A805E4">
        <w:t xml:space="preserve"> 2022)</w:t>
      </w:r>
      <w:r w:rsidRPr="00F80D4F">
        <w:t>. Examples of Art Deco architecture in Brixton include the Electric Avenue market and the former Astoria cinema.</w:t>
      </w:r>
      <w:r w:rsidR="00A805E4">
        <w:rPr>
          <w:lang w:val="en-GB"/>
        </w:rPr>
        <w:t xml:space="preserve"> (</w:t>
      </w:r>
      <w:r w:rsidR="00A805E4">
        <w:t>Brixton Blog, 2023</w:t>
      </w:r>
      <w:r w:rsidR="00A805E4">
        <w:rPr>
          <w:lang w:val="en-GB"/>
        </w:rPr>
        <w:t>)</w:t>
      </w:r>
    </w:p>
    <w:p w14:paraId="591C6758" w14:textId="50988AC7" w:rsidR="0068165C" w:rsidRPr="0068165C" w:rsidRDefault="0068165C" w:rsidP="0068165C">
      <w:pPr>
        <w:jc w:val="center"/>
        <w:rPr>
          <w:b/>
          <w:lang w:val="en-GB"/>
        </w:rPr>
      </w:pPr>
      <w:r w:rsidRPr="0068165C">
        <w:rPr>
          <w:b/>
          <w:lang w:val="en-GB"/>
        </w:rPr>
        <w:t>Figure 2 Electric Avenue Market</w:t>
      </w:r>
    </w:p>
    <w:p w14:paraId="1F95B869" w14:textId="3A0F524A" w:rsidR="00F80D4F" w:rsidRDefault="0068165C" w:rsidP="0068165C">
      <w:pPr>
        <w:jc w:val="center"/>
        <w:rPr>
          <w:lang w:val="en-GB"/>
        </w:rPr>
      </w:pPr>
      <w:r>
        <w:rPr>
          <w:noProof/>
          <w:lang w:val="en-US"/>
        </w:rPr>
        <w:drawing>
          <wp:inline distT="0" distB="0" distL="0" distR="0" wp14:anchorId="78D4A810" wp14:editId="7A3B59C5">
            <wp:extent cx="4108575" cy="218122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placesimg-336-266.jpg"/>
                    <pic:cNvPicPr/>
                  </pic:nvPicPr>
                  <pic:blipFill>
                    <a:blip r:embed="rId9">
                      <a:extLst>
                        <a:ext uri="{28A0092B-C50C-407E-A947-70E740481C1C}">
                          <a14:useLocalDpi xmlns:a14="http://schemas.microsoft.com/office/drawing/2010/main" val="0"/>
                        </a:ext>
                      </a:extLst>
                    </a:blip>
                    <a:stretch>
                      <a:fillRect/>
                    </a:stretch>
                  </pic:blipFill>
                  <pic:spPr>
                    <a:xfrm>
                      <a:off x="0" y="0"/>
                      <a:ext cx="4136245" cy="2195915"/>
                    </a:xfrm>
                    <a:prstGeom prst="rect">
                      <a:avLst/>
                    </a:prstGeom>
                  </pic:spPr>
                </pic:pic>
              </a:graphicData>
            </a:graphic>
          </wp:inline>
        </w:drawing>
      </w:r>
    </w:p>
    <w:p w14:paraId="3C70C3E9" w14:textId="27E1890A" w:rsidR="00752414" w:rsidRPr="00CA704F" w:rsidRDefault="0068165C" w:rsidP="0068165C">
      <w:pPr>
        <w:jc w:val="center"/>
        <w:rPr>
          <w:i/>
          <w:lang w:val="fr-FR"/>
        </w:rPr>
      </w:pPr>
      <w:r w:rsidRPr="00CA704F">
        <w:rPr>
          <w:i/>
          <w:lang w:val="fr-FR"/>
        </w:rPr>
        <w:t>Source: (https://www.songfacts.com/place/brixton-london/electric-avenue)</w:t>
      </w:r>
    </w:p>
    <w:p w14:paraId="4BB9F1F9" w14:textId="77777777" w:rsidR="0068165C" w:rsidRDefault="0068165C" w:rsidP="00963F4D">
      <w:pPr>
        <w:jc w:val="both"/>
      </w:pPr>
    </w:p>
    <w:p w14:paraId="3784CC0D" w14:textId="77777777" w:rsidR="0068165C" w:rsidRDefault="0068165C" w:rsidP="00963F4D">
      <w:pPr>
        <w:jc w:val="both"/>
      </w:pPr>
    </w:p>
    <w:p w14:paraId="4F3CF1CB" w14:textId="15C3FF12" w:rsidR="00AF3174" w:rsidRPr="00793403" w:rsidRDefault="00AF3174" w:rsidP="00963F4D">
      <w:pPr>
        <w:jc w:val="both"/>
        <w:rPr>
          <w:lang w:val="en-GB"/>
        </w:rPr>
      </w:pPr>
      <w:r w:rsidRPr="00AF3174">
        <w:t>From Victorian terraces to Caribbean-inspired facades and modernist housing estates, the architectural landscape of Brixton is a testament to its rich and diverse heritage.</w:t>
      </w:r>
      <w:r w:rsidR="00793403">
        <w:rPr>
          <w:lang w:val="en-GB"/>
        </w:rPr>
        <w:t xml:space="preserve"> </w:t>
      </w:r>
    </w:p>
    <w:p w14:paraId="6412FF0A" w14:textId="43306606" w:rsidR="00470174" w:rsidRDefault="00CD5E52" w:rsidP="00963F4D">
      <w:pPr>
        <w:jc w:val="both"/>
        <w:rPr>
          <w:lang w:val="en-GB"/>
        </w:rPr>
      </w:pPr>
      <w:r w:rsidRPr="00CD5E52">
        <w:t>Brixton's cultural and societal effects are profound and have reverberated beyond its borders, influenci</w:t>
      </w:r>
      <w:r>
        <w:t>ng wider society in various ways as enumerated below</w:t>
      </w:r>
      <w:r>
        <w:rPr>
          <w:lang w:val="en-GB"/>
        </w:rPr>
        <w:t>:</w:t>
      </w:r>
    </w:p>
    <w:p w14:paraId="32C6D19E" w14:textId="1BE62394" w:rsidR="00CD5E52" w:rsidRDefault="00CD5E52" w:rsidP="00CD5E52">
      <w:pPr>
        <w:pStyle w:val="ListParagraph"/>
        <w:numPr>
          <w:ilvl w:val="0"/>
          <w:numId w:val="6"/>
        </w:numPr>
        <w:jc w:val="both"/>
        <w:rPr>
          <w:lang w:val="en-GB"/>
        </w:rPr>
      </w:pPr>
      <w:r w:rsidRPr="00894C19">
        <w:rPr>
          <w:b/>
          <w:lang w:val="en-GB"/>
        </w:rPr>
        <w:t>Cultural Diversity</w:t>
      </w:r>
      <w:r>
        <w:rPr>
          <w:lang w:val="en-GB"/>
        </w:rPr>
        <w:t xml:space="preserve">: </w:t>
      </w:r>
      <w:r w:rsidR="00633CD7" w:rsidRPr="00633CD7">
        <w:t>Brixton is well-known for its cultural diversity, formed by waves of immigrants from the Caribbean, Africa, and other regions of the world. This diversity has strengthened the area's social fabric, creating a thriving multicultural community that celebrates its uniqueness through events, festivals, and cultural organizations. Brixton's influence on broader society resides in its capacity to illustrate the benefits of multiculturalism and the strength th</w:t>
      </w:r>
      <w:r w:rsidR="00633CD7">
        <w:t>at comes from accepting variety</w:t>
      </w:r>
      <w:r w:rsidRPr="00CD5E52">
        <w:t>.</w:t>
      </w:r>
      <w:r>
        <w:rPr>
          <w:lang w:val="en-GB"/>
        </w:rPr>
        <w:t xml:space="preserve"> </w:t>
      </w:r>
      <w:r w:rsidR="00A805E4">
        <w:rPr>
          <w:lang w:val="en-GB"/>
        </w:rPr>
        <w:t>(</w:t>
      </w:r>
      <w:r w:rsidR="00A805E4">
        <w:t>Mayor of London, 2008</w:t>
      </w:r>
      <w:r w:rsidR="00A805E4">
        <w:rPr>
          <w:lang w:val="en-GB"/>
        </w:rPr>
        <w:t>)</w:t>
      </w:r>
    </w:p>
    <w:p w14:paraId="686F7BFC" w14:textId="51C4E705" w:rsidR="00793403" w:rsidRDefault="00793403" w:rsidP="00CD5E52">
      <w:pPr>
        <w:pStyle w:val="ListParagraph"/>
        <w:numPr>
          <w:ilvl w:val="0"/>
          <w:numId w:val="6"/>
        </w:numPr>
        <w:jc w:val="both"/>
        <w:rPr>
          <w:lang w:val="en-GB"/>
        </w:rPr>
      </w:pPr>
      <w:r w:rsidRPr="00793403">
        <w:rPr>
          <w:b/>
          <w:bCs/>
        </w:rPr>
        <w:t>Music and Arts Scene</w:t>
      </w:r>
      <w:r w:rsidRPr="00793403">
        <w:t xml:space="preserve">: </w:t>
      </w:r>
      <w:r w:rsidR="00DB4CF3" w:rsidRPr="00DB4CF3">
        <w:t>Brixton has always been a center of innovation, especially for entertainment and the arts. The neighborhood has produced several famous musicians, including the legendary David Bowie and The Clash band. The development of reggae and ska music in Brixton, driven by the Caribbean society has left an indelible mark on British music culture</w:t>
      </w:r>
      <w:r w:rsidR="00A805E4">
        <w:rPr>
          <w:lang w:val="en-GB"/>
        </w:rPr>
        <w:t xml:space="preserve"> (</w:t>
      </w:r>
      <w:r w:rsidR="00A805E4">
        <w:t>Tibbalds, 2023</w:t>
      </w:r>
      <w:r w:rsidR="00A805E4">
        <w:rPr>
          <w:lang w:val="en-GB"/>
        </w:rPr>
        <w:t xml:space="preserve">) </w:t>
      </w:r>
      <w:r w:rsidR="00DB4CF3" w:rsidRPr="00DB4CF3">
        <w:t>. Brixton's rich arts sector, which includes galleries, street art, and film theaters, has also influenced the larger cultural environment, stimulating creative individuals and businesses around the UK.</w:t>
      </w:r>
      <w:r w:rsidR="00A805E4">
        <w:rPr>
          <w:lang w:val="en-GB"/>
        </w:rPr>
        <w:t xml:space="preserve"> </w:t>
      </w:r>
    </w:p>
    <w:p w14:paraId="33722AE0" w14:textId="0941EFFC" w:rsidR="00793403" w:rsidRDefault="00BC2945" w:rsidP="00BC2945">
      <w:pPr>
        <w:pStyle w:val="ListParagraph"/>
        <w:numPr>
          <w:ilvl w:val="0"/>
          <w:numId w:val="6"/>
        </w:numPr>
        <w:jc w:val="both"/>
        <w:rPr>
          <w:lang w:val="en-GB"/>
        </w:rPr>
      </w:pPr>
      <w:r w:rsidRPr="00BC2945">
        <w:rPr>
          <w:b/>
          <w:lang w:val="en-GB"/>
        </w:rPr>
        <w:t>Social Activism</w:t>
      </w:r>
      <w:r w:rsidRPr="00BC2945">
        <w:rPr>
          <w:lang w:val="en-GB"/>
        </w:rPr>
        <w:t xml:space="preserve">: </w:t>
      </w:r>
      <w:r w:rsidR="00DB4CF3" w:rsidRPr="00DB4CF3">
        <w:t>Brixton has a long history of social activity and political engagement, stretching back to the twentieth-century civil rights struggles. The Brixton Riots, which were spurred by long-standing concerns of racial injustice, police brutality, and economic distress, brought international attention to the neighborhood in the 1980s. These events brought social justice and systematic racism to the forefront of public consciousness, sparking broader debates and activism in the UK and around the world.</w:t>
      </w:r>
      <w:r w:rsidR="00A805E4">
        <w:rPr>
          <w:lang w:val="en-GB"/>
        </w:rPr>
        <w:t xml:space="preserve"> (</w:t>
      </w:r>
      <w:r w:rsidR="00A805E4">
        <w:t>Brixton Green (2008b)</w:t>
      </w:r>
    </w:p>
    <w:p w14:paraId="32EDF635" w14:textId="0206DDA9" w:rsidR="00BC2945" w:rsidRDefault="00BC2945" w:rsidP="00BC2945">
      <w:pPr>
        <w:jc w:val="both"/>
      </w:pPr>
      <w:r w:rsidRPr="00BC2945">
        <w:t>By examining Brixton's interactions with wider society, we gain insights into the complex dynamics of urban life, cultural identity, and social justice in the modern world.</w:t>
      </w:r>
    </w:p>
    <w:p w14:paraId="1B9546D5" w14:textId="5E7CEED6" w:rsidR="00A47330" w:rsidRDefault="004B3B8E" w:rsidP="004B3B8E">
      <w:pPr>
        <w:pStyle w:val="Heading2"/>
      </w:pPr>
      <w:bookmarkStart w:id="4" w:name="_Toc153389209"/>
      <w:r w:rsidRPr="00A47330">
        <w:t>APPROACHES TO DEVELOPMENT</w:t>
      </w:r>
      <w:bookmarkEnd w:id="4"/>
    </w:p>
    <w:p w14:paraId="0033230F" w14:textId="7FE88DB0" w:rsidR="00397C33" w:rsidRDefault="00E94CDC" w:rsidP="00963F4D">
      <w:pPr>
        <w:jc w:val="both"/>
        <w:rPr>
          <w:lang w:val="en-GB"/>
        </w:rPr>
      </w:pPr>
      <w:r w:rsidRPr="00E94CDC">
        <w:rPr>
          <w:lang w:val="en-GB"/>
        </w:rPr>
        <w:t xml:space="preserve">Throughout Brixton's development trajectory, conscious efforts have been undertaken to revitalize the city's urban environment. Urban renewal initiatives that have had a major impact </w:t>
      </w:r>
      <w:r w:rsidRPr="00E94CDC">
        <w:rPr>
          <w:lang w:val="en-GB"/>
        </w:rPr>
        <w:lastRenderedPageBreak/>
        <w:t xml:space="preserve">on reshaping </w:t>
      </w:r>
      <w:r w:rsidR="00CA704F" w:rsidRPr="00E94CDC">
        <w:rPr>
          <w:lang w:val="en-GB"/>
        </w:rPr>
        <w:t>neighbourhoods</w:t>
      </w:r>
      <w:r w:rsidRPr="00E94CDC">
        <w:rPr>
          <w:lang w:val="en-GB"/>
        </w:rPr>
        <w:t xml:space="preserve">, fostering a sense of community pride, and drawing in businesses. </w:t>
      </w:r>
      <w:r w:rsidR="008C405D">
        <w:t>(Alshahibi, 2010)</w:t>
      </w:r>
      <w:r w:rsidR="006E7DF9">
        <w:rPr>
          <w:lang w:val="en-GB"/>
        </w:rPr>
        <w:t>.</w:t>
      </w:r>
    </w:p>
    <w:p w14:paraId="71898604" w14:textId="77777777" w:rsidR="00E94CDC" w:rsidRDefault="00E94CDC" w:rsidP="00963F4D">
      <w:pPr>
        <w:jc w:val="both"/>
      </w:pPr>
      <w:r w:rsidRPr="00E94CDC">
        <w:t xml:space="preserve">The Brixton Design Trail is a great example of how innovative and creative interventions can be potent catalysts for redevelopment of cities. This annual event, often held in tandem with the London Design Festival, transforms Brixton's streets into a vibrant canvas that showcases cutting-edge design pieces (Simmons, 2020). </w:t>
      </w:r>
    </w:p>
    <w:p w14:paraId="099A2EB8" w14:textId="43E74DA6" w:rsidR="00564886" w:rsidRPr="008A2474" w:rsidRDefault="00564886" w:rsidP="00963F4D">
      <w:pPr>
        <w:jc w:val="both"/>
        <w:rPr>
          <w:b/>
          <w:lang w:val="en-GB"/>
        </w:rPr>
      </w:pPr>
      <w:r w:rsidRPr="008A2474">
        <w:rPr>
          <w:b/>
          <w:lang w:val="en-GB"/>
        </w:rPr>
        <w:t>Figure 3 Brixton Design Trail 2018 Effra</w:t>
      </w:r>
      <w:r w:rsidR="008A2474" w:rsidRPr="008A2474">
        <w:rPr>
          <w:b/>
          <w:lang w:val="en-GB"/>
        </w:rPr>
        <w:t xml:space="preserve"> S</w:t>
      </w:r>
      <w:r w:rsidRPr="008A2474">
        <w:rPr>
          <w:b/>
          <w:lang w:val="en-GB"/>
        </w:rPr>
        <w:t>pace</w:t>
      </w:r>
    </w:p>
    <w:p w14:paraId="7975658C" w14:textId="70731283" w:rsidR="00564886" w:rsidRDefault="00564886" w:rsidP="008A2474">
      <w:pPr>
        <w:jc w:val="center"/>
        <w:rPr>
          <w:lang w:val="en-GB"/>
        </w:rPr>
      </w:pPr>
      <w:r>
        <w:rPr>
          <w:noProof/>
          <w:lang w:val="en-US"/>
        </w:rPr>
        <w:drawing>
          <wp:inline distT="0" distB="0" distL="0" distR="0" wp14:anchorId="5631FB29" wp14:editId="45616151">
            <wp:extent cx="3472055" cy="23145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dt2018_effraspac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82561" cy="2321578"/>
                    </a:xfrm>
                    <a:prstGeom prst="rect">
                      <a:avLst/>
                    </a:prstGeom>
                  </pic:spPr>
                </pic:pic>
              </a:graphicData>
            </a:graphic>
          </wp:inline>
        </w:drawing>
      </w:r>
    </w:p>
    <w:p w14:paraId="65E24E12" w14:textId="101C07FE" w:rsidR="00564886" w:rsidRDefault="00564886" w:rsidP="008A2474">
      <w:pPr>
        <w:jc w:val="center"/>
        <w:rPr>
          <w:lang w:val="en-GB"/>
        </w:rPr>
      </w:pPr>
      <w:r>
        <w:rPr>
          <w:noProof/>
          <w:lang w:val="en-US"/>
        </w:rPr>
        <w:drawing>
          <wp:inline distT="0" distB="0" distL="0" distR="0" wp14:anchorId="29D36DA4" wp14:editId="5562ABB0">
            <wp:extent cx="3472392" cy="2314800"/>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DT_street_gallery.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72392" cy="2314800"/>
                    </a:xfrm>
                    <a:prstGeom prst="rect">
                      <a:avLst/>
                    </a:prstGeom>
                  </pic:spPr>
                </pic:pic>
              </a:graphicData>
            </a:graphic>
          </wp:inline>
        </w:drawing>
      </w:r>
    </w:p>
    <w:p w14:paraId="4A69D918" w14:textId="2C940763" w:rsidR="00564886" w:rsidRPr="00CA704F" w:rsidRDefault="00564886" w:rsidP="00564886">
      <w:pPr>
        <w:jc w:val="center"/>
        <w:rPr>
          <w:i/>
          <w:lang w:val="fr-FR"/>
        </w:rPr>
      </w:pPr>
      <w:r w:rsidRPr="00CA704F">
        <w:rPr>
          <w:i/>
          <w:lang w:val="fr-FR"/>
        </w:rPr>
        <w:t>Source: https://thebrixtonproject.com/projects/brixton-design-trail/</w:t>
      </w:r>
    </w:p>
    <w:p w14:paraId="370B5F8D" w14:textId="75DE45FB" w:rsidR="00991B49" w:rsidRDefault="00991B49" w:rsidP="00963F4D">
      <w:pPr>
        <w:jc w:val="both"/>
        <w:rPr>
          <w:lang w:val="en-GB"/>
        </w:rPr>
      </w:pPr>
      <w:r w:rsidRPr="00991B49">
        <w:t>In addition to enhancing the area's aesthetic appeal, these pieces serve as discussion starters, sparking debate regarding the objectives and character of the neighborhood. (Urban</w:t>
      </w:r>
      <w:r>
        <w:rPr>
          <w:lang w:val="en-GB"/>
        </w:rPr>
        <w:t>, 2019</w:t>
      </w:r>
      <w:r w:rsidRPr="00991B49">
        <w:t>)</w:t>
      </w:r>
      <w:r>
        <w:rPr>
          <w:lang w:val="en-GB"/>
        </w:rPr>
        <w:t>.</w:t>
      </w:r>
    </w:p>
    <w:p w14:paraId="3F7CA006" w14:textId="4A5D7DB0" w:rsidR="00386677" w:rsidRPr="00386677" w:rsidRDefault="00386677" w:rsidP="00963F4D">
      <w:pPr>
        <w:jc w:val="both"/>
        <w:rPr>
          <w:lang w:val="en-GB"/>
        </w:rPr>
      </w:pPr>
      <w:r>
        <w:rPr>
          <w:lang w:val="en-GB"/>
        </w:rPr>
        <w:t xml:space="preserve">The Brixton Design Trail has </w:t>
      </w:r>
      <w:r w:rsidR="00EE6B02">
        <w:rPr>
          <w:lang w:val="en-GB"/>
        </w:rPr>
        <w:t>embraced</w:t>
      </w:r>
      <w:r>
        <w:rPr>
          <w:lang w:val="en-GB"/>
        </w:rPr>
        <w:t xml:space="preserve"> and fostered diversity</w:t>
      </w:r>
      <w:r w:rsidR="00EE6B02" w:rsidRPr="00EE6B02">
        <w:rPr>
          <w:rFonts w:ascii="Segoe UI" w:hAnsi="Segoe UI" w:cs="Segoe UI"/>
          <w:color w:val="0D0D0D"/>
          <w:shd w:val="clear" w:color="auto" w:fill="FFFFFF"/>
        </w:rPr>
        <w:t xml:space="preserve"> </w:t>
      </w:r>
      <w:r w:rsidR="00EE6B02" w:rsidRPr="00EE6B02">
        <w:t>and multicultural heritage, celebrating the unique contributions of different communities to the area's cultural landscape</w:t>
      </w:r>
      <w:r>
        <w:rPr>
          <w:lang w:val="en-GB"/>
        </w:rPr>
        <w:t xml:space="preserve">. However </w:t>
      </w:r>
      <w:r w:rsidRPr="00386677">
        <w:t xml:space="preserve">engaging diverse communities with varying interests and priorities can be </w:t>
      </w:r>
      <w:r w:rsidRPr="00386677">
        <w:lastRenderedPageBreak/>
        <w:t>challenging, particularly if there are barriers to participation such as language, socioeconomic status, or cultural differences.</w:t>
      </w:r>
      <w:r>
        <w:rPr>
          <w:lang w:val="en-GB"/>
        </w:rPr>
        <w:t xml:space="preserve"> </w:t>
      </w:r>
      <w:r w:rsidR="00AF65B1">
        <w:rPr>
          <w:lang w:val="en-GB"/>
        </w:rPr>
        <w:t>(</w:t>
      </w:r>
      <w:r w:rsidR="00AF65B1">
        <w:t>One Journey, 2023</w:t>
      </w:r>
      <w:r w:rsidR="00AF65B1">
        <w:rPr>
          <w:lang w:val="en-GB"/>
        </w:rPr>
        <w:t>)</w:t>
      </w:r>
    </w:p>
    <w:p w14:paraId="0CF2DFCD" w14:textId="77777777" w:rsidR="00BB3E10" w:rsidRDefault="00BB3E10" w:rsidP="00BB3E10">
      <w:pPr>
        <w:jc w:val="both"/>
        <w:rPr>
          <w:lang w:val="en-GB"/>
        </w:rPr>
      </w:pPr>
      <w:r w:rsidRPr="00BB3E10">
        <w:t>Furthermore, the Brixton Green project takes an upward trajectory as opposed to community-led initiatives that employ an approach based on hierarchy (Brixton Green, 2008). This strategy gives local residents direct control over the development of cities approaches to decision-making.</w:t>
      </w:r>
      <w:r>
        <w:rPr>
          <w:lang w:val="en-GB"/>
        </w:rPr>
        <w:t xml:space="preserve"> </w:t>
      </w:r>
      <w:r w:rsidRPr="00BB3E10">
        <w:t>Brixton Green provides residents with a sense of community belonging (Brixton Green, 2008b). By actively including the local population in the manner in which decisions are made, it ensures that the growth aligns with the needs, values, and obje</w:t>
      </w:r>
      <w:r>
        <w:t>ctives of the Brixton community</w:t>
      </w:r>
      <w:r w:rsidR="003552C0" w:rsidRPr="003552C0">
        <w:rPr>
          <w:lang w:val="en-GB"/>
        </w:rPr>
        <w:t xml:space="preserve">. </w:t>
      </w:r>
      <w:r w:rsidRPr="00BB3E10">
        <w:t>It recognises Brixton's diversity and ensures every individual living there, particularly those from historically excluded groups, gets their voices heard and is taken into consideration when making decisions about the neighborhood'</w:t>
      </w:r>
      <w:r>
        <w:t>s future (Brixton Green, 2008b)</w:t>
      </w:r>
      <w:r w:rsidR="003552C0" w:rsidRPr="003552C0">
        <w:rPr>
          <w:lang w:val="en-GB"/>
        </w:rPr>
        <w:t xml:space="preserve">.  </w:t>
      </w:r>
      <w:r w:rsidRPr="00BB3E10">
        <w:t>Community-led projects usually prioritize sustainability on both interpersonal and economic levels. Brixton Green's approach is likely to focus on green spaces, the cultural preservation of the region, and a commitment to creating a community that will thrive for a long time afterward (Brixton Green, 2008b).</w:t>
      </w:r>
      <w:r>
        <w:rPr>
          <w:lang w:val="en-GB"/>
        </w:rPr>
        <w:t xml:space="preserve"> </w:t>
      </w:r>
    </w:p>
    <w:p w14:paraId="5B40EE97" w14:textId="536228D7" w:rsidR="002B3C00" w:rsidRDefault="00BB3E10" w:rsidP="00BB3E10">
      <w:pPr>
        <w:jc w:val="both"/>
        <w:rPr>
          <w:lang w:val="en-GB"/>
        </w:rPr>
      </w:pPr>
      <w:r w:rsidRPr="00BB3E10">
        <w:t>Effective communication strategies have been essential in involving Brixton's heterogeneous populace. Customized messaging has been employed, acknowledging the nuanced cultural variances and relating to the values of the community. This involves targeted programs that address social and healthcare problems unique to Brixton in order to ensure that residents receive information in a way that is appropriate of their cultural her</w:t>
      </w:r>
      <w:r>
        <w:t>itage (Mail and Honey PR, 2022</w:t>
      </w:r>
      <w:r w:rsidR="00EB1DBF">
        <w:t>)</w:t>
      </w:r>
      <w:r w:rsidR="002B3C00" w:rsidRPr="002B3C00">
        <w:rPr>
          <w:lang w:val="en-GB"/>
        </w:rPr>
        <w:t>.</w:t>
      </w:r>
    </w:p>
    <w:p w14:paraId="4CC93CA9" w14:textId="4D6AF4EA" w:rsidR="00EB1DBF" w:rsidRPr="00CF132D" w:rsidRDefault="004B3B8E" w:rsidP="004B3B8E">
      <w:pPr>
        <w:pStyle w:val="Heading2"/>
      </w:pPr>
      <w:bookmarkStart w:id="5" w:name="_Toc153389210"/>
      <w:r w:rsidRPr="00CF132D">
        <w:t>BEHAVIOURAL CHANGE AND CHALLENGES</w:t>
      </w:r>
      <w:bookmarkEnd w:id="5"/>
    </w:p>
    <w:p w14:paraId="3CA46BC8" w14:textId="184E0E74" w:rsidR="00A82967" w:rsidRDefault="00A82967" w:rsidP="00963F4D">
      <w:pPr>
        <w:jc w:val="both"/>
        <w:rPr>
          <w:lang w:val="en-GB"/>
        </w:rPr>
      </w:pPr>
      <w:r w:rsidRPr="00A82967">
        <w:t>Behavioral change in Brixton, as in any community, involves understanding and influencing the attitudes, beliefs, and actions of individuals and groups to achieve desired outcomes</w:t>
      </w:r>
      <w:r w:rsidR="00EA4F19">
        <w:rPr>
          <w:lang w:val="en-GB"/>
        </w:rPr>
        <w:t xml:space="preserve"> ( )</w:t>
      </w:r>
      <w:r w:rsidRPr="00A82967">
        <w:t>. Several key concepts relevant to promoti</w:t>
      </w:r>
      <w:r>
        <w:t>ng behavioral change in Brixton</w:t>
      </w:r>
      <w:r>
        <w:rPr>
          <w:lang w:val="en-GB"/>
        </w:rPr>
        <w:t xml:space="preserve"> are S</w:t>
      </w:r>
      <w:r w:rsidR="00B772FB">
        <w:rPr>
          <w:lang w:val="en-GB"/>
        </w:rPr>
        <w:t>ocial N</w:t>
      </w:r>
      <w:r>
        <w:rPr>
          <w:lang w:val="en-GB"/>
        </w:rPr>
        <w:t xml:space="preserve">orms, Social Networks, Community Engagement amongst others. </w:t>
      </w:r>
    </w:p>
    <w:p w14:paraId="513027D7" w14:textId="0203F56A" w:rsidR="00B772FB" w:rsidRDefault="00A82967" w:rsidP="00B772FB">
      <w:pPr>
        <w:pStyle w:val="ListParagraph"/>
        <w:numPr>
          <w:ilvl w:val="0"/>
          <w:numId w:val="7"/>
        </w:numPr>
        <w:jc w:val="both"/>
        <w:rPr>
          <w:lang w:val="en-GB"/>
        </w:rPr>
      </w:pPr>
      <w:r w:rsidRPr="00B772FB">
        <w:rPr>
          <w:b/>
          <w:lang w:val="en-GB"/>
        </w:rPr>
        <w:t>Social Norms</w:t>
      </w:r>
      <w:r w:rsidRPr="00B772FB">
        <w:rPr>
          <w:lang w:val="en-GB"/>
        </w:rPr>
        <w:t xml:space="preserve">: </w:t>
      </w:r>
      <w:r w:rsidR="00B772FB" w:rsidRPr="00B772FB">
        <w:t xml:space="preserve">Social norms are unwritten rules or expectations that govern behavior within a society or community. Understanding existing social norms in Brixton is crucial for identifying barriers to change and designing interventions that align with prevailing cultural values and expectations. </w:t>
      </w:r>
      <w:r w:rsidR="00B772FB">
        <w:rPr>
          <w:lang w:val="en-GB"/>
        </w:rPr>
        <w:t xml:space="preserve">One challenge this concept poses to the community is that </w:t>
      </w:r>
      <w:r w:rsidR="00B772FB" w:rsidRPr="00B772FB">
        <w:t xml:space="preserve">Brixton has undergone significant demographic changes over the years, including gentrification and the influx of new residents. These demographic </w:t>
      </w:r>
      <w:r w:rsidR="00B772FB" w:rsidRPr="00B772FB">
        <w:lastRenderedPageBreak/>
        <w:t>shifts can result in clashes or tensions between different groups with varying norms and values, complicating efforts to establish consensus around desired behaviors</w:t>
      </w:r>
      <w:r w:rsidR="00B772FB">
        <w:rPr>
          <w:lang w:val="en-GB"/>
        </w:rPr>
        <w:t xml:space="preserve">. </w:t>
      </w:r>
      <w:r w:rsidR="00EA4F19">
        <w:rPr>
          <w:lang w:val="en-GB"/>
        </w:rPr>
        <w:t>(Reed, 1982)</w:t>
      </w:r>
    </w:p>
    <w:p w14:paraId="10F3A49A" w14:textId="2476B90B" w:rsidR="00D02EC7" w:rsidRDefault="00B772FB" w:rsidP="00B772FB">
      <w:pPr>
        <w:pStyle w:val="ListParagraph"/>
        <w:numPr>
          <w:ilvl w:val="0"/>
          <w:numId w:val="7"/>
        </w:numPr>
        <w:jc w:val="both"/>
        <w:rPr>
          <w:lang w:val="en-GB"/>
        </w:rPr>
      </w:pPr>
      <w:r w:rsidRPr="00A805E4">
        <w:rPr>
          <w:b/>
          <w:lang w:val="en-GB"/>
        </w:rPr>
        <w:t>Social Networks</w:t>
      </w:r>
      <w:r>
        <w:rPr>
          <w:lang w:val="en-GB"/>
        </w:rPr>
        <w:t xml:space="preserve">: </w:t>
      </w:r>
      <w:r w:rsidRPr="00B772FB">
        <w:t>Social networks play a significant role in shaping behavior by influencing social norms, providing support and encouragement, and facilitating the spread of ideas and behaviors</w:t>
      </w:r>
      <w:r>
        <w:rPr>
          <w:lang w:val="en-GB"/>
        </w:rPr>
        <w:t xml:space="preserve">. </w:t>
      </w:r>
      <w:r w:rsidR="00D02EC7" w:rsidRPr="00D02EC7">
        <w:t>Identifying influential individuals and groups within Brixton's social networks and engaging them as champions for change can amplify the impact of behavioral change interventions and promote adoption at a larger scale</w:t>
      </w:r>
      <w:r w:rsidR="00EA4F19">
        <w:rPr>
          <w:lang w:val="en-GB"/>
        </w:rPr>
        <w:t xml:space="preserve"> (</w:t>
      </w:r>
      <w:r w:rsidR="00EA4F19">
        <w:t>Lambeth Council, 2023a</w:t>
      </w:r>
      <w:r w:rsidR="00EA4F19">
        <w:rPr>
          <w:lang w:val="en-GB"/>
        </w:rPr>
        <w:t>)</w:t>
      </w:r>
    </w:p>
    <w:p w14:paraId="0ED84B4A" w14:textId="4533FA63" w:rsidR="00B772FB" w:rsidRPr="00D02EC7" w:rsidRDefault="00D02EC7" w:rsidP="00D02EC7">
      <w:pPr>
        <w:pStyle w:val="ListParagraph"/>
        <w:jc w:val="both"/>
        <w:rPr>
          <w:lang w:val="en-GB"/>
        </w:rPr>
      </w:pPr>
      <w:r>
        <w:rPr>
          <w:lang w:val="en-GB"/>
        </w:rPr>
        <w:t>However, this initiative might be challenged by the presence of multiple social networks</w:t>
      </w:r>
      <w:r w:rsidRPr="00D02EC7">
        <w:t xml:space="preserve">, including those based on ethnicity, religion, profession, and interests, </w:t>
      </w:r>
      <w:r>
        <w:rPr>
          <w:lang w:val="en-GB"/>
        </w:rPr>
        <w:t>and could lead to</w:t>
      </w:r>
      <w:r w:rsidRPr="00D02EC7">
        <w:t xml:space="preserve"> fragmentation and limited cohesion within the community. Identifying and engaging with these diverse networks to promote behavioral change may require extensive outreach and coordination efforts</w:t>
      </w:r>
      <w:r>
        <w:rPr>
          <w:lang w:val="en-GB"/>
        </w:rPr>
        <w:t xml:space="preserve">. </w:t>
      </w:r>
      <w:r w:rsidR="00EA4F19">
        <w:rPr>
          <w:lang w:val="en-GB"/>
        </w:rPr>
        <w:t>(</w:t>
      </w:r>
      <w:r w:rsidR="00EA4F19">
        <w:t>Tibbalds, 2023)</w:t>
      </w:r>
    </w:p>
    <w:p w14:paraId="780FD0A0" w14:textId="6040F490" w:rsidR="00141126" w:rsidRDefault="004B3B8E" w:rsidP="004B3B8E">
      <w:pPr>
        <w:pStyle w:val="Heading2"/>
      </w:pPr>
      <w:bookmarkStart w:id="6" w:name="_Toc153389211"/>
      <w:r w:rsidRPr="00141126">
        <w:t>ANALYSIS</w:t>
      </w:r>
      <w:bookmarkEnd w:id="6"/>
    </w:p>
    <w:p w14:paraId="5B65BC33" w14:textId="69A23979" w:rsidR="00555196" w:rsidRDefault="00C21819" w:rsidP="003E1DCE">
      <w:pPr>
        <w:jc w:val="both"/>
        <w:rPr>
          <w:lang w:val="en-GB"/>
        </w:rPr>
      </w:pPr>
      <w:r w:rsidRPr="00C21819">
        <w:rPr>
          <w:lang w:val="en-GB"/>
        </w:rPr>
        <w:t xml:space="preserve">Analysis must take into account the most recent findings on community development and </w:t>
      </w:r>
      <w:r w:rsidR="00CA704F" w:rsidRPr="00C21819">
        <w:rPr>
          <w:lang w:val="en-GB"/>
        </w:rPr>
        <w:t>behaviour</w:t>
      </w:r>
      <w:r w:rsidRPr="00C21819">
        <w:rPr>
          <w:lang w:val="en-GB"/>
        </w:rPr>
        <w:t xml:space="preserve"> modification. Studies examining successful resolutions in various metropolitan contexts could provide insightful viewpoints pertinent to Brixton. I've chosen</w:t>
      </w:r>
      <w:r>
        <w:rPr>
          <w:lang w:val="en-GB"/>
        </w:rPr>
        <w:t xml:space="preserve"> two papers to </w:t>
      </w:r>
      <w:r w:rsidR="00CA704F">
        <w:rPr>
          <w:lang w:val="en-GB"/>
        </w:rPr>
        <w:t>analyse</w:t>
      </w:r>
      <w:r>
        <w:rPr>
          <w:lang w:val="en-GB"/>
        </w:rPr>
        <w:t xml:space="preserve"> for this</w:t>
      </w:r>
      <w:r w:rsidR="00555196">
        <w:rPr>
          <w:lang w:val="en-GB"/>
        </w:rPr>
        <w:t>:</w:t>
      </w:r>
    </w:p>
    <w:p w14:paraId="102CD5FA" w14:textId="77777777" w:rsidR="00C21819" w:rsidRPr="00C21819" w:rsidRDefault="00C21819" w:rsidP="0048554C">
      <w:pPr>
        <w:pStyle w:val="ListParagraph"/>
        <w:numPr>
          <w:ilvl w:val="0"/>
          <w:numId w:val="3"/>
        </w:numPr>
        <w:jc w:val="both"/>
        <w:rPr>
          <w:lang w:val="en-GB"/>
        </w:rPr>
      </w:pPr>
      <w:r w:rsidRPr="00C21819">
        <w:rPr>
          <w:lang w:val="en-GB"/>
        </w:rPr>
        <w:t>The Tanga International Competence Center (TICC) launched a health campaign effort in Tanga District, Tanzania. Hovland et al. (2021) examine the complexities of the current initiative in the qualitative investigation titled "Experiences from Cross-Cultural Collaboration in Health Campaigns in Tanzania."</w:t>
      </w:r>
      <w:r w:rsidR="00C215FB" w:rsidRPr="00C21819">
        <w:rPr>
          <w:lang w:val="en-GB"/>
        </w:rPr>
        <w:t xml:space="preserve">. </w:t>
      </w:r>
      <w:r w:rsidRPr="00C21819">
        <w:t>The staff of TICC, local youth, and foreign learners work together on the campaign. Using a targeted indigenous approach, the study finds that participants thought the collaboration among cultures went well.</w:t>
      </w:r>
      <w:r w:rsidR="00C215FB" w:rsidRPr="00C21819">
        <w:rPr>
          <w:lang w:val="en-GB"/>
        </w:rPr>
        <w:t xml:space="preserve"> </w:t>
      </w:r>
      <w:r w:rsidRPr="00C21819">
        <w:t>Success was largely attributed to having enough time, adapting to the local environment, and being aware of the demands of the target audiences. Cultural components like role-playing and music were e</w:t>
      </w:r>
      <w:r>
        <w:t>ssential for drawing in viewers</w:t>
      </w:r>
      <w:r w:rsidR="00C215FB" w:rsidRPr="00C21819">
        <w:rPr>
          <w:lang w:val="en-GB"/>
        </w:rPr>
        <w:t xml:space="preserve">. </w:t>
      </w:r>
      <w:r w:rsidRPr="00C21819">
        <w:t xml:space="preserve">After the campaigns, the participants saw improvements in the the community's health-related behaviors, underscoring the importance of such programs in places where access to healthcare information is scarce. In general, the research highlights the advantages of interdisciplinary cooperation in health initiatives to enhance health literacy and foster </w:t>
      </w:r>
      <w:r w:rsidRPr="00C21819">
        <w:lastRenderedPageBreak/>
        <w:t>favorable health consequences in marginalized populations, a finding that may prove advantageous for Brixton (Hovland et al., 2021).</w:t>
      </w:r>
    </w:p>
    <w:p w14:paraId="067670AA" w14:textId="3CF2C943" w:rsidR="00154678" w:rsidRPr="00C21819" w:rsidRDefault="00C21819" w:rsidP="00C21819">
      <w:pPr>
        <w:pStyle w:val="ListParagraph"/>
        <w:numPr>
          <w:ilvl w:val="0"/>
          <w:numId w:val="3"/>
        </w:numPr>
        <w:jc w:val="both"/>
        <w:rPr>
          <w:lang w:val="en-GB"/>
        </w:rPr>
      </w:pPr>
      <w:r w:rsidRPr="00C21819">
        <w:rPr>
          <w:lang w:val="en-GB"/>
        </w:rPr>
        <w:t xml:space="preserve">An "Instrument Set of Adjustment Approaches" is introduced in a separate piece titled "Behaviour Change Interventions to Improve the Health of Racial and Ethnic Minority Populations: A Tool Kit of Adaptation Approaches" in order tackle the difficulty of customizing actions to change </w:t>
      </w:r>
      <w:r w:rsidR="00CA704F" w:rsidRPr="00C21819">
        <w:rPr>
          <w:lang w:val="en-GB"/>
        </w:rPr>
        <w:t>behaviour</w:t>
      </w:r>
      <w:r w:rsidRPr="00C21819">
        <w:rPr>
          <w:lang w:val="en-GB"/>
        </w:rPr>
        <w:t xml:space="preserve"> for racial and cultural minority co</w:t>
      </w:r>
      <w:r>
        <w:rPr>
          <w:lang w:val="en-GB"/>
        </w:rPr>
        <w:t>mmunities in the United Kingdom</w:t>
      </w:r>
      <w:r w:rsidR="00C215FB" w:rsidRPr="00C21819">
        <w:rPr>
          <w:lang w:val="en-GB"/>
        </w:rPr>
        <w:t xml:space="preserve">. </w:t>
      </w:r>
      <w:r w:rsidR="005A1D29" w:rsidRPr="005A1D29">
        <w:t>The guide provides professionals, policymakers, and academics with a structure in recognition of the dearth of direction in this field (Davidson et al., 2013). Using an integrated approach, the study concentrated on treatments for minority communities' better nutrition, physica</w:t>
      </w:r>
      <w:r w:rsidR="005A1D29">
        <w:t>l exercise, and halting smoking</w:t>
      </w:r>
      <w:r w:rsidR="00C215FB" w:rsidRPr="00C21819">
        <w:rPr>
          <w:lang w:val="en-GB"/>
        </w:rPr>
        <w:t xml:space="preserve">. </w:t>
      </w:r>
      <w:r w:rsidR="005A1D29" w:rsidRPr="005A1D29">
        <w:t xml:space="preserve">The </w:t>
      </w:r>
      <w:r w:rsidR="00C02BA2">
        <w:t>toolbox consists of a route to a</w:t>
      </w:r>
      <w:r w:rsidR="005A1D29" w:rsidRPr="005A1D29">
        <w:t>dapta</w:t>
      </w:r>
      <w:r w:rsidR="00C02BA2">
        <w:t>tion, a t</w:t>
      </w:r>
      <w:r w:rsidR="005A1D29">
        <w:t>ypology of adaptation t</w:t>
      </w:r>
      <w:r w:rsidR="005A1D29" w:rsidRPr="005A1D29">
        <w:t>echniques, and change, a choice tool with useful advice. The toolkit is based on evidence and is intended to assist in the creation, planning, and execution of health behavior change interventions for marginalized populations. It highlights the importance of scientific assessment in a range of contexts (Davidson et al., 2013).</w:t>
      </w:r>
    </w:p>
    <w:p w14:paraId="7DE3EE2C" w14:textId="69D933D7" w:rsidR="00154678" w:rsidRDefault="004B3B8E" w:rsidP="004B3B8E">
      <w:pPr>
        <w:pStyle w:val="Heading2"/>
      </w:pPr>
      <w:bookmarkStart w:id="7" w:name="_Toc153389212"/>
      <w:r w:rsidRPr="00141126">
        <w:t>RECOMMENDATIONS</w:t>
      </w:r>
      <w:bookmarkEnd w:id="7"/>
    </w:p>
    <w:p w14:paraId="5D3EA0B7" w14:textId="170093D1" w:rsidR="00154678" w:rsidRDefault="008865DA" w:rsidP="00154678">
      <w:pPr>
        <w:ind w:left="360"/>
        <w:jc w:val="both"/>
        <w:rPr>
          <w:lang w:val="en-GB"/>
        </w:rPr>
      </w:pPr>
      <w:r w:rsidRPr="008865DA">
        <w:t>In order to promote additional expansion and advancement in Brixton, it is imperative to take into account evidence-based suggestions that tackle the distinct obstacles and prospects faced by the neighborhood.</w:t>
      </w:r>
      <w:r w:rsidR="00D02EC7" w:rsidRPr="00D02EC7">
        <w:t xml:space="preserve"> Here are several evidence-based recommendations:</w:t>
      </w:r>
    </w:p>
    <w:p w14:paraId="7425029B" w14:textId="2F516214" w:rsidR="000147F0" w:rsidRDefault="00D02EC7" w:rsidP="000147F0">
      <w:pPr>
        <w:pStyle w:val="ListParagraph"/>
        <w:numPr>
          <w:ilvl w:val="0"/>
          <w:numId w:val="4"/>
        </w:numPr>
        <w:jc w:val="both"/>
        <w:rPr>
          <w:lang w:val="en-GB"/>
        </w:rPr>
      </w:pPr>
      <w:r w:rsidRPr="00D02EC7">
        <w:rPr>
          <w:b/>
          <w:lang w:val="en-GB"/>
        </w:rPr>
        <w:t>Affordable Housing Policies</w:t>
      </w:r>
      <w:r w:rsidR="000147F0" w:rsidRPr="000147F0">
        <w:rPr>
          <w:lang w:val="en-GB"/>
        </w:rPr>
        <w:t>:</w:t>
      </w:r>
      <w:r w:rsidRPr="00D02EC7">
        <w:rPr>
          <w:rFonts w:ascii="Segoe UI" w:hAnsi="Segoe UI" w:cs="Segoe UI"/>
          <w:color w:val="0D0D0D"/>
          <w:shd w:val="clear" w:color="auto" w:fill="FFFFFF"/>
        </w:rPr>
        <w:t xml:space="preserve"> </w:t>
      </w:r>
      <w:r w:rsidRPr="00D02EC7">
        <w:t>Brixton, like many urban areas, faces a housing affordability crisis characterized by skyrocketing rents and property prices, which outpace income growth and create barriers to homeownership and rental affordability. Affordable housing policies are essential for ensuring that residents of all income levels, including low and moderate-income earners, have access to safe, stable, and affordable housing options.</w:t>
      </w:r>
      <w:r>
        <w:rPr>
          <w:lang w:val="en-GB"/>
        </w:rPr>
        <w:t xml:space="preserve"> </w:t>
      </w:r>
    </w:p>
    <w:p w14:paraId="329EEEFB" w14:textId="4E63EF89" w:rsidR="000147F0" w:rsidRDefault="00B60B95" w:rsidP="000147F0">
      <w:pPr>
        <w:pStyle w:val="ListParagraph"/>
        <w:numPr>
          <w:ilvl w:val="0"/>
          <w:numId w:val="4"/>
        </w:numPr>
        <w:jc w:val="both"/>
        <w:rPr>
          <w:lang w:val="en-GB"/>
        </w:rPr>
      </w:pPr>
      <w:r w:rsidRPr="00B60B95">
        <w:rPr>
          <w:b/>
          <w:bCs/>
        </w:rPr>
        <w:t>Mixed-Use Development</w:t>
      </w:r>
      <w:r w:rsidR="000147F0" w:rsidRPr="000147F0">
        <w:rPr>
          <w:lang w:val="en-GB"/>
        </w:rPr>
        <w:t>:</w:t>
      </w:r>
      <w:r>
        <w:rPr>
          <w:lang w:val="en-GB"/>
        </w:rPr>
        <w:t xml:space="preserve"> </w:t>
      </w:r>
      <w:r w:rsidRPr="00B60B95">
        <w:t>Mixed-use development fosters social interaction and community engagement by bringing together residents, workers, and visitors from different backgrounds and demographics. Shared public spaces, such as parks, plazas, and community centers, provide opportunities for socializing, cultural exchange, and civic participation, strengthening the social fabric of Brixton.</w:t>
      </w:r>
      <w:r w:rsidR="000147F0" w:rsidRPr="000147F0">
        <w:rPr>
          <w:lang w:val="en-GB"/>
        </w:rPr>
        <w:t>.</w:t>
      </w:r>
    </w:p>
    <w:p w14:paraId="7C7E180E" w14:textId="79811302" w:rsidR="004B3B8E" w:rsidRDefault="00B60B95" w:rsidP="000147F0">
      <w:pPr>
        <w:pStyle w:val="ListParagraph"/>
        <w:numPr>
          <w:ilvl w:val="0"/>
          <w:numId w:val="4"/>
        </w:numPr>
        <w:jc w:val="both"/>
        <w:rPr>
          <w:lang w:val="en-GB"/>
        </w:rPr>
      </w:pPr>
      <w:r w:rsidRPr="00B60B95">
        <w:rPr>
          <w:b/>
          <w:bCs/>
        </w:rPr>
        <w:t>Support for Local Businesses</w:t>
      </w:r>
      <w:r w:rsidR="000147F0" w:rsidRPr="000147F0">
        <w:rPr>
          <w:lang w:val="en-GB"/>
        </w:rPr>
        <w:t>:</w:t>
      </w:r>
      <w:r>
        <w:rPr>
          <w:lang w:val="en-GB"/>
        </w:rPr>
        <w:t xml:space="preserve"> </w:t>
      </w:r>
      <w:r w:rsidRPr="00B60B95">
        <w:t xml:space="preserve">Local businesses are the backbone of Brixton's economy, providing goods, services, and employment opportunities for residents. </w:t>
      </w:r>
      <w:r w:rsidRPr="00B60B95">
        <w:lastRenderedPageBreak/>
        <w:t>By supporting local businesses, Brixton can stimulate economic growth, create jobs, and generate revenue that circulates within the community, contributing to overall prosperity and resilience</w:t>
      </w:r>
      <w:r w:rsidR="000147F0" w:rsidRPr="000147F0">
        <w:rPr>
          <w:lang w:val="en-GB"/>
        </w:rPr>
        <w:t>.</w:t>
      </w:r>
      <w:r w:rsidR="004B3B8E">
        <w:rPr>
          <w:lang w:val="en-GB"/>
        </w:rPr>
        <w:br w:type="page"/>
      </w:r>
    </w:p>
    <w:p w14:paraId="29B7294C" w14:textId="5A37E773" w:rsidR="000147F0" w:rsidRDefault="004B3B8E" w:rsidP="004B3B8E">
      <w:pPr>
        <w:pStyle w:val="Heading1"/>
      </w:pPr>
      <w:bookmarkStart w:id="8" w:name="_Toc153389213"/>
      <w:r w:rsidRPr="004B3B8E">
        <w:lastRenderedPageBreak/>
        <w:t>REFERENCES</w:t>
      </w:r>
      <w:bookmarkEnd w:id="8"/>
    </w:p>
    <w:p w14:paraId="58FA4A0D" w14:textId="77777777" w:rsidR="00793DE7" w:rsidRDefault="00793DE7" w:rsidP="00793DE7">
      <w:pPr>
        <w:pStyle w:val="NormalWeb"/>
        <w:spacing w:before="0" w:beforeAutospacing="0" w:after="240" w:afterAutospacing="0" w:line="360" w:lineRule="auto"/>
      </w:pPr>
      <w:r>
        <w:t xml:space="preserve">Alshahibi, A. (2010) </w:t>
      </w:r>
      <w:r>
        <w:rPr>
          <w:i/>
          <w:iCs/>
        </w:rPr>
        <w:t>Urban Regeneration in the UK</w:t>
      </w:r>
      <w:r>
        <w:t xml:space="preserve">, </w:t>
      </w:r>
      <w:r>
        <w:rPr>
          <w:i/>
          <w:iCs/>
        </w:rPr>
        <w:t>www.academia.edu</w:t>
      </w:r>
      <w:r>
        <w:t>. Available at: https://www.academia.edu/40750173/Urban_Regeneration_in_the_UK.</w:t>
      </w:r>
    </w:p>
    <w:p w14:paraId="14F7ABCB" w14:textId="77777777" w:rsidR="00793DE7" w:rsidRDefault="00793DE7" w:rsidP="00793DE7">
      <w:pPr>
        <w:pStyle w:val="NormalWeb"/>
        <w:spacing w:before="0" w:beforeAutospacing="0" w:after="240" w:afterAutospacing="0" w:line="360" w:lineRule="auto"/>
      </w:pPr>
      <w:r>
        <w:t xml:space="preserve">BBC (2023) ‘Brixton Market in the 1960s: “A blending of different worlds”’, </w:t>
      </w:r>
      <w:r>
        <w:rPr>
          <w:i/>
          <w:iCs/>
        </w:rPr>
        <w:t>www.bbc.com</w:t>
      </w:r>
      <w:r>
        <w:t>, 29 October. Available at: https://www.bbc.com/news/av/uk-england-london-67231801 (Accessed: 11 December 2023).</w:t>
      </w:r>
    </w:p>
    <w:p w14:paraId="7C8640C4" w14:textId="77777777" w:rsidR="00793DE7" w:rsidRDefault="00793DE7" w:rsidP="00793DE7">
      <w:pPr>
        <w:pStyle w:val="NormalWeb"/>
        <w:spacing w:before="0" w:beforeAutospacing="0" w:after="240" w:afterAutospacing="0" w:line="360" w:lineRule="auto"/>
      </w:pPr>
      <w:r>
        <w:t xml:space="preserve">Brixton Blog (2023) </w:t>
      </w:r>
      <w:r>
        <w:rPr>
          <w:i/>
          <w:iCs/>
        </w:rPr>
        <w:t>Culture</w:t>
      </w:r>
      <w:r>
        <w:t xml:space="preserve">, </w:t>
      </w:r>
      <w:r>
        <w:rPr>
          <w:i/>
          <w:iCs/>
        </w:rPr>
        <w:t>Brixton Blog</w:t>
      </w:r>
      <w:r>
        <w:t>. Available at: https://brixtonblog.com/culture/ (Accessed: 11 December 2023).</w:t>
      </w:r>
    </w:p>
    <w:p w14:paraId="456F9DFB" w14:textId="77777777" w:rsidR="00793DE7" w:rsidRDefault="00793DE7" w:rsidP="00793DE7">
      <w:pPr>
        <w:pStyle w:val="NormalWeb"/>
        <w:spacing w:before="0" w:beforeAutospacing="0" w:after="240" w:afterAutospacing="0" w:line="360" w:lineRule="auto"/>
      </w:pPr>
      <w:r>
        <w:t xml:space="preserve">Brixton Green (2008a) </w:t>
      </w:r>
      <w:r>
        <w:rPr>
          <w:i/>
          <w:iCs/>
        </w:rPr>
        <w:t>Brixton Green | Community-led development in the heart of Brixton</w:t>
      </w:r>
      <w:r>
        <w:t xml:space="preserve">, </w:t>
      </w:r>
      <w:r>
        <w:rPr>
          <w:i/>
          <w:iCs/>
        </w:rPr>
        <w:t>Brixton Green Project</w:t>
      </w:r>
      <w:r>
        <w:t>. Available at: https://www.brixtongreen.org/ (Accessed: 13 December 2023).</w:t>
      </w:r>
    </w:p>
    <w:p w14:paraId="660C8CE9" w14:textId="77777777" w:rsidR="00793DE7" w:rsidRDefault="00793DE7" w:rsidP="00793DE7">
      <w:pPr>
        <w:pStyle w:val="NormalWeb"/>
        <w:spacing w:before="0" w:beforeAutospacing="0" w:after="240" w:afterAutospacing="0" w:line="360" w:lineRule="auto"/>
      </w:pPr>
      <w:r>
        <w:t xml:space="preserve">Brixton Green (2008b) </w:t>
      </w:r>
      <w:r>
        <w:rPr>
          <w:i/>
          <w:iCs/>
        </w:rPr>
        <w:t>The Development | Brixton Green</w:t>
      </w:r>
      <w:r>
        <w:t xml:space="preserve">, </w:t>
      </w:r>
      <w:r>
        <w:rPr>
          <w:i/>
          <w:iCs/>
        </w:rPr>
        <w:t>The Development: Brixton Green</w:t>
      </w:r>
      <w:r>
        <w:t>. Available at: https://www.brixtongreen.org/somerleyton-road-project/ (Accessed: 13 December 2023).</w:t>
      </w:r>
    </w:p>
    <w:p w14:paraId="0A86A19C" w14:textId="77777777" w:rsidR="00793DE7" w:rsidRDefault="00793DE7" w:rsidP="00793DE7">
      <w:pPr>
        <w:pStyle w:val="NormalWeb"/>
        <w:spacing w:before="0" w:beforeAutospacing="0" w:after="240" w:afterAutospacing="0" w:line="360" w:lineRule="auto"/>
      </w:pPr>
      <w:r>
        <w:t xml:space="preserve">Chen, J. (2023) </w:t>
      </w:r>
      <w:r>
        <w:rPr>
          <w:i/>
          <w:iCs/>
        </w:rPr>
        <w:t>How the Industrial Revolution Changed Business and Society</w:t>
      </w:r>
      <w:r>
        <w:t xml:space="preserve">, </w:t>
      </w:r>
      <w:r>
        <w:rPr>
          <w:i/>
          <w:iCs/>
        </w:rPr>
        <w:t>Investopedia</w:t>
      </w:r>
      <w:r>
        <w:t>. Available at: https://www.investopedia.com/terms/i/industrial-revolution.asp#:~:text=The%20Industrial%20Revolution%20was%20a.</w:t>
      </w:r>
    </w:p>
    <w:p w14:paraId="2A53CB19" w14:textId="2F988C7F" w:rsidR="00AC7E61" w:rsidRDefault="00AC7E61" w:rsidP="00793DE7">
      <w:pPr>
        <w:pStyle w:val="NormalWeb"/>
        <w:spacing w:before="0" w:beforeAutospacing="0" w:after="240" w:afterAutospacing="0" w:line="360" w:lineRule="auto"/>
      </w:pPr>
      <w:r w:rsidRPr="00AC7E61">
        <w:t xml:space="preserve">Cherry, B., &amp; Pevsner, N. (1983). </w:t>
      </w:r>
      <w:r w:rsidRPr="00AC7E61">
        <w:rPr>
          <w:i/>
          <w:iCs/>
        </w:rPr>
        <w:t>The Buildings of England: London 2: South.</w:t>
      </w:r>
      <w:r w:rsidRPr="00AC7E61">
        <w:t xml:space="preserve"> Yale University Press.</w:t>
      </w:r>
    </w:p>
    <w:p w14:paraId="69F2A4C7" w14:textId="77777777" w:rsidR="00793DE7" w:rsidRDefault="00793DE7" w:rsidP="00793DE7">
      <w:pPr>
        <w:pStyle w:val="NormalWeb"/>
        <w:spacing w:before="0" w:beforeAutospacing="0" w:after="240" w:afterAutospacing="0" w:line="360" w:lineRule="auto"/>
      </w:pPr>
      <w:r>
        <w:t xml:space="preserve">Davidson, E.M., LIU, J.J., BHOPAL, R., WHITE, M., JOHNSON, M.R.D., NETTO, G., WABNITZ, C. and SHEIKH, A. (2013) ‘Behavior Change Interventions to Improve the Health of Racial and Ethnic Minority Populations: A Tool Kit of Adaptation Approaches’, </w:t>
      </w:r>
      <w:r>
        <w:rPr>
          <w:i/>
          <w:iCs/>
        </w:rPr>
        <w:t>Milbank Quarterly</w:t>
      </w:r>
      <w:r>
        <w:t>, 91(4), pp. 811–851. Available at: https://doi.org/10.1111/1468-0009.12034.</w:t>
      </w:r>
    </w:p>
    <w:p w14:paraId="235D50D9" w14:textId="7C3F3F34" w:rsidR="00AC7E61" w:rsidRDefault="00AC7E61" w:rsidP="00793DE7">
      <w:pPr>
        <w:pStyle w:val="NormalWeb"/>
        <w:spacing w:before="0" w:beforeAutospacing="0" w:after="240" w:afterAutospacing="0" w:line="360" w:lineRule="auto"/>
      </w:pPr>
      <w:r w:rsidRPr="00AC7E61">
        <w:t xml:space="preserve">Davidson, A. (1999). </w:t>
      </w:r>
      <w:r w:rsidRPr="00AC7E61">
        <w:rPr>
          <w:i/>
          <w:iCs/>
        </w:rPr>
        <w:t>The Making of Hackney: 1870–1914.</w:t>
      </w:r>
      <w:r w:rsidRPr="00AC7E61">
        <w:t xml:space="preserve"> Sutton Publishing.</w:t>
      </w:r>
    </w:p>
    <w:p w14:paraId="7FDBF10F" w14:textId="77777777" w:rsidR="00793DE7" w:rsidRDefault="00793DE7" w:rsidP="00793DE7">
      <w:pPr>
        <w:pStyle w:val="NormalWeb"/>
        <w:spacing w:before="0" w:beforeAutospacing="0" w:after="240" w:afterAutospacing="0" w:line="360" w:lineRule="auto"/>
      </w:pPr>
      <w:r>
        <w:t xml:space="preserve">Haringey Council (2023) </w:t>
      </w:r>
      <w:r>
        <w:rPr>
          <w:i/>
          <w:iCs/>
        </w:rPr>
        <w:t>Windrush Generation 1945 - 1960 | Haringey Council</w:t>
      </w:r>
      <w:r>
        <w:t xml:space="preserve">, </w:t>
      </w:r>
      <w:r>
        <w:rPr>
          <w:i/>
          <w:iCs/>
        </w:rPr>
        <w:t>www.haringey.gov.uk</w:t>
      </w:r>
      <w:r>
        <w:t>. Available at: https://www.haringey.gov.uk/culture/black-history/timeline/windrush.</w:t>
      </w:r>
    </w:p>
    <w:p w14:paraId="481F838C" w14:textId="77777777" w:rsidR="00793DE7" w:rsidRDefault="00793DE7" w:rsidP="00793DE7">
      <w:pPr>
        <w:pStyle w:val="NormalWeb"/>
        <w:spacing w:before="0" w:beforeAutospacing="0" w:after="240" w:afterAutospacing="0" w:line="360" w:lineRule="auto"/>
      </w:pPr>
      <w:r>
        <w:lastRenderedPageBreak/>
        <w:t xml:space="preserve">Hovland, O.J., Hole, A.F., Chiduo, M.G. and Johannessen, B. (2021) ‘Experiences from cross-cultural collaboration in health campaigns in Tanzania: a qualitative study’, </w:t>
      </w:r>
      <w:r>
        <w:rPr>
          <w:i/>
          <w:iCs/>
        </w:rPr>
        <w:t>Archives of Public Health</w:t>
      </w:r>
      <w:r>
        <w:t>, 79(1). Available at: https://doi.org/10.1186/s13690-021-00730-0.</w:t>
      </w:r>
    </w:p>
    <w:p w14:paraId="1EF99135" w14:textId="77777777" w:rsidR="00793DE7" w:rsidRDefault="00793DE7" w:rsidP="00793DE7">
      <w:pPr>
        <w:pStyle w:val="NormalWeb"/>
        <w:spacing w:before="0" w:beforeAutospacing="0" w:after="240" w:afterAutospacing="0" w:line="360" w:lineRule="auto"/>
      </w:pPr>
      <w:r>
        <w:t xml:space="preserve">Lambeth Council (2023a) </w:t>
      </w:r>
      <w:r>
        <w:rPr>
          <w:i/>
          <w:iCs/>
        </w:rPr>
        <w:t>Eat well | Lambeth Council</w:t>
      </w:r>
      <w:r>
        <w:t xml:space="preserve">, </w:t>
      </w:r>
      <w:r>
        <w:rPr>
          <w:i/>
          <w:iCs/>
        </w:rPr>
        <w:t>www.lambeth.gov.uk</w:t>
      </w:r>
      <w:r>
        <w:t>. Available at: https://www.lambeth.gov.uk/adult-social-care-and-health/health-and-wellbeing/healthy-eating/eat-well.</w:t>
      </w:r>
    </w:p>
    <w:p w14:paraId="674469DB" w14:textId="77777777" w:rsidR="00793DE7" w:rsidRDefault="00793DE7" w:rsidP="00793DE7">
      <w:pPr>
        <w:pStyle w:val="NormalWeb"/>
        <w:spacing w:before="0" w:beforeAutospacing="0" w:after="240" w:afterAutospacing="0" w:line="360" w:lineRule="auto"/>
      </w:pPr>
      <w:r>
        <w:t xml:space="preserve">Lambeth Council (2023b) </w:t>
      </w:r>
      <w:r>
        <w:rPr>
          <w:i/>
          <w:iCs/>
        </w:rPr>
        <w:t>Lambeth College - Brixton Centre | Lambeth Council</w:t>
      </w:r>
      <w:r>
        <w:t xml:space="preserve">, </w:t>
      </w:r>
      <w:r>
        <w:rPr>
          <w:i/>
          <w:iCs/>
        </w:rPr>
        <w:t>www.lambeth.gov.uk</w:t>
      </w:r>
      <w:r>
        <w:t>. Available at: https://www.lambeth.gov.uk/family-information-directory/10344-lambeth-college-brixton-centre (Accessed: 13 December 2023).</w:t>
      </w:r>
    </w:p>
    <w:p w14:paraId="469DDAF6" w14:textId="77777777" w:rsidR="00793DE7" w:rsidRDefault="00793DE7" w:rsidP="00793DE7">
      <w:pPr>
        <w:pStyle w:val="NormalWeb"/>
        <w:spacing w:before="0" w:beforeAutospacing="0" w:after="240" w:afterAutospacing="0" w:line="360" w:lineRule="auto"/>
      </w:pPr>
      <w:r>
        <w:t xml:space="preserve">Lambeth Council (2023c) </w:t>
      </w:r>
      <w:r>
        <w:rPr>
          <w:i/>
          <w:iCs/>
        </w:rPr>
        <w:t>Online sexual health services | Lambeth Council</w:t>
      </w:r>
      <w:r>
        <w:t xml:space="preserve">, </w:t>
      </w:r>
      <w:r>
        <w:rPr>
          <w:i/>
          <w:iCs/>
        </w:rPr>
        <w:t>www.lambeth.gov.uk</w:t>
      </w:r>
      <w:r>
        <w:t>. Available at: https://www.lambeth.gov.uk/adult-social-care-and-health/health-and-wellbeing/sexual-health/online-sexual-health-services.</w:t>
      </w:r>
    </w:p>
    <w:p w14:paraId="30E5F87E" w14:textId="77777777" w:rsidR="00793DE7" w:rsidRDefault="00793DE7" w:rsidP="00793DE7">
      <w:pPr>
        <w:pStyle w:val="NormalWeb"/>
        <w:spacing w:before="0" w:beforeAutospacing="0" w:after="240" w:afterAutospacing="0" w:line="360" w:lineRule="auto"/>
      </w:pPr>
      <w:r>
        <w:t xml:space="preserve">Lambeth Council (2023d) </w:t>
      </w:r>
      <w:r>
        <w:rPr>
          <w:i/>
          <w:iCs/>
        </w:rPr>
        <w:t>Regeneration activity in Lambeth | Lambeth Council</w:t>
      </w:r>
      <w:r>
        <w:t xml:space="preserve">, </w:t>
      </w:r>
      <w:r>
        <w:rPr>
          <w:i/>
          <w:iCs/>
        </w:rPr>
        <w:t>www.lambeth.gov.uk</w:t>
      </w:r>
      <w:r>
        <w:t>. Available at: https://www.lambeth.gov.uk/housing/regeneration-projects/regeneration-activity-lambeth.</w:t>
      </w:r>
    </w:p>
    <w:p w14:paraId="3BEA87E6" w14:textId="0C6968FE" w:rsidR="00AC7E61" w:rsidRDefault="00AC7E61" w:rsidP="00793DE7">
      <w:pPr>
        <w:pStyle w:val="NormalWeb"/>
        <w:spacing w:before="0" w:beforeAutospacing="0" w:after="240" w:afterAutospacing="0" w:line="360" w:lineRule="auto"/>
      </w:pPr>
      <w:r w:rsidRPr="00AC7E61">
        <w:t xml:space="preserve">London Borough of Lambeth. (2017). </w:t>
      </w:r>
      <w:r w:rsidRPr="00AC7E61">
        <w:rPr>
          <w:i/>
          <w:iCs/>
        </w:rPr>
        <w:t>Brixton Area Action Plan.</w:t>
      </w:r>
      <w:r w:rsidRPr="00AC7E61">
        <w:t xml:space="preserve"> Lambeth Council.</w:t>
      </w:r>
    </w:p>
    <w:p w14:paraId="017ACD8C" w14:textId="77777777" w:rsidR="00793DE7" w:rsidRDefault="00793DE7" w:rsidP="00793DE7">
      <w:pPr>
        <w:pStyle w:val="NormalWeb"/>
        <w:spacing w:before="0" w:beforeAutospacing="0" w:after="240" w:afterAutospacing="0" w:line="360" w:lineRule="auto"/>
      </w:pPr>
      <w:r>
        <w:t xml:space="preserve">Mail and Honey PR (2022) </w:t>
      </w:r>
      <w:r>
        <w:rPr>
          <w:i/>
          <w:iCs/>
        </w:rPr>
        <w:t>Breaking down barriers: Why we partnered with Brixton Finishing School</w:t>
      </w:r>
      <w:r>
        <w:t xml:space="preserve">, </w:t>
      </w:r>
      <w:r>
        <w:rPr>
          <w:i/>
          <w:iCs/>
        </w:rPr>
        <w:t>Milk &amp; Honey PR</w:t>
      </w:r>
      <w:r>
        <w:t>. Available at: https://milkandhoneypr.com/breaking-down-barriers-with-brixton-finishing-school/.</w:t>
      </w:r>
    </w:p>
    <w:p w14:paraId="5F2C2A2E" w14:textId="77777777" w:rsidR="00793DE7" w:rsidRDefault="00793DE7" w:rsidP="00793DE7">
      <w:pPr>
        <w:pStyle w:val="NormalWeb"/>
        <w:spacing w:before="0" w:beforeAutospacing="0" w:after="240" w:afterAutospacing="0" w:line="360" w:lineRule="auto"/>
      </w:pPr>
      <w:r>
        <w:t xml:space="preserve">Mayor of London (2008) </w:t>
      </w:r>
      <w:r>
        <w:rPr>
          <w:i/>
          <w:iCs/>
        </w:rPr>
        <w:t>The London Plan 2008 (Consolidated with alterations since 2004) | London City Hall</w:t>
      </w:r>
      <w:r>
        <w:t xml:space="preserve">, </w:t>
      </w:r>
      <w:r>
        <w:rPr>
          <w:i/>
          <w:iCs/>
        </w:rPr>
        <w:t>www.london.gov.uk</w:t>
      </w:r>
      <w:r>
        <w:t>. Available at: https://www.london.gov.uk/programmes-strategies/planning/london-plan/past-versions-and-alterations-london-plan/london-plan-2008-consolidated-alterations-2004.</w:t>
      </w:r>
    </w:p>
    <w:p w14:paraId="09FDB9AC" w14:textId="5AC49703" w:rsidR="00AC7E61" w:rsidRDefault="00AC7E61" w:rsidP="00793DE7">
      <w:pPr>
        <w:pStyle w:val="NormalWeb"/>
        <w:spacing w:before="0" w:beforeAutospacing="0" w:after="240" w:afterAutospacing="0" w:line="360" w:lineRule="auto"/>
      </w:pPr>
      <w:r w:rsidRPr="00AC7E61">
        <w:t xml:space="preserve">Mills, A. D. (2011). </w:t>
      </w:r>
      <w:r w:rsidRPr="00AC7E61">
        <w:rPr>
          <w:i/>
          <w:iCs/>
        </w:rPr>
        <w:t>A Dictionary of London Place Names</w:t>
      </w:r>
      <w:r w:rsidRPr="00AC7E61">
        <w:t>. Oxford University Press.</w:t>
      </w:r>
    </w:p>
    <w:p w14:paraId="3C5B1B00" w14:textId="77777777" w:rsidR="00793DE7" w:rsidRDefault="00793DE7" w:rsidP="00793DE7">
      <w:pPr>
        <w:pStyle w:val="NormalWeb"/>
        <w:spacing w:before="0" w:beforeAutospacing="0" w:after="240" w:afterAutospacing="0" w:line="360" w:lineRule="auto"/>
      </w:pPr>
      <w:r>
        <w:t xml:space="preserve">One Journey (2023) </w:t>
      </w:r>
      <w:r>
        <w:rPr>
          <w:i/>
          <w:iCs/>
        </w:rPr>
        <w:t>Brixton</w:t>
      </w:r>
      <w:r>
        <w:t xml:space="preserve">, </w:t>
      </w:r>
      <w:r>
        <w:rPr>
          <w:i/>
          <w:iCs/>
        </w:rPr>
        <w:t>One Journey</w:t>
      </w:r>
      <w:r>
        <w:t>. Available at: https://onejourney.weebly.com/brixton-south-london.html (Accessed: 6 December 2023).</w:t>
      </w:r>
    </w:p>
    <w:p w14:paraId="23B2E433" w14:textId="77777777" w:rsidR="00793DE7" w:rsidRDefault="00793DE7" w:rsidP="00793DE7">
      <w:pPr>
        <w:pStyle w:val="NormalWeb"/>
        <w:spacing w:before="0" w:beforeAutospacing="0" w:after="240" w:afterAutospacing="0" w:line="360" w:lineRule="auto"/>
      </w:pPr>
      <w:r>
        <w:t xml:space="preserve">Royal Museums Greenwich (2022) </w:t>
      </w:r>
      <w:r>
        <w:rPr>
          <w:i/>
          <w:iCs/>
        </w:rPr>
        <w:t>History of the Empire Windrush</w:t>
      </w:r>
      <w:r>
        <w:t xml:space="preserve">, </w:t>
      </w:r>
      <w:r>
        <w:rPr>
          <w:i/>
          <w:iCs/>
        </w:rPr>
        <w:t>www.rmg.co.uk</w:t>
      </w:r>
      <w:r>
        <w:t>. Available at: https://www.rmg.co.uk/stories/windrush-histories/story-of-windrush-ship.</w:t>
      </w:r>
    </w:p>
    <w:p w14:paraId="5EBBEB3C" w14:textId="3501CF00" w:rsidR="00AC7E61" w:rsidRDefault="00AC7E61" w:rsidP="00793DE7">
      <w:pPr>
        <w:pStyle w:val="NormalWeb"/>
        <w:spacing w:before="0" w:beforeAutospacing="0" w:after="240" w:afterAutospacing="0" w:line="360" w:lineRule="auto"/>
      </w:pPr>
      <w:r w:rsidRPr="00AC7E61">
        <w:lastRenderedPageBreak/>
        <w:t xml:space="preserve">Scarman, L. (1981). </w:t>
      </w:r>
      <w:r w:rsidRPr="00AC7E61">
        <w:rPr>
          <w:i/>
          <w:iCs/>
        </w:rPr>
        <w:t>The Brixton Disorders April 10–12, 1981: Report of an Inquiry.</w:t>
      </w:r>
      <w:r w:rsidRPr="00AC7E61">
        <w:t xml:space="preserve"> HMSO.</w:t>
      </w:r>
    </w:p>
    <w:p w14:paraId="20E94734" w14:textId="77777777" w:rsidR="00793DE7" w:rsidRDefault="00793DE7" w:rsidP="00793DE7">
      <w:pPr>
        <w:pStyle w:val="NormalWeb"/>
        <w:spacing w:before="0" w:beforeAutospacing="0" w:after="240" w:afterAutospacing="0" w:line="360" w:lineRule="auto"/>
      </w:pPr>
      <w:r>
        <w:t xml:space="preserve">Simmons, B. (2020) </w:t>
      </w:r>
      <w:r>
        <w:rPr>
          <w:i/>
          <w:iCs/>
        </w:rPr>
        <w:t>A Tale of Two [Gentrified] Cities: Detroit and Brixton</w:t>
      </w:r>
      <w:r>
        <w:t>. Available at: https://deepblue.lib.umich.edu/bitstream/handle/2027.42/154731/Simmons_ATaleofTwoGentrifiedCities.pdf?sequence=1&amp;isAllowed=y.</w:t>
      </w:r>
    </w:p>
    <w:p w14:paraId="7ADD5337" w14:textId="60B56796" w:rsidR="00AC7E61" w:rsidRDefault="00AC7E61" w:rsidP="00793DE7">
      <w:pPr>
        <w:pStyle w:val="NormalWeb"/>
        <w:spacing w:before="0" w:beforeAutospacing="0" w:after="240" w:afterAutospacing="0" w:line="360" w:lineRule="auto"/>
      </w:pPr>
      <w:r w:rsidRPr="00AC7E61">
        <w:t>Survey of London</w:t>
      </w:r>
      <w:r>
        <w:rPr>
          <w:lang w:val="en-GB"/>
        </w:rPr>
        <w:t>, (1956)</w:t>
      </w:r>
      <w:r w:rsidRPr="00AC7E61">
        <w:t>: Volume 26, Lambeth: Southern Area (1956). British History Online.</w:t>
      </w:r>
    </w:p>
    <w:p w14:paraId="09FBFCF9" w14:textId="77777777" w:rsidR="00793DE7" w:rsidRDefault="00793DE7" w:rsidP="00793DE7">
      <w:pPr>
        <w:pStyle w:val="NormalWeb"/>
        <w:spacing w:before="0" w:beforeAutospacing="0" w:after="240" w:afterAutospacing="0" w:line="360" w:lineRule="auto"/>
      </w:pPr>
      <w:r>
        <w:t xml:space="preserve">Tibbalds (2023) </w:t>
      </w:r>
      <w:r>
        <w:rPr>
          <w:i/>
          <w:iCs/>
        </w:rPr>
        <w:t>Plans submitted for major Brixton regeneration proposals | News</w:t>
      </w:r>
      <w:r>
        <w:t xml:space="preserve">, </w:t>
      </w:r>
      <w:r>
        <w:rPr>
          <w:i/>
          <w:iCs/>
        </w:rPr>
        <w:t>Tibbalds</w:t>
      </w:r>
      <w:r>
        <w:t>. Available at: https://www.tibbalds.co.uk/news/plans-submitted-for-major-brixton-regeneration-proposals (Accessed: 13 December 2023).</w:t>
      </w:r>
    </w:p>
    <w:p w14:paraId="2324993A" w14:textId="77777777" w:rsidR="00793DE7" w:rsidRDefault="00793DE7" w:rsidP="00793DE7">
      <w:pPr>
        <w:pStyle w:val="NormalWeb"/>
        <w:spacing w:before="0" w:beforeAutospacing="0" w:after="240" w:afterAutospacing="0" w:line="360" w:lineRule="auto"/>
      </w:pPr>
      <w:r>
        <w:t xml:space="preserve">Urban, M. (2019) </w:t>
      </w:r>
      <w:r>
        <w:rPr>
          <w:i/>
          <w:iCs/>
        </w:rPr>
        <w:t>Mental Health Awareness Week: Brixton Mosaic Clubhouse asks ‘Are you ok?</w:t>
      </w:r>
      <w:r>
        <w:t xml:space="preserve"> Available at: https://www.brixtonbuzz.com/2019/05/mental-health-awareness-week-brixton-mosaic-clubhouse-asks-are-you-ok/ (Accessed: 13 December 2023).</w:t>
      </w:r>
    </w:p>
    <w:p w14:paraId="4E170576" w14:textId="77777777" w:rsidR="00793DE7" w:rsidRDefault="00793DE7" w:rsidP="00793DE7">
      <w:pPr>
        <w:pStyle w:val="NormalWeb"/>
        <w:spacing w:before="0" w:beforeAutospacing="0" w:after="240" w:afterAutospacing="0" w:line="360" w:lineRule="auto"/>
      </w:pPr>
      <w:r>
        <w:t xml:space="preserve">Urban75 (2023) </w:t>
      </w:r>
      <w:r>
        <w:rPr>
          <w:i/>
          <w:iCs/>
        </w:rPr>
        <w:t>Archive maps of Brixton and area, 1745 - 1870, Brixton, Lambeth, London, SW9 and SW2</w:t>
      </w:r>
      <w:r>
        <w:t xml:space="preserve">, </w:t>
      </w:r>
      <w:r>
        <w:rPr>
          <w:i/>
          <w:iCs/>
        </w:rPr>
        <w:t>www.urban75.org</w:t>
      </w:r>
      <w:r>
        <w:t>. Available at: http://www.urban75.org/brixton/history/brixton-archive-maps.html (Accessed: 6 December 2023).</w:t>
      </w:r>
    </w:p>
    <w:p w14:paraId="1BCB23DB" w14:textId="77777777" w:rsidR="004B3B8E" w:rsidRPr="004B3B8E" w:rsidRDefault="004B3B8E" w:rsidP="00793DE7">
      <w:pPr>
        <w:pStyle w:val="NormalWeb"/>
        <w:spacing w:before="0" w:beforeAutospacing="0" w:after="240" w:afterAutospacing="0" w:line="360" w:lineRule="auto"/>
      </w:pPr>
    </w:p>
    <w:sectPr w:rsidR="004B3B8E" w:rsidRPr="004B3B8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9BBDFB" w14:textId="77777777" w:rsidR="00C65F04" w:rsidRDefault="00C65F04" w:rsidP="00793DE7">
      <w:pPr>
        <w:spacing w:after="0" w:line="240" w:lineRule="auto"/>
      </w:pPr>
      <w:r>
        <w:separator/>
      </w:r>
    </w:p>
  </w:endnote>
  <w:endnote w:type="continuationSeparator" w:id="0">
    <w:p w14:paraId="67E36E9C" w14:textId="77777777" w:rsidR="00C65F04" w:rsidRDefault="00C65F04" w:rsidP="00793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0004866"/>
      <w:docPartObj>
        <w:docPartGallery w:val="Page Numbers (Bottom of Page)"/>
        <w:docPartUnique/>
      </w:docPartObj>
    </w:sdtPr>
    <w:sdtEndPr>
      <w:rPr>
        <w:noProof/>
      </w:rPr>
    </w:sdtEndPr>
    <w:sdtContent>
      <w:p w14:paraId="27CBD019" w14:textId="036CC309" w:rsidR="00793DE7" w:rsidRDefault="00793DE7">
        <w:pPr>
          <w:pStyle w:val="Footer"/>
          <w:jc w:val="center"/>
        </w:pPr>
        <w:r>
          <w:fldChar w:fldCharType="begin"/>
        </w:r>
        <w:r>
          <w:instrText xml:space="preserve"> PAGE   \* MERGEFORMAT </w:instrText>
        </w:r>
        <w:r>
          <w:fldChar w:fldCharType="separate"/>
        </w:r>
        <w:r w:rsidR="008865DA">
          <w:rPr>
            <w:noProof/>
          </w:rPr>
          <w:t>13</w:t>
        </w:r>
        <w:r>
          <w:rPr>
            <w:noProof/>
          </w:rPr>
          <w:fldChar w:fldCharType="end"/>
        </w:r>
      </w:p>
    </w:sdtContent>
  </w:sdt>
  <w:p w14:paraId="56EC6909" w14:textId="77777777" w:rsidR="00793DE7" w:rsidRDefault="00793D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8DFE69" w14:textId="77777777" w:rsidR="00C65F04" w:rsidRDefault="00C65F04" w:rsidP="00793DE7">
      <w:pPr>
        <w:spacing w:after="0" w:line="240" w:lineRule="auto"/>
      </w:pPr>
      <w:r>
        <w:separator/>
      </w:r>
    </w:p>
  </w:footnote>
  <w:footnote w:type="continuationSeparator" w:id="0">
    <w:p w14:paraId="6C470FBB" w14:textId="77777777" w:rsidR="00C65F04" w:rsidRDefault="00C65F04" w:rsidP="00793D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F446A7"/>
    <w:multiLevelType w:val="hybridMultilevel"/>
    <w:tmpl w:val="7B003C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FD6C53"/>
    <w:multiLevelType w:val="hybridMultilevel"/>
    <w:tmpl w:val="1BB44C4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31DB65DA"/>
    <w:multiLevelType w:val="hybridMultilevel"/>
    <w:tmpl w:val="5ECC24F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4D700ACE"/>
    <w:multiLevelType w:val="hybridMultilevel"/>
    <w:tmpl w:val="60AC3BD4"/>
    <w:lvl w:ilvl="0" w:tplc="C192B39C">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5BA09FE"/>
    <w:multiLevelType w:val="multilevel"/>
    <w:tmpl w:val="8CE817E2"/>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64D21B18"/>
    <w:multiLevelType w:val="hybridMultilevel"/>
    <w:tmpl w:val="4F3036DC"/>
    <w:lvl w:ilvl="0" w:tplc="20000001">
      <w:start w:val="1"/>
      <w:numFmt w:val="bullet"/>
      <w:lvlText w:val=""/>
      <w:lvlJc w:val="left"/>
      <w:pPr>
        <w:ind w:left="1080" w:hanging="360"/>
      </w:pPr>
      <w:rPr>
        <w:rFonts w:ascii="Symbol" w:hAnsi="Symbol"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6" w15:restartNumberingAfterBreak="0">
    <w:nsid w:val="6EDD721A"/>
    <w:multiLevelType w:val="hybridMultilevel"/>
    <w:tmpl w:val="569E76B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436094559">
    <w:abstractNumId w:val="2"/>
  </w:num>
  <w:num w:numId="2" w16cid:durableId="836074417">
    <w:abstractNumId w:val="1"/>
  </w:num>
  <w:num w:numId="3" w16cid:durableId="976759463">
    <w:abstractNumId w:val="6"/>
  </w:num>
  <w:num w:numId="4" w16cid:durableId="1428038376">
    <w:abstractNumId w:val="5"/>
  </w:num>
  <w:num w:numId="5" w16cid:durableId="364645511">
    <w:abstractNumId w:val="4"/>
  </w:num>
  <w:num w:numId="6" w16cid:durableId="1639263030">
    <w:abstractNumId w:val="3"/>
  </w:num>
  <w:num w:numId="7" w16cid:durableId="12658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358E"/>
    <w:rsid w:val="000147F0"/>
    <w:rsid w:val="00031C2D"/>
    <w:rsid w:val="000C4A96"/>
    <w:rsid w:val="000D443C"/>
    <w:rsid w:val="000E68FC"/>
    <w:rsid w:val="000F3806"/>
    <w:rsid w:val="00130624"/>
    <w:rsid w:val="00141126"/>
    <w:rsid w:val="00142A63"/>
    <w:rsid w:val="00154678"/>
    <w:rsid w:val="001834DD"/>
    <w:rsid w:val="001E0B5E"/>
    <w:rsid w:val="002033DA"/>
    <w:rsid w:val="0023353D"/>
    <w:rsid w:val="00270220"/>
    <w:rsid w:val="00282F87"/>
    <w:rsid w:val="002B3C00"/>
    <w:rsid w:val="002B5E8D"/>
    <w:rsid w:val="002C7667"/>
    <w:rsid w:val="002D1236"/>
    <w:rsid w:val="00327416"/>
    <w:rsid w:val="003552C0"/>
    <w:rsid w:val="00386677"/>
    <w:rsid w:val="003978FA"/>
    <w:rsid w:val="00397C33"/>
    <w:rsid w:val="003E1DCE"/>
    <w:rsid w:val="003E2D5F"/>
    <w:rsid w:val="004348B5"/>
    <w:rsid w:val="00470174"/>
    <w:rsid w:val="004B3B8E"/>
    <w:rsid w:val="0053446A"/>
    <w:rsid w:val="00555196"/>
    <w:rsid w:val="0055740A"/>
    <w:rsid w:val="00564886"/>
    <w:rsid w:val="00591E86"/>
    <w:rsid w:val="005A1D29"/>
    <w:rsid w:val="005B431A"/>
    <w:rsid w:val="005F6151"/>
    <w:rsid w:val="0062358E"/>
    <w:rsid w:val="00633CD7"/>
    <w:rsid w:val="00657048"/>
    <w:rsid w:val="00677EE4"/>
    <w:rsid w:val="0068165C"/>
    <w:rsid w:val="00682003"/>
    <w:rsid w:val="006A7D3D"/>
    <w:rsid w:val="006E6B2E"/>
    <w:rsid w:val="006E7DF9"/>
    <w:rsid w:val="006F2ECF"/>
    <w:rsid w:val="00752414"/>
    <w:rsid w:val="00754C1D"/>
    <w:rsid w:val="00777EF0"/>
    <w:rsid w:val="00793403"/>
    <w:rsid w:val="00793DE7"/>
    <w:rsid w:val="007B6241"/>
    <w:rsid w:val="007F0568"/>
    <w:rsid w:val="00806B91"/>
    <w:rsid w:val="00861B06"/>
    <w:rsid w:val="00885F2A"/>
    <w:rsid w:val="008865DA"/>
    <w:rsid w:val="00894C19"/>
    <w:rsid w:val="008A2474"/>
    <w:rsid w:val="008C405D"/>
    <w:rsid w:val="008E5DDB"/>
    <w:rsid w:val="00902002"/>
    <w:rsid w:val="00963F4D"/>
    <w:rsid w:val="00970895"/>
    <w:rsid w:val="00972643"/>
    <w:rsid w:val="00991B49"/>
    <w:rsid w:val="00A27C0A"/>
    <w:rsid w:val="00A47330"/>
    <w:rsid w:val="00A54E9B"/>
    <w:rsid w:val="00A72F12"/>
    <w:rsid w:val="00A805E4"/>
    <w:rsid w:val="00A82967"/>
    <w:rsid w:val="00AC7E61"/>
    <w:rsid w:val="00AF3174"/>
    <w:rsid w:val="00AF514C"/>
    <w:rsid w:val="00AF65B1"/>
    <w:rsid w:val="00B03B2C"/>
    <w:rsid w:val="00B60B95"/>
    <w:rsid w:val="00B772FB"/>
    <w:rsid w:val="00BB2F48"/>
    <w:rsid w:val="00BB3E10"/>
    <w:rsid w:val="00BC2945"/>
    <w:rsid w:val="00C02BA2"/>
    <w:rsid w:val="00C1687B"/>
    <w:rsid w:val="00C215FB"/>
    <w:rsid w:val="00C21819"/>
    <w:rsid w:val="00C3153E"/>
    <w:rsid w:val="00C52C47"/>
    <w:rsid w:val="00C54D6C"/>
    <w:rsid w:val="00C65F04"/>
    <w:rsid w:val="00CA704F"/>
    <w:rsid w:val="00CB6551"/>
    <w:rsid w:val="00CD5E52"/>
    <w:rsid w:val="00CF132D"/>
    <w:rsid w:val="00D02EC7"/>
    <w:rsid w:val="00DB233D"/>
    <w:rsid w:val="00DB4CF3"/>
    <w:rsid w:val="00E94CDC"/>
    <w:rsid w:val="00EA4F19"/>
    <w:rsid w:val="00EB1DBF"/>
    <w:rsid w:val="00ED7164"/>
    <w:rsid w:val="00EE6B02"/>
    <w:rsid w:val="00EF24D9"/>
    <w:rsid w:val="00F42DF1"/>
    <w:rsid w:val="00F51B2D"/>
    <w:rsid w:val="00F80D4F"/>
    <w:rsid w:val="00F9798F"/>
    <w:rsid w:val="00FC3E5D"/>
    <w:rsid w:val="00FD5CD4"/>
    <w:rsid w:val="00FF7E59"/>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B8C45"/>
  <w15:chartTrackingRefBased/>
  <w15:docId w15:val="{B5D798E0-6A55-4DE5-8CFD-29EF2AA7E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806"/>
    <w:pPr>
      <w:spacing w:line="360" w:lineRule="auto"/>
    </w:pPr>
    <w:rPr>
      <w:rFonts w:asciiTheme="majorBidi" w:hAnsiTheme="majorBidi"/>
      <w:sz w:val="24"/>
    </w:rPr>
  </w:style>
  <w:style w:type="paragraph" w:styleId="Heading1">
    <w:name w:val="heading 1"/>
    <w:basedOn w:val="Normal"/>
    <w:next w:val="Normal"/>
    <w:link w:val="Heading1Char"/>
    <w:uiPriority w:val="9"/>
    <w:qFormat/>
    <w:rsid w:val="004B3B8E"/>
    <w:pPr>
      <w:jc w:val="both"/>
      <w:outlineLvl w:val="0"/>
    </w:pPr>
    <w:rPr>
      <w:b/>
      <w:bCs/>
      <w:lang w:val="en-GB"/>
    </w:rPr>
  </w:style>
  <w:style w:type="paragraph" w:styleId="Heading2">
    <w:name w:val="heading 2"/>
    <w:basedOn w:val="Normal"/>
    <w:next w:val="Normal"/>
    <w:link w:val="Heading2Char"/>
    <w:uiPriority w:val="9"/>
    <w:unhideWhenUsed/>
    <w:qFormat/>
    <w:rsid w:val="004B3B8E"/>
    <w:pPr>
      <w:keepNext/>
      <w:keepLines/>
      <w:numPr>
        <w:ilvl w:val="1"/>
        <w:numId w:val="5"/>
      </w:numPr>
      <w:spacing w:before="40"/>
      <w:ind w:left="578" w:hanging="578"/>
      <w:outlineLvl w:val="1"/>
    </w:pPr>
    <w:rPr>
      <w:rFonts w:eastAsiaTheme="majorEastAsia" w:cstheme="majorBidi"/>
      <w:b/>
      <w:bCs/>
      <w:szCs w:val="24"/>
      <w:lang w:val="en-GB"/>
    </w:rPr>
  </w:style>
  <w:style w:type="paragraph" w:styleId="Heading3">
    <w:name w:val="heading 3"/>
    <w:basedOn w:val="Normal"/>
    <w:next w:val="Normal"/>
    <w:link w:val="Heading3Char"/>
    <w:uiPriority w:val="9"/>
    <w:semiHidden/>
    <w:unhideWhenUsed/>
    <w:qFormat/>
    <w:rsid w:val="004B3B8E"/>
    <w:pPr>
      <w:keepNext/>
      <w:keepLines/>
      <w:numPr>
        <w:ilvl w:val="2"/>
        <w:numId w:val="5"/>
      </w:numPr>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4B3B8E"/>
    <w:pPr>
      <w:keepNext/>
      <w:keepLines/>
      <w:numPr>
        <w:ilvl w:val="3"/>
        <w:numId w:val="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B3B8E"/>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B3B8E"/>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B3B8E"/>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B3B8E"/>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B3B8E"/>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15FB"/>
    <w:pPr>
      <w:ind w:left="720"/>
      <w:contextualSpacing/>
    </w:pPr>
  </w:style>
  <w:style w:type="character" w:customStyle="1" w:styleId="Heading1Char">
    <w:name w:val="Heading 1 Char"/>
    <w:basedOn w:val="DefaultParagraphFont"/>
    <w:link w:val="Heading1"/>
    <w:uiPriority w:val="9"/>
    <w:rsid w:val="004B3B8E"/>
    <w:rPr>
      <w:rFonts w:asciiTheme="majorBidi" w:hAnsiTheme="majorBidi"/>
      <w:b/>
      <w:bCs/>
      <w:sz w:val="24"/>
      <w:lang w:val="en-GB"/>
    </w:rPr>
  </w:style>
  <w:style w:type="character" w:customStyle="1" w:styleId="Heading2Char">
    <w:name w:val="Heading 2 Char"/>
    <w:basedOn w:val="DefaultParagraphFont"/>
    <w:link w:val="Heading2"/>
    <w:uiPriority w:val="9"/>
    <w:rsid w:val="004B3B8E"/>
    <w:rPr>
      <w:rFonts w:asciiTheme="majorBidi" w:eastAsiaTheme="majorEastAsia" w:hAnsiTheme="majorBidi" w:cstheme="majorBidi"/>
      <w:b/>
      <w:bCs/>
      <w:sz w:val="24"/>
      <w:szCs w:val="24"/>
      <w:lang w:val="en-GB"/>
    </w:rPr>
  </w:style>
  <w:style w:type="character" w:customStyle="1" w:styleId="Heading3Char">
    <w:name w:val="Heading 3 Char"/>
    <w:basedOn w:val="DefaultParagraphFont"/>
    <w:link w:val="Heading3"/>
    <w:uiPriority w:val="9"/>
    <w:semiHidden/>
    <w:rsid w:val="004B3B8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B3B8E"/>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4B3B8E"/>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4B3B8E"/>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4B3B8E"/>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4B3B8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B3B8E"/>
    <w:rPr>
      <w:rFonts w:asciiTheme="majorHAnsi" w:eastAsiaTheme="majorEastAsia" w:hAnsiTheme="majorHAnsi" w:cstheme="majorBidi"/>
      <w:i/>
      <w:iCs/>
      <w:color w:val="272727" w:themeColor="text1" w:themeTint="D8"/>
      <w:sz w:val="21"/>
      <w:szCs w:val="21"/>
    </w:rPr>
  </w:style>
  <w:style w:type="paragraph" w:styleId="NormalWeb">
    <w:name w:val="Normal (Web)"/>
    <w:basedOn w:val="Normal"/>
    <w:uiPriority w:val="99"/>
    <w:unhideWhenUsed/>
    <w:rsid w:val="004B3B8E"/>
    <w:pPr>
      <w:spacing w:before="100" w:beforeAutospacing="1" w:after="100" w:afterAutospacing="1" w:line="240" w:lineRule="auto"/>
    </w:pPr>
    <w:rPr>
      <w:rFonts w:ascii="Times New Roman" w:eastAsia="Times New Roman" w:hAnsi="Times New Roman" w:cs="Times New Roman"/>
      <w:kern w:val="0"/>
      <w:szCs w:val="24"/>
      <w:lang/>
      <w14:ligatures w14:val="none"/>
    </w:rPr>
  </w:style>
  <w:style w:type="paragraph" w:styleId="TOCHeading">
    <w:name w:val="TOC Heading"/>
    <w:basedOn w:val="Heading1"/>
    <w:next w:val="Normal"/>
    <w:uiPriority w:val="39"/>
    <w:unhideWhenUsed/>
    <w:qFormat/>
    <w:rsid w:val="00793DE7"/>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793DE7"/>
    <w:pPr>
      <w:tabs>
        <w:tab w:val="right" w:leader="dot" w:pos="9016"/>
      </w:tabs>
      <w:spacing w:after="0"/>
    </w:pPr>
  </w:style>
  <w:style w:type="paragraph" w:styleId="TOC2">
    <w:name w:val="toc 2"/>
    <w:basedOn w:val="Normal"/>
    <w:next w:val="Normal"/>
    <w:autoRedefine/>
    <w:uiPriority w:val="39"/>
    <w:unhideWhenUsed/>
    <w:rsid w:val="00793DE7"/>
    <w:pPr>
      <w:spacing w:after="100"/>
      <w:ind w:left="240"/>
    </w:pPr>
  </w:style>
  <w:style w:type="character" w:styleId="Hyperlink">
    <w:name w:val="Hyperlink"/>
    <w:basedOn w:val="DefaultParagraphFont"/>
    <w:uiPriority w:val="99"/>
    <w:unhideWhenUsed/>
    <w:rsid w:val="00793DE7"/>
    <w:rPr>
      <w:color w:val="0563C1" w:themeColor="hyperlink"/>
      <w:u w:val="single"/>
    </w:rPr>
  </w:style>
  <w:style w:type="paragraph" w:styleId="Header">
    <w:name w:val="header"/>
    <w:basedOn w:val="Normal"/>
    <w:link w:val="HeaderChar"/>
    <w:uiPriority w:val="99"/>
    <w:unhideWhenUsed/>
    <w:rsid w:val="00793D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DE7"/>
    <w:rPr>
      <w:rFonts w:asciiTheme="majorBidi" w:hAnsiTheme="majorBidi"/>
      <w:sz w:val="24"/>
    </w:rPr>
  </w:style>
  <w:style w:type="paragraph" w:styleId="Footer">
    <w:name w:val="footer"/>
    <w:basedOn w:val="Normal"/>
    <w:link w:val="FooterChar"/>
    <w:uiPriority w:val="99"/>
    <w:unhideWhenUsed/>
    <w:rsid w:val="00793D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DE7"/>
    <w:rPr>
      <w:rFonts w:asciiTheme="majorBidi" w:hAnsiTheme="majorBid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3459379">
      <w:bodyDiv w:val="1"/>
      <w:marLeft w:val="0"/>
      <w:marRight w:val="0"/>
      <w:marTop w:val="0"/>
      <w:marBottom w:val="0"/>
      <w:divBdr>
        <w:top w:val="none" w:sz="0" w:space="0" w:color="auto"/>
        <w:left w:val="none" w:sz="0" w:space="0" w:color="auto"/>
        <w:bottom w:val="none" w:sz="0" w:space="0" w:color="auto"/>
        <w:right w:val="none" w:sz="0" w:space="0" w:color="auto"/>
      </w:divBdr>
      <w:divsChild>
        <w:div w:id="369190339">
          <w:marLeft w:val="0"/>
          <w:marRight w:val="0"/>
          <w:marTop w:val="0"/>
          <w:marBottom w:val="0"/>
          <w:divBdr>
            <w:top w:val="none" w:sz="0" w:space="0" w:color="auto"/>
            <w:left w:val="none" w:sz="0" w:space="0" w:color="auto"/>
            <w:bottom w:val="none" w:sz="0" w:space="0" w:color="auto"/>
            <w:right w:val="none" w:sz="0" w:space="0" w:color="auto"/>
          </w:divBdr>
        </w:div>
      </w:divsChild>
    </w:div>
    <w:div w:id="502164372">
      <w:bodyDiv w:val="1"/>
      <w:marLeft w:val="0"/>
      <w:marRight w:val="0"/>
      <w:marTop w:val="0"/>
      <w:marBottom w:val="0"/>
      <w:divBdr>
        <w:top w:val="none" w:sz="0" w:space="0" w:color="auto"/>
        <w:left w:val="none" w:sz="0" w:space="0" w:color="auto"/>
        <w:bottom w:val="none" w:sz="0" w:space="0" w:color="auto"/>
        <w:right w:val="none" w:sz="0" w:space="0" w:color="auto"/>
      </w:divBdr>
      <w:divsChild>
        <w:div w:id="1003705050">
          <w:marLeft w:val="0"/>
          <w:marRight w:val="0"/>
          <w:marTop w:val="0"/>
          <w:marBottom w:val="0"/>
          <w:divBdr>
            <w:top w:val="none" w:sz="0" w:space="0" w:color="auto"/>
            <w:left w:val="none" w:sz="0" w:space="0" w:color="auto"/>
            <w:bottom w:val="none" w:sz="0" w:space="0" w:color="auto"/>
            <w:right w:val="none" w:sz="0" w:space="0" w:color="auto"/>
          </w:divBdr>
        </w:div>
      </w:divsChild>
    </w:div>
    <w:div w:id="921529828">
      <w:bodyDiv w:val="1"/>
      <w:marLeft w:val="0"/>
      <w:marRight w:val="0"/>
      <w:marTop w:val="0"/>
      <w:marBottom w:val="0"/>
      <w:divBdr>
        <w:top w:val="none" w:sz="0" w:space="0" w:color="auto"/>
        <w:left w:val="none" w:sz="0" w:space="0" w:color="auto"/>
        <w:bottom w:val="none" w:sz="0" w:space="0" w:color="auto"/>
        <w:right w:val="none" w:sz="0" w:space="0" w:color="auto"/>
      </w:divBdr>
      <w:divsChild>
        <w:div w:id="9231497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E0C71D-1168-4EF7-8DD5-83DD888ED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3407</Words>
  <Characters>19426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Maruf Ajimati</dc:creator>
  <cp:keywords/>
  <dc:description/>
  <cp:lastModifiedBy>Rotimi Amos</cp:lastModifiedBy>
  <cp:revision>2</cp:revision>
  <dcterms:created xsi:type="dcterms:W3CDTF">2024-04-23T18:54:00Z</dcterms:created>
  <dcterms:modified xsi:type="dcterms:W3CDTF">2024-04-23T18:54:00Z</dcterms:modified>
</cp:coreProperties>
</file>