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98517" w14:textId="7D0B1FD4" w:rsidR="00F90A6A" w:rsidRPr="00F90A6A" w:rsidRDefault="00F90A6A" w:rsidP="00F90A6A">
      <w:pPr>
        <w:jc w:val="center"/>
        <w:rPr>
          <w:rFonts w:ascii="Arial" w:hAnsi="Arial" w:cs="Arial"/>
          <w:bCs/>
          <w:sz w:val="72"/>
          <w:szCs w:val="72"/>
        </w:rPr>
      </w:pPr>
      <w:r w:rsidRPr="00F90A6A">
        <w:rPr>
          <w:rFonts w:ascii="Arial" w:hAnsi="Arial" w:cs="Arial"/>
          <w:bCs/>
          <w:sz w:val="72"/>
          <w:szCs w:val="72"/>
        </w:rPr>
        <w:t>Accounting</w:t>
      </w:r>
      <w:r>
        <w:rPr>
          <w:rFonts w:ascii="Arial" w:hAnsi="Arial" w:cs="Arial"/>
          <w:bCs/>
          <w:sz w:val="72"/>
          <w:szCs w:val="72"/>
        </w:rPr>
        <w:t xml:space="preserve"> assignment</w:t>
      </w:r>
    </w:p>
    <w:p w14:paraId="511C10E2" w14:textId="77777777" w:rsidR="00F90A6A" w:rsidRPr="0097296B" w:rsidRDefault="00F90A6A" w:rsidP="00F90A6A">
      <w:pPr>
        <w:jc w:val="center"/>
        <w:rPr>
          <w:rFonts w:ascii="Arial" w:hAnsi="Arial" w:cs="Arial"/>
          <w:bCs/>
          <w:sz w:val="72"/>
          <w:szCs w:val="72"/>
        </w:rPr>
      </w:pPr>
    </w:p>
    <w:p w14:paraId="79A90384" w14:textId="77777777" w:rsidR="00F90A6A" w:rsidRPr="0097296B" w:rsidRDefault="00F90A6A" w:rsidP="00F90A6A">
      <w:pPr>
        <w:rPr>
          <w:rFonts w:ascii="Arial" w:hAnsi="Arial" w:cs="Arial"/>
          <w:bCs/>
          <w:sz w:val="24"/>
          <w:szCs w:val="24"/>
        </w:rPr>
      </w:pPr>
    </w:p>
    <w:p w14:paraId="5E9E5E4E" w14:textId="77777777" w:rsidR="00F90A6A" w:rsidRPr="0097296B" w:rsidRDefault="00F90A6A" w:rsidP="00F90A6A">
      <w:pPr>
        <w:rPr>
          <w:rFonts w:ascii="Arial" w:hAnsi="Arial" w:cs="Arial"/>
          <w:bCs/>
          <w:sz w:val="24"/>
          <w:szCs w:val="24"/>
        </w:rPr>
      </w:pPr>
    </w:p>
    <w:p w14:paraId="7436A677" w14:textId="77777777" w:rsidR="00F90A6A" w:rsidRPr="0097296B" w:rsidRDefault="00F90A6A" w:rsidP="00F90A6A">
      <w:pPr>
        <w:rPr>
          <w:rFonts w:ascii="Arial" w:hAnsi="Arial" w:cs="Arial"/>
          <w:bCs/>
          <w:sz w:val="24"/>
          <w:szCs w:val="24"/>
        </w:rPr>
      </w:pPr>
    </w:p>
    <w:p w14:paraId="7B791EA7" w14:textId="77777777" w:rsidR="00F90A6A" w:rsidRPr="0097296B" w:rsidRDefault="00F90A6A" w:rsidP="00F90A6A">
      <w:pPr>
        <w:rPr>
          <w:rFonts w:ascii="Arial" w:hAnsi="Arial" w:cs="Arial"/>
          <w:bCs/>
          <w:sz w:val="24"/>
          <w:szCs w:val="24"/>
        </w:rPr>
      </w:pPr>
    </w:p>
    <w:p w14:paraId="5B520212" w14:textId="77777777" w:rsidR="00F90A6A" w:rsidRPr="0097296B" w:rsidRDefault="00F90A6A" w:rsidP="00F90A6A">
      <w:pPr>
        <w:rPr>
          <w:rFonts w:ascii="Arial" w:hAnsi="Arial" w:cs="Arial"/>
          <w:bCs/>
          <w:sz w:val="24"/>
          <w:szCs w:val="24"/>
        </w:rPr>
      </w:pPr>
    </w:p>
    <w:p w14:paraId="7ADCCF1D" w14:textId="77777777" w:rsidR="00F90A6A" w:rsidRPr="0097296B" w:rsidRDefault="00F90A6A" w:rsidP="00F90A6A">
      <w:pPr>
        <w:rPr>
          <w:rFonts w:ascii="Arial" w:hAnsi="Arial" w:cs="Arial"/>
          <w:bCs/>
          <w:sz w:val="24"/>
          <w:szCs w:val="24"/>
        </w:rPr>
      </w:pPr>
    </w:p>
    <w:p w14:paraId="71921993" w14:textId="77777777" w:rsidR="00F90A6A" w:rsidRPr="0097296B" w:rsidRDefault="00F90A6A" w:rsidP="00F90A6A">
      <w:pPr>
        <w:rPr>
          <w:rFonts w:ascii="Arial" w:hAnsi="Arial" w:cs="Arial"/>
          <w:bCs/>
          <w:sz w:val="24"/>
          <w:szCs w:val="24"/>
        </w:rPr>
      </w:pPr>
    </w:p>
    <w:p w14:paraId="591AD7BE" w14:textId="77777777" w:rsidR="00F90A6A" w:rsidRPr="0097296B" w:rsidRDefault="00F90A6A" w:rsidP="00F90A6A">
      <w:pPr>
        <w:rPr>
          <w:rFonts w:ascii="Arial" w:hAnsi="Arial" w:cs="Arial"/>
          <w:bCs/>
          <w:sz w:val="24"/>
          <w:szCs w:val="24"/>
        </w:rPr>
      </w:pPr>
    </w:p>
    <w:p w14:paraId="4B55A704" w14:textId="77777777" w:rsidR="00F90A6A" w:rsidRPr="0097296B" w:rsidRDefault="00F90A6A" w:rsidP="00F90A6A">
      <w:pPr>
        <w:rPr>
          <w:rFonts w:ascii="Arial" w:hAnsi="Arial" w:cs="Arial"/>
          <w:bCs/>
          <w:sz w:val="24"/>
          <w:szCs w:val="24"/>
        </w:rPr>
      </w:pPr>
    </w:p>
    <w:p w14:paraId="6BC59BD4" w14:textId="77777777" w:rsidR="00F90A6A" w:rsidRPr="0097296B" w:rsidRDefault="00F90A6A" w:rsidP="00F90A6A">
      <w:pPr>
        <w:rPr>
          <w:rFonts w:ascii="Arial" w:hAnsi="Arial" w:cs="Arial"/>
          <w:bCs/>
          <w:sz w:val="24"/>
          <w:szCs w:val="24"/>
        </w:rPr>
      </w:pPr>
    </w:p>
    <w:p w14:paraId="4147327A" w14:textId="77777777" w:rsidR="00F90A6A" w:rsidRPr="0097296B" w:rsidRDefault="00F90A6A" w:rsidP="00F90A6A">
      <w:pPr>
        <w:rPr>
          <w:rFonts w:ascii="Arial" w:hAnsi="Arial" w:cs="Arial"/>
          <w:bCs/>
          <w:sz w:val="24"/>
          <w:szCs w:val="24"/>
        </w:rPr>
      </w:pPr>
    </w:p>
    <w:p w14:paraId="3347322E" w14:textId="77777777" w:rsidR="00F90A6A" w:rsidRPr="0097296B" w:rsidRDefault="00F90A6A" w:rsidP="00F90A6A">
      <w:pPr>
        <w:rPr>
          <w:rFonts w:ascii="Arial" w:hAnsi="Arial" w:cs="Arial"/>
          <w:bCs/>
          <w:sz w:val="24"/>
          <w:szCs w:val="24"/>
        </w:rPr>
      </w:pPr>
    </w:p>
    <w:p w14:paraId="7E66B101" w14:textId="77777777" w:rsidR="00F90A6A" w:rsidRPr="0097296B" w:rsidRDefault="00F90A6A" w:rsidP="00F90A6A">
      <w:pPr>
        <w:rPr>
          <w:rFonts w:ascii="Arial" w:hAnsi="Arial" w:cs="Arial"/>
          <w:bCs/>
          <w:sz w:val="24"/>
          <w:szCs w:val="24"/>
        </w:rPr>
      </w:pPr>
    </w:p>
    <w:p w14:paraId="02E95BD6" w14:textId="77777777" w:rsidR="00F90A6A" w:rsidRPr="0097296B" w:rsidRDefault="00F90A6A" w:rsidP="00F90A6A">
      <w:pPr>
        <w:rPr>
          <w:rFonts w:ascii="Arial" w:hAnsi="Arial" w:cs="Arial"/>
          <w:bCs/>
          <w:sz w:val="24"/>
          <w:szCs w:val="24"/>
        </w:rPr>
      </w:pPr>
    </w:p>
    <w:p w14:paraId="143AEE53" w14:textId="77777777" w:rsidR="00F90A6A" w:rsidRPr="0097296B" w:rsidRDefault="00F90A6A" w:rsidP="00F90A6A">
      <w:pPr>
        <w:rPr>
          <w:rFonts w:ascii="Arial" w:hAnsi="Arial" w:cs="Arial"/>
          <w:bCs/>
          <w:sz w:val="24"/>
          <w:szCs w:val="24"/>
        </w:rPr>
      </w:pPr>
    </w:p>
    <w:p w14:paraId="270E6929" w14:textId="77777777" w:rsidR="00F90A6A" w:rsidRPr="0097296B" w:rsidRDefault="00F90A6A" w:rsidP="00F90A6A">
      <w:pPr>
        <w:rPr>
          <w:rFonts w:ascii="Arial" w:hAnsi="Arial" w:cs="Arial"/>
          <w:bCs/>
          <w:sz w:val="24"/>
          <w:szCs w:val="24"/>
        </w:rPr>
      </w:pPr>
    </w:p>
    <w:p w14:paraId="404324B3" w14:textId="15404DD0" w:rsidR="00F90A6A" w:rsidRPr="0097296B" w:rsidRDefault="00F90A6A" w:rsidP="00F90A6A">
      <w:pPr>
        <w:rPr>
          <w:rFonts w:ascii="Arial" w:hAnsi="Arial" w:cs="Arial"/>
          <w:bCs/>
          <w:sz w:val="40"/>
          <w:szCs w:val="40"/>
        </w:rPr>
      </w:pPr>
      <w:r w:rsidRPr="0097296B">
        <w:rPr>
          <w:rFonts w:ascii="Arial" w:hAnsi="Arial" w:cs="Arial"/>
          <w:bCs/>
          <w:sz w:val="40"/>
          <w:szCs w:val="40"/>
        </w:rPr>
        <w:t xml:space="preserve">Student Name: </w:t>
      </w:r>
      <w:r w:rsidR="0097296B" w:rsidRPr="0097296B">
        <w:rPr>
          <w:rFonts w:ascii="Arial" w:hAnsi="Arial" w:cs="Arial"/>
          <w:bCs/>
          <w:sz w:val="40"/>
          <w:szCs w:val="40"/>
        </w:rPr>
        <w:t>L</w:t>
      </w:r>
      <w:r w:rsidR="0097296B">
        <w:rPr>
          <w:rFonts w:ascii="Arial" w:hAnsi="Arial" w:cs="Arial"/>
          <w:bCs/>
          <w:sz w:val="40"/>
          <w:szCs w:val="40"/>
        </w:rPr>
        <w:t>OREDANA MOROSAN</w:t>
      </w:r>
    </w:p>
    <w:p w14:paraId="5CB3EE1B" w14:textId="64F25A67" w:rsidR="00F90A6A" w:rsidRPr="00F90A6A" w:rsidRDefault="00F90A6A" w:rsidP="00F90A6A">
      <w:pPr>
        <w:rPr>
          <w:rFonts w:ascii="Arial" w:hAnsi="Arial" w:cs="Arial"/>
          <w:bCs/>
          <w:sz w:val="40"/>
          <w:szCs w:val="40"/>
        </w:rPr>
      </w:pPr>
      <w:r w:rsidRPr="00F90A6A">
        <w:rPr>
          <w:rFonts w:ascii="Arial" w:hAnsi="Arial" w:cs="Arial"/>
          <w:bCs/>
          <w:sz w:val="40"/>
          <w:szCs w:val="40"/>
        </w:rPr>
        <w:t>Student Number:</w:t>
      </w:r>
      <w:r w:rsidR="0097296B">
        <w:rPr>
          <w:rFonts w:ascii="Arial" w:hAnsi="Arial" w:cs="Arial"/>
          <w:bCs/>
          <w:sz w:val="40"/>
          <w:szCs w:val="40"/>
        </w:rPr>
        <w:t xml:space="preserve"> 2414597</w:t>
      </w:r>
    </w:p>
    <w:p w14:paraId="3CA1CAE2" w14:textId="32819541" w:rsidR="00F90A6A" w:rsidRPr="00F90A6A" w:rsidRDefault="00F90A6A" w:rsidP="00F90A6A">
      <w:pPr>
        <w:rPr>
          <w:rFonts w:ascii="Arial" w:hAnsi="Arial" w:cs="Arial"/>
          <w:bCs/>
          <w:sz w:val="40"/>
          <w:szCs w:val="40"/>
        </w:rPr>
      </w:pPr>
      <w:r w:rsidRPr="00F90A6A">
        <w:rPr>
          <w:rFonts w:ascii="Arial" w:hAnsi="Arial" w:cs="Arial"/>
          <w:bCs/>
          <w:sz w:val="40"/>
          <w:szCs w:val="40"/>
        </w:rPr>
        <w:t>Module: Finance for Business</w:t>
      </w:r>
    </w:p>
    <w:p w14:paraId="46A75BB3" w14:textId="77777777" w:rsidR="00F90A6A" w:rsidRPr="0097296B" w:rsidRDefault="00F90A6A" w:rsidP="00F90A6A">
      <w:pPr>
        <w:rPr>
          <w:rFonts w:ascii="Arial" w:hAnsi="Arial" w:cs="Arial"/>
          <w:bCs/>
          <w:sz w:val="40"/>
          <w:szCs w:val="40"/>
        </w:rPr>
      </w:pPr>
      <w:r w:rsidRPr="0097296B">
        <w:rPr>
          <w:rFonts w:ascii="Arial" w:hAnsi="Arial" w:cs="Arial"/>
          <w:bCs/>
          <w:sz w:val="40"/>
          <w:szCs w:val="40"/>
        </w:rPr>
        <w:t>Module Code: BMBM4003D</w:t>
      </w:r>
    </w:p>
    <w:p w14:paraId="468B1935" w14:textId="7E039F16" w:rsidR="00F90A6A" w:rsidRPr="0097296B" w:rsidRDefault="00F90A6A" w:rsidP="00F90A6A">
      <w:pPr>
        <w:rPr>
          <w:rFonts w:ascii="Arial" w:hAnsi="Arial" w:cs="Arial"/>
          <w:bCs/>
          <w:sz w:val="40"/>
          <w:szCs w:val="40"/>
        </w:rPr>
      </w:pPr>
      <w:r w:rsidRPr="0097296B">
        <w:rPr>
          <w:rFonts w:ascii="Arial" w:hAnsi="Arial" w:cs="Arial"/>
          <w:bCs/>
          <w:sz w:val="40"/>
          <w:szCs w:val="40"/>
        </w:rPr>
        <w:t xml:space="preserve">Lecturer: Manjit </w:t>
      </w:r>
      <w:proofErr w:type="spellStart"/>
      <w:r w:rsidRPr="0097296B">
        <w:rPr>
          <w:rFonts w:ascii="Arial" w:hAnsi="Arial" w:cs="Arial"/>
          <w:bCs/>
          <w:sz w:val="40"/>
          <w:szCs w:val="40"/>
        </w:rPr>
        <w:t>Biant</w:t>
      </w:r>
      <w:proofErr w:type="spellEnd"/>
    </w:p>
    <w:p w14:paraId="256010A4" w14:textId="77777777" w:rsidR="00F90A6A" w:rsidRPr="0097296B" w:rsidRDefault="00F90A6A" w:rsidP="00F90A6A">
      <w:pPr>
        <w:rPr>
          <w:rFonts w:ascii="Arial" w:hAnsi="Arial" w:cs="Arial"/>
          <w:bCs/>
          <w:sz w:val="40"/>
          <w:szCs w:val="40"/>
        </w:rPr>
      </w:pPr>
    </w:p>
    <w:p w14:paraId="172931BC" w14:textId="77777777" w:rsidR="00F90A6A" w:rsidRPr="0097296B" w:rsidRDefault="00F90A6A" w:rsidP="00F90A6A">
      <w:pPr>
        <w:rPr>
          <w:rFonts w:ascii="Arial" w:hAnsi="Arial" w:cs="Arial"/>
          <w:bCs/>
          <w:sz w:val="40"/>
          <w:szCs w:val="40"/>
        </w:rPr>
      </w:pPr>
    </w:p>
    <w:p w14:paraId="31F39B98" w14:textId="6155C7E5" w:rsidR="00F90A6A" w:rsidRPr="00F90A6A" w:rsidRDefault="00F90A6A" w:rsidP="00F90A6A">
      <w:pPr>
        <w:rPr>
          <w:rFonts w:ascii="Arial" w:hAnsi="Arial" w:cs="Arial"/>
          <w:sz w:val="40"/>
          <w:szCs w:val="40"/>
        </w:rPr>
      </w:pPr>
      <w:r w:rsidRPr="00F90A6A">
        <w:rPr>
          <w:rFonts w:ascii="Arial" w:hAnsi="Arial" w:cs="Arial"/>
          <w:sz w:val="40"/>
          <w:szCs w:val="40"/>
        </w:rPr>
        <w:lastRenderedPageBreak/>
        <w:t>Sales day book</w:t>
      </w:r>
    </w:p>
    <w:tbl>
      <w:tblPr>
        <w:tblW w:w="8563" w:type="dxa"/>
        <w:tblInd w:w="-5" w:type="dxa"/>
        <w:tblLayout w:type="fixed"/>
        <w:tblCellMar>
          <w:left w:w="0" w:type="dxa"/>
          <w:right w:w="0" w:type="dxa"/>
        </w:tblCellMar>
        <w:tblLook w:val="04A0" w:firstRow="1" w:lastRow="0" w:firstColumn="1" w:lastColumn="0" w:noHBand="0" w:noVBand="1"/>
      </w:tblPr>
      <w:tblGrid>
        <w:gridCol w:w="847"/>
        <w:gridCol w:w="2166"/>
        <w:gridCol w:w="1161"/>
        <w:gridCol w:w="808"/>
        <w:gridCol w:w="787"/>
        <w:gridCol w:w="730"/>
        <w:gridCol w:w="1034"/>
        <w:gridCol w:w="1030"/>
      </w:tblGrid>
      <w:tr w:rsidR="00F90A6A" w:rsidRPr="00F90A6A" w14:paraId="7B2069A9" w14:textId="77777777" w:rsidTr="00F90A6A">
        <w:trPr>
          <w:trHeight w:val="709"/>
        </w:trPr>
        <w:tc>
          <w:tcPr>
            <w:tcW w:w="847" w:type="dxa"/>
            <w:tcBorders>
              <w:top w:val="single" w:sz="4" w:space="0" w:color="231F20"/>
              <w:left w:val="single" w:sz="4" w:space="0" w:color="231F20"/>
              <w:bottom w:val="single" w:sz="4" w:space="0" w:color="231F20"/>
              <w:right w:val="single" w:sz="4" w:space="0" w:color="231F20"/>
            </w:tcBorders>
            <w:hideMark/>
          </w:tcPr>
          <w:p w14:paraId="27619FEA"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Date 2026</w:t>
            </w:r>
          </w:p>
        </w:tc>
        <w:tc>
          <w:tcPr>
            <w:tcW w:w="2166" w:type="dxa"/>
            <w:tcBorders>
              <w:top w:val="single" w:sz="4" w:space="0" w:color="231F20"/>
              <w:left w:val="single" w:sz="4" w:space="0" w:color="231F20"/>
              <w:bottom w:val="single" w:sz="4" w:space="0" w:color="231F20"/>
              <w:right w:val="single" w:sz="4" w:space="0" w:color="231F20"/>
            </w:tcBorders>
            <w:hideMark/>
          </w:tcPr>
          <w:p w14:paraId="67409C16"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Details</w:t>
            </w:r>
          </w:p>
        </w:tc>
        <w:tc>
          <w:tcPr>
            <w:tcW w:w="1161" w:type="dxa"/>
            <w:tcBorders>
              <w:top w:val="single" w:sz="4" w:space="0" w:color="231F20"/>
              <w:left w:val="single" w:sz="4" w:space="0" w:color="231F20"/>
              <w:bottom w:val="single" w:sz="4" w:space="0" w:color="231F20"/>
              <w:right w:val="single" w:sz="4" w:space="0" w:color="231F20"/>
            </w:tcBorders>
            <w:hideMark/>
          </w:tcPr>
          <w:p w14:paraId="34B0EE28"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Invoice number</w:t>
            </w:r>
          </w:p>
        </w:tc>
        <w:tc>
          <w:tcPr>
            <w:tcW w:w="808" w:type="dxa"/>
            <w:tcBorders>
              <w:top w:val="single" w:sz="4" w:space="0" w:color="231F20"/>
              <w:left w:val="single" w:sz="4" w:space="0" w:color="231F20"/>
              <w:bottom w:val="single" w:sz="4" w:space="0" w:color="231F20"/>
              <w:right w:val="single" w:sz="4" w:space="0" w:color="231F20"/>
            </w:tcBorders>
            <w:hideMark/>
          </w:tcPr>
          <w:p w14:paraId="02AD392B"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Total</w:t>
            </w:r>
          </w:p>
          <w:p w14:paraId="4A76E8C8"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787" w:type="dxa"/>
            <w:tcBorders>
              <w:top w:val="single" w:sz="4" w:space="0" w:color="231F20"/>
              <w:left w:val="single" w:sz="4" w:space="0" w:color="231F20"/>
              <w:bottom w:val="single" w:sz="4" w:space="0" w:color="231F20"/>
              <w:right w:val="single" w:sz="8" w:space="0" w:color="231F20"/>
            </w:tcBorders>
            <w:hideMark/>
          </w:tcPr>
          <w:p w14:paraId="4ECD2968"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VAT</w:t>
            </w:r>
          </w:p>
          <w:p w14:paraId="2FBA6914"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730" w:type="dxa"/>
            <w:tcBorders>
              <w:top w:val="single" w:sz="4" w:space="0" w:color="231F20"/>
              <w:left w:val="single" w:sz="8" w:space="0" w:color="231F20"/>
              <w:bottom w:val="single" w:sz="4" w:space="0" w:color="231F20"/>
              <w:right w:val="single" w:sz="4" w:space="0" w:color="231F20"/>
            </w:tcBorders>
            <w:hideMark/>
          </w:tcPr>
          <w:p w14:paraId="1D5DE621"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Net</w:t>
            </w:r>
          </w:p>
          <w:p w14:paraId="36524CDE"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1034" w:type="dxa"/>
            <w:tcBorders>
              <w:top w:val="single" w:sz="4" w:space="0" w:color="231F20"/>
              <w:left w:val="single" w:sz="4" w:space="0" w:color="231F20"/>
              <w:bottom w:val="single" w:sz="4" w:space="0" w:color="231F20"/>
              <w:right w:val="single" w:sz="4" w:space="0" w:color="231F20"/>
            </w:tcBorders>
            <w:hideMark/>
          </w:tcPr>
          <w:p w14:paraId="0E5BA210"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b/>
                <w:bCs/>
                <w:kern w:val="0"/>
                <w:sz w:val="20"/>
                <w:szCs w:val="20"/>
                <w14:ligatures w14:val="none"/>
              </w:rPr>
              <w:t xml:space="preserve">Sales type 1 </w:t>
            </w:r>
            <w:r w:rsidRPr="00F90A6A">
              <w:rPr>
                <w:rFonts w:ascii="Times New Roman" w:eastAsia="Times New Roman" w:hAnsi="Times New Roman" w:cs="Times New Roman"/>
                <w:i/>
                <w:iCs/>
                <w:kern w:val="0"/>
                <w:sz w:val="20"/>
                <w:szCs w:val="20"/>
                <w14:ligatures w14:val="none"/>
              </w:rPr>
              <w:t>£</w:t>
            </w:r>
          </w:p>
        </w:tc>
        <w:tc>
          <w:tcPr>
            <w:tcW w:w="1030" w:type="dxa"/>
            <w:tcBorders>
              <w:top w:val="single" w:sz="4" w:space="0" w:color="231F20"/>
              <w:left w:val="single" w:sz="4" w:space="0" w:color="231F20"/>
              <w:bottom w:val="single" w:sz="4" w:space="0" w:color="231F20"/>
              <w:right w:val="single" w:sz="4" w:space="0" w:color="231F20"/>
            </w:tcBorders>
            <w:hideMark/>
          </w:tcPr>
          <w:p w14:paraId="6C65093D"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b/>
                <w:bCs/>
                <w:kern w:val="0"/>
                <w:sz w:val="20"/>
                <w:szCs w:val="20"/>
                <w14:ligatures w14:val="none"/>
              </w:rPr>
              <w:t xml:space="preserve">Sales type 2 </w:t>
            </w:r>
            <w:r w:rsidRPr="00F90A6A">
              <w:rPr>
                <w:rFonts w:ascii="Times New Roman" w:eastAsia="Times New Roman" w:hAnsi="Times New Roman" w:cs="Times New Roman"/>
                <w:i/>
                <w:iCs/>
                <w:kern w:val="0"/>
                <w:sz w:val="20"/>
                <w:szCs w:val="20"/>
                <w14:ligatures w14:val="none"/>
              </w:rPr>
              <w:t>£</w:t>
            </w:r>
          </w:p>
        </w:tc>
      </w:tr>
      <w:tr w:rsidR="00F90A6A" w:rsidRPr="00F90A6A" w14:paraId="401BC3C9" w14:textId="77777777" w:rsidTr="00F90A6A">
        <w:trPr>
          <w:trHeight w:val="439"/>
        </w:trPr>
        <w:tc>
          <w:tcPr>
            <w:tcW w:w="847" w:type="dxa"/>
            <w:tcBorders>
              <w:top w:val="single" w:sz="4" w:space="0" w:color="231F20"/>
              <w:left w:val="single" w:sz="4" w:space="0" w:color="231F20"/>
              <w:bottom w:val="single" w:sz="4" w:space="0" w:color="231F20"/>
              <w:right w:val="single" w:sz="4" w:space="0" w:color="231F20"/>
            </w:tcBorders>
            <w:hideMark/>
          </w:tcPr>
          <w:p w14:paraId="25826604"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Jul</w:t>
            </w:r>
          </w:p>
        </w:tc>
        <w:tc>
          <w:tcPr>
            <w:tcW w:w="2166" w:type="dxa"/>
            <w:tcBorders>
              <w:top w:val="single" w:sz="4" w:space="0" w:color="231F20"/>
              <w:left w:val="single" w:sz="4" w:space="0" w:color="231F20"/>
              <w:bottom w:val="single" w:sz="4" w:space="0" w:color="231F20"/>
              <w:right w:val="single" w:sz="4" w:space="0" w:color="231F20"/>
            </w:tcBorders>
            <w:hideMark/>
          </w:tcPr>
          <w:p w14:paraId="16907768"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Silver Gifts</w:t>
            </w:r>
          </w:p>
        </w:tc>
        <w:tc>
          <w:tcPr>
            <w:tcW w:w="1161" w:type="dxa"/>
            <w:tcBorders>
              <w:top w:val="single" w:sz="4" w:space="0" w:color="231F20"/>
              <w:left w:val="single" w:sz="4" w:space="0" w:color="231F20"/>
              <w:bottom w:val="single" w:sz="4" w:space="0" w:color="231F20"/>
              <w:right w:val="single" w:sz="4" w:space="0" w:color="231F20"/>
            </w:tcBorders>
            <w:hideMark/>
          </w:tcPr>
          <w:p w14:paraId="3F417CFD"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1250</w:t>
            </w:r>
          </w:p>
        </w:tc>
        <w:tc>
          <w:tcPr>
            <w:tcW w:w="808" w:type="dxa"/>
            <w:tcBorders>
              <w:top w:val="single" w:sz="4" w:space="0" w:color="231F20"/>
              <w:left w:val="single" w:sz="4" w:space="0" w:color="231F20"/>
              <w:bottom w:val="single" w:sz="4" w:space="0" w:color="231F20"/>
              <w:right w:val="single" w:sz="4" w:space="0" w:color="231F20"/>
            </w:tcBorders>
            <w:hideMark/>
          </w:tcPr>
          <w:p w14:paraId="4E64D631"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900</w:t>
            </w:r>
          </w:p>
        </w:tc>
        <w:tc>
          <w:tcPr>
            <w:tcW w:w="787" w:type="dxa"/>
            <w:tcBorders>
              <w:top w:val="single" w:sz="4" w:space="0" w:color="231F20"/>
              <w:left w:val="single" w:sz="4" w:space="0" w:color="231F20"/>
              <w:bottom w:val="single" w:sz="4" w:space="0" w:color="231F20"/>
              <w:right w:val="single" w:sz="8" w:space="0" w:color="231F20"/>
            </w:tcBorders>
          </w:tcPr>
          <w:p w14:paraId="0D79FF4E" w14:textId="252015DA"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150</w:t>
            </w:r>
          </w:p>
        </w:tc>
        <w:tc>
          <w:tcPr>
            <w:tcW w:w="730" w:type="dxa"/>
            <w:tcBorders>
              <w:top w:val="single" w:sz="4" w:space="0" w:color="231F20"/>
              <w:left w:val="single" w:sz="8" w:space="0" w:color="231F20"/>
              <w:bottom w:val="single" w:sz="4" w:space="0" w:color="231F20"/>
              <w:right w:val="single" w:sz="4" w:space="0" w:color="231F20"/>
            </w:tcBorders>
          </w:tcPr>
          <w:p w14:paraId="1C43FD39" w14:textId="6B2270B0"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750</w:t>
            </w:r>
          </w:p>
        </w:tc>
        <w:tc>
          <w:tcPr>
            <w:tcW w:w="1034" w:type="dxa"/>
            <w:tcBorders>
              <w:top w:val="single" w:sz="4" w:space="0" w:color="231F20"/>
              <w:left w:val="single" w:sz="4" w:space="0" w:color="231F20"/>
              <w:bottom w:val="single" w:sz="4" w:space="0" w:color="231F20"/>
              <w:right w:val="single" w:sz="4" w:space="0" w:color="231F20"/>
            </w:tcBorders>
            <w:hideMark/>
          </w:tcPr>
          <w:p w14:paraId="77563BC9"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400</w:t>
            </w:r>
          </w:p>
        </w:tc>
        <w:tc>
          <w:tcPr>
            <w:tcW w:w="1030" w:type="dxa"/>
            <w:tcBorders>
              <w:top w:val="single" w:sz="4" w:space="0" w:color="231F20"/>
              <w:left w:val="single" w:sz="4" w:space="0" w:color="231F20"/>
              <w:bottom w:val="single" w:sz="4" w:space="0" w:color="231F20"/>
              <w:right w:val="single" w:sz="4" w:space="0" w:color="231F20"/>
            </w:tcBorders>
            <w:hideMark/>
          </w:tcPr>
          <w:p w14:paraId="4240842E"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350</w:t>
            </w:r>
          </w:p>
        </w:tc>
      </w:tr>
      <w:tr w:rsidR="00F90A6A" w:rsidRPr="00F90A6A" w14:paraId="2691C83D" w14:textId="77777777" w:rsidTr="00F90A6A">
        <w:trPr>
          <w:trHeight w:val="468"/>
        </w:trPr>
        <w:tc>
          <w:tcPr>
            <w:tcW w:w="847" w:type="dxa"/>
            <w:tcBorders>
              <w:top w:val="single" w:sz="4" w:space="0" w:color="231F20"/>
              <w:left w:val="single" w:sz="4" w:space="0" w:color="231F20"/>
              <w:bottom w:val="single" w:sz="4" w:space="0" w:color="231F20"/>
              <w:right w:val="single" w:sz="4" w:space="0" w:color="231F20"/>
            </w:tcBorders>
            <w:hideMark/>
          </w:tcPr>
          <w:p w14:paraId="0432BF27"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Jul</w:t>
            </w:r>
          </w:p>
        </w:tc>
        <w:tc>
          <w:tcPr>
            <w:tcW w:w="2166" w:type="dxa"/>
            <w:tcBorders>
              <w:top w:val="single" w:sz="4" w:space="0" w:color="231F20"/>
              <w:left w:val="single" w:sz="4" w:space="0" w:color="231F20"/>
              <w:bottom w:val="single" w:sz="4" w:space="0" w:color="231F20"/>
              <w:right w:val="single" w:sz="4" w:space="0" w:color="231F20"/>
            </w:tcBorders>
            <w:hideMark/>
          </w:tcPr>
          <w:p w14:paraId="29DBF96F"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Special Crafts</w:t>
            </w:r>
          </w:p>
        </w:tc>
        <w:tc>
          <w:tcPr>
            <w:tcW w:w="1161" w:type="dxa"/>
            <w:tcBorders>
              <w:top w:val="single" w:sz="4" w:space="0" w:color="231F20"/>
              <w:left w:val="single" w:sz="4" w:space="0" w:color="231F20"/>
              <w:bottom w:val="single" w:sz="4" w:space="0" w:color="231F20"/>
              <w:right w:val="single" w:sz="4" w:space="0" w:color="231F20"/>
            </w:tcBorders>
            <w:hideMark/>
          </w:tcPr>
          <w:p w14:paraId="76FCEEFD"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1251</w:t>
            </w:r>
          </w:p>
        </w:tc>
        <w:tc>
          <w:tcPr>
            <w:tcW w:w="808" w:type="dxa"/>
            <w:tcBorders>
              <w:top w:val="single" w:sz="4" w:space="0" w:color="231F20"/>
              <w:left w:val="single" w:sz="4" w:space="0" w:color="231F20"/>
              <w:bottom w:val="single" w:sz="4" w:space="0" w:color="231F20"/>
              <w:right w:val="single" w:sz="4" w:space="0" w:color="231F20"/>
            </w:tcBorders>
          </w:tcPr>
          <w:p w14:paraId="60694DAE" w14:textId="59DA0CA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1464</w:t>
            </w:r>
          </w:p>
        </w:tc>
        <w:tc>
          <w:tcPr>
            <w:tcW w:w="787" w:type="dxa"/>
            <w:tcBorders>
              <w:top w:val="single" w:sz="4" w:space="0" w:color="231F20"/>
              <w:left w:val="single" w:sz="4" w:space="0" w:color="231F20"/>
              <w:bottom w:val="single" w:sz="4" w:space="0" w:color="231F20"/>
              <w:right w:val="single" w:sz="8" w:space="0" w:color="231F20"/>
            </w:tcBorders>
            <w:hideMark/>
          </w:tcPr>
          <w:p w14:paraId="42D5EA19"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244</w:t>
            </w:r>
          </w:p>
        </w:tc>
        <w:tc>
          <w:tcPr>
            <w:tcW w:w="730" w:type="dxa"/>
            <w:tcBorders>
              <w:top w:val="single" w:sz="4" w:space="0" w:color="231F20"/>
              <w:left w:val="single" w:sz="8" w:space="0" w:color="231F20"/>
              <w:bottom w:val="single" w:sz="4" w:space="0" w:color="231F20"/>
              <w:right w:val="single" w:sz="4" w:space="0" w:color="231F20"/>
            </w:tcBorders>
          </w:tcPr>
          <w:p w14:paraId="23828B6A" w14:textId="089ADF6F"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1220</w:t>
            </w:r>
          </w:p>
        </w:tc>
        <w:tc>
          <w:tcPr>
            <w:tcW w:w="1034" w:type="dxa"/>
            <w:tcBorders>
              <w:top w:val="single" w:sz="4" w:space="0" w:color="231F20"/>
              <w:left w:val="single" w:sz="4" w:space="0" w:color="231F20"/>
              <w:bottom w:val="single" w:sz="4" w:space="0" w:color="231F20"/>
              <w:right w:val="single" w:sz="4" w:space="0" w:color="231F20"/>
            </w:tcBorders>
          </w:tcPr>
          <w:p w14:paraId="622B1C2D" w14:textId="387A5893"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0</w:t>
            </w:r>
          </w:p>
        </w:tc>
        <w:tc>
          <w:tcPr>
            <w:tcW w:w="1030" w:type="dxa"/>
            <w:tcBorders>
              <w:top w:val="single" w:sz="4" w:space="0" w:color="231F20"/>
              <w:left w:val="single" w:sz="4" w:space="0" w:color="231F20"/>
              <w:bottom w:val="single" w:sz="4" w:space="0" w:color="231F20"/>
              <w:right w:val="single" w:sz="4" w:space="0" w:color="231F20"/>
            </w:tcBorders>
            <w:hideMark/>
          </w:tcPr>
          <w:p w14:paraId="2AE4CCCE"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1,220</w:t>
            </w:r>
          </w:p>
        </w:tc>
      </w:tr>
      <w:tr w:rsidR="00F90A6A" w:rsidRPr="00F90A6A" w14:paraId="03480DFA" w14:textId="77777777" w:rsidTr="00F90A6A">
        <w:trPr>
          <w:trHeight w:val="468"/>
        </w:trPr>
        <w:tc>
          <w:tcPr>
            <w:tcW w:w="847" w:type="dxa"/>
            <w:tcBorders>
              <w:top w:val="single" w:sz="4" w:space="0" w:color="231F20"/>
              <w:left w:val="single" w:sz="4" w:space="0" w:color="231F20"/>
              <w:bottom w:val="single" w:sz="4" w:space="0" w:color="231F20"/>
              <w:right w:val="single" w:sz="4" w:space="0" w:color="231F20"/>
            </w:tcBorders>
            <w:hideMark/>
          </w:tcPr>
          <w:p w14:paraId="41BB97FD"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Jul</w:t>
            </w:r>
          </w:p>
        </w:tc>
        <w:tc>
          <w:tcPr>
            <w:tcW w:w="2166" w:type="dxa"/>
            <w:tcBorders>
              <w:top w:val="single" w:sz="4" w:space="0" w:color="231F20"/>
              <w:left w:val="single" w:sz="4" w:space="0" w:color="231F20"/>
              <w:bottom w:val="single" w:sz="4" w:space="0" w:color="231F20"/>
              <w:right w:val="single" w:sz="4" w:space="0" w:color="231F20"/>
            </w:tcBorders>
            <w:hideMark/>
          </w:tcPr>
          <w:p w14:paraId="54C297DB"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Pan Trading</w:t>
            </w:r>
          </w:p>
        </w:tc>
        <w:tc>
          <w:tcPr>
            <w:tcW w:w="1161" w:type="dxa"/>
            <w:tcBorders>
              <w:top w:val="single" w:sz="4" w:space="0" w:color="231F20"/>
              <w:left w:val="single" w:sz="4" w:space="0" w:color="231F20"/>
              <w:bottom w:val="single" w:sz="4" w:space="0" w:color="231F20"/>
              <w:right w:val="single" w:sz="4" w:space="0" w:color="231F20"/>
            </w:tcBorders>
            <w:hideMark/>
          </w:tcPr>
          <w:p w14:paraId="48488952"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1252</w:t>
            </w:r>
          </w:p>
        </w:tc>
        <w:tc>
          <w:tcPr>
            <w:tcW w:w="808" w:type="dxa"/>
            <w:tcBorders>
              <w:top w:val="single" w:sz="4" w:space="0" w:color="231F20"/>
              <w:left w:val="single" w:sz="4" w:space="0" w:color="231F20"/>
              <w:bottom w:val="single" w:sz="4" w:space="0" w:color="231F20"/>
              <w:right w:val="single" w:sz="4" w:space="0" w:color="231F20"/>
            </w:tcBorders>
          </w:tcPr>
          <w:p w14:paraId="21C8E3AF" w14:textId="1A2EC308"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3168</w:t>
            </w:r>
          </w:p>
        </w:tc>
        <w:tc>
          <w:tcPr>
            <w:tcW w:w="787" w:type="dxa"/>
            <w:tcBorders>
              <w:top w:val="single" w:sz="4" w:space="0" w:color="231F20"/>
              <w:left w:val="single" w:sz="4" w:space="0" w:color="231F20"/>
              <w:bottom w:val="single" w:sz="4" w:space="0" w:color="231F20"/>
              <w:right w:val="single" w:sz="8" w:space="0" w:color="231F20"/>
            </w:tcBorders>
          </w:tcPr>
          <w:p w14:paraId="32D382B2" w14:textId="1AFE02A9"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528</w:t>
            </w:r>
          </w:p>
        </w:tc>
        <w:tc>
          <w:tcPr>
            <w:tcW w:w="730" w:type="dxa"/>
            <w:tcBorders>
              <w:top w:val="single" w:sz="4" w:space="0" w:color="231F20"/>
              <w:left w:val="single" w:sz="8" w:space="0" w:color="231F20"/>
              <w:bottom w:val="single" w:sz="4" w:space="0" w:color="231F20"/>
              <w:right w:val="single" w:sz="4" w:space="0" w:color="231F20"/>
            </w:tcBorders>
            <w:hideMark/>
          </w:tcPr>
          <w:p w14:paraId="7749C37F"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2,640</w:t>
            </w:r>
          </w:p>
        </w:tc>
        <w:tc>
          <w:tcPr>
            <w:tcW w:w="1034" w:type="dxa"/>
            <w:tcBorders>
              <w:top w:val="single" w:sz="4" w:space="0" w:color="231F20"/>
              <w:left w:val="single" w:sz="4" w:space="0" w:color="231F20"/>
              <w:bottom w:val="single" w:sz="4" w:space="0" w:color="231F20"/>
              <w:right w:val="single" w:sz="4" w:space="0" w:color="231F20"/>
            </w:tcBorders>
            <w:hideMark/>
          </w:tcPr>
          <w:p w14:paraId="63DDE15C"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2,640</w:t>
            </w:r>
          </w:p>
        </w:tc>
        <w:tc>
          <w:tcPr>
            <w:tcW w:w="1030" w:type="dxa"/>
            <w:tcBorders>
              <w:top w:val="single" w:sz="4" w:space="0" w:color="231F20"/>
              <w:left w:val="single" w:sz="4" w:space="0" w:color="231F20"/>
              <w:bottom w:val="single" w:sz="4" w:space="0" w:color="231F20"/>
              <w:right w:val="single" w:sz="4" w:space="0" w:color="231F20"/>
            </w:tcBorders>
          </w:tcPr>
          <w:p w14:paraId="521B7AEF" w14:textId="1DB8BB54"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0</w:t>
            </w:r>
          </w:p>
        </w:tc>
      </w:tr>
      <w:tr w:rsidR="00F90A6A" w:rsidRPr="00F90A6A" w14:paraId="2B645514" w14:textId="77777777" w:rsidTr="00F90A6A">
        <w:trPr>
          <w:trHeight w:val="468"/>
        </w:trPr>
        <w:tc>
          <w:tcPr>
            <w:tcW w:w="847" w:type="dxa"/>
            <w:tcBorders>
              <w:top w:val="single" w:sz="4" w:space="0" w:color="231F20"/>
              <w:left w:val="single" w:sz="4" w:space="0" w:color="231F20"/>
              <w:bottom w:val="single" w:sz="4" w:space="0" w:color="231F20"/>
              <w:right w:val="single" w:sz="4" w:space="0" w:color="231F20"/>
            </w:tcBorders>
            <w:hideMark/>
          </w:tcPr>
          <w:p w14:paraId="7E4CD98D"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Jul</w:t>
            </w:r>
          </w:p>
        </w:tc>
        <w:tc>
          <w:tcPr>
            <w:tcW w:w="2166" w:type="dxa"/>
            <w:tcBorders>
              <w:top w:val="single" w:sz="4" w:space="0" w:color="231F20"/>
              <w:left w:val="single" w:sz="4" w:space="0" w:color="231F20"/>
              <w:bottom w:val="single" w:sz="4" w:space="0" w:color="231F20"/>
              <w:right w:val="single" w:sz="4" w:space="0" w:color="231F20"/>
            </w:tcBorders>
            <w:hideMark/>
          </w:tcPr>
          <w:p w14:paraId="6542FD18"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proofErr w:type="spellStart"/>
            <w:r w:rsidRPr="00F90A6A">
              <w:rPr>
                <w:rFonts w:ascii="Times New Roman" w:eastAsia="Times New Roman" w:hAnsi="Times New Roman" w:cs="Times New Roman"/>
                <w:kern w:val="0"/>
                <w:sz w:val="20"/>
                <w:szCs w:val="20"/>
                <w14:ligatures w14:val="none"/>
              </w:rPr>
              <w:t>Harlam</w:t>
            </w:r>
            <w:proofErr w:type="spellEnd"/>
            <w:r w:rsidRPr="00F90A6A">
              <w:rPr>
                <w:rFonts w:ascii="Times New Roman" w:eastAsia="Times New Roman" w:hAnsi="Times New Roman" w:cs="Times New Roman"/>
                <w:kern w:val="0"/>
                <w:sz w:val="20"/>
                <w:szCs w:val="20"/>
                <w14:ligatures w14:val="none"/>
              </w:rPr>
              <w:t xml:space="preserve"> Lights</w:t>
            </w:r>
          </w:p>
        </w:tc>
        <w:tc>
          <w:tcPr>
            <w:tcW w:w="1161" w:type="dxa"/>
            <w:tcBorders>
              <w:top w:val="single" w:sz="4" w:space="0" w:color="231F20"/>
              <w:left w:val="single" w:sz="4" w:space="0" w:color="231F20"/>
              <w:bottom w:val="single" w:sz="4" w:space="0" w:color="231F20"/>
              <w:right w:val="single" w:sz="4" w:space="0" w:color="231F20"/>
            </w:tcBorders>
            <w:hideMark/>
          </w:tcPr>
          <w:p w14:paraId="55F470D6"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1253</w:t>
            </w:r>
          </w:p>
        </w:tc>
        <w:tc>
          <w:tcPr>
            <w:tcW w:w="808" w:type="dxa"/>
            <w:tcBorders>
              <w:top w:val="single" w:sz="4" w:space="0" w:color="231F20"/>
              <w:left w:val="single" w:sz="4" w:space="0" w:color="231F20"/>
              <w:bottom w:val="single" w:sz="4" w:space="0" w:color="231F20"/>
              <w:right w:val="single" w:sz="4" w:space="0" w:color="231F20"/>
            </w:tcBorders>
            <w:hideMark/>
          </w:tcPr>
          <w:p w14:paraId="1D99A9E5"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2,304</w:t>
            </w:r>
          </w:p>
        </w:tc>
        <w:tc>
          <w:tcPr>
            <w:tcW w:w="787" w:type="dxa"/>
            <w:tcBorders>
              <w:top w:val="single" w:sz="4" w:space="0" w:color="231F20"/>
              <w:left w:val="single" w:sz="4" w:space="0" w:color="231F20"/>
              <w:bottom w:val="single" w:sz="4" w:space="0" w:color="231F20"/>
              <w:right w:val="single" w:sz="8" w:space="0" w:color="231F20"/>
            </w:tcBorders>
          </w:tcPr>
          <w:p w14:paraId="2B177C1A" w14:textId="393508F4"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384</w:t>
            </w:r>
          </w:p>
        </w:tc>
        <w:tc>
          <w:tcPr>
            <w:tcW w:w="730" w:type="dxa"/>
            <w:tcBorders>
              <w:top w:val="single" w:sz="4" w:space="0" w:color="231F20"/>
              <w:left w:val="single" w:sz="8" w:space="0" w:color="231F20"/>
              <w:bottom w:val="single" w:sz="4" w:space="0" w:color="231F20"/>
              <w:right w:val="single" w:sz="4" w:space="0" w:color="231F20"/>
            </w:tcBorders>
          </w:tcPr>
          <w:p w14:paraId="3F00B6FB" w14:textId="482D74CB"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1920</w:t>
            </w:r>
          </w:p>
        </w:tc>
        <w:tc>
          <w:tcPr>
            <w:tcW w:w="1034" w:type="dxa"/>
            <w:tcBorders>
              <w:top w:val="single" w:sz="4" w:space="0" w:color="231F20"/>
              <w:left w:val="single" w:sz="4" w:space="0" w:color="231F20"/>
              <w:bottom w:val="single" w:sz="4" w:space="0" w:color="231F20"/>
              <w:right w:val="single" w:sz="4" w:space="0" w:color="231F20"/>
            </w:tcBorders>
            <w:hideMark/>
          </w:tcPr>
          <w:p w14:paraId="1978843E"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820</w:t>
            </w:r>
          </w:p>
        </w:tc>
        <w:tc>
          <w:tcPr>
            <w:tcW w:w="1030" w:type="dxa"/>
            <w:tcBorders>
              <w:top w:val="single" w:sz="4" w:space="0" w:color="231F20"/>
              <w:left w:val="single" w:sz="4" w:space="0" w:color="231F20"/>
              <w:bottom w:val="single" w:sz="4" w:space="0" w:color="231F20"/>
              <w:right w:val="single" w:sz="4" w:space="0" w:color="231F20"/>
            </w:tcBorders>
            <w:hideMark/>
          </w:tcPr>
          <w:p w14:paraId="3F75F5D2"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1,100</w:t>
            </w:r>
          </w:p>
        </w:tc>
      </w:tr>
      <w:tr w:rsidR="00F90A6A" w:rsidRPr="00F90A6A" w14:paraId="5E951F84" w14:textId="77777777" w:rsidTr="00F90A6A">
        <w:trPr>
          <w:trHeight w:val="521"/>
        </w:trPr>
        <w:tc>
          <w:tcPr>
            <w:tcW w:w="847" w:type="dxa"/>
            <w:tcBorders>
              <w:top w:val="single" w:sz="4" w:space="0" w:color="231F20"/>
              <w:left w:val="single" w:sz="4" w:space="0" w:color="231F20"/>
              <w:bottom w:val="single" w:sz="4" w:space="0" w:color="231F20"/>
              <w:right w:val="single" w:sz="4" w:space="0" w:color="231F20"/>
            </w:tcBorders>
          </w:tcPr>
          <w:p w14:paraId="4320A74C"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p>
        </w:tc>
        <w:tc>
          <w:tcPr>
            <w:tcW w:w="2166" w:type="dxa"/>
            <w:tcBorders>
              <w:top w:val="single" w:sz="4" w:space="0" w:color="231F20"/>
              <w:left w:val="single" w:sz="4" w:space="0" w:color="231F20"/>
              <w:bottom w:val="single" w:sz="4" w:space="0" w:color="231F20"/>
              <w:right w:val="single" w:sz="4" w:space="0" w:color="231F20"/>
            </w:tcBorders>
            <w:hideMark/>
          </w:tcPr>
          <w:p w14:paraId="56BEEFF1"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Totals</w:t>
            </w:r>
          </w:p>
        </w:tc>
        <w:tc>
          <w:tcPr>
            <w:tcW w:w="1161" w:type="dxa"/>
            <w:tcBorders>
              <w:top w:val="single" w:sz="4" w:space="0" w:color="231F20"/>
              <w:left w:val="single" w:sz="4" w:space="0" w:color="231F20"/>
              <w:bottom w:val="single" w:sz="4" w:space="0" w:color="231F20"/>
              <w:right w:val="single" w:sz="4" w:space="0" w:color="231F20"/>
            </w:tcBorders>
          </w:tcPr>
          <w:p w14:paraId="7607C883"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p>
        </w:tc>
        <w:tc>
          <w:tcPr>
            <w:tcW w:w="808" w:type="dxa"/>
            <w:tcBorders>
              <w:top w:val="single" w:sz="4" w:space="0" w:color="231F20"/>
              <w:left w:val="single" w:sz="4" w:space="0" w:color="231F20"/>
              <w:bottom w:val="single" w:sz="4" w:space="0" w:color="231F20"/>
              <w:right w:val="single" w:sz="4" w:space="0" w:color="231F20"/>
            </w:tcBorders>
          </w:tcPr>
          <w:p w14:paraId="23A4533C" w14:textId="2892A8F4"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7836</w:t>
            </w:r>
          </w:p>
        </w:tc>
        <w:tc>
          <w:tcPr>
            <w:tcW w:w="787" w:type="dxa"/>
            <w:tcBorders>
              <w:top w:val="single" w:sz="4" w:space="0" w:color="231F20"/>
              <w:left w:val="single" w:sz="4" w:space="0" w:color="231F20"/>
              <w:bottom w:val="single" w:sz="4" w:space="0" w:color="231F20"/>
              <w:right w:val="single" w:sz="8" w:space="0" w:color="231F20"/>
            </w:tcBorders>
          </w:tcPr>
          <w:p w14:paraId="7219F232" w14:textId="00236F7D"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1306</w:t>
            </w:r>
          </w:p>
        </w:tc>
        <w:tc>
          <w:tcPr>
            <w:tcW w:w="730" w:type="dxa"/>
            <w:tcBorders>
              <w:top w:val="single" w:sz="4" w:space="0" w:color="231F20"/>
              <w:left w:val="single" w:sz="8" w:space="0" w:color="231F20"/>
              <w:bottom w:val="single" w:sz="4" w:space="0" w:color="231F20"/>
              <w:right w:val="single" w:sz="4" w:space="0" w:color="231F20"/>
            </w:tcBorders>
          </w:tcPr>
          <w:p w14:paraId="686D5A5A" w14:textId="6057E644"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6530</w:t>
            </w:r>
          </w:p>
        </w:tc>
        <w:tc>
          <w:tcPr>
            <w:tcW w:w="1034" w:type="dxa"/>
            <w:tcBorders>
              <w:top w:val="single" w:sz="4" w:space="0" w:color="231F20"/>
              <w:left w:val="single" w:sz="4" w:space="0" w:color="231F20"/>
              <w:bottom w:val="single" w:sz="4" w:space="0" w:color="231F20"/>
              <w:right w:val="single" w:sz="4" w:space="0" w:color="231F20"/>
            </w:tcBorders>
          </w:tcPr>
          <w:p w14:paraId="46302801" w14:textId="3528CB25"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3860</w:t>
            </w:r>
          </w:p>
        </w:tc>
        <w:tc>
          <w:tcPr>
            <w:tcW w:w="1030" w:type="dxa"/>
            <w:tcBorders>
              <w:top w:val="single" w:sz="4" w:space="0" w:color="231F20"/>
              <w:left w:val="single" w:sz="4" w:space="0" w:color="231F20"/>
              <w:bottom w:val="single" w:sz="4" w:space="0" w:color="231F20"/>
              <w:right w:val="single" w:sz="4" w:space="0" w:color="231F20"/>
            </w:tcBorders>
          </w:tcPr>
          <w:p w14:paraId="407B8B20" w14:textId="6550FA8E"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2670</w:t>
            </w:r>
          </w:p>
        </w:tc>
      </w:tr>
    </w:tbl>
    <w:p w14:paraId="35734DA2" w14:textId="77777777" w:rsidR="00F90A6A" w:rsidRDefault="00F90A6A" w:rsidP="00F90A6A">
      <w:pPr>
        <w:rPr>
          <w:rFonts w:ascii="Arial" w:hAnsi="Arial" w:cs="Arial"/>
          <w:b/>
          <w:bCs/>
          <w:sz w:val="40"/>
          <w:szCs w:val="40"/>
        </w:rPr>
      </w:pPr>
    </w:p>
    <w:p w14:paraId="6CA8B29A" w14:textId="77777777" w:rsidR="00F90A6A" w:rsidRDefault="00F90A6A" w:rsidP="00F90A6A">
      <w:pPr>
        <w:rPr>
          <w:rFonts w:ascii="Arial" w:hAnsi="Arial" w:cs="Arial"/>
          <w:sz w:val="40"/>
          <w:szCs w:val="40"/>
        </w:rPr>
      </w:pPr>
      <w:r w:rsidRPr="00F90A6A">
        <w:rPr>
          <w:rFonts w:ascii="Arial" w:hAnsi="Arial" w:cs="Arial"/>
          <w:sz w:val="40"/>
          <w:szCs w:val="40"/>
        </w:rPr>
        <w:t>Sales returns day book</w:t>
      </w:r>
    </w:p>
    <w:tbl>
      <w:tblPr>
        <w:tblW w:w="9055" w:type="dxa"/>
        <w:tblInd w:w="-5" w:type="dxa"/>
        <w:tblLayout w:type="fixed"/>
        <w:tblCellMar>
          <w:left w:w="0" w:type="dxa"/>
          <w:right w:w="0" w:type="dxa"/>
        </w:tblCellMar>
        <w:tblLook w:val="04A0" w:firstRow="1" w:lastRow="0" w:firstColumn="1" w:lastColumn="0" w:noHBand="0" w:noVBand="1"/>
      </w:tblPr>
      <w:tblGrid>
        <w:gridCol w:w="895"/>
        <w:gridCol w:w="2292"/>
        <w:gridCol w:w="1228"/>
        <w:gridCol w:w="855"/>
        <w:gridCol w:w="832"/>
        <w:gridCol w:w="772"/>
        <w:gridCol w:w="1094"/>
        <w:gridCol w:w="1087"/>
      </w:tblGrid>
      <w:tr w:rsidR="00F90A6A" w:rsidRPr="00F90A6A" w14:paraId="54641048" w14:textId="77777777" w:rsidTr="00F90A6A">
        <w:trPr>
          <w:trHeight w:val="673"/>
        </w:trPr>
        <w:tc>
          <w:tcPr>
            <w:tcW w:w="895" w:type="dxa"/>
            <w:tcBorders>
              <w:top w:val="single" w:sz="4" w:space="0" w:color="231F20"/>
              <w:left w:val="single" w:sz="4" w:space="0" w:color="231F20"/>
              <w:bottom w:val="single" w:sz="4" w:space="0" w:color="231F20"/>
              <w:right w:val="single" w:sz="4" w:space="0" w:color="231F20"/>
            </w:tcBorders>
            <w:hideMark/>
          </w:tcPr>
          <w:p w14:paraId="79358C3D"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Date 20-4</w:t>
            </w:r>
          </w:p>
        </w:tc>
        <w:tc>
          <w:tcPr>
            <w:tcW w:w="2292" w:type="dxa"/>
            <w:tcBorders>
              <w:top w:val="single" w:sz="4" w:space="0" w:color="231F20"/>
              <w:left w:val="single" w:sz="4" w:space="0" w:color="231F20"/>
              <w:bottom w:val="single" w:sz="4" w:space="0" w:color="231F20"/>
              <w:right w:val="single" w:sz="4" w:space="0" w:color="231F20"/>
            </w:tcBorders>
            <w:hideMark/>
          </w:tcPr>
          <w:p w14:paraId="1651E970"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Details</w:t>
            </w:r>
          </w:p>
        </w:tc>
        <w:tc>
          <w:tcPr>
            <w:tcW w:w="1228" w:type="dxa"/>
            <w:tcBorders>
              <w:top w:val="single" w:sz="4" w:space="0" w:color="231F20"/>
              <w:left w:val="single" w:sz="4" w:space="0" w:color="231F20"/>
              <w:bottom w:val="single" w:sz="4" w:space="0" w:color="231F20"/>
              <w:right w:val="single" w:sz="4" w:space="0" w:color="231F20"/>
            </w:tcBorders>
            <w:hideMark/>
          </w:tcPr>
          <w:p w14:paraId="5F75291B"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Credit note number</w:t>
            </w:r>
          </w:p>
        </w:tc>
        <w:tc>
          <w:tcPr>
            <w:tcW w:w="855" w:type="dxa"/>
            <w:tcBorders>
              <w:top w:val="single" w:sz="4" w:space="0" w:color="231F20"/>
              <w:left w:val="single" w:sz="4" w:space="0" w:color="231F20"/>
              <w:bottom w:val="single" w:sz="4" w:space="0" w:color="231F20"/>
              <w:right w:val="single" w:sz="4" w:space="0" w:color="231F20"/>
            </w:tcBorders>
            <w:hideMark/>
          </w:tcPr>
          <w:p w14:paraId="2CB6CC39"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Total</w:t>
            </w:r>
          </w:p>
          <w:p w14:paraId="7BC57142"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832" w:type="dxa"/>
            <w:tcBorders>
              <w:top w:val="single" w:sz="4" w:space="0" w:color="231F20"/>
              <w:left w:val="single" w:sz="4" w:space="0" w:color="231F20"/>
              <w:bottom w:val="single" w:sz="4" w:space="0" w:color="231F20"/>
              <w:right w:val="single" w:sz="8" w:space="0" w:color="231F20"/>
            </w:tcBorders>
            <w:hideMark/>
          </w:tcPr>
          <w:p w14:paraId="6096E6E9"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VAT</w:t>
            </w:r>
          </w:p>
          <w:p w14:paraId="18257541"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772" w:type="dxa"/>
            <w:tcBorders>
              <w:top w:val="single" w:sz="4" w:space="0" w:color="231F20"/>
              <w:left w:val="single" w:sz="8" w:space="0" w:color="231F20"/>
              <w:bottom w:val="single" w:sz="4" w:space="0" w:color="231F20"/>
              <w:right w:val="single" w:sz="4" w:space="0" w:color="231F20"/>
            </w:tcBorders>
            <w:hideMark/>
          </w:tcPr>
          <w:p w14:paraId="700FF4B5" w14:textId="77777777" w:rsidR="00F90A6A" w:rsidRPr="00F90A6A" w:rsidRDefault="00F90A6A" w:rsidP="00F90A6A">
            <w:pPr>
              <w:spacing w:after="0" w:line="240" w:lineRule="auto"/>
              <w:rPr>
                <w:rFonts w:ascii="Times New Roman" w:eastAsia="Times New Roman" w:hAnsi="Times New Roman" w:cs="Times New Roman"/>
                <w:b/>
                <w:bCs/>
                <w:kern w:val="0"/>
                <w:sz w:val="20"/>
                <w:szCs w:val="20"/>
                <w14:ligatures w14:val="none"/>
              </w:rPr>
            </w:pPr>
            <w:r w:rsidRPr="00F90A6A">
              <w:rPr>
                <w:rFonts w:ascii="Times New Roman" w:eastAsia="Times New Roman" w:hAnsi="Times New Roman" w:cs="Times New Roman"/>
                <w:b/>
                <w:bCs/>
                <w:kern w:val="0"/>
                <w:sz w:val="20"/>
                <w:szCs w:val="20"/>
                <w14:ligatures w14:val="none"/>
              </w:rPr>
              <w:t>Net</w:t>
            </w:r>
          </w:p>
          <w:p w14:paraId="2F2BC981"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i/>
                <w:iCs/>
                <w:kern w:val="0"/>
                <w:sz w:val="20"/>
                <w:szCs w:val="20"/>
                <w14:ligatures w14:val="none"/>
              </w:rPr>
              <w:t>£</w:t>
            </w:r>
          </w:p>
        </w:tc>
        <w:tc>
          <w:tcPr>
            <w:tcW w:w="1094" w:type="dxa"/>
            <w:tcBorders>
              <w:top w:val="single" w:sz="4" w:space="0" w:color="231F20"/>
              <w:left w:val="single" w:sz="4" w:space="0" w:color="231F20"/>
              <w:bottom w:val="single" w:sz="4" w:space="0" w:color="231F20"/>
              <w:right w:val="single" w:sz="4" w:space="0" w:color="231F20"/>
            </w:tcBorders>
            <w:hideMark/>
          </w:tcPr>
          <w:p w14:paraId="3DDE162E"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b/>
                <w:bCs/>
                <w:kern w:val="0"/>
                <w:sz w:val="20"/>
                <w:szCs w:val="20"/>
                <w14:ligatures w14:val="none"/>
              </w:rPr>
              <w:t xml:space="preserve">Sales type 1 </w:t>
            </w:r>
            <w:r w:rsidRPr="00F90A6A">
              <w:rPr>
                <w:rFonts w:ascii="Times New Roman" w:eastAsia="Times New Roman" w:hAnsi="Times New Roman" w:cs="Times New Roman"/>
                <w:i/>
                <w:iCs/>
                <w:kern w:val="0"/>
                <w:sz w:val="20"/>
                <w:szCs w:val="20"/>
                <w14:ligatures w14:val="none"/>
              </w:rPr>
              <w:t>£</w:t>
            </w:r>
          </w:p>
        </w:tc>
        <w:tc>
          <w:tcPr>
            <w:tcW w:w="1087" w:type="dxa"/>
            <w:tcBorders>
              <w:top w:val="single" w:sz="4" w:space="0" w:color="231F20"/>
              <w:left w:val="single" w:sz="4" w:space="0" w:color="231F20"/>
              <w:bottom w:val="single" w:sz="4" w:space="0" w:color="231F20"/>
              <w:right w:val="single" w:sz="4" w:space="0" w:color="231F20"/>
            </w:tcBorders>
            <w:hideMark/>
          </w:tcPr>
          <w:p w14:paraId="0C05C505" w14:textId="77777777" w:rsidR="00F90A6A" w:rsidRPr="00F90A6A" w:rsidRDefault="00F90A6A" w:rsidP="00F90A6A">
            <w:pPr>
              <w:spacing w:after="0" w:line="240" w:lineRule="auto"/>
              <w:rPr>
                <w:rFonts w:ascii="Times New Roman" w:eastAsia="Times New Roman" w:hAnsi="Times New Roman" w:cs="Times New Roman"/>
                <w:i/>
                <w:iCs/>
                <w:kern w:val="0"/>
                <w:sz w:val="20"/>
                <w:szCs w:val="20"/>
                <w14:ligatures w14:val="none"/>
              </w:rPr>
            </w:pPr>
            <w:r w:rsidRPr="00F90A6A">
              <w:rPr>
                <w:rFonts w:ascii="Times New Roman" w:eastAsia="Times New Roman" w:hAnsi="Times New Roman" w:cs="Times New Roman"/>
                <w:b/>
                <w:bCs/>
                <w:kern w:val="0"/>
                <w:sz w:val="20"/>
                <w:szCs w:val="20"/>
                <w14:ligatures w14:val="none"/>
              </w:rPr>
              <w:t xml:space="preserve">Sales type 2 </w:t>
            </w:r>
            <w:r w:rsidRPr="00F90A6A">
              <w:rPr>
                <w:rFonts w:ascii="Times New Roman" w:eastAsia="Times New Roman" w:hAnsi="Times New Roman" w:cs="Times New Roman"/>
                <w:i/>
                <w:iCs/>
                <w:kern w:val="0"/>
                <w:sz w:val="20"/>
                <w:szCs w:val="20"/>
                <w14:ligatures w14:val="none"/>
              </w:rPr>
              <w:t>£</w:t>
            </w:r>
          </w:p>
        </w:tc>
      </w:tr>
      <w:tr w:rsidR="00F90A6A" w:rsidRPr="00F90A6A" w14:paraId="4959C15D" w14:textId="77777777" w:rsidTr="00F90A6A">
        <w:trPr>
          <w:trHeight w:val="416"/>
        </w:trPr>
        <w:tc>
          <w:tcPr>
            <w:tcW w:w="895" w:type="dxa"/>
            <w:tcBorders>
              <w:top w:val="single" w:sz="4" w:space="0" w:color="231F20"/>
              <w:left w:val="single" w:sz="4" w:space="0" w:color="231F20"/>
              <w:bottom w:val="single" w:sz="4" w:space="0" w:color="231F20"/>
              <w:right w:val="single" w:sz="4" w:space="0" w:color="231F20"/>
            </w:tcBorders>
            <w:hideMark/>
          </w:tcPr>
          <w:p w14:paraId="1DD16E3A"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Jun</w:t>
            </w:r>
          </w:p>
        </w:tc>
        <w:tc>
          <w:tcPr>
            <w:tcW w:w="2292" w:type="dxa"/>
            <w:tcBorders>
              <w:top w:val="single" w:sz="4" w:space="0" w:color="231F20"/>
              <w:left w:val="single" w:sz="4" w:space="0" w:color="231F20"/>
              <w:bottom w:val="single" w:sz="4" w:space="0" w:color="231F20"/>
              <w:right w:val="single" w:sz="4" w:space="0" w:color="231F20"/>
            </w:tcBorders>
            <w:hideMark/>
          </w:tcPr>
          <w:p w14:paraId="067E7945"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Metal Supplies</w:t>
            </w:r>
          </w:p>
        </w:tc>
        <w:tc>
          <w:tcPr>
            <w:tcW w:w="1228" w:type="dxa"/>
            <w:tcBorders>
              <w:top w:val="single" w:sz="4" w:space="0" w:color="231F20"/>
              <w:left w:val="single" w:sz="4" w:space="0" w:color="231F20"/>
              <w:bottom w:val="single" w:sz="4" w:space="0" w:color="231F20"/>
              <w:right w:val="single" w:sz="4" w:space="0" w:color="231F20"/>
            </w:tcBorders>
            <w:hideMark/>
          </w:tcPr>
          <w:p w14:paraId="3CFF0982"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251</w:t>
            </w:r>
          </w:p>
        </w:tc>
        <w:tc>
          <w:tcPr>
            <w:tcW w:w="855" w:type="dxa"/>
            <w:tcBorders>
              <w:top w:val="single" w:sz="4" w:space="0" w:color="231F20"/>
              <w:left w:val="single" w:sz="4" w:space="0" w:color="231F20"/>
              <w:bottom w:val="single" w:sz="4" w:space="0" w:color="231F20"/>
              <w:right w:val="single" w:sz="4" w:space="0" w:color="231F20"/>
            </w:tcBorders>
          </w:tcPr>
          <w:p w14:paraId="1F1C97F8" w14:textId="0CC8257C"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78</w:t>
            </w:r>
          </w:p>
        </w:tc>
        <w:tc>
          <w:tcPr>
            <w:tcW w:w="832" w:type="dxa"/>
            <w:tcBorders>
              <w:top w:val="single" w:sz="4" w:space="0" w:color="231F20"/>
              <w:left w:val="single" w:sz="4" w:space="0" w:color="231F20"/>
              <w:bottom w:val="single" w:sz="4" w:space="0" w:color="231F20"/>
              <w:right w:val="single" w:sz="8" w:space="0" w:color="231F20"/>
            </w:tcBorders>
            <w:hideMark/>
          </w:tcPr>
          <w:p w14:paraId="26FED378"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13</w:t>
            </w:r>
          </w:p>
        </w:tc>
        <w:tc>
          <w:tcPr>
            <w:tcW w:w="772" w:type="dxa"/>
            <w:tcBorders>
              <w:top w:val="single" w:sz="4" w:space="0" w:color="231F20"/>
              <w:left w:val="single" w:sz="8" w:space="0" w:color="231F20"/>
              <w:bottom w:val="single" w:sz="4" w:space="0" w:color="231F20"/>
              <w:right w:val="single" w:sz="4" w:space="0" w:color="231F20"/>
            </w:tcBorders>
          </w:tcPr>
          <w:p w14:paraId="19037C49" w14:textId="033F28DD"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65</w:t>
            </w:r>
          </w:p>
        </w:tc>
        <w:tc>
          <w:tcPr>
            <w:tcW w:w="1094" w:type="dxa"/>
            <w:tcBorders>
              <w:top w:val="single" w:sz="4" w:space="0" w:color="231F20"/>
              <w:left w:val="single" w:sz="4" w:space="0" w:color="231F20"/>
              <w:bottom w:val="single" w:sz="4" w:space="0" w:color="231F20"/>
              <w:right w:val="single" w:sz="4" w:space="0" w:color="231F20"/>
            </w:tcBorders>
          </w:tcPr>
          <w:p w14:paraId="35C3C041" w14:textId="290F4B87"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0</w:t>
            </w:r>
          </w:p>
        </w:tc>
        <w:tc>
          <w:tcPr>
            <w:tcW w:w="1087" w:type="dxa"/>
            <w:tcBorders>
              <w:top w:val="single" w:sz="4" w:space="0" w:color="231F20"/>
              <w:left w:val="single" w:sz="4" w:space="0" w:color="231F20"/>
              <w:bottom w:val="single" w:sz="4" w:space="0" w:color="231F20"/>
              <w:right w:val="single" w:sz="4" w:space="0" w:color="231F20"/>
            </w:tcBorders>
            <w:hideMark/>
          </w:tcPr>
          <w:p w14:paraId="31B35F3F"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65</w:t>
            </w:r>
          </w:p>
        </w:tc>
      </w:tr>
      <w:tr w:rsidR="00F90A6A" w:rsidRPr="00F90A6A" w14:paraId="40F16E0E" w14:textId="77777777" w:rsidTr="00F90A6A">
        <w:trPr>
          <w:trHeight w:val="444"/>
        </w:trPr>
        <w:tc>
          <w:tcPr>
            <w:tcW w:w="895" w:type="dxa"/>
            <w:tcBorders>
              <w:top w:val="single" w:sz="4" w:space="0" w:color="231F20"/>
              <w:left w:val="single" w:sz="4" w:space="0" w:color="231F20"/>
              <w:bottom w:val="single" w:sz="4" w:space="0" w:color="231F20"/>
              <w:right w:val="single" w:sz="4" w:space="0" w:color="231F20"/>
            </w:tcBorders>
            <w:hideMark/>
          </w:tcPr>
          <w:p w14:paraId="135BDF95"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30 Jun</w:t>
            </w:r>
          </w:p>
        </w:tc>
        <w:tc>
          <w:tcPr>
            <w:tcW w:w="2292" w:type="dxa"/>
            <w:tcBorders>
              <w:top w:val="single" w:sz="4" w:space="0" w:color="231F20"/>
              <w:left w:val="single" w:sz="4" w:space="0" w:color="231F20"/>
              <w:bottom w:val="single" w:sz="4" w:space="0" w:color="231F20"/>
              <w:right w:val="single" w:sz="4" w:space="0" w:color="231F20"/>
            </w:tcBorders>
            <w:hideMark/>
          </w:tcPr>
          <w:p w14:paraId="469D25F4"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Pearls</w:t>
            </w:r>
          </w:p>
        </w:tc>
        <w:tc>
          <w:tcPr>
            <w:tcW w:w="1228" w:type="dxa"/>
            <w:tcBorders>
              <w:top w:val="single" w:sz="4" w:space="0" w:color="231F20"/>
              <w:left w:val="single" w:sz="4" w:space="0" w:color="231F20"/>
              <w:bottom w:val="single" w:sz="4" w:space="0" w:color="231F20"/>
              <w:right w:val="single" w:sz="4" w:space="0" w:color="231F20"/>
            </w:tcBorders>
            <w:hideMark/>
          </w:tcPr>
          <w:p w14:paraId="15C5DEC8"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252</w:t>
            </w:r>
          </w:p>
        </w:tc>
        <w:tc>
          <w:tcPr>
            <w:tcW w:w="855" w:type="dxa"/>
            <w:tcBorders>
              <w:top w:val="single" w:sz="4" w:space="0" w:color="231F20"/>
              <w:left w:val="single" w:sz="4" w:space="0" w:color="231F20"/>
              <w:bottom w:val="single" w:sz="4" w:space="0" w:color="231F20"/>
              <w:right w:val="single" w:sz="4" w:space="0" w:color="231F20"/>
            </w:tcBorders>
          </w:tcPr>
          <w:p w14:paraId="630049AA" w14:textId="5222462E"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162</w:t>
            </w:r>
          </w:p>
        </w:tc>
        <w:tc>
          <w:tcPr>
            <w:tcW w:w="832" w:type="dxa"/>
            <w:tcBorders>
              <w:top w:val="single" w:sz="4" w:space="0" w:color="231F20"/>
              <w:left w:val="single" w:sz="4" w:space="0" w:color="231F20"/>
              <w:bottom w:val="single" w:sz="4" w:space="0" w:color="231F20"/>
              <w:right w:val="single" w:sz="8" w:space="0" w:color="231F20"/>
            </w:tcBorders>
          </w:tcPr>
          <w:p w14:paraId="1D16E2A4" w14:textId="64A5C88E"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27</w:t>
            </w:r>
          </w:p>
        </w:tc>
        <w:tc>
          <w:tcPr>
            <w:tcW w:w="772" w:type="dxa"/>
            <w:tcBorders>
              <w:top w:val="single" w:sz="4" w:space="0" w:color="231F20"/>
              <w:left w:val="single" w:sz="8" w:space="0" w:color="231F20"/>
              <w:bottom w:val="single" w:sz="4" w:space="0" w:color="231F20"/>
              <w:right w:val="single" w:sz="4" w:space="0" w:color="231F20"/>
            </w:tcBorders>
            <w:hideMark/>
          </w:tcPr>
          <w:p w14:paraId="120165ED"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135</w:t>
            </w:r>
          </w:p>
        </w:tc>
        <w:tc>
          <w:tcPr>
            <w:tcW w:w="1094" w:type="dxa"/>
            <w:tcBorders>
              <w:top w:val="single" w:sz="4" w:space="0" w:color="231F20"/>
              <w:left w:val="single" w:sz="4" w:space="0" w:color="231F20"/>
              <w:bottom w:val="single" w:sz="4" w:space="0" w:color="231F20"/>
              <w:right w:val="single" w:sz="4" w:space="0" w:color="231F20"/>
            </w:tcBorders>
            <w:hideMark/>
          </w:tcPr>
          <w:p w14:paraId="5AAFFF5A"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135</w:t>
            </w:r>
          </w:p>
        </w:tc>
        <w:tc>
          <w:tcPr>
            <w:tcW w:w="1087" w:type="dxa"/>
            <w:tcBorders>
              <w:top w:val="single" w:sz="4" w:space="0" w:color="231F20"/>
              <w:left w:val="single" w:sz="4" w:space="0" w:color="231F20"/>
              <w:bottom w:val="single" w:sz="4" w:space="0" w:color="231F20"/>
              <w:right w:val="single" w:sz="4" w:space="0" w:color="231F20"/>
            </w:tcBorders>
          </w:tcPr>
          <w:p w14:paraId="2CE3F9C3" w14:textId="470BE539"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0</w:t>
            </w:r>
          </w:p>
        </w:tc>
      </w:tr>
      <w:tr w:rsidR="00F90A6A" w:rsidRPr="00F90A6A" w14:paraId="4AC03FDC" w14:textId="77777777" w:rsidTr="00F90A6A">
        <w:trPr>
          <w:trHeight w:val="440"/>
        </w:trPr>
        <w:tc>
          <w:tcPr>
            <w:tcW w:w="895" w:type="dxa"/>
            <w:tcBorders>
              <w:top w:val="single" w:sz="4" w:space="0" w:color="231F20"/>
              <w:left w:val="single" w:sz="4" w:space="0" w:color="231F20"/>
              <w:bottom w:val="single" w:sz="4" w:space="0" w:color="231F20"/>
              <w:right w:val="single" w:sz="4" w:space="0" w:color="231F20"/>
            </w:tcBorders>
          </w:tcPr>
          <w:p w14:paraId="0917DC1E"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p>
        </w:tc>
        <w:tc>
          <w:tcPr>
            <w:tcW w:w="2292" w:type="dxa"/>
            <w:tcBorders>
              <w:top w:val="single" w:sz="4" w:space="0" w:color="231F20"/>
              <w:left w:val="single" w:sz="4" w:space="0" w:color="231F20"/>
              <w:bottom w:val="single" w:sz="4" w:space="0" w:color="231F20"/>
              <w:right w:val="single" w:sz="4" w:space="0" w:color="231F20"/>
            </w:tcBorders>
            <w:hideMark/>
          </w:tcPr>
          <w:p w14:paraId="736413E2"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r w:rsidRPr="00F90A6A">
              <w:rPr>
                <w:rFonts w:ascii="Times New Roman" w:eastAsia="Times New Roman" w:hAnsi="Times New Roman" w:cs="Times New Roman"/>
                <w:kern w:val="0"/>
                <w:sz w:val="20"/>
                <w:szCs w:val="20"/>
                <w14:ligatures w14:val="none"/>
              </w:rPr>
              <w:t>Totals</w:t>
            </w:r>
          </w:p>
        </w:tc>
        <w:tc>
          <w:tcPr>
            <w:tcW w:w="1228" w:type="dxa"/>
            <w:tcBorders>
              <w:top w:val="single" w:sz="4" w:space="0" w:color="231F20"/>
              <w:left w:val="single" w:sz="4" w:space="0" w:color="231F20"/>
              <w:bottom w:val="single" w:sz="4" w:space="0" w:color="231F20"/>
              <w:right w:val="single" w:sz="4" w:space="0" w:color="231F20"/>
            </w:tcBorders>
          </w:tcPr>
          <w:p w14:paraId="615BACA7" w14:textId="77777777" w:rsidR="00F90A6A" w:rsidRPr="00F90A6A" w:rsidRDefault="00F90A6A" w:rsidP="00F90A6A">
            <w:pPr>
              <w:spacing w:after="0" w:line="240" w:lineRule="auto"/>
              <w:rPr>
                <w:rFonts w:ascii="Times New Roman" w:eastAsia="Times New Roman" w:hAnsi="Times New Roman" w:cs="Times New Roman"/>
                <w:kern w:val="0"/>
                <w:sz w:val="20"/>
                <w:szCs w:val="20"/>
                <w14:ligatures w14:val="none"/>
              </w:rPr>
            </w:pPr>
          </w:p>
        </w:tc>
        <w:tc>
          <w:tcPr>
            <w:tcW w:w="855" w:type="dxa"/>
            <w:tcBorders>
              <w:top w:val="single" w:sz="4" w:space="0" w:color="231F20"/>
              <w:left w:val="single" w:sz="4" w:space="0" w:color="231F20"/>
              <w:bottom w:val="single" w:sz="4" w:space="0" w:color="231F20"/>
              <w:right w:val="single" w:sz="4" w:space="0" w:color="231F20"/>
            </w:tcBorders>
          </w:tcPr>
          <w:p w14:paraId="14FB5DB5" w14:textId="57348DF4"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240</w:t>
            </w:r>
          </w:p>
        </w:tc>
        <w:tc>
          <w:tcPr>
            <w:tcW w:w="832" w:type="dxa"/>
            <w:tcBorders>
              <w:top w:val="single" w:sz="4" w:space="0" w:color="231F20"/>
              <w:left w:val="single" w:sz="4" w:space="0" w:color="231F20"/>
              <w:bottom w:val="single" w:sz="4" w:space="0" w:color="231F20"/>
              <w:right w:val="single" w:sz="8" w:space="0" w:color="231F20"/>
            </w:tcBorders>
          </w:tcPr>
          <w:p w14:paraId="0A46B6D5" w14:textId="4C7A7134"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40</w:t>
            </w:r>
          </w:p>
        </w:tc>
        <w:tc>
          <w:tcPr>
            <w:tcW w:w="772" w:type="dxa"/>
            <w:tcBorders>
              <w:top w:val="single" w:sz="4" w:space="0" w:color="231F20"/>
              <w:left w:val="single" w:sz="8" w:space="0" w:color="231F20"/>
              <w:bottom w:val="single" w:sz="4" w:space="0" w:color="231F20"/>
              <w:right w:val="single" w:sz="4" w:space="0" w:color="231F20"/>
            </w:tcBorders>
          </w:tcPr>
          <w:p w14:paraId="55E0C732" w14:textId="16EE70F9"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200</w:t>
            </w:r>
          </w:p>
        </w:tc>
        <w:tc>
          <w:tcPr>
            <w:tcW w:w="1094" w:type="dxa"/>
            <w:tcBorders>
              <w:top w:val="single" w:sz="4" w:space="0" w:color="231F20"/>
              <w:left w:val="single" w:sz="4" w:space="0" w:color="231F20"/>
              <w:bottom w:val="single" w:sz="4" w:space="0" w:color="231F20"/>
              <w:right w:val="single" w:sz="4" w:space="0" w:color="231F20"/>
            </w:tcBorders>
          </w:tcPr>
          <w:p w14:paraId="2B469D63" w14:textId="786ECFCF"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135</w:t>
            </w:r>
          </w:p>
        </w:tc>
        <w:tc>
          <w:tcPr>
            <w:tcW w:w="1087" w:type="dxa"/>
            <w:tcBorders>
              <w:top w:val="single" w:sz="4" w:space="0" w:color="231F20"/>
              <w:left w:val="single" w:sz="4" w:space="0" w:color="231F20"/>
              <w:bottom w:val="single" w:sz="4" w:space="0" w:color="231F20"/>
              <w:right w:val="single" w:sz="4" w:space="0" w:color="231F20"/>
            </w:tcBorders>
          </w:tcPr>
          <w:p w14:paraId="4F1098BC" w14:textId="4FAED021" w:rsidR="00F90A6A" w:rsidRPr="00F90A6A" w:rsidRDefault="00226A71" w:rsidP="00F90A6A">
            <w:pPr>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65</w:t>
            </w:r>
          </w:p>
        </w:tc>
      </w:tr>
    </w:tbl>
    <w:p w14:paraId="34B46422" w14:textId="77777777" w:rsidR="00F90A6A" w:rsidRDefault="00F90A6A" w:rsidP="00F90A6A">
      <w:pPr>
        <w:rPr>
          <w:rFonts w:ascii="Arial" w:hAnsi="Arial" w:cs="Arial"/>
          <w:sz w:val="40"/>
          <w:szCs w:val="40"/>
        </w:rPr>
      </w:pPr>
    </w:p>
    <w:p w14:paraId="6DE9D6F9" w14:textId="64032819" w:rsidR="00226A71" w:rsidRDefault="00226A71" w:rsidP="00F90A6A">
      <w:pPr>
        <w:rPr>
          <w:rFonts w:ascii="Arial" w:hAnsi="Arial" w:cs="Arial"/>
          <w:sz w:val="40"/>
          <w:szCs w:val="40"/>
        </w:rPr>
      </w:pPr>
      <w:r w:rsidRPr="00226A71">
        <w:rPr>
          <w:rFonts w:ascii="Arial" w:hAnsi="Arial" w:cs="Arial"/>
          <w:sz w:val="40"/>
          <w:szCs w:val="40"/>
        </w:rPr>
        <w:t>Task 1</w:t>
      </w:r>
      <w:r>
        <w:rPr>
          <w:rFonts w:ascii="Arial" w:hAnsi="Arial" w:cs="Arial"/>
          <w:sz w:val="40"/>
          <w:szCs w:val="40"/>
        </w:rPr>
        <w:t xml:space="preserve"> (B)</w:t>
      </w:r>
    </w:p>
    <w:p w14:paraId="7A64D186" w14:textId="77777777" w:rsidR="0097296B" w:rsidRDefault="0097296B" w:rsidP="00F90A6A">
      <w:pPr>
        <w:rPr>
          <w:rFonts w:ascii="Arial" w:hAnsi="Arial" w:cs="Arial"/>
          <w:sz w:val="40"/>
          <w:szCs w:val="40"/>
        </w:rPr>
      </w:pPr>
    </w:p>
    <w:p w14:paraId="531960F3" w14:textId="77777777" w:rsidR="0097296B" w:rsidRDefault="0097296B" w:rsidP="00F90A6A">
      <w:pPr>
        <w:rPr>
          <w:rFonts w:ascii="Arial" w:hAnsi="Arial" w:cs="Arial"/>
          <w:sz w:val="40"/>
          <w:szCs w:val="40"/>
        </w:rPr>
      </w:pPr>
    </w:p>
    <w:tbl>
      <w:tblPr>
        <w:tblW w:w="9895" w:type="dxa"/>
        <w:tblInd w:w="-5" w:type="dxa"/>
        <w:tblLayout w:type="fixed"/>
        <w:tblCellMar>
          <w:left w:w="0" w:type="dxa"/>
          <w:right w:w="0" w:type="dxa"/>
        </w:tblCellMar>
        <w:tblLook w:val="04A0" w:firstRow="1" w:lastRow="0" w:firstColumn="1" w:lastColumn="0" w:noHBand="0" w:noVBand="1"/>
      </w:tblPr>
      <w:tblGrid>
        <w:gridCol w:w="8558"/>
        <w:gridCol w:w="1337"/>
      </w:tblGrid>
      <w:tr w:rsidR="00226A71" w:rsidRPr="00226A71" w14:paraId="1ADEE855" w14:textId="77777777" w:rsidTr="00226A71">
        <w:trPr>
          <w:trHeight w:val="444"/>
        </w:trPr>
        <w:tc>
          <w:tcPr>
            <w:tcW w:w="8558" w:type="dxa"/>
            <w:tcBorders>
              <w:top w:val="single" w:sz="4" w:space="0" w:color="231F20"/>
              <w:left w:val="single" w:sz="4" w:space="0" w:color="231F20"/>
              <w:bottom w:val="single" w:sz="4" w:space="0" w:color="231F20"/>
              <w:right w:val="single" w:sz="4" w:space="0" w:color="231F20"/>
            </w:tcBorders>
            <w:hideMark/>
          </w:tcPr>
          <w:p w14:paraId="09DE15DB" w14:textId="77777777" w:rsidR="00226A71" w:rsidRPr="00226A71" w:rsidRDefault="00226A71" w:rsidP="00226A71">
            <w:pPr>
              <w:rPr>
                <w:rFonts w:ascii="Arial" w:hAnsi="Arial" w:cs="Arial"/>
                <w:sz w:val="40"/>
                <w:szCs w:val="40"/>
              </w:rPr>
            </w:pPr>
            <w:r w:rsidRPr="00226A71">
              <w:rPr>
                <w:rFonts w:ascii="Arial" w:hAnsi="Arial" w:cs="Arial"/>
                <w:sz w:val="40"/>
                <w:szCs w:val="40"/>
              </w:rPr>
              <w:t>Has the correct purchase price of the paper been charged? Yes or No?</w:t>
            </w:r>
          </w:p>
        </w:tc>
        <w:tc>
          <w:tcPr>
            <w:tcW w:w="1337" w:type="dxa"/>
            <w:tcBorders>
              <w:top w:val="single" w:sz="4" w:space="0" w:color="231F20"/>
              <w:left w:val="single" w:sz="4" w:space="0" w:color="231F20"/>
              <w:bottom w:val="single" w:sz="4" w:space="0" w:color="231F20"/>
              <w:right w:val="single" w:sz="4" w:space="0" w:color="231F20"/>
            </w:tcBorders>
          </w:tcPr>
          <w:p w14:paraId="27F91D1F" w14:textId="330E4D82" w:rsidR="00226A71" w:rsidRPr="00226A71" w:rsidRDefault="00226A71" w:rsidP="00226A71">
            <w:pPr>
              <w:rPr>
                <w:rFonts w:ascii="Arial" w:hAnsi="Arial" w:cs="Arial"/>
                <w:sz w:val="40"/>
                <w:szCs w:val="40"/>
              </w:rPr>
            </w:pPr>
            <w:r>
              <w:rPr>
                <w:rFonts w:ascii="Arial" w:hAnsi="Arial" w:cs="Arial"/>
                <w:sz w:val="40"/>
                <w:szCs w:val="40"/>
              </w:rPr>
              <w:t>YES</w:t>
            </w:r>
          </w:p>
        </w:tc>
      </w:tr>
      <w:tr w:rsidR="00226A71" w:rsidRPr="00226A71" w14:paraId="09E5DE37" w14:textId="77777777" w:rsidTr="00226A71">
        <w:trPr>
          <w:trHeight w:val="370"/>
        </w:trPr>
        <w:tc>
          <w:tcPr>
            <w:tcW w:w="8558" w:type="dxa"/>
            <w:tcBorders>
              <w:top w:val="single" w:sz="4" w:space="0" w:color="231F20"/>
              <w:left w:val="single" w:sz="4" w:space="0" w:color="231F20"/>
              <w:bottom w:val="single" w:sz="4" w:space="0" w:color="231F20"/>
              <w:right w:val="single" w:sz="4" w:space="0" w:color="231F20"/>
            </w:tcBorders>
            <w:hideMark/>
          </w:tcPr>
          <w:p w14:paraId="7483D5F3" w14:textId="77777777" w:rsidR="00226A71" w:rsidRPr="00226A71" w:rsidRDefault="00226A71" w:rsidP="00226A71">
            <w:pPr>
              <w:rPr>
                <w:rFonts w:ascii="Arial" w:hAnsi="Arial" w:cs="Arial"/>
                <w:sz w:val="40"/>
                <w:szCs w:val="40"/>
              </w:rPr>
            </w:pPr>
            <w:r w:rsidRPr="00226A71">
              <w:rPr>
                <w:rFonts w:ascii="Arial" w:hAnsi="Arial" w:cs="Arial"/>
                <w:sz w:val="40"/>
                <w:szCs w:val="40"/>
              </w:rPr>
              <w:t>Has the correct discount been applied? Yes or No?</w:t>
            </w:r>
          </w:p>
        </w:tc>
        <w:tc>
          <w:tcPr>
            <w:tcW w:w="1337" w:type="dxa"/>
            <w:tcBorders>
              <w:top w:val="single" w:sz="4" w:space="0" w:color="231F20"/>
              <w:left w:val="single" w:sz="4" w:space="0" w:color="231F20"/>
              <w:bottom w:val="single" w:sz="4" w:space="0" w:color="231F20"/>
              <w:right w:val="single" w:sz="4" w:space="0" w:color="231F20"/>
            </w:tcBorders>
          </w:tcPr>
          <w:p w14:paraId="00B3B9A7" w14:textId="4CB03901" w:rsidR="00226A71" w:rsidRPr="00226A71" w:rsidRDefault="00226A71" w:rsidP="00226A71">
            <w:pPr>
              <w:rPr>
                <w:rFonts w:ascii="Arial" w:hAnsi="Arial" w:cs="Arial"/>
                <w:sz w:val="40"/>
                <w:szCs w:val="40"/>
              </w:rPr>
            </w:pPr>
            <w:r>
              <w:rPr>
                <w:rFonts w:ascii="Arial" w:hAnsi="Arial" w:cs="Arial"/>
                <w:sz w:val="40"/>
                <w:szCs w:val="40"/>
              </w:rPr>
              <w:t>YES</w:t>
            </w:r>
          </w:p>
        </w:tc>
      </w:tr>
      <w:tr w:rsidR="00226A71" w:rsidRPr="00226A71" w14:paraId="1A593DB0" w14:textId="77777777" w:rsidTr="00226A71">
        <w:trPr>
          <w:trHeight w:val="370"/>
        </w:trPr>
        <w:tc>
          <w:tcPr>
            <w:tcW w:w="8558" w:type="dxa"/>
            <w:tcBorders>
              <w:top w:val="single" w:sz="4" w:space="0" w:color="231F20"/>
              <w:left w:val="single" w:sz="4" w:space="0" w:color="231F20"/>
              <w:bottom w:val="single" w:sz="4" w:space="0" w:color="231F20"/>
              <w:right w:val="single" w:sz="4" w:space="0" w:color="231F20"/>
            </w:tcBorders>
            <w:hideMark/>
          </w:tcPr>
          <w:p w14:paraId="528A8D57" w14:textId="77777777" w:rsidR="00226A71" w:rsidRPr="00226A71" w:rsidRDefault="00226A71" w:rsidP="00226A71">
            <w:pPr>
              <w:rPr>
                <w:rFonts w:ascii="Arial" w:hAnsi="Arial" w:cs="Arial"/>
                <w:sz w:val="40"/>
                <w:szCs w:val="40"/>
              </w:rPr>
            </w:pPr>
            <w:r w:rsidRPr="00226A71">
              <w:rPr>
                <w:rFonts w:ascii="Arial" w:hAnsi="Arial" w:cs="Arial"/>
                <w:sz w:val="40"/>
                <w:szCs w:val="40"/>
              </w:rPr>
              <w:t>What would be the VAT amount charged if the invoice was correct?</w:t>
            </w:r>
          </w:p>
        </w:tc>
        <w:tc>
          <w:tcPr>
            <w:tcW w:w="1337" w:type="dxa"/>
            <w:tcBorders>
              <w:top w:val="single" w:sz="4" w:space="0" w:color="231F20"/>
              <w:left w:val="single" w:sz="4" w:space="0" w:color="231F20"/>
              <w:bottom w:val="single" w:sz="4" w:space="0" w:color="231F20"/>
              <w:right w:val="single" w:sz="4" w:space="0" w:color="231F20"/>
            </w:tcBorders>
          </w:tcPr>
          <w:p w14:paraId="285D3223" w14:textId="08133C8F" w:rsidR="00226A71" w:rsidRPr="00226A71" w:rsidRDefault="00226A71" w:rsidP="00226A71">
            <w:pPr>
              <w:rPr>
                <w:rFonts w:ascii="Arial" w:hAnsi="Arial" w:cs="Arial"/>
                <w:sz w:val="40"/>
                <w:szCs w:val="40"/>
              </w:rPr>
            </w:pPr>
            <w:r>
              <w:rPr>
                <w:rFonts w:ascii="Arial" w:hAnsi="Arial" w:cs="Arial"/>
                <w:sz w:val="40"/>
                <w:szCs w:val="40"/>
              </w:rPr>
              <w:t>160</w:t>
            </w:r>
          </w:p>
        </w:tc>
      </w:tr>
      <w:tr w:rsidR="00226A71" w:rsidRPr="00226A71" w14:paraId="42941B32" w14:textId="77777777" w:rsidTr="00226A71">
        <w:trPr>
          <w:trHeight w:val="448"/>
        </w:trPr>
        <w:tc>
          <w:tcPr>
            <w:tcW w:w="8558" w:type="dxa"/>
            <w:tcBorders>
              <w:top w:val="single" w:sz="4" w:space="0" w:color="231F20"/>
              <w:left w:val="single" w:sz="4" w:space="0" w:color="231F20"/>
              <w:bottom w:val="single" w:sz="4" w:space="0" w:color="231F20"/>
              <w:right w:val="single" w:sz="4" w:space="0" w:color="231F20"/>
            </w:tcBorders>
            <w:hideMark/>
          </w:tcPr>
          <w:p w14:paraId="6CA03BA9" w14:textId="77777777" w:rsidR="00226A71" w:rsidRPr="00226A71" w:rsidRDefault="00226A71" w:rsidP="00226A71">
            <w:pPr>
              <w:rPr>
                <w:rFonts w:ascii="Arial" w:hAnsi="Arial" w:cs="Arial"/>
                <w:sz w:val="40"/>
                <w:szCs w:val="40"/>
              </w:rPr>
            </w:pPr>
            <w:r w:rsidRPr="00226A71">
              <w:rPr>
                <w:rFonts w:ascii="Arial" w:hAnsi="Arial" w:cs="Arial"/>
                <w:sz w:val="40"/>
                <w:szCs w:val="40"/>
              </w:rPr>
              <w:lastRenderedPageBreak/>
              <w:t>What would be the total amount charged if the invoice was correct?</w:t>
            </w:r>
          </w:p>
        </w:tc>
        <w:tc>
          <w:tcPr>
            <w:tcW w:w="1337" w:type="dxa"/>
            <w:tcBorders>
              <w:top w:val="single" w:sz="4" w:space="0" w:color="231F20"/>
              <w:left w:val="single" w:sz="4" w:space="0" w:color="231F20"/>
              <w:bottom w:val="single" w:sz="4" w:space="0" w:color="231F20"/>
              <w:right w:val="single" w:sz="4" w:space="0" w:color="231F20"/>
            </w:tcBorders>
          </w:tcPr>
          <w:p w14:paraId="5A1DC179" w14:textId="3B1C24D2" w:rsidR="00226A71" w:rsidRPr="00226A71" w:rsidRDefault="00226A71" w:rsidP="00226A71">
            <w:pPr>
              <w:rPr>
                <w:rFonts w:ascii="Arial" w:hAnsi="Arial" w:cs="Arial"/>
                <w:sz w:val="40"/>
                <w:szCs w:val="40"/>
              </w:rPr>
            </w:pPr>
            <w:r>
              <w:rPr>
                <w:rFonts w:ascii="Arial" w:hAnsi="Arial" w:cs="Arial"/>
                <w:sz w:val="40"/>
                <w:szCs w:val="40"/>
              </w:rPr>
              <w:t>960</w:t>
            </w:r>
          </w:p>
        </w:tc>
      </w:tr>
    </w:tbl>
    <w:p w14:paraId="1B595D6F" w14:textId="77777777" w:rsidR="00226A71" w:rsidRDefault="00226A71" w:rsidP="00F90A6A">
      <w:pPr>
        <w:rPr>
          <w:rFonts w:ascii="Arial" w:hAnsi="Arial" w:cs="Arial"/>
          <w:sz w:val="40"/>
          <w:szCs w:val="40"/>
        </w:rPr>
      </w:pPr>
    </w:p>
    <w:p w14:paraId="66B02D80" w14:textId="11E80E6E" w:rsidR="00226A71" w:rsidRDefault="00226A71" w:rsidP="00F90A6A">
      <w:pPr>
        <w:rPr>
          <w:rFonts w:ascii="Arial" w:hAnsi="Arial" w:cs="Arial"/>
          <w:sz w:val="40"/>
          <w:szCs w:val="40"/>
        </w:rPr>
      </w:pPr>
      <w:r>
        <w:rPr>
          <w:rFonts w:ascii="Arial" w:hAnsi="Arial" w:cs="Arial"/>
          <w:sz w:val="40"/>
          <w:szCs w:val="40"/>
        </w:rPr>
        <w:t xml:space="preserve">Task 2 </w:t>
      </w:r>
    </w:p>
    <w:p w14:paraId="1B9CBDFC" w14:textId="2BCA6FCF" w:rsidR="00226A71" w:rsidRDefault="00B20F6E" w:rsidP="00B20F6E">
      <w:pPr>
        <w:tabs>
          <w:tab w:val="left" w:pos="357"/>
        </w:tabs>
        <w:spacing w:after="0" w:line="240" w:lineRule="auto"/>
        <w:ind w:left="360"/>
        <w:rPr>
          <w:rFonts w:ascii="Calibri" w:hAnsi="Calibri" w:cs="Arial"/>
          <w:sz w:val="24"/>
          <w:szCs w:val="24"/>
        </w:rPr>
      </w:pPr>
      <w:r w:rsidRPr="00B20F6E">
        <w:rPr>
          <w:rFonts w:ascii="Arial" w:hAnsi="Arial" w:cs="Arial"/>
          <w:sz w:val="24"/>
          <w:szCs w:val="24"/>
        </w:rPr>
        <w:t>P</w:t>
      </w:r>
      <w:r w:rsidR="00226A71" w:rsidRPr="00B20F6E">
        <w:rPr>
          <w:rFonts w:ascii="Arial" w:hAnsi="Arial" w:cs="Arial"/>
          <w:sz w:val="24"/>
          <w:szCs w:val="24"/>
        </w:rPr>
        <w:t>rofit and loss account for the year to 31</w:t>
      </w:r>
      <w:r w:rsidR="00226A71" w:rsidRPr="00B20F6E">
        <w:rPr>
          <w:rFonts w:ascii="Arial" w:hAnsi="Arial" w:cs="Arial"/>
          <w:sz w:val="24"/>
          <w:szCs w:val="24"/>
          <w:vertAlign w:val="superscript"/>
        </w:rPr>
        <w:t>st</w:t>
      </w:r>
      <w:r w:rsidR="00226A71" w:rsidRPr="00B20F6E">
        <w:rPr>
          <w:rFonts w:ascii="Arial" w:hAnsi="Arial" w:cs="Arial"/>
          <w:sz w:val="24"/>
          <w:szCs w:val="24"/>
        </w:rPr>
        <w:t xml:space="preserve"> July 2026</w:t>
      </w:r>
      <w:r w:rsidR="00226A71" w:rsidRPr="00B20F6E">
        <w:rPr>
          <w:rFonts w:ascii="Calibri" w:hAnsi="Calibri" w:cs="Arial"/>
          <w:sz w:val="24"/>
          <w:szCs w:val="24"/>
        </w:rPr>
        <w:t xml:space="preserve"> </w:t>
      </w:r>
      <w:r>
        <w:rPr>
          <w:noProof/>
        </w:rPr>
        <w:drawing>
          <wp:inline distT="0" distB="0" distL="0" distR="0" wp14:anchorId="043FD995" wp14:editId="187125D3">
            <wp:extent cx="5829300" cy="3310887"/>
            <wp:effectExtent l="0" t="0" r="0" b="4445"/>
            <wp:docPr id="129584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42580" name="Picture 1"/>
                    <pic:cNvPicPr>
                      <a:picLocks noChangeAspect="1"/>
                    </pic:cNvPicPr>
                  </pic:nvPicPr>
                  <pic:blipFill>
                    <a:blip r:embed="rId5"/>
                    <a:stretch>
                      <a:fillRect/>
                    </a:stretch>
                  </pic:blipFill>
                  <pic:spPr>
                    <a:xfrm>
                      <a:off x="0" y="0"/>
                      <a:ext cx="5849333" cy="3322265"/>
                    </a:xfrm>
                    <a:prstGeom prst="rect">
                      <a:avLst/>
                    </a:prstGeom>
                  </pic:spPr>
                </pic:pic>
              </a:graphicData>
            </a:graphic>
          </wp:inline>
        </w:drawing>
      </w:r>
    </w:p>
    <w:p w14:paraId="681410A7" w14:textId="77777777" w:rsidR="00B20F6E" w:rsidRPr="00B20F6E" w:rsidRDefault="00B20F6E" w:rsidP="00B20F6E">
      <w:pPr>
        <w:tabs>
          <w:tab w:val="left" w:pos="357"/>
        </w:tabs>
        <w:spacing w:after="0" w:line="240" w:lineRule="auto"/>
        <w:ind w:left="360"/>
        <w:rPr>
          <w:rFonts w:ascii="Arial" w:hAnsi="Arial" w:cs="Arial"/>
          <w:sz w:val="40"/>
          <w:szCs w:val="40"/>
        </w:rPr>
      </w:pPr>
    </w:p>
    <w:p w14:paraId="508033F3" w14:textId="7DBE4689" w:rsidR="00F90A6A" w:rsidRDefault="00B20F6E" w:rsidP="00B20F6E">
      <w:pPr>
        <w:ind w:left="284"/>
        <w:rPr>
          <w:rFonts w:ascii="Arial" w:hAnsi="Arial" w:cs="Arial"/>
          <w:sz w:val="24"/>
          <w:szCs w:val="24"/>
        </w:rPr>
      </w:pPr>
      <w:r w:rsidRPr="00B20F6E">
        <w:rPr>
          <w:rFonts w:ascii="Arial" w:hAnsi="Arial" w:cs="Arial"/>
          <w:sz w:val="40"/>
          <w:szCs w:val="40"/>
        </w:rPr>
        <w:t xml:space="preserve"> </w:t>
      </w:r>
      <w:r w:rsidRPr="00B20F6E">
        <w:rPr>
          <w:rFonts w:ascii="Arial" w:hAnsi="Arial" w:cs="Arial"/>
          <w:sz w:val="24"/>
          <w:szCs w:val="24"/>
        </w:rPr>
        <w:t>Balance sheet as at 31</w:t>
      </w:r>
      <w:r w:rsidRPr="00B20F6E">
        <w:rPr>
          <w:rFonts w:ascii="Arial" w:hAnsi="Arial" w:cs="Arial"/>
          <w:sz w:val="24"/>
          <w:szCs w:val="24"/>
          <w:vertAlign w:val="superscript"/>
        </w:rPr>
        <w:t>st</w:t>
      </w:r>
      <w:r w:rsidRPr="00B20F6E">
        <w:rPr>
          <w:rFonts w:ascii="Arial" w:hAnsi="Arial" w:cs="Arial"/>
          <w:sz w:val="24"/>
          <w:szCs w:val="24"/>
        </w:rPr>
        <w:t xml:space="preserve"> August</w:t>
      </w:r>
    </w:p>
    <w:p w14:paraId="11C9B956" w14:textId="606CC423" w:rsidR="00B20F6E" w:rsidRDefault="00B20F6E" w:rsidP="00B20F6E">
      <w:pPr>
        <w:ind w:left="284"/>
        <w:rPr>
          <w:rFonts w:ascii="Arial" w:hAnsi="Arial" w:cs="Arial"/>
          <w:sz w:val="24"/>
          <w:szCs w:val="24"/>
        </w:rPr>
      </w:pPr>
      <w:r>
        <w:rPr>
          <w:noProof/>
        </w:rPr>
        <w:lastRenderedPageBreak/>
        <w:drawing>
          <wp:inline distT="0" distB="0" distL="0" distR="0" wp14:anchorId="47AD5E76" wp14:editId="5A6AE05D">
            <wp:extent cx="5731510" cy="3891280"/>
            <wp:effectExtent l="0" t="0" r="2540" b="0"/>
            <wp:docPr id="16770170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17082" name="Picture 1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91280"/>
                    </a:xfrm>
                    <a:prstGeom prst="rect">
                      <a:avLst/>
                    </a:prstGeom>
                    <a:noFill/>
                  </pic:spPr>
                </pic:pic>
              </a:graphicData>
            </a:graphic>
          </wp:inline>
        </w:drawing>
      </w:r>
    </w:p>
    <w:p w14:paraId="75FF2E44" w14:textId="77777777" w:rsidR="00B20F6E" w:rsidRDefault="00B20F6E" w:rsidP="00B20F6E">
      <w:pPr>
        <w:ind w:left="284"/>
        <w:rPr>
          <w:rFonts w:ascii="Arial" w:hAnsi="Arial" w:cs="Arial"/>
          <w:sz w:val="24"/>
          <w:szCs w:val="24"/>
        </w:rPr>
      </w:pPr>
    </w:p>
    <w:p w14:paraId="1463F6D7" w14:textId="77777777" w:rsidR="00B20F6E" w:rsidRDefault="00B20F6E" w:rsidP="00B20F6E">
      <w:pPr>
        <w:numPr>
          <w:ilvl w:val="0"/>
          <w:numId w:val="5"/>
        </w:numPr>
        <w:tabs>
          <w:tab w:val="clear" w:pos="360"/>
          <w:tab w:val="left" w:pos="357"/>
          <w:tab w:val="num" w:pos="720"/>
        </w:tabs>
        <w:spacing w:after="0" w:line="240" w:lineRule="auto"/>
        <w:ind w:left="720"/>
        <w:rPr>
          <w:rFonts w:ascii="Arial" w:hAnsi="Arial" w:cs="Arial"/>
          <w:sz w:val="24"/>
          <w:szCs w:val="24"/>
        </w:rPr>
      </w:pPr>
      <w:r>
        <w:rPr>
          <w:rFonts w:ascii="Arial" w:hAnsi="Arial" w:cs="Arial"/>
          <w:sz w:val="24"/>
          <w:szCs w:val="24"/>
        </w:rPr>
        <w:t>The business is currently registered for VAT. A new member of staff has been employed to supervise the accounts department and has asked the following questions to which the owner has asked you for some advice:</w:t>
      </w:r>
    </w:p>
    <w:p w14:paraId="5A015079" w14:textId="77777777" w:rsidR="00B20F6E" w:rsidRDefault="00B20F6E" w:rsidP="00B20F6E">
      <w:pPr>
        <w:tabs>
          <w:tab w:val="left" w:pos="357"/>
        </w:tabs>
        <w:rPr>
          <w:rFonts w:ascii="Arial" w:hAnsi="Arial" w:cs="Arial"/>
          <w:sz w:val="24"/>
          <w:szCs w:val="24"/>
        </w:rPr>
      </w:pPr>
    </w:p>
    <w:p w14:paraId="7F791EE6" w14:textId="77777777" w:rsidR="00B20F6E" w:rsidRDefault="00B20F6E" w:rsidP="00B20F6E">
      <w:pPr>
        <w:numPr>
          <w:ilvl w:val="1"/>
          <w:numId w:val="5"/>
        </w:numPr>
        <w:tabs>
          <w:tab w:val="left" w:pos="357"/>
          <w:tab w:val="num" w:pos="1440"/>
        </w:tabs>
        <w:spacing w:after="0" w:line="240" w:lineRule="auto"/>
        <w:ind w:left="1440"/>
        <w:rPr>
          <w:rFonts w:ascii="Arial" w:hAnsi="Arial" w:cs="Arial"/>
          <w:sz w:val="24"/>
          <w:szCs w:val="24"/>
        </w:rPr>
      </w:pPr>
      <w:r>
        <w:rPr>
          <w:rFonts w:ascii="Arial" w:hAnsi="Arial" w:cs="Arial"/>
          <w:sz w:val="24"/>
          <w:szCs w:val="24"/>
        </w:rPr>
        <w:t>Whether it is possible to, when to, and how to deregister for VAT</w:t>
      </w:r>
    </w:p>
    <w:p w14:paraId="64A361CD" w14:textId="77777777" w:rsidR="00B20F6E" w:rsidRDefault="00B20F6E" w:rsidP="00B20F6E">
      <w:pPr>
        <w:tabs>
          <w:tab w:val="left" w:pos="357"/>
        </w:tabs>
        <w:ind w:left="1440"/>
        <w:rPr>
          <w:rFonts w:ascii="Arial" w:hAnsi="Arial" w:cs="Arial"/>
          <w:sz w:val="24"/>
          <w:szCs w:val="24"/>
        </w:rPr>
      </w:pPr>
    </w:p>
    <w:p w14:paraId="76EC9A28" w14:textId="392BF930" w:rsidR="00B20F6E" w:rsidRDefault="0097296B" w:rsidP="00B20F6E">
      <w:pPr>
        <w:pStyle w:val="ListParagraph"/>
        <w:rPr>
          <w:rFonts w:ascii="Arial" w:hAnsi="Arial" w:cs="Arial"/>
          <w:sz w:val="24"/>
          <w:szCs w:val="24"/>
        </w:rPr>
      </w:pPr>
      <w:r w:rsidRPr="0097296B">
        <w:rPr>
          <w:rFonts w:ascii="Arial" w:hAnsi="Arial" w:cs="Arial"/>
          <w:sz w:val="24"/>
          <w:szCs w:val="24"/>
        </w:rPr>
        <w:t>A business can apply to cancel its VAT registration if it no longer meets the requirements to remain registered, such as when its taxable turnover is expected to stay below HMRC's deregistration threshold or if it permanently ceases trading. The application can be made through the business's online HMRC VAT account or by completing the appropriate deregistration process. Once deregistered, the business must stop charging VAT on its sales and will generally no longer be able to recover VAT on most business purchases. While this may reduce administrative responsibilities and could enable more competitive pricing for customers who are not VAT registered, the loss of input VAT recovery should be carefully considered before making the decision.</w:t>
      </w:r>
    </w:p>
    <w:p w14:paraId="2D7FB9DE" w14:textId="77777777" w:rsidR="0097296B" w:rsidRDefault="0097296B" w:rsidP="00B20F6E">
      <w:pPr>
        <w:pStyle w:val="ListParagraph"/>
        <w:rPr>
          <w:rFonts w:ascii="Arial" w:hAnsi="Arial" w:cs="Arial"/>
          <w:sz w:val="24"/>
          <w:szCs w:val="24"/>
        </w:rPr>
      </w:pPr>
    </w:p>
    <w:p w14:paraId="6DE2F53A" w14:textId="77777777" w:rsidR="00B20F6E" w:rsidRDefault="00B20F6E" w:rsidP="00B20F6E">
      <w:pPr>
        <w:numPr>
          <w:ilvl w:val="1"/>
          <w:numId w:val="5"/>
        </w:numPr>
        <w:tabs>
          <w:tab w:val="left" w:pos="357"/>
          <w:tab w:val="num" w:pos="1440"/>
        </w:tabs>
        <w:spacing w:after="0" w:line="240" w:lineRule="auto"/>
        <w:ind w:left="1440"/>
        <w:rPr>
          <w:rFonts w:ascii="Arial" w:hAnsi="Arial" w:cs="Arial"/>
          <w:sz w:val="24"/>
          <w:szCs w:val="24"/>
        </w:rPr>
      </w:pPr>
      <w:r>
        <w:rPr>
          <w:rFonts w:ascii="Arial" w:hAnsi="Arial" w:cs="Arial"/>
          <w:sz w:val="24"/>
          <w:szCs w:val="24"/>
        </w:rPr>
        <w:t>The rate of VAT that needs to be charged on each of the products that the business sells</w:t>
      </w:r>
    </w:p>
    <w:p w14:paraId="68243F39" w14:textId="77777777" w:rsidR="00B20F6E" w:rsidRDefault="00B20F6E" w:rsidP="00B20F6E">
      <w:pPr>
        <w:tabs>
          <w:tab w:val="left" w:pos="357"/>
        </w:tabs>
        <w:spacing w:after="0" w:line="240" w:lineRule="auto"/>
        <w:rPr>
          <w:rFonts w:ascii="Arial" w:hAnsi="Arial" w:cs="Arial"/>
          <w:sz w:val="24"/>
          <w:szCs w:val="24"/>
        </w:rPr>
      </w:pPr>
    </w:p>
    <w:p w14:paraId="4EF5484F" w14:textId="77777777" w:rsidR="00B20F6E" w:rsidRDefault="00B20F6E" w:rsidP="00B20F6E">
      <w:pPr>
        <w:tabs>
          <w:tab w:val="left" w:pos="357"/>
        </w:tabs>
        <w:spacing w:after="0" w:line="240" w:lineRule="auto"/>
        <w:rPr>
          <w:rFonts w:ascii="Arial" w:hAnsi="Arial" w:cs="Arial"/>
          <w:sz w:val="24"/>
          <w:szCs w:val="24"/>
        </w:rPr>
      </w:pPr>
    </w:p>
    <w:p w14:paraId="69F13810" w14:textId="653198AF" w:rsidR="00B20F6E" w:rsidRDefault="0097296B" w:rsidP="00B20F6E">
      <w:pPr>
        <w:tabs>
          <w:tab w:val="left" w:pos="357"/>
        </w:tabs>
        <w:rPr>
          <w:rFonts w:ascii="Arial" w:hAnsi="Arial" w:cs="Arial"/>
          <w:sz w:val="24"/>
          <w:szCs w:val="24"/>
        </w:rPr>
      </w:pPr>
      <w:r w:rsidRPr="0097296B">
        <w:rPr>
          <w:rFonts w:ascii="Arial" w:hAnsi="Arial" w:cs="Arial"/>
          <w:sz w:val="24"/>
          <w:szCs w:val="24"/>
        </w:rPr>
        <w:t xml:space="preserve">The majority of goods sold by Swansea Motor Spares, including motor vehicle spare parts, tyres, batteries, lubricants and accessories, are subject to the standard UK </w:t>
      </w:r>
      <w:r w:rsidRPr="0097296B">
        <w:rPr>
          <w:rFonts w:ascii="Arial" w:hAnsi="Arial" w:cs="Arial"/>
          <w:sz w:val="24"/>
          <w:szCs w:val="24"/>
        </w:rPr>
        <w:lastRenderedPageBreak/>
        <w:t xml:space="preserve">VAT rate of </w:t>
      </w:r>
      <w:r w:rsidRPr="0097296B">
        <w:rPr>
          <w:rFonts w:ascii="Arial" w:hAnsi="Arial" w:cs="Arial"/>
          <w:b/>
          <w:bCs/>
          <w:sz w:val="24"/>
          <w:szCs w:val="24"/>
        </w:rPr>
        <w:t>20%</w:t>
      </w:r>
      <w:r w:rsidRPr="0097296B">
        <w:rPr>
          <w:rFonts w:ascii="Arial" w:hAnsi="Arial" w:cs="Arial"/>
          <w:sz w:val="24"/>
          <w:szCs w:val="24"/>
        </w:rPr>
        <w:t>. It is the responsibility of the business to apply the correct VAT rate to each sale and ensure that all invoices and accounting records accurately reflect the VAT charged. Where a product qualifies for a reduced rate, zero rating or exemption under HMRC rules, the appropriate VAT treatment should be applied.</w:t>
      </w:r>
    </w:p>
    <w:p w14:paraId="29AD843E" w14:textId="77777777" w:rsidR="0097296B" w:rsidRDefault="0097296B" w:rsidP="00B20F6E">
      <w:pPr>
        <w:tabs>
          <w:tab w:val="left" w:pos="357"/>
        </w:tabs>
        <w:rPr>
          <w:rFonts w:ascii="Arial" w:hAnsi="Arial" w:cs="Arial"/>
          <w:sz w:val="24"/>
          <w:szCs w:val="24"/>
        </w:rPr>
      </w:pPr>
    </w:p>
    <w:p w14:paraId="49860DDE" w14:textId="77777777" w:rsidR="00B20F6E" w:rsidRDefault="00B20F6E" w:rsidP="00B20F6E">
      <w:pPr>
        <w:numPr>
          <w:ilvl w:val="1"/>
          <w:numId w:val="5"/>
        </w:numPr>
        <w:tabs>
          <w:tab w:val="left" w:pos="357"/>
          <w:tab w:val="num" w:pos="1440"/>
        </w:tabs>
        <w:spacing w:after="0" w:line="240" w:lineRule="auto"/>
        <w:ind w:left="1440"/>
        <w:rPr>
          <w:rFonts w:ascii="Arial" w:hAnsi="Arial" w:cs="Arial"/>
          <w:sz w:val="24"/>
          <w:szCs w:val="24"/>
        </w:rPr>
      </w:pPr>
      <w:r>
        <w:rPr>
          <w:rFonts w:ascii="Arial" w:hAnsi="Arial" w:cs="Arial"/>
          <w:sz w:val="24"/>
          <w:szCs w:val="24"/>
        </w:rPr>
        <w:t>Are there any alternatives to the system of quarterly VAT returns that the business currently uses</w:t>
      </w:r>
    </w:p>
    <w:p w14:paraId="40F1A5E4" w14:textId="77777777" w:rsidR="00B20F6E" w:rsidRDefault="00B20F6E" w:rsidP="00B20F6E">
      <w:pPr>
        <w:tabs>
          <w:tab w:val="left" w:pos="357"/>
        </w:tabs>
        <w:spacing w:after="0" w:line="240" w:lineRule="auto"/>
        <w:rPr>
          <w:rFonts w:ascii="Arial" w:hAnsi="Arial" w:cs="Arial"/>
          <w:sz w:val="24"/>
          <w:szCs w:val="24"/>
        </w:rPr>
      </w:pPr>
    </w:p>
    <w:p w14:paraId="57FD8E96" w14:textId="77777777" w:rsidR="00B20F6E" w:rsidRDefault="00B20F6E" w:rsidP="00B20F6E">
      <w:pPr>
        <w:tabs>
          <w:tab w:val="left" w:pos="357"/>
        </w:tabs>
        <w:spacing w:after="0" w:line="240" w:lineRule="auto"/>
        <w:rPr>
          <w:rFonts w:ascii="Arial" w:hAnsi="Arial" w:cs="Arial"/>
          <w:sz w:val="24"/>
          <w:szCs w:val="24"/>
        </w:rPr>
      </w:pPr>
    </w:p>
    <w:p w14:paraId="1EEBB903" w14:textId="47AA5994" w:rsidR="00B20F6E" w:rsidRDefault="0097296B" w:rsidP="00B20F6E">
      <w:pPr>
        <w:tabs>
          <w:tab w:val="left" w:pos="357"/>
        </w:tabs>
        <w:rPr>
          <w:rFonts w:ascii="Arial" w:hAnsi="Arial" w:cs="Arial"/>
          <w:sz w:val="24"/>
          <w:szCs w:val="24"/>
        </w:rPr>
      </w:pPr>
      <w:r w:rsidRPr="0097296B">
        <w:rPr>
          <w:rFonts w:ascii="Arial" w:hAnsi="Arial" w:cs="Arial"/>
          <w:sz w:val="24"/>
          <w:szCs w:val="24"/>
        </w:rPr>
        <w:t>HMRC offers several alternatives to the standard quarterly VAT return system. Businesses can choose to submit monthly VAT returns, which may be beneficial if they regularly reclaim more VAT than they pay, improving cash flow through faster repayments. Eligible businesses may also use the Annual Accounting Scheme, which requires only one VAT return each year while making advance payments throughout the year, reducing administrative work. Another option is the Cash Accounting Scheme, which allows VAT to be accounted for only when customers have paid their invoices, rather than when invoices are issued. This can improve cash flow by preventing the business from paying VAT before receiving payment from customers.</w:t>
      </w:r>
    </w:p>
    <w:p w14:paraId="191A5AF5" w14:textId="77777777" w:rsidR="0097296B" w:rsidRDefault="0097296B" w:rsidP="00B20F6E">
      <w:pPr>
        <w:tabs>
          <w:tab w:val="left" w:pos="357"/>
        </w:tabs>
        <w:rPr>
          <w:rFonts w:ascii="Arial" w:hAnsi="Arial" w:cs="Arial"/>
          <w:sz w:val="24"/>
          <w:szCs w:val="24"/>
        </w:rPr>
      </w:pPr>
    </w:p>
    <w:p w14:paraId="54256E26" w14:textId="77777777" w:rsidR="00B20F6E" w:rsidRPr="00B20F6E" w:rsidRDefault="00B20F6E" w:rsidP="00B20F6E">
      <w:pPr>
        <w:numPr>
          <w:ilvl w:val="0"/>
          <w:numId w:val="5"/>
        </w:numPr>
        <w:tabs>
          <w:tab w:val="clear" w:pos="360"/>
          <w:tab w:val="left" w:pos="357"/>
          <w:tab w:val="num" w:pos="720"/>
        </w:tabs>
        <w:spacing w:after="0" w:line="240" w:lineRule="auto"/>
        <w:ind w:left="720"/>
        <w:rPr>
          <w:rFonts w:ascii="Arial" w:hAnsi="Arial" w:cs="Arial"/>
          <w:sz w:val="24"/>
          <w:szCs w:val="24"/>
        </w:rPr>
      </w:pPr>
      <w:r w:rsidRPr="00B20F6E">
        <w:rPr>
          <w:rFonts w:ascii="Arial" w:hAnsi="Arial" w:cs="Arial"/>
          <w:sz w:val="24"/>
          <w:szCs w:val="24"/>
        </w:rPr>
        <w:t>Explain to the owner how the annual depreciation amount would be calculated using 15 years life and what difference this change would make to the profit of the business over the past three years.</w:t>
      </w:r>
    </w:p>
    <w:p w14:paraId="3AFF7B47" w14:textId="77777777" w:rsidR="00B20F6E" w:rsidRPr="0097296B" w:rsidRDefault="00B20F6E" w:rsidP="00B20F6E">
      <w:pPr>
        <w:tabs>
          <w:tab w:val="left" w:pos="357"/>
        </w:tabs>
        <w:rPr>
          <w:rFonts w:ascii="Arial" w:hAnsi="Arial" w:cs="Arial"/>
          <w:sz w:val="24"/>
          <w:szCs w:val="24"/>
        </w:rPr>
      </w:pPr>
    </w:p>
    <w:p w14:paraId="33165CC7"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The business currently calculates depreciation using the straight-line method over a useful life of 10 years. Under this method, the cost of the asset is spread evenly over its expected useful life.</w:t>
      </w:r>
    </w:p>
    <w:p w14:paraId="7BF1FF54"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The annual depreciation is calculated as:</w:t>
      </w:r>
    </w:p>
    <w:p w14:paraId="0DDD2CD5"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Annual Depreciation = Cost of Asset ÷ Useful Life</w:t>
      </w:r>
    </w:p>
    <w:p w14:paraId="790DAFD5"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Using a 10-year useful life:</w:t>
      </w:r>
    </w:p>
    <w:p w14:paraId="1D1F7106"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£80,000 ÷ 10 = £8,000 per year</w:t>
      </w:r>
    </w:p>
    <w:p w14:paraId="5A3FA35B"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If the useful life were increased to 15 years, the annual depreciation charge would be:</w:t>
      </w:r>
    </w:p>
    <w:p w14:paraId="566AD264"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£80,000 ÷ 15 = £5,333.33 per year</w:t>
      </w:r>
    </w:p>
    <w:p w14:paraId="5B163B97" w14:textId="2ECAF78E"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This would reduce the annual depreciation expense by approximately £2,666.67 (£8,000 − £5,333.33). As depreciation is recorded as a business expense, reducing this expense would increase the annual profit by the same amount. Over the previous three years, the total reported profit would therefore have been approximately £8,000 higher (3 × £2,666.67)</w:t>
      </w:r>
    </w:p>
    <w:p w14:paraId="7EF8F3F5"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lastRenderedPageBreak/>
        <w:t>Using a longer useful life also results in a higher net book value for the fixed assets on the balance sheet because they are written down more slowly. However, the depreciation policy should always reflect the assets' expected economic useful life to ensure that the financial statements present a true and fair view of the business's financial position and performance.</w:t>
      </w:r>
    </w:p>
    <w:p w14:paraId="02225535" w14:textId="77777777" w:rsidR="00B20F6E" w:rsidRDefault="00B20F6E" w:rsidP="00B20F6E">
      <w:pPr>
        <w:tabs>
          <w:tab w:val="left" w:pos="357"/>
        </w:tabs>
        <w:ind w:left="360"/>
        <w:rPr>
          <w:rFonts w:ascii="Arial" w:hAnsi="Arial" w:cs="Arial"/>
          <w:sz w:val="24"/>
          <w:szCs w:val="24"/>
        </w:rPr>
      </w:pPr>
    </w:p>
    <w:p w14:paraId="7A2B8880" w14:textId="77777777" w:rsidR="00B20F6E" w:rsidRDefault="00B20F6E" w:rsidP="00B20F6E">
      <w:pPr>
        <w:numPr>
          <w:ilvl w:val="0"/>
          <w:numId w:val="5"/>
        </w:numPr>
        <w:tabs>
          <w:tab w:val="clear" w:pos="360"/>
          <w:tab w:val="left" w:pos="357"/>
          <w:tab w:val="num" w:pos="720"/>
        </w:tabs>
        <w:spacing w:after="0" w:line="240" w:lineRule="auto"/>
        <w:ind w:left="720"/>
        <w:rPr>
          <w:rFonts w:ascii="Arial" w:hAnsi="Arial" w:cs="Arial"/>
          <w:sz w:val="24"/>
          <w:szCs w:val="24"/>
        </w:rPr>
      </w:pPr>
      <w:r>
        <w:rPr>
          <w:rFonts w:ascii="Arial" w:hAnsi="Arial" w:cs="Arial"/>
          <w:sz w:val="24"/>
          <w:szCs w:val="24"/>
        </w:rPr>
        <w:t>In order to be able to hold more stock, the owner of the business has decided to refit his warehouse at a cost of £200,000. The owner of the business plans to raise the selling price of all of the spare parts by 10% in order to improve profitability. Explain the economic arguments for and against this strategy, paying particular attention to the possible effects of the decision on the level of sales that would be achieved.</w:t>
      </w:r>
    </w:p>
    <w:p w14:paraId="732083D2" w14:textId="77777777" w:rsidR="00B20F6E" w:rsidRDefault="00B20F6E" w:rsidP="00B20F6E">
      <w:pPr>
        <w:tabs>
          <w:tab w:val="left" w:pos="357"/>
        </w:tabs>
        <w:rPr>
          <w:rFonts w:ascii="Arial" w:hAnsi="Arial" w:cs="Arial"/>
          <w:sz w:val="24"/>
          <w:szCs w:val="24"/>
        </w:rPr>
      </w:pPr>
    </w:p>
    <w:p w14:paraId="3E5FBDC2"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Refitting the warehouse at a cost of £200,000 would increase the business's storage capacity, enabling Swansea Motor Spares to hold a wider range and greater quantity of stock. This could reduce the risk of stock shortages, improve customer satisfaction by ensuring products are readily available, and allow the business to purchase inventory in larger quantities, potentially benefiting from bulk purchase discounts. In the long term, these factors could contribute to higher sales and improved profitability. However, the warehouse refit represents a significant capital investment and may reduce cash reserves or require external finance, resulting in additional interest costs and financial risk.</w:t>
      </w:r>
    </w:p>
    <w:p w14:paraId="79FF9B3B" w14:textId="77777777" w:rsidR="0097296B" w:rsidRPr="0097296B" w:rsidRDefault="0097296B" w:rsidP="0097296B">
      <w:pPr>
        <w:tabs>
          <w:tab w:val="left" w:pos="357"/>
        </w:tabs>
        <w:ind w:left="360"/>
        <w:rPr>
          <w:rFonts w:ascii="Arial" w:hAnsi="Arial" w:cs="Arial"/>
          <w:sz w:val="24"/>
          <w:szCs w:val="24"/>
        </w:rPr>
      </w:pPr>
      <w:r w:rsidRPr="0097296B">
        <w:rPr>
          <w:rFonts w:ascii="Arial" w:hAnsi="Arial" w:cs="Arial"/>
          <w:sz w:val="24"/>
          <w:szCs w:val="24"/>
        </w:rPr>
        <w:t>Increasing the selling price of all spare parts by 10% would increase the revenue earned from each sale and could improve profit margins if sales volumes remain unchanged. However, the success of this strategy depends on how customers respond to the higher prices. If demand for the products is price inelastic, customers are likely to continue purchasing similar quantities, leading to higher revenue and profits. Conversely, if demand is price elastic, some customers may reduce their purchases or switch to competitors offering lower prices, causing sales volumes, revenue and profitability to decline. Before implementing the price increase, the business should therefore consider customer demand, competitor pricing and overall market conditions.</w:t>
      </w:r>
    </w:p>
    <w:p w14:paraId="313DB653" w14:textId="77777777" w:rsidR="00B20F6E" w:rsidRDefault="00B20F6E" w:rsidP="00B20F6E">
      <w:pPr>
        <w:tabs>
          <w:tab w:val="left" w:pos="357"/>
        </w:tabs>
        <w:ind w:left="360"/>
        <w:rPr>
          <w:rFonts w:ascii="Arial" w:hAnsi="Arial" w:cs="Arial"/>
          <w:sz w:val="24"/>
          <w:szCs w:val="24"/>
        </w:rPr>
      </w:pPr>
    </w:p>
    <w:p w14:paraId="27885ACE" w14:textId="77777777" w:rsidR="00B20F6E" w:rsidRDefault="00B20F6E" w:rsidP="00B20F6E">
      <w:pPr>
        <w:numPr>
          <w:ilvl w:val="0"/>
          <w:numId w:val="5"/>
        </w:numPr>
        <w:tabs>
          <w:tab w:val="clear" w:pos="360"/>
          <w:tab w:val="left" w:pos="357"/>
          <w:tab w:val="num" w:pos="720"/>
        </w:tabs>
        <w:spacing w:after="0" w:line="240" w:lineRule="auto"/>
        <w:ind w:left="720"/>
        <w:rPr>
          <w:rFonts w:ascii="Arial" w:hAnsi="Arial" w:cs="Arial"/>
          <w:sz w:val="24"/>
          <w:szCs w:val="24"/>
        </w:rPr>
      </w:pPr>
      <w:r>
        <w:rPr>
          <w:rFonts w:ascii="Arial" w:hAnsi="Arial" w:cs="Arial"/>
          <w:sz w:val="24"/>
          <w:szCs w:val="24"/>
        </w:rPr>
        <w:t>Clearly explain how the pricing strategy in (5) would affect the profitability of the business, assuming that the level of sales and the current business policies remained unchanged.</w:t>
      </w:r>
    </w:p>
    <w:p w14:paraId="49390D6A" w14:textId="77777777" w:rsidR="0097296B" w:rsidRPr="0097296B" w:rsidRDefault="0097296B" w:rsidP="0097296B">
      <w:pPr>
        <w:pStyle w:val="isselectedend"/>
        <w:rPr>
          <w:rFonts w:ascii="Arial" w:hAnsi="Arial" w:cs="Arial"/>
        </w:rPr>
      </w:pPr>
      <w:r w:rsidRPr="0097296B">
        <w:rPr>
          <w:rFonts w:ascii="Arial" w:hAnsi="Arial" w:cs="Arial"/>
        </w:rPr>
        <w:t xml:space="preserve">The business currently generates annual sales revenue of </w:t>
      </w:r>
      <w:r w:rsidRPr="0097296B">
        <w:rPr>
          <w:rStyle w:val="Strong"/>
          <w:rFonts w:ascii="Arial" w:hAnsi="Arial" w:cs="Arial"/>
          <w:b w:val="0"/>
          <w:bCs w:val="0"/>
        </w:rPr>
        <w:t>£560,000</w:t>
      </w:r>
      <w:r w:rsidRPr="0097296B">
        <w:rPr>
          <w:rFonts w:ascii="Arial" w:hAnsi="Arial" w:cs="Arial"/>
        </w:rPr>
        <w:t xml:space="preserve">. If the selling price of all products increases by </w:t>
      </w:r>
      <w:r w:rsidRPr="0097296B">
        <w:rPr>
          <w:rStyle w:val="Strong"/>
          <w:rFonts w:ascii="Arial" w:hAnsi="Arial" w:cs="Arial"/>
          <w:b w:val="0"/>
          <w:bCs w:val="0"/>
        </w:rPr>
        <w:t>10%</w:t>
      </w:r>
      <w:r w:rsidRPr="0097296B">
        <w:rPr>
          <w:rFonts w:ascii="Arial" w:hAnsi="Arial" w:cs="Arial"/>
        </w:rPr>
        <w:t xml:space="preserve"> and the level of sales remains unchanged, forecast sales revenue would increase to:</w:t>
      </w:r>
    </w:p>
    <w:p w14:paraId="2CC46923" w14:textId="77777777" w:rsidR="0097296B" w:rsidRPr="0097296B" w:rsidRDefault="0097296B" w:rsidP="0097296B">
      <w:pPr>
        <w:pStyle w:val="isselectedend"/>
        <w:rPr>
          <w:rFonts w:ascii="Arial" w:hAnsi="Arial" w:cs="Arial"/>
        </w:rPr>
      </w:pPr>
      <w:r w:rsidRPr="0097296B">
        <w:rPr>
          <w:rStyle w:val="Strong"/>
          <w:rFonts w:ascii="Arial" w:hAnsi="Arial" w:cs="Arial"/>
          <w:b w:val="0"/>
          <w:bCs w:val="0"/>
        </w:rPr>
        <w:t>£560,000 × 1.10 = £616,000</w:t>
      </w:r>
    </w:p>
    <w:p w14:paraId="06021E16" w14:textId="77777777" w:rsidR="0097296B" w:rsidRPr="0097296B" w:rsidRDefault="0097296B" w:rsidP="0097296B">
      <w:pPr>
        <w:pStyle w:val="isselectedend"/>
        <w:rPr>
          <w:rFonts w:ascii="Arial" w:hAnsi="Arial" w:cs="Arial"/>
        </w:rPr>
      </w:pPr>
      <w:r w:rsidRPr="0097296B">
        <w:rPr>
          <w:rFonts w:ascii="Arial" w:hAnsi="Arial" w:cs="Arial"/>
        </w:rPr>
        <w:t>This represents an increase in revenue of:</w:t>
      </w:r>
    </w:p>
    <w:p w14:paraId="1A48F894" w14:textId="77777777" w:rsidR="0097296B" w:rsidRPr="0097296B" w:rsidRDefault="0097296B" w:rsidP="0097296B">
      <w:pPr>
        <w:pStyle w:val="isselectedend"/>
        <w:rPr>
          <w:rFonts w:ascii="Arial" w:hAnsi="Arial" w:cs="Arial"/>
        </w:rPr>
      </w:pPr>
      <w:r w:rsidRPr="0097296B">
        <w:rPr>
          <w:rStyle w:val="Strong"/>
          <w:rFonts w:ascii="Arial" w:hAnsi="Arial" w:cs="Arial"/>
          <w:b w:val="0"/>
          <w:bCs w:val="0"/>
        </w:rPr>
        <w:lastRenderedPageBreak/>
        <w:t>£616,000 − £560,000 = £56,000</w:t>
      </w:r>
    </w:p>
    <w:p w14:paraId="2438FAEF" w14:textId="38D65613" w:rsidR="0097296B" w:rsidRDefault="0097296B" w:rsidP="0097296B">
      <w:pPr>
        <w:pStyle w:val="NormalWeb"/>
        <w:rPr>
          <w:rFonts w:ascii="Arial" w:hAnsi="Arial" w:cs="Arial"/>
        </w:rPr>
      </w:pPr>
      <w:r w:rsidRPr="0097296B">
        <w:rPr>
          <w:rFonts w:ascii="Arial" w:hAnsi="Arial" w:cs="Arial"/>
        </w:rPr>
        <w:t xml:space="preserve">Assuming that the volume of sales, cost of sales and all operating expenses remain unchanged, this additional </w:t>
      </w:r>
      <w:r w:rsidRPr="0097296B">
        <w:rPr>
          <w:rStyle w:val="Strong"/>
          <w:rFonts w:ascii="Arial" w:hAnsi="Arial" w:cs="Arial"/>
          <w:b w:val="0"/>
          <w:bCs w:val="0"/>
        </w:rPr>
        <w:t>£56,000</w:t>
      </w:r>
      <w:r w:rsidRPr="0097296B">
        <w:rPr>
          <w:rFonts w:ascii="Arial" w:hAnsi="Arial" w:cs="Arial"/>
        </w:rPr>
        <w:t xml:space="preserve"> would increase the gross profit and, ultimately, the net profit by the same amount. As a result, the business would become more profitable, with improved profit margins and a higher return on sales. However, this forecast depends on customers continuing to purchase the same quantity of products after the price increase. If higher prices cause demand to fall, the actual increase in profitability may be lower than forecast.</w:t>
      </w:r>
    </w:p>
    <w:p w14:paraId="74CC891C" w14:textId="06227046" w:rsidR="0097296B" w:rsidRPr="0097296B" w:rsidRDefault="0097296B" w:rsidP="0097296B">
      <w:pPr>
        <w:pStyle w:val="ListParagraph"/>
        <w:numPr>
          <w:ilvl w:val="0"/>
          <w:numId w:val="7"/>
        </w:numPr>
        <w:tabs>
          <w:tab w:val="left" w:pos="357"/>
        </w:tabs>
        <w:spacing w:after="0" w:line="240" w:lineRule="auto"/>
        <w:rPr>
          <w:rFonts w:ascii="Calibri" w:hAnsi="Calibri" w:cs="Arial"/>
          <w:sz w:val="24"/>
          <w:szCs w:val="24"/>
        </w:rPr>
      </w:pPr>
      <w:r w:rsidRPr="0097296B">
        <w:rPr>
          <w:rFonts w:ascii="Arial" w:hAnsi="Arial" w:cs="Arial"/>
          <w:sz w:val="24"/>
          <w:szCs w:val="24"/>
        </w:rPr>
        <w:t>Illustrate your answer to (6) by producing a forecast profit and loss account in the correct format for the year to 31</w:t>
      </w:r>
      <w:r w:rsidRPr="0097296B">
        <w:rPr>
          <w:rFonts w:ascii="Arial" w:hAnsi="Arial" w:cs="Arial"/>
          <w:sz w:val="24"/>
          <w:szCs w:val="24"/>
          <w:vertAlign w:val="superscript"/>
        </w:rPr>
        <w:t>st</w:t>
      </w:r>
      <w:r w:rsidRPr="0097296B">
        <w:rPr>
          <w:rFonts w:ascii="Arial" w:hAnsi="Arial" w:cs="Arial"/>
          <w:sz w:val="24"/>
          <w:szCs w:val="24"/>
        </w:rPr>
        <w:t xml:space="preserve"> August 2028.</w:t>
      </w:r>
    </w:p>
    <w:p w14:paraId="3B0846D2" w14:textId="77777777" w:rsidR="0097296B" w:rsidRDefault="0097296B" w:rsidP="00B20F6E">
      <w:pPr>
        <w:ind w:left="284"/>
        <w:rPr>
          <w:rFonts w:ascii="Arial" w:hAnsi="Arial" w:cs="Arial"/>
          <w:sz w:val="24"/>
          <w:szCs w:val="24"/>
        </w:rPr>
      </w:pPr>
    </w:p>
    <w:p w14:paraId="2C959390" w14:textId="4DAFB3FE" w:rsidR="0097296B" w:rsidRPr="00B20F6E" w:rsidRDefault="0097296B" w:rsidP="00B20F6E">
      <w:pPr>
        <w:ind w:left="284"/>
        <w:rPr>
          <w:rFonts w:ascii="Arial" w:hAnsi="Arial" w:cs="Arial"/>
          <w:sz w:val="24"/>
          <w:szCs w:val="24"/>
        </w:rPr>
      </w:pPr>
      <w:r>
        <w:rPr>
          <w:noProof/>
        </w:rPr>
        <w:drawing>
          <wp:inline distT="0" distB="0" distL="0" distR="0" wp14:anchorId="6898F874" wp14:editId="06D843D4">
            <wp:extent cx="5731510" cy="5803900"/>
            <wp:effectExtent l="0" t="0" r="2540" b="6350"/>
            <wp:docPr id="19381093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09382" name="Picture 1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803900"/>
                    </a:xfrm>
                    <a:prstGeom prst="rect">
                      <a:avLst/>
                    </a:prstGeom>
                    <a:noFill/>
                  </pic:spPr>
                </pic:pic>
              </a:graphicData>
            </a:graphic>
          </wp:inline>
        </w:drawing>
      </w:r>
    </w:p>
    <w:p w14:paraId="63AC0177" w14:textId="77777777" w:rsidR="00F90A6A" w:rsidRPr="00F90A6A" w:rsidRDefault="00F90A6A" w:rsidP="00F90A6A">
      <w:pPr>
        <w:rPr>
          <w:rFonts w:ascii="Arial" w:hAnsi="Arial" w:cs="Arial"/>
          <w:b/>
          <w:bCs/>
          <w:sz w:val="40"/>
          <w:szCs w:val="40"/>
        </w:rPr>
      </w:pPr>
    </w:p>
    <w:p w14:paraId="759ACE15" w14:textId="272B90DB" w:rsidR="00F90A6A" w:rsidRPr="00F90A6A" w:rsidRDefault="00F90A6A" w:rsidP="00F90A6A">
      <w:pPr>
        <w:rPr>
          <w:rFonts w:ascii="Arial" w:hAnsi="Arial" w:cs="Arial"/>
          <w:b/>
          <w:bCs/>
          <w:sz w:val="40"/>
          <w:szCs w:val="40"/>
        </w:rPr>
      </w:pPr>
    </w:p>
    <w:p w14:paraId="7528965B" w14:textId="77777777" w:rsidR="00F90A6A" w:rsidRPr="00226A71" w:rsidRDefault="00F90A6A" w:rsidP="00F90A6A">
      <w:pPr>
        <w:rPr>
          <w:rFonts w:ascii="Arial" w:hAnsi="Arial" w:cs="Arial"/>
          <w:bCs/>
          <w:sz w:val="40"/>
          <w:szCs w:val="40"/>
        </w:rPr>
      </w:pPr>
    </w:p>
    <w:sectPr w:rsidR="00F90A6A" w:rsidRPr="00226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32547"/>
    <w:multiLevelType w:val="hybridMultilevel"/>
    <w:tmpl w:val="C90E92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DE28F0"/>
    <w:multiLevelType w:val="hybridMultilevel"/>
    <w:tmpl w:val="052EF5E0"/>
    <w:lvl w:ilvl="0" w:tplc="0409001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37E04CFD"/>
    <w:multiLevelType w:val="hybridMultilevel"/>
    <w:tmpl w:val="052EF5E0"/>
    <w:lvl w:ilvl="0" w:tplc="FFFFFFFF">
      <w:start w:val="1"/>
      <w:numFmt w:val="decimal"/>
      <w:lvlText w:val="%1)"/>
      <w:lvlJc w:val="left"/>
      <w:pPr>
        <w:tabs>
          <w:tab w:val="num" w:pos="644"/>
        </w:tabs>
        <w:ind w:left="644" w:hanging="360"/>
      </w:pPr>
    </w:lvl>
    <w:lvl w:ilvl="1" w:tplc="FFFFFFFF">
      <w:start w:val="1"/>
      <w:numFmt w:val="lowerLetter"/>
      <w:lvlText w:val="%2."/>
      <w:lvlJc w:val="left"/>
      <w:pPr>
        <w:tabs>
          <w:tab w:val="num" w:pos="1364"/>
        </w:tabs>
        <w:ind w:left="1364" w:hanging="360"/>
      </w:p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3" w15:restartNumberingAfterBreak="0">
    <w:nsid w:val="3F38794B"/>
    <w:multiLevelType w:val="hybridMultilevel"/>
    <w:tmpl w:val="2EC4A13A"/>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4E7524C1"/>
    <w:multiLevelType w:val="hybridMultilevel"/>
    <w:tmpl w:val="9698C97A"/>
    <w:lvl w:ilvl="0" w:tplc="8856E374">
      <w:start w:val="7"/>
      <w:numFmt w:val="decimal"/>
      <w:lvlText w:val="%1)"/>
      <w:lvlJc w:val="left"/>
      <w:pPr>
        <w:ind w:left="644" w:hanging="360"/>
      </w:pPr>
      <w:rPr>
        <w:rFonts w:ascii="Arial" w:hAnsi="Arial"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070377764">
    <w:abstractNumId w:val="1"/>
  </w:num>
  <w:num w:numId="2" w16cid:durableId="557479949">
    <w:abstractNumId w:val="0"/>
  </w:num>
  <w:num w:numId="3" w16cid:durableId="625162808">
    <w:abstractNumId w:val="3"/>
  </w:num>
  <w:num w:numId="4" w16cid:durableId="1627393647">
    <w:abstractNumId w:val="1"/>
  </w:num>
  <w:num w:numId="5" w16cid:durableId="1033114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6325152">
    <w:abstractNumId w:val="2"/>
  </w:num>
  <w:num w:numId="7" w16cid:durableId="7377481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6A"/>
    <w:rsid w:val="001B6D37"/>
    <w:rsid w:val="00226A71"/>
    <w:rsid w:val="00661D5E"/>
    <w:rsid w:val="0097296B"/>
    <w:rsid w:val="00B20F6E"/>
    <w:rsid w:val="00F90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EDB6"/>
  <w15:chartTrackingRefBased/>
  <w15:docId w15:val="{1055CCFF-FE04-4185-B5D5-08F178201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A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0A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0A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0A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0A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0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A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0A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0A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0A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0A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0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A6A"/>
    <w:rPr>
      <w:rFonts w:eastAsiaTheme="majorEastAsia" w:cstheme="majorBidi"/>
      <w:color w:val="272727" w:themeColor="text1" w:themeTint="D8"/>
    </w:rPr>
  </w:style>
  <w:style w:type="paragraph" w:styleId="Title">
    <w:name w:val="Title"/>
    <w:basedOn w:val="Normal"/>
    <w:next w:val="Normal"/>
    <w:link w:val="TitleChar"/>
    <w:uiPriority w:val="10"/>
    <w:qFormat/>
    <w:rsid w:val="00F90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A6A"/>
    <w:pPr>
      <w:spacing w:before="160"/>
      <w:jc w:val="center"/>
    </w:pPr>
    <w:rPr>
      <w:i/>
      <w:iCs/>
      <w:color w:val="404040" w:themeColor="text1" w:themeTint="BF"/>
    </w:rPr>
  </w:style>
  <w:style w:type="character" w:customStyle="1" w:styleId="QuoteChar">
    <w:name w:val="Quote Char"/>
    <w:basedOn w:val="DefaultParagraphFont"/>
    <w:link w:val="Quote"/>
    <w:uiPriority w:val="29"/>
    <w:rsid w:val="00F90A6A"/>
    <w:rPr>
      <w:i/>
      <w:iCs/>
      <w:color w:val="404040" w:themeColor="text1" w:themeTint="BF"/>
    </w:rPr>
  </w:style>
  <w:style w:type="paragraph" w:styleId="ListParagraph">
    <w:name w:val="List Paragraph"/>
    <w:basedOn w:val="Normal"/>
    <w:uiPriority w:val="34"/>
    <w:qFormat/>
    <w:rsid w:val="00F90A6A"/>
    <w:pPr>
      <w:ind w:left="720"/>
      <w:contextualSpacing/>
    </w:pPr>
  </w:style>
  <w:style w:type="character" w:styleId="IntenseEmphasis">
    <w:name w:val="Intense Emphasis"/>
    <w:basedOn w:val="DefaultParagraphFont"/>
    <w:uiPriority w:val="21"/>
    <w:qFormat/>
    <w:rsid w:val="00F90A6A"/>
    <w:rPr>
      <w:i/>
      <w:iCs/>
      <w:color w:val="2F5496" w:themeColor="accent1" w:themeShade="BF"/>
    </w:rPr>
  </w:style>
  <w:style w:type="paragraph" w:styleId="IntenseQuote">
    <w:name w:val="Intense Quote"/>
    <w:basedOn w:val="Normal"/>
    <w:next w:val="Normal"/>
    <w:link w:val="IntenseQuoteChar"/>
    <w:uiPriority w:val="30"/>
    <w:qFormat/>
    <w:rsid w:val="00F90A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0A6A"/>
    <w:rPr>
      <w:i/>
      <w:iCs/>
      <w:color w:val="2F5496" w:themeColor="accent1" w:themeShade="BF"/>
    </w:rPr>
  </w:style>
  <w:style w:type="character" w:styleId="IntenseReference">
    <w:name w:val="Intense Reference"/>
    <w:basedOn w:val="DefaultParagraphFont"/>
    <w:uiPriority w:val="32"/>
    <w:qFormat/>
    <w:rsid w:val="00F90A6A"/>
    <w:rPr>
      <w:b/>
      <w:bCs/>
      <w:smallCaps/>
      <w:color w:val="2F5496" w:themeColor="accent1" w:themeShade="BF"/>
      <w:spacing w:val="5"/>
    </w:rPr>
  </w:style>
  <w:style w:type="character" w:styleId="Hyperlink">
    <w:name w:val="Hyperlink"/>
    <w:basedOn w:val="DefaultParagraphFont"/>
    <w:uiPriority w:val="99"/>
    <w:unhideWhenUsed/>
    <w:rsid w:val="00F90A6A"/>
    <w:rPr>
      <w:color w:val="0563C1" w:themeColor="hyperlink"/>
      <w:u w:val="single"/>
    </w:rPr>
  </w:style>
  <w:style w:type="character" w:styleId="UnresolvedMention">
    <w:name w:val="Unresolved Mention"/>
    <w:basedOn w:val="DefaultParagraphFont"/>
    <w:uiPriority w:val="99"/>
    <w:semiHidden/>
    <w:unhideWhenUsed/>
    <w:rsid w:val="00F90A6A"/>
    <w:rPr>
      <w:color w:val="605E5C"/>
      <w:shd w:val="clear" w:color="auto" w:fill="E1DFDD"/>
    </w:rPr>
  </w:style>
  <w:style w:type="paragraph" w:customStyle="1" w:styleId="isselectedend">
    <w:name w:val="isselectedend"/>
    <w:basedOn w:val="Normal"/>
    <w:rsid w:val="009729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7296B"/>
    <w:rPr>
      <w:b/>
      <w:bCs/>
    </w:rPr>
  </w:style>
  <w:style w:type="paragraph" w:styleId="NormalWeb">
    <w:name w:val="Normal (Web)"/>
    <w:basedOn w:val="Normal"/>
    <w:uiPriority w:val="99"/>
    <w:unhideWhenUsed/>
    <w:rsid w:val="009729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dc:creator>
  <cp:keywords/>
  <dc:description/>
  <cp:lastModifiedBy>Ellie G</cp:lastModifiedBy>
  <cp:revision>2</cp:revision>
  <dcterms:created xsi:type="dcterms:W3CDTF">2026-07-30T18:29:00Z</dcterms:created>
  <dcterms:modified xsi:type="dcterms:W3CDTF">2026-07-30T18:29:00Z</dcterms:modified>
</cp:coreProperties>
</file>