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01CD2" w14:textId="2772F30B" w:rsidR="002A0D47" w:rsidRDefault="00472E9B" w:rsidP="00822BE6">
      <w:pPr>
        <w:spacing w:line="360" w:lineRule="auto"/>
        <w:jc w:val="center"/>
        <w:rPr>
          <w:rFonts w:ascii="Arial" w:hAnsi="Arial" w:cs="Arial"/>
          <w:b/>
          <w:bCs/>
          <w:i/>
          <w:iCs/>
          <w:sz w:val="44"/>
          <w:szCs w:val="44"/>
        </w:rPr>
      </w:pPr>
      <w:r>
        <w:rPr>
          <w:noProof/>
        </w:rPr>
        <w:drawing>
          <wp:anchor distT="0" distB="0" distL="114300" distR="114300" simplePos="0" relativeHeight="251658240" behindDoc="0" locked="0" layoutInCell="1" allowOverlap="1" wp14:anchorId="7FE2B898" wp14:editId="20118E7C">
            <wp:simplePos x="0" y="0"/>
            <wp:positionH relativeFrom="margin">
              <wp:align>left</wp:align>
            </wp:positionH>
            <wp:positionV relativeFrom="paragraph">
              <wp:posOffset>219075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059435D3" w14:textId="77777777" w:rsidR="002A0D47" w:rsidRDefault="002A0D47" w:rsidP="00822BE6">
      <w:pPr>
        <w:spacing w:line="360" w:lineRule="auto"/>
        <w:jc w:val="center"/>
        <w:rPr>
          <w:rFonts w:ascii="Arial" w:hAnsi="Arial" w:cs="Arial"/>
          <w:b/>
          <w:bCs/>
          <w:i/>
          <w:iCs/>
          <w:sz w:val="44"/>
          <w:szCs w:val="44"/>
        </w:rPr>
      </w:pPr>
    </w:p>
    <w:p w14:paraId="63B1235C" w14:textId="77777777" w:rsidR="002A0D47" w:rsidRDefault="002A0D47" w:rsidP="00822BE6">
      <w:pPr>
        <w:spacing w:line="360" w:lineRule="auto"/>
        <w:jc w:val="center"/>
        <w:rPr>
          <w:rFonts w:ascii="Arial" w:hAnsi="Arial" w:cs="Arial"/>
          <w:b/>
          <w:bCs/>
          <w:i/>
          <w:iCs/>
          <w:sz w:val="44"/>
          <w:szCs w:val="44"/>
        </w:rPr>
      </w:pPr>
    </w:p>
    <w:p w14:paraId="35140C7E" w14:textId="77777777" w:rsidR="00472E9B" w:rsidRDefault="00472E9B" w:rsidP="00822BE6">
      <w:pPr>
        <w:spacing w:line="360" w:lineRule="auto"/>
        <w:rPr>
          <w:rFonts w:ascii="Arial" w:hAnsi="Arial" w:cs="Arial"/>
          <w:bCs/>
          <w:sz w:val="28"/>
          <w:szCs w:val="28"/>
        </w:rPr>
      </w:pPr>
      <w:r w:rsidRPr="00472E9B">
        <w:rPr>
          <w:rFonts w:ascii="Arial" w:hAnsi="Arial" w:cs="Arial"/>
          <w:b/>
          <w:bCs/>
          <w:sz w:val="28"/>
          <w:szCs w:val="28"/>
        </w:rPr>
        <w:t>Programme:</w:t>
      </w:r>
      <w:r w:rsidRPr="00472E9B">
        <w:rPr>
          <w:rFonts w:ascii="Arial" w:hAnsi="Arial" w:cs="Arial"/>
          <w:sz w:val="28"/>
          <w:szCs w:val="28"/>
        </w:rPr>
        <w:t xml:space="preserve"> </w:t>
      </w:r>
      <w:r w:rsidRPr="00472E9B">
        <w:rPr>
          <w:rFonts w:ascii="Arial" w:hAnsi="Arial" w:cs="Arial"/>
          <w:bCs/>
          <w:sz w:val="28"/>
          <w:szCs w:val="28"/>
        </w:rPr>
        <w:t>BA Leadership and Management</w:t>
      </w:r>
    </w:p>
    <w:p w14:paraId="6A462160" w14:textId="77777777" w:rsidR="00472E9B" w:rsidRPr="00472E9B" w:rsidRDefault="00472E9B" w:rsidP="00822BE6">
      <w:pPr>
        <w:spacing w:line="360" w:lineRule="auto"/>
        <w:rPr>
          <w:rFonts w:ascii="Arial" w:hAnsi="Arial" w:cs="Arial"/>
          <w:bCs/>
          <w:sz w:val="28"/>
          <w:szCs w:val="28"/>
        </w:rPr>
      </w:pPr>
      <w:r w:rsidRPr="00472E9B">
        <w:rPr>
          <w:rFonts w:ascii="Arial" w:hAnsi="Arial" w:cs="Arial"/>
          <w:b/>
          <w:sz w:val="28"/>
          <w:szCs w:val="28"/>
        </w:rPr>
        <w:t>Module:</w:t>
      </w:r>
      <w:r>
        <w:rPr>
          <w:rFonts w:ascii="Arial" w:hAnsi="Arial" w:cs="Arial"/>
          <w:bCs/>
          <w:sz w:val="28"/>
          <w:szCs w:val="28"/>
        </w:rPr>
        <w:t xml:space="preserve"> </w:t>
      </w:r>
      <w:r w:rsidRPr="00472E9B">
        <w:rPr>
          <w:rFonts w:ascii="Arial" w:hAnsi="Arial" w:cs="Arial"/>
          <w:bCs/>
          <w:sz w:val="28"/>
          <w:szCs w:val="28"/>
        </w:rPr>
        <w:t>Design Thinking and Innovation</w:t>
      </w:r>
    </w:p>
    <w:p w14:paraId="4A7A581F" w14:textId="34676C80" w:rsidR="00472E9B" w:rsidRPr="00472E9B" w:rsidRDefault="00472E9B" w:rsidP="00822BE6">
      <w:pPr>
        <w:spacing w:line="360" w:lineRule="auto"/>
        <w:rPr>
          <w:rFonts w:ascii="Arial" w:hAnsi="Arial" w:cs="Arial"/>
          <w:sz w:val="28"/>
          <w:szCs w:val="28"/>
        </w:rPr>
      </w:pPr>
      <w:r w:rsidRPr="00472E9B">
        <w:rPr>
          <w:rFonts w:ascii="Arial" w:hAnsi="Arial" w:cs="Arial"/>
          <w:b/>
          <w:sz w:val="28"/>
          <w:szCs w:val="28"/>
        </w:rPr>
        <w:t>Module Code:</w:t>
      </w:r>
      <w:r>
        <w:rPr>
          <w:rFonts w:ascii="Arial" w:hAnsi="Arial" w:cs="Arial"/>
          <w:bCs/>
          <w:sz w:val="28"/>
          <w:szCs w:val="28"/>
        </w:rPr>
        <w:t xml:space="preserve"> LCLM 6002</w:t>
      </w:r>
      <w:r w:rsidRPr="00472E9B">
        <w:rPr>
          <w:rFonts w:ascii="Arial" w:hAnsi="Arial" w:cs="Arial"/>
          <w:bCs/>
          <w:sz w:val="28"/>
          <w:szCs w:val="28"/>
        </w:rPr>
        <w:t xml:space="preserve"> </w:t>
      </w:r>
    </w:p>
    <w:p w14:paraId="405F7B6D" w14:textId="77777777" w:rsidR="002A0D47" w:rsidRDefault="002A0D47" w:rsidP="00822BE6">
      <w:pPr>
        <w:spacing w:line="360" w:lineRule="auto"/>
        <w:jc w:val="center"/>
        <w:rPr>
          <w:rFonts w:ascii="Arial" w:hAnsi="Arial" w:cs="Arial"/>
          <w:b/>
          <w:bCs/>
          <w:i/>
          <w:iCs/>
          <w:sz w:val="44"/>
          <w:szCs w:val="44"/>
        </w:rPr>
      </w:pPr>
    </w:p>
    <w:p w14:paraId="549679AE" w14:textId="264F042A" w:rsidR="00202438" w:rsidRPr="009B5B3F" w:rsidRDefault="00202438" w:rsidP="00822BE6">
      <w:pPr>
        <w:spacing w:line="360" w:lineRule="auto"/>
        <w:jc w:val="center"/>
        <w:rPr>
          <w:rFonts w:ascii="Arial" w:hAnsi="Arial" w:cs="Arial"/>
          <w:b/>
          <w:bCs/>
          <w:i/>
          <w:iCs/>
          <w:sz w:val="44"/>
          <w:szCs w:val="44"/>
        </w:rPr>
      </w:pPr>
      <w:r w:rsidRPr="009B5B3F">
        <w:rPr>
          <w:rFonts w:ascii="Arial" w:hAnsi="Arial" w:cs="Arial"/>
          <w:b/>
          <w:bCs/>
          <w:i/>
          <w:iCs/>
          <w:sz w:val="44"/>
          <w:szCs w:val="44"/>
        </w:rPr>
        <w:t>DIGITAL INNOVATION AND TRANSFORMATION STRATEGY: A CRITICAL ASSESSMENT OF BP PLC</w:t>
      </w:r>
    </w:p>
    <w:p w14:paraId="4952C0FF" w14:textId="77777777" w:rsidR="000C75CA" w:rsidRDefault="000C75CA" w:rsidP="00822BE6">
      <w:pPr>
        <w:spacing w:line="360" w:lineRule="auto"/>
        <w:jc w:val="center"/>
        <w:rPr>
          <w:rFonts w:ascii="Arial" w:hAnsi="Arial" w:cs="Arial"/>
          <w:b/>
          <w:bCs/>
          <w:i/>
          <w:iCs/>
          <w:sz w:val="44"/>
          <w:szCs w:val="44"/>
        </w:rPr>
      </w:pPr>
    </w:p>
    <w:p w14:paraId="79157D63" w14:textId="77777777" w:rsidR="00472E9B" w:rsidRDefault="00472E9B" w:rsidP="00822BE6">
      <w:pPr>
        <w:spacing w:line="360" w:lineRule="auto"/>
        <w:jc w:val="center"/>
        <w:rPr>
          <w:rFonts w:ascii="Arial" w:hAnsi="Arial" w:cs="Arial"/>
          <w:b/>
          <w:bCs/>
          <w:i/>
          <w:iCs/>
          <w:sz w:val="44"/>
          <w:szCs w:val="44"/>
        </w:rPr>
      </w:pPr>
    </w:p>
    <w:p w14:paraId="46EB175D" w14:textId="05697ABA" w:rsidR="003D1B4A" w:rsidRPr="003D1B4A" w:rsidRDefault="00472E9B" w:rsidP="00822BE6">
      <w:pPr>
        <w:spacing w:line="360" w:lineRule="auto"/>
        <w:rPr>
          <w:rFonts w:ascii="Arial" w:hAnsi="Arial" w:cs="Arial"/>
          <w:sz w:val="28"/>
          <w:szCs w:val="28"/>
        </w:rPr>
      </w:pPr>
      <w:r w:rsidRPr="00472E9B">
        <w:rPr>
          <w:rFonts w:ascii="Arial" w:hAnsi="Arial" w:cs="Arial"/>
          <w:b/>
          <w:bCs/>
          <w:sz w:val="28"/>
          <w:szCs w:val="28"/>
        </w:rPr>
        <w:t>Lecturer</w:t>
      </w:r>
      <w:r>
        <w:rPr>
          <w:rFonts w:ascii="Arial" w:hAnsi="Arial" w:cs="Arial"/>
          <w:b/>
          <w:bCs/>
          <w:sz w:val="28"/>
          <w:szCs w:val="28"/>
        </w:rPr>
        <w:t>`s Name</w:t>
      </w:r>
      <w:r w:rsidRPr="00472E9B">
        <w:rPr>
          <w:rFonts w:ascii="Arial" w:hAnsi="Arial" w:cs="Arial"/>
          <w:b/>
          <w:bCs/>
          <w:sz w:val="28"/>
          <w:szCs w:val="28"/>
        </w:rPr>
        <w:t>:</w:t>
      </w:r>
      <w:r w:rsidRPr="00472E9B">
        <w:rPr>
          <w:rFonts w:ascii="Arial" w:hAnsi="Arial" w:cs="Arial"/>
          <w:sz w:val="28"/>
          <w:szCs w:val="28"/>
        </w:rPr>
        <w:t xml:space="preserve"> Dr Seyed </w:t>
      </w:r>
      <w:r w:rsidR="003D1B4A" w:rsidRPr="003D1B4A">
        <w:rPr>
          <w:rFonts w:ascii="Arial" w:hAnsi="Arial" w:cs="Arial"/>
          <w:sz w:val="28"/>
          <w:szCs w:val="28"/>
        </w:rPr>
        <w:t>Nasirpour</w:t>
      </w:r>
      <w:r w:rsidR="009331F5">
        <w:rPr>
          <w:rFonts w:ascii="Arial" w:hAnsi="Arial" w:cs="Arial"/>
          <w:sz w:val="28"/>
          <w:szCs w:val="28"/>
        </w:rPr>
        <w:t>O</w:t>
      </w:r>
      <w:r w:rsidR="003D1B4A" w:rsidRPr="003D1B4A">
        <w:rPr>
          <w:rFonts w:ascii="Arial" w:hAnsi="Arial" w:cs="Arial"/>
          <w:sz w:val="28"/>
          <w:szCs w:val="28"/>
        </w:rPr>
        <w:t>sgoei</w:t>
      </w:r>
    </w:p>
    <w:p w14:paraId="7FFB6D5A" w14:textId="43EC25D3" w:rsidR="00472E9B" w:rsidRPr="00472E9B" w:rsidRDefault="00472E9B" w:rsidP="00822BE6">
      <w:pPr>
        <w:spacing w:line="360" w:lineRule="auto"/>
        <w:rPr>
          <w:rFonts w:ascii="Arial" w:hAnsi="Arial" w:cs="Arial"/>
          <w:b/>
          <w:bCs/>
          <w:sz w:val="28"/>
          <w:szCs w:val="28"/>
        </w:rPr>
      </w:pPr>
    </w:p>
    <w:p w14:paraId="41937282" w14:textId="77777777" w:rsidR="00472E9B" w:rsidRDefault="00472E9B" w:rsidP="00822BE6">
      <w:pPr>
        <w:spacing w:line="360" w:lineRule="auto"/>
        <w:rPr>
          <w:rFonts w:ascii="Arial" w:hAnsi="Arial" w:cs="Arial"/>
          <w:sz w:val="28"/>
          <w:szCs w:val="28"/>
        </w:rPr>
      </w:pPr>
    </w:p>
    <w:p w14:paraId="4FD55D02" w14:textId="1159EADA" w:rsidR="00472E9B" w:rsidRDefault="00472E9B" w:rsidP="00822BE6">
      <w:pPr>
        <w:spacing w:line="360" w:lineRule="auto"/>
        <w:rPr>
          <w:rFonts w:ascii="Arial" w:hAnsi="Arial" w:cs="Arial"/>
          <w:sz w:val="28"/>
          <w:szCs w:val="28"/>
        </w:rPr>
      </w:pPr>
      <w:r>
        <w:rPr>
          <w:rFonts w:ascii="Arial" w:hAnsi="Arial" w:cs="Arial"/>
          <w:sz w:val="28"/>
          <w:szCs w:val="28"/>
        </w:rPr>
        <w:t>Student ID: 2323448</w:t>
      </w:r>
    </w:p>
    <w:p w14:paraId="2B0F71C5" w14:textId="3A4208F3" w:rsidR="00472E9B" w:rsidRPr="00472E9B" w:rsidRDefault="00472E9B" w:rsidP="00822BE6">
      <w:pPr>
        <w:spacing w:line="360" w:lineRule="auto"/>
        <w:rPr>
          <w:rFonts w:ascii="Arial" w:hAnsi="Arial" w:cs="Arial"/>
          <w:sz w:val="28"/>
          <w:szCs w:val="28"/>
        </w:rPr>
        <w:sectPr w:rsidR="00472E9B" w:rsidRPr="00472E9B">
          <w:pgSz w:w="11906" w:h="16838"/>
          <w:pgMar w:top="1440" w:right="1440" w:bottom="1440" w:left="1440" w:header="708" w:footer="708" w:gutter="0"/>
          <w:cols w:space="708"/>
          <w:docGrid w:linePitch="360"/>
        </w:sectPr>
      </w:pPr>
      <w:r>
        <w:rPr>
          <w:rFonts w:ascii="Arial" w:hAnsi="Arial" w:cs="Arial"/>
          <w:sz w:val="28"/>
          <w:szCs w:val="28"/>
        </w:rPr>
        <w:t>Student Name: Cornel Andrei</w:t>
      </w:r>
    </w:p>
    <w:sdt>
      <w:sdtPr>
        <w:rPr>
          <w:rFonts w:asciiTheme="minorHAnsi" w:eastAsiaTheme="minorEastAsia" w:hAnsiTheme="minorHAnsi" w:cstheme="minorBidi"/>
          <w:color w:val="auto"/>
          <w:kern w:val="2"/>
          <w:sz w:val="24"/>
          <w:szCs w:val="24"/>
          <w:lang w:val="en-GB" w:eastAsia="zh-CN"/>
          <w14:ligatures w14:val="standardContextual"/>
        </w:rPr>
        <w:id w:val="89983104"/>
        <w:docPartObj>
          <w:docPartGallery w:val="Table of Contents"/>
          <w:docPartUnique/>
        </w:docPartObj>
      </w:sdtPr>
      <w:sdtEndPr>
        <w:rPr>
          <w:b/>
          <w:bCs/>
          <w:noProof/>
        </w:rPr>
      </w:sdtEndPr>
      <w:sdtContent>
        <w:p w14:paraId="4A47D6D3" w14:textId="348F90B2" w:rsidR="000C75CA" w:rsidRPr="002A0D47" w:rsidRDefault="000C75CA" w:rsidP="00822BE6">
          <w:pPr>
            <w:pStyle w:val="TOCHeading"/>
            <w:spacing w:line="360" w:lineRule="auto"/>
            <w:jc w:val="center"/>
            <w:rPr>
              <w:rFonts w:ascii="Arial" w:hAnsi="Arial" w:cs="Arial"/>
              <w:sz w:val="56"/>
              <w:szCs w:val="56"/>
            </w:rPr>
          </w:pPr>
          <w:r w:rsidRPr="002A0D47">
            <w:rPr>
              <w:rFonts w:ascii="Arial" w:hAnsi="Arial" w:cs="Arial"/>
              <w:sz w:val="56"/>
              <w:szCs w:val="56"/>
            </w:rPr>
            <w:t>Contents</w:t>
          </w:r>
        </w:p>
        <w:p w14:paraId="24356C35" w14:textId="3BDD72B4" w:rsidR="004A38E7" w:rsidRDefault="000C75CA">
          <w:pPr>
            <w:pStyle w:val="TOC1"/>
            <w:tabs>
              <w:tab w:val="left" w:pos="480"/>
              <w:tab w:val="right" w:leader="dot" w:pos="9016"/>
            </w:tabs>
            <w:rPr>
              <w:noProof/>
              <w:sz w:val="22"/>
              <w:szCs w:val="22"/>
            </w:rPr>
          </w:pPr>
          <w:r>
            <w:fldChar w:fldCharType="begin"/>
          </w:r>
          <w:r>
            <w:instrText xml:space="preserve"> TOC \o "1-3" \h \z \u </w:instrText>
          </w:r>
          <w:r>
            <w:fldChar w:fldCharType="separate"/>
          </w:r>
          <w:hyperlink w:anchor="_Toc224395083" w:history="1">
            <w:r w:rsidR="004A38E7" w:rsidRPr="00DE16BD">
              <w:rPr>
                <w:rStyle w:val="Hyperlink"/>
                <w:rFonts w:ascii="Arial" w:hAnsi="Arial" w:cs="Arial"/>
                <w:noProof/>
              </w:rPr>
              <w:t>1.</w:t>
            </w:r>
            <w:r w:rsidR="004A38E7">
              <w:rPr>
                <w:noProof/>
                <w:sz w:val="22"/>
                <w:szCs w:val="22"/>
              </w:rPr>
              <w:tab/>
            </w:r>
            <w:r w:rsidR="004A38E7" w:rsidRPr="00DE16BD">
              <w:rPr>
                <w:rStyle w:val="Hyperlink"/>
                <w:rFonts w:ascii="Arial" w:hAnsi="Arial" w:cs="Arial"/>
                <w:noProof/>
              </w:rPr>
              <w:t>Introduction</w:t>
            </w:r>
            <w:r w:rsidR="004A38E7">
              <w:rPr>
                <w:noProof/>
                <w:webHidden/>
              </w:rPr>
              <w:tab/>
            </w:r>
            <w:r w:rsidR="004A38E7">
              <w:rPr>
                <w:noProof/>
                <w:webHidden/>
              </w:rPr>
              <w:fldChar w:fldCharType="begin"/>
            </w:r>
            <w:r w:rsidR="004A38E7">
              <w:rPr>
                <w:noProof/>
                <w:webHidden/>
              </w:rPr>
              <w:instrText xml:space="preserve"> PAGEREF _Toc224395083 \h </w:instrText>
            </w:r>
            <w:r w:rsidR="004A38E7">
              <w:rPr>
                <w:noProof/>
                <w:webHidden/>
              </w:rPr>
            </w:r>
            <w:r w:rsidR="004A38E7">
              <w:rPr>
                <w:noProof/>
                <w:webHidden/>
              </w:rPr>
              <w:fldChar w:fldCharType="separate"/>
            </w:r>
            <w:r w:rsidR="004A38E7">
              <w:rPr>
                <w:noProof/>
                <w:webHidden/>
              </w:rPr>
              <w:t>3</w:t>
            </w:r>
            <w:r w:rsidR="004A38E7">
              <w:rPr>
                <w:noProof/>
                <w:webHidden/>
              </w:rPr>
              <w:fldChar w:fldCharType="end"/>
            </w:r>
          </w:hyperlink>
        </w:p>
        <w:p w14:paraId="3084F1D1" w14:textId="0F32AF3A" w:rsidR="004A38E7" w:rsidRDefault="004A38E7">
          <w:pPr>
            <w:pStyle w:val="TOC1"/>
            <w:tabs>
              <w:tab w:val="right" w:leader="dot" w:pos="9016"/>
            </w:tabs>
            <w:rPr>
              <w:noProof/>
              <w:sz w:val="22"/>
              <w:szCs w:val="22"/>
            </w:rPr>
          </w:pPr>
          <w:hyperlink w:anchor="_Toc224395084" w:history="1">
            <w:r w:rsidRPr="00DE16BD">
              <w:rPr>
                <w:rStyle w:val="Hyperlink"/>
                <w:rFonts w:ascii="Arial" w:hAnsi="Arial" w:cs="Arial"/>
                <w:noProof/>
              </w:rPr>
              <w:t>2. Key Consumer and Industry Trends</w:t>
            </w:r>
            <w:r>
              <w:rPr>
                <w:noProof/>
                <w:webHidden/>
              </w:rPr>
              <w:tab/>
            </w:r>
            <w:r>
              <w:rPr>
                <w:noProof/>
                <w:webHidden/>
              </w:rPr>
              <w:fldChar w:fldCharType="begin"/>
            </w:r>
            <w:r>
              <w:rPr>
                <w:noProof/>
                <w:webHidden/>
              </w:rPr>
              <w:instrText xml:space="preserve"> PAGEREF _Toc224395084 \h </w:instrText>
            </w:r>
            <w:r>
              <w:rPr>
                <w:noProof/>
                <w:webHidden/>
              </w:rPr>
            </w:r>
            <w:r>
              <w:rPr>
                <w:noProof/>
                <w:webHidden/>
              </w:rPr>
              <w:fldChar w:fldCharType="separate"/>
            </w:r>
            <w:r>
              <w:rPr>
                <w:noProof/>
                <w:webHidden/>
              </w:rPr>
              <w:t>4</w:t>
            </w:r>
            <w:r>
              <w:rPr>
                <w:noProof/>
                <w:webHidden/>
              </w:rPr>
              <w:fldChar w:fldCharType="end"/>
            </w:r>
          </w:hyperlink>
        </w:p>
        <w:p w14:paraId="773D9A1E" w14:textId="1F09A2CF" w:rsidR="004A38E7" w:rsidRDefault="004A38E7">
          <w:pPr>
            <w:pStyle w:val="TOC2"/>
            <w:tabs>
              <w:tab w:val="right" w:leader="dot" w:pos="9016"/>
            </w:tabs>
            <w:rPr>
              <w:noProof/>
              <w:sz w:val="22"/>
              <w:szCs w:val="22"/>
            </w:rPr>
          </w:pPr>
          <w:hyperlink w:anchor="_Toc224395085" w:history="1">
            <w:r w:rsidRPr="00DE16BD">
              <w:rPr>
                <w:rStyle w:val="Hyperlink"/>
                <w:rFonts w:ascii="Arial" w:hAnsi="Arial" w:cs="Arial"/>
                <w:noProof/>
              </w:rPr>
              <w:t>2.1 The Energy Transition and EV Adoption</w:t>
            </w:r>
            <w:r>
              <w:rPr>
                <w:noProof/>
                <w:webHidden/>
              </w:rPr>
              <w:tab/>
            </w:r>
            <w:r>
              <w:rPr>
                <w:noProof/>
                <w:webHidden/>
              </w:rPr>
              <w:fldChar w:fldCharType="begin"/>
            </w:r>
            <w:r>
              <w:rPr>
                <w:noProof/>
                <w:webHidden/>
              </w:rPr>
              <w:instrText xml:space="preserve"> PAGEREF _Toc224395085 \h </w:instrText>
            </w:r>
            <w:r>
              <w:rPr>
                <w:noProof/>
                <w:webHidden/>
              </w:rPr>
            </w:r>
            <w:r>
              <w:rPr>
                <w:noProof/>
                <w:webHidden/>
              </w:rPr>
              <w:fldChar w:fldCharType="separate"/>
            </w:r>
            <w:r>
              <w:rPr>
                <w:noProof/>
                <w:webHidden/>
              </w:rPr>
              <w:t>5</w:t>
            </w:r>
            <w:r>
              <w:rPr>
                <w:noProof/>
                <w:webHidden/>
              </w:rPr>
              <w:fldChar w:fldCharType="end"/>
            </w:r>
          </w:hyperlink>
        </w:p>
        <w:p w14:paraId="114E5DC6" w14:textId="1E1F93AD" w:rsidR="004A38E7" w:rsidRDefault="004A38E7">
          <w:pPr>
            <w:pStyle w:val="TOC3"/>
            <w:tabs>
              <w:tab w:val="right" w:leader="dot" w:pos="9016"/>
            </w:tabs>
            <w:rPr>
              <w:noProof/>
              <w:sz w:val="22"/>
              <w:szCs w:val="22"/>
            </w:rPr>
          </w:pPr>
          <w:hyperlink w:anchor="_Toc224395086" w:history="1">
            <w:r w:rsidRPr="00DE16BD">
              <w:rPr>
                <w:rStyle w:val="Hyperlink"/>
                <w:rFonts w:ascii="Arial" w:hAnsi="Arial" w:cs="Arial"/>
                <w:noProof/>
              </w:rPr>
              <w:t>2.1.1 Government Policy as a Catalyst for Electric Vehicle Adoption</w:t>
            </w:r>
            <w:r>
              <w:rPr>
                <w:noProof/>
                <w:webHidden/>
              </w:rPr>
              <w:tab/>
            </w:r>
            <w:r>
              <w:rPr>
                <w:noProof/>
                <w:webHidden/>
              </w:rPr>
              <w:fldChar w:fldCharType="begin"/>
            </w:r>
            <w:r>
              <w:rPr>
                <w:noProof/>
                <w:webHidden/>
              </w:rPr>
              <w:instrText xml:space="preserve"> PAGEREF _Toc224395086 \h </w:instrText>
            </w:r>
            <w:r>
              <w:rPr>
                <w:noProof/>
                <w:webHidden/>
              </w:rPr>
            </w:r>
            <w:r>
              <w:rPr>
                <w:noProof/>
                <w:webHidden/>
              </w:rPr>
              <w:fldChar w:fldCharType="separate"/>
            </w:r>
            <w:r>
              <w:rPr>
                <w:noProof/>
                <w:webHidden/>
              </w:rPr>
              <w:t>5</w:t>
            </w:r>
            <w:r>
              <w:rPr>
                <w:noProof/>
                <w:webHidden/>
              </w:rPr>
              <w:fldChar w:fldCharType="end"/>
            </w:r>
          </w:hyperlink>
        </w:p>
        <w:p w14:paraId="06702590" w14:textId="28C7D2C7" w:rsidR="004A38E7" w:rsidRDefault="004A38E7">
          <w:pPr>
            <w:pStyle w:val="TOC3"/>
            <w:tabs>
              <w:tab w:val="right" w:leader="dot" w:pos="9016"/>
            </w:tabs>
            <w:rPr>
              <w:noProof/>
              <w:sz w:val="22"/>
              <w:szCs w:val="22"/>
            </w:rPr>
          </w:pPr>
          <w:hyperlink w:anchor="_Toc224395087" w:history="1">
            <w:r w:rsidRPr="00DE16BD">
              <w:rPr>
                <w:rStyle w:val="Hyperlink"/>
                <w:rFonts w:ascii="Arial" w:hAnsi="Arial" w:cs="Arial"/>
                <w:noProof/>
              </w:rPr>
              <w:t>2.1.2 Electric Vehicles Redefining the Traditional Fuel Retail Model</w:t>
            </w:r>
            <w:r>
              <w:rPr>
                <w:noProof/>
                <w:webHidden/>
              </w:rPr>
              <w:tab/>
            </w:r>
            <w:r>
              <w:rPr>
                <w:noProof/>
                <w:webHidden/>
              </w:rPr>
              <w:fldChar w:fldCharType="begin"/>
            </w:r>
            <w:r>
              <w:rPr>
                <w:noProof/>
                <w:webHidden/>
              </w:rPr>
              <w:instrText xml:space="preserve"> PAGEREF _Toc224395087 \h </w:instrText>
            </w:r>
            <w:r>
              <w:rPr>
                <w:noProof/>
                <w:webHidden/>
              </w:rPr>
            </w:r>
            <w:r>
              <w:rPr>
                <w:noProof/>
                <w:webHidden/>
              </w:rPr>
              <w:fldChar w:fldCharType="separate"/>
            </w:r>
            <w:r>
              <w:rPr>
                <w:noProof/>
                <w:webHidden/>
              </w:rPr>
              <w:t>6</w:t>
            </w:r>
            <w:r>
              <w:rPr>
                <w:noProof/>
                <w:webHidden/>
              </w:rPr>
              <w:fldChar w:fldCharType="end"/>
            </w:r>
          </w:hyperlink>
        </w:p>
        <w:p w14:paraId="175DB45F" w14:textId="762AE41C" w:rsidR="004A38E7" w:rsidRDefault="004A38E7">
          <w:pPr>
            <w:pStyle w:val="TOC3"/>
            <w:tabs>
              <w:tab w:val="right" w:leader="dot" w:pos="9016"/>
            </w:tabs>
            <w:rPr>
              <w:noProof/>
              <w:sz w:val="22"/>
              <w:szCs w:val="22"/>
            </w:rPr>
          </w:pPr>
          <w:hyperlink w:anchor="_Toc224395088" w:history="1">
            <w:r w:rsidRPr="00DE16BD">
              <w:rPr>
                <w:rStyle w:val="Hyperlink"/>
                <w:rFonts w:ascii="Arial" w:hAnsi="Arial" w:cs="Arial"/>
                <w:noProof/>
              </w:rPr>
              <w:t>2.1.3 The Strategic Importance of Customer Experience in EV Charging</w:t>
            </w:r>
            <w:r>
              <w:rPr>
                <w:noProof/>
                <w:webHidden/>
              </w:rPr>
              <w:tab/>
            </w:r>
            <w:r>
              <w:rPr>
                <w:noProof/>
                <w:webHidden/>
              </w:rPr>
              <w:fldChar w:fldCharType="begin"/>
            </w:r>
            <w:r>
              <w:rPr>
                <w:noProof/>
                <w:webHidden/>
              </w:rPr>
              <w:instrText xml:space="preserve"> PAGEREF _Toc224395088 \h </w:instrText>
            </w:r>
            <w:r>
              <w:rPr>
                <w:noProof/>
                <w:webHidden/>
              </w:rPr>
            </w:r>
            <w:r>
              <w:rPr>
                <w:noProof/>
                <w:webHidden/>
              </w:rPr>
              <w:fldChar w:fldCharType="separate"/>
            </w:r>
            <w:r>
              <w:rPr>
                <w:noProof/>
                <w:webHidden/>
              </w:rPr>
              <w:t>6</w:t>
            </w:r>
            <w:r>
              <w:rPr>
                <w:noProof/>
                <w:webHidden/>
              </w:rPr>
              <w:fldChar w:fldCharType="end"/>
            </w:r>
          </w:hyperlink>
        </w:p>
        <w:p w14:paraId="00DD56B0" w14:textId="4E67E7CB" w:rsidR="004A38E7" w:rsidRDefault="004A38E7">
          <w:pPr>
            <w:pStyle w:val="TOC3"/>
            <w:tabs>
              <w:tab w:val="right" w:leader="dot" w:pos="9016"/>
            </w:tabs>
            <w:rPr>
              <w:noProof/>
              <w:sz w:val="22"/>
              <w:szCs w:val="22"/>
            </w:rPr>
          </w:pPr>
          <w:hyperlink w:anchor="_Toc224395089" w:history="1">
            <w:r w:rsidRPr="00DE16BD">
              <w:rPr>
                <w:rStyle w:val="Hyperlink"/>
                <w:rFonts w:ascii="Arial" w:hAnsi="Arial" w:cs="Arial"/>
                <w:noProof/>
              </w:rPr>
              <w:t>2.1.4 The Evolution from Range Anxiety to Charging Anxiety</w:t>
            </w:r>
            <w:r>
              <w:rPr>
                <w:noProof/>
                <w:webHidden/>
              </w:rPr>
              <w:tab/>
            </w:r>
            <w:r>
              <w:rPr>
                <w:noProof/>
                <w:webHidden/>
              </w:rPr>
              <w:fldChar w:fldCharType="begin"/>
            </w:r>
            <w:r>
              <w:rPr>
                <w:noProof/>
                <w:webHidden/>
              </w:rPr>
              <w:instrText xml:space="preserve"> PAGEREF _Toc224395089 \h </w:instrText>
            </w:r>
            <w:r>
              <w:rPr>
                <w:noProof/>
                <w:webHidden/>
              </w:rPr>
            </w:r>
            <w:r>
              <w:rPr>
                <w:noProof/>
                <w:webHidden/>
              </w:rPr>
              <w:fldChar w:fldCharType="separate"/>
            </w:r>
            <w:r>
              <w:rPr>
                <w:noProof/>
                <w:webHidden/>
              </w:rPr>
              <w:t>6</w:t>
            </w:r>
            <w:r>
              <w:rPr>
                <w:noProof/>
                <w:webHidden/>
              </w:rPr>
              <w:fldChar w:fldCharType="end"/>
            </w:r>
          </w:hyperlink>
        </w:p>
        <w:p w14:paraId="46535DED" w14:textId="6D8EB411" w:rsidR="004A38E7" w:rsidRDefault="004A38E7">
          <w:pPr>
            <w:pStyle w:val="TOC3"/>
            <w:tabs>
              <w:tab w:val="right" w:leader="dot" w:pos="9016"/>
            </w:tabs>
            <w:rPr>
              <w:noProof/>
              <w:sz w:val="22"/>
              <w:szCs w:val="22"/>
            </w:rPr>
          </w:pPr>
          <w:hyperlink w:anchor="_Toc224395090" w:history="1">
            <w:r w:rsidRPr="00DE16BD">
              <w:rPr>
                <w:rStyle w:val="Hyperlink"/>
                <w:rFonts w:ascii="Arial" w:hAnsi="Arial" w:cs="Arial"/>
                <w:noProof/>
              </w:rPr>
              <w:t>2.1.5 Rapid Infrastructure Expansion and Persistent Reliability Issues</w:t>
            </w:r>
            <w:r>
              <w:rPr>
                <w:noProof/>
                <w:webHidden/>
              </w:rPr>
              <w:tab/>
            </w:r>
            <w:r>
              <w:rPr>
                <w:noProof/>
                <w:webHidden/>
              </w:rPr>
              <w:fldChar w:fldCharType="begin"/>
            </w:r>
            <w:r>
              <w:rPr>
                <w:noProof/>
                <w:webHidden/>
              </w:rPr>
              <w:instrText xml:space="preserve"> PAGEREF _Toc224395090 \h </w:instrText>
            </w:r>
            <w:r>
              <w:rPr>
                <w:noProof/>
                <w:webHidden/>
              </w:rPr>
            </w:r>
            <w:r>
              <w:rPr>
                <w:noProof/>
                <w:webHidden/>
              </w:rPr>
              <w:fldChar w:fldCharType="separate"/>
            </w:r>
            <w:r>
              <w:rPr>
                <w:noProof/>
                <w:webHidden/>
              </w:rPr>
              <w:t>7</w:t>
            </w:r>
            <w:r>
              <w:rPr>
                <w:noProof/>
                <w:webHidden/>
              </w:rPr>
              <w:fldChar w:fldCharType="end"/>
            </w:r>
          </w:hyperlink>
        </w:p>
        <w:p w14:paraId="07472B96" w14:textId="3C02F51C" w:rsidR="004A38E7" w:rsidRDefault="004A38E7">
          <w:pPr>
            <w:pStyle w:val="TOC3"/>
            <w:tabs>
              <w:tab w:val="right" w:leader="dot" w:pos="9016"/>
            </w:tabs>
            <w:rPr>
              <w:noProof/>
              <w:sz w:val="22"/>
              <w:szCs w:val="22"/>
            </w:rPr>
          </w:pPr>
          <w:hyperlink w:anchor="_Toc224395091" w:history="1">
            <w:r w:rsidRPr="00DE16BD">
              <w:rPr>
                <w:rStyle w:val="Hyperlink"/>
                <w:rFonts w:ascii="Arial" w:hAnsi="Arial" w:cs="Arial"/>
                <w:noProof/>
              </w:rPr>
              <w:t>2.1.6 Innovation Opportunities for Energy Companies in the EV Ecosystem</w:t>
            </w:r>
            <w:r>
              <w:rPr>
                <w:noProof/>
                <w:webHidden/>
              </w:rPr>
              <w:tab/>
            </w:r>
            <w:r>
              <w:rPr>
                <w:noProof/>
                <w:webHidden/>
              </w:rPr>
              <w:fldChar w:fldCharType="begin"/>
            </w:r>
            <w:r>
              <w:rPr>
                <w:noProof/>
                <w:webHidden/>
              </w:rPr>
              <w:instrText xml:space="preserve"> PAGEREF _Toc224395091 \h </w:instrText>
            </w:r>
            <w:r>
              <w:rPr>
                <w:noProof/>
                <w:webHidden/>
              </w:rPr>
            </w:r>
            <w:r>
              <w:rPr>
                <w:noProof/>
                <w:webHidden/>
              </w:rPr>
              <w:fldChar w:fldCharType="separate"/>
            </w:r>
            <w:r>
              <w:rPr>
                <w:noProof/>
                <w:webHidden/>
              </w:rPr>
              <w:t>7</w:t>
            </w:r>
            <w:r>
              <w:rPr>
                <w:noProof/>
                <w:webHidden/>
              </w:rPr>
              <w:fldChar w:fldCharType="end"/>
            </w:r>
          </w:hyperlink>
        </w:p>
        <w:p w14:paraId="505FDA4E" w14:textId="72DF5D08" w:rsidR="004A38E7" w:rsidRDefault="004A38E7">
          <w:pPr>
            <w:pStyle w:val="TOC2"/>
            <w:tabs>
              <w:tab w:val="right" w:leader="dot" w:pos="9016"/>
            </w:tabs>
            <w:rPr>
              <w:noProof/>
              <w:sz w:val="22"/>
              <w:szCs w:val="22"/>
            </w:rPr>
          </w:pPr>
          <w:hyperlink w:anchor="_Toc224395092" w:history="1">
            <w:r w:rsidRPr="00DE16BD">
              <w:rPr>
                <w:rStyle w:val="Hyperlink"/>
                <w:rFonts w:ascii="Arial" w:hAnsi="Arial" w:cs="Arial"/>
                <w:noProof/>
              </w:rPr>
              <w:t>2.2 The Rise of "Foodvenience"</w:t>
            </w:r>
            <w:r>
              <w:rPr>
                <w:noProof/>
                <w:webHidden/>
              </w:rPr>
              <w:tab/>
            </w:r>
            <w:r>
              <w:rPr>
                <w:noProof/>
                <w:webHidden/>
              </w:rPr>
              <w:fldChar w:fldCharType="begin"/>
            </w:r>
            <w:r>
              <w:rPr>
                <w:noProof/>
                <w:webHidden/>
              </w:rPr>
              <w:instrText xml:space="preserve"> PAGEREF _Toc224395092 \h </w:instrText>
            </w:r>
            <w:r>
              <w:rPr>
                <w:noProof/>
                <w:webHidden/>
              </w:rPr>
            </w:r>
            <w:r>
              <w:rPr>
                <w:noProof/>
                <w:webHidden/>
              </w:rPr>
              <w:fldChar w:fldCharType="separate"/>
            </w:r>
            <w:r>
              <w:rPr>
                <w:noProof/>
                <w:webHidden/>
              </w:rPr>
              <w:t>8</w:t>
            </w:r>
            <w:r>
              <w:rPr>
                <w:noProof/>
                <w:webHidden/>
              </w:rPr>
              <w:fldChar w:fldCharType="end"/>
            </w:r>
          </w:hyperlink>
        </w:p>
        <w:p w14:paraId="0846C0C0" w14:textId="2C1486F0" w:rsidR="004A38E7" w:rsidRDefault="004A38E7">
          <w:pPr>
            <w:pStyle w:val="TOC2"/>
            <w:tabs>
              <w:tab w:val="right" w:leader="dot" w:pos="9016"/>
            </w:tabs>
            <w:rPr>
              <w:noProof/>
              <w:sz w:val="22"/>
              <w:szCs w:val="22"/>
            </w:rPr>
          </w:pPr>
          <w:hyperlink w:anchor="_Toc224395093" w:history="1">
            <w:r w:rsidRPr="00DE16BD">
              <w:rPr>
                <w:rStyle w:val="Hyperlink"/>
                <w:rFonts w:ascii="Arial" w:hAnsi="Arial" w:cs="Arial"/>
                <w:noProof/>
              </w:rPr>
              <w:t>2.3 Digitalisation and Hyper-Personalization</w:t>
            </w:r>
            <w:r>
              <w:rPr>
                <w:noProof/>
                <w:webHidden/>
              </w:rPr>
              <w:tab/>
            </w:r>
            <w:r>
              <w:rPr>
                <w:noProof/>
                <w:webHidden/>
              </w:rPr>
              <w:fldChar w:fldCharType="begin"/>
            </w:r>
            <w:r>
              <w:rPr>
                <w:noProof/>
                <w:webHidden/>
              </w:rPr>
              <w:instrText xml:space="preserve"> PAGEREF _Toc224395093 \h </w:instrText>
            </w:r>
            <w:r>
              <w:rPr>
                <w:noProof/>
                <w:webHidden/>
              </w:rPr>
            </w:r>
            <w:r>
              <w:rPr>
                <w:noProof/>
                <w:webHidden/>
              </w:rPr>
              <w:fldChar w:fldCharType="separate"/>
            </w:r>
            <w:r>
              <w:rPr>
                <w:noProof/>
                <w:webHidden/>
              </w:rPr>
              <w:t>8</w:t>
            </w:r>
            <w:r>
              <w:rPr>
                <w:noProof/>
                <w:webHidden/>
              </w:rPr>
              <w:fldChar w:fldCharType="end"/>
            </w:r>
          </w:hyperlink>
        </w:p>
        <w:p w14:paraId="1D5D3422" w14:textId="4382F33A" w:rsidR="004A38E7" w:rsidRDefault="004A38E7">
          <w:pPr>
            <w:pStyle w:val="TOC1"/>
            <w:tabs>
              <w:tab w:val="left" w:pos="480"/>
              <w:tab w:val="right" w:leader="dot" w:pos="9016"/>
            </w:tabs>
            <w:rPr>
              <w:noProof/>
              <w:sz w:val="22"/>
              <w:szCs w:val="22"/>
            </w:rPr>
          </w:pPr>
          <w:hyperlink w:anchor="_Toc224395094" w:history="1">
            <w:r w:rsidRPr="00DE16BD">
              <w:rPr>
                <w:rStyle w:val="Hyperlink"/>
                <w:rFonts w:ascii="Arial" w:hAnsi="Arial" w:cs="Arial"/>
                <w:noProof/>
              </w:rPr>
              <w:t>3.</w:t>
            </w:r>
            <w:r>
              <w:rPr>
                <w:noProof/>
                <w:sz w:val="22"/>
                <w:szCs w:val="22"/>
              </w:rPr>
              <w:tab/>
            </w:r>
            <w:r w:rsidRPr="00DE16BD">
              <w:rPr>
                <w:rStyle w:val="Hyperlink"/>
                <w:rFonts w:ascii="Arial" w:hAnsi="Arial" w:cs="Arial"/>
                <w:noProof/>
              </w:rPr>
              <w:t>Strategic Analysis of Innovation</w:t>
            </w:r>
            <w:r>
              <w:rPr>
                <w:noProof/>
                <w:webHidden/>
              </w:rPr>
              <w:tab/>
            </w:r>
            <w:r>
              <w:rPr>
                <w:noProof/>
                <w:webHidden/>
              </w:rPr>
              <w:fldChar w:fldCharType="begin"/>
            </w:r>
            <w:r>
              <w:rPr>
                <w:noProof/>
                <w:webHidden/>
              </w:rPr>
              <w:instrText xml:space="preserve"> PAGEREF _Toc224395094 \h </w:instrText>
            </w:r>
            <w:r>
              <w:rPr>
                <w:noProof/>
                <w:webHidden/>
              </w:rPr>
            </w:r>
            <w:r>
              <w:rPr>
                <w:noProof/>
                <w:webHidden/>
              </w:rPr>
              <w:fldChar w:fldCharType="separate"/>
            </w:r>
            <w:r>
              <w:rPr>
                <w:noProof/>
                <w:webHidden/>
              </w:rPr>
              <w:t>8</w:t>
            </w:r>
            <w:r>
              <w:rPr>
                <w:noProof/>
                <w:webHidden/>
              </w:rPr>
              <w:fldChar w:fldCharType="end"/>
            </w:r>
          </w:hyperlink>
        </w:p>
        <w:p w14:paraId="1BA5C08A" w14:textId="6D568710" w:rsidR="004A38E7" w:rsidRDefault="004A38E7">
          <w:pPr>
            <w:pStyle w:val="TOC2"/>
            <w:tabs>
              <w:tab w:val="right" w:leader="dot" w:pos="9016"/>
            </w:tabs>
            <w:rPr>
              <w:noProof/>
              <w:sz w:val="22"/>
              <w:szCs w:val="22"/>
            </w:rPr>
          </w:pPr>
          <w:hyperlink w:anchor="_Toc224395095" w:history="1">
            <w:r w:rsidRPr="00DE16BD">
              <w:rPr>
                <w:rStyle w:val="Hyperlink"/>
                <w:rFonts w:ascii="Arial" w:hAnsi="Arial" w:cs="Arial"/>
                <w:noProof/>
              </w:rPr>
              <w:t>3.1 The Innovation Ambition Matrix</w:t>
            </w:r>
            <w:r>
              <w:rPr>
                <w:noProof/>
                <w:webHidden/>
              </w:rPr>
              <w:tab/>
            </w:r>
            <w:r>
              <w:rPr>
                <w:noProof/>
                <w:webHidden/>
              </w:rPr>
              <w:fldChar w:fldCharType="begin"/>
            </w:r>
            <w:r>
              <w:rPr>
                <w:noProof/>
                <w:webHidden/>
              </w:rPr>
              <w:instrText xml:space="preserve"> PAGEREF _Toc224395095 \h </w:instrText>
            </w:r>
            <w:r>
              <w:rPr>
                <w:noProof/>
                <w:webHidden/>
              </w:rPr>
            </w:r>
            <w:r>
              <w:rPr>
                <w:noProof/>
                <w:webHidden/>
              </w:rPr>
              <w:fldChar w:fldCharType="separate"/>
            </w:r>
            <w:r>
              <w:rPr>
                <w:noProof/>
                <w:webHidden/>
              </w:rPr>
              <w:t>9</w:t>
            </w:r>
            <w:r>
              <w:rPr>
                <w:noProof/>
                <w:webHidden/>
              </w:rPr>
              <w:fldChar w:fldCharType="end"/>
            </w:r>
          </w:hyperlink>
        </w:p>
        <w:p w14:paraId="40D82CD9" w14:textId="7EBBDA33" w:rsidR="004A38E7" w:rsidRDefault="004A38E7">
          <w:pPr>
            <w:pStyle w:val="TOC3"/>
            <w:tabs>
              <w:tab w:val="right" w:leader="dot" w:pos="9016"/>
            </w:tabs>
            <w:rPr>
              <w:noProof/>
              <w:sz w:val="22"/>
              <w:szCs w:val="22"/>
            </w:rPr>
          </w:pPr>
          <w:hyperlink w:anchor="_Toc224395096" w:history="1">
            <w:r w:rsidRPr="00DE16BD">
              <w:rPr>
                <w:rStyle w:val="Hyperlink"/>
                <w:rFonts w:ascii="Arial" w:hAnsi="Arial" w:cs="Arial"/>
                <w:noProof/>
              </w:rPr>
              <w:t>3.1.1 Core Innovation (Optimising Existing Assets)</w:t>
            </w:r>
            <w:r>
              <w:rPr>
                <w:noProof/>
                <w:webHidden/>
              </w:rPr>
              <w:tab/>
            </w:r>
            <w:r>
              <w:rPr>
                <w:noProof/>
                <w:webHidden/>
              </w:rPr>
              <w:fldChar w:fldCharType="begin"/>
            </w:r>
            <w:r>
              <w:rPr>
                <w:noProof/>
                <w:webHidden/>
              </w:rPr>
              <w:instrText xml:space="preserve"> PAGEREF _Toc224395096 \h </w:instrText>
            </w:r>
            <w:r>
              <w:rPr>
                <w:noProof/>
                <w:webHidden/>
              </w:rPr>
            </w:r>
            <w:r>
              <w:rPr>
                <w:noProof/>
                <w:webHidden/>
              </w:rPr>
              <w:fldChar w:fldCharType="separate"/>
            </w:r>
            <w:r>
              <w:rPr>
                <w:noProof/>
                <w:webHidden/>
              </w:rPr>
              <w:t>9</w:t>
            </w:r>
            <w:r>
              <w:rPr>
                <w:noProof/>
                <w:webHidden/>
              </w:rPr>
              <w:fldChar w:fldCharType="end"/>
            </w:r>
          </w:hyperlink>
        </w:p>
        <w:p w14:paraId="403D5BF2" w14:textId="7C9D2988" w:rsidR="004A38E7" w:rsidRDefault="004A38E7">
          <w:pPr>
            <w:pStyle w:val="TOC3"/>
            <w:tabs>
              <w:tab w:val="right" w:leader="dot" w:pos="9016"/>
            </w:tabs>
            <w:rPr>
              <w:noProof/>
              <w:sz w:val="22"/>
              <w:szCs w:val="22"/>
            </w:rPr>
          </w:pPr>
          <w:hyperlink w:anchor="_Toc224395097" w:history="1">
            <w:r w:rsidRPr="00DE16BD">
              <w:rPr>
                <w:rStyle w:val="Hyperlink"/>
                <w:rFonts w:ascii="Arial" w:hAnsi="Arial" w:cs="Arial"/>
                <w:noProof/>
              </w:rPr>
              <w:t>3.1.2 Adjacent Innovation (Expanding from Existing Capabilities)</w:t>
            </w:r>
            <w:r>
              <w:rPr>
                <w:noProof/>
                <w:webHidden/>
              </w:rPr>
              <w:tab/>
            </w:r>
            <w:r>
              <w:rPr>
                <w:noProof/>
                <w:webHidden/>
              </w:rPr>
              <w:fldChar w:fldCharType="begin"/>
            </w:r>
            <w:r>
              <w:rPr>
                <w:noProof/>
                <w:webHidden/>
              </w:rPr>
              <w:instrText xml:space="preserve"> PAGEREF _Toc224395097 \h </w:instrText>
            </w:r>
            <w:r>
              <w:rPr>
                <w:noProof/>
                <w:webHidden/>
              </w:rPr>
            </w:r>
            <w:r>
              <w:rPr>
                <w:noProof/>
                <w:webHidden/>
              </w:rPr>
              <w:fldChar w:fldCharType="separate"/>
            </w:r>
            <w:r>
              <w:rPr>
                <w:noProof/>
                <w:webHidden/>
              </w:rPr>
              <w:t>10</w:t>
            </w:r>
            <w:r>
              <w:rPr>
                <w:noProof/>
                <w:webHidden/>
              </w:rPr>
              <w:fldChar w:fldCharType="end"/>
            </w:r>
          </w:hyperlink>
        </w:p>
        <w:p w14:paraId="0CFD27F6" w14:textId="23E65D0A" w:rsidR="004A38E7" w:rsidRDefault="004A38E7">
          <w:pPr>
            <w:pStyle w:val="TOC3"/>
            <w:tabs>
              <w:tab w:val="right" w:leader="dot" w:pos="9016"/>
            </w:tabs>
            <w:rPr>
              <w:noProof/>
              <w:sz w:val="22"/>
              <w:szCs w:val="22"/>
            </w:rPr>
          </w:pPr>
          <w:hyperlink w:anchor="_Toc224395098" w:history="1">
            <w:r w:rsidRPr="00DE16BD">
              <w:rPr>
                <w:rStyle w:val="Hyperlink"/>
                <w:rFonts w:ascii="Arial" w:hAnsi="Arial" w:cs="Arial"/>
                <w:noProof/>
              </w:rPr>
              <w:t>3.1.3 Transformational Innovation (Creating New Markets)</w:t>
            </w:r>
            <w:r>
              <w:rPr>
                <w:noProof/>
                <w:webHidden/>
              </w:rPr>
              <w:tab/>
            </w:r>
            <w:r>
              <w:rPr>
                <w:noProof/>
                <w:webHidden/>
              </w:rPr>
              <w:fldChar w:fldCharType="begin"/>
            </w:r>
            <w:r>
              <w:rPr>
                <w:noProof/>
                <w:webHidden/>
              </w:rPr>
              <w:instrText xml:space="preserve"> PAGEREF _Toc224395098 \h </w:instrText>
            </w:r>
            <w:r>
              <w:rPr>
                <w:noProof/>
                <w:webHidden/>
              </w:rPr>
            </w:r>
            <w:r>
              <w:rPr>
                <w:noProof/>
                <w:webHidden/>
              </w:rPr>
              <w:fldChar w:fldCharType="separate"/>
            </w:r>
            <w:r>
              <w:rPr>
                <w:noProof/>
                <w:webHidden/>
              </w:rPr>
              <w:t>10</w:t>
            </w:r>
            <w:r>
              <w:rPr>
                <w:noProof/>
                <w:webHidden/>
              </w:rPr>
              <w:fldChar w:fldCharType="end"/>
            </w:r>
          </w:hyperlink>
        </w:p>
        <w:p w14:paraId="66F2C20F" w14:textId="181F80E7" w:rsidR="004A38E7" w:rsidRDefault="004A38E7">
          <w:pPr>
            <w:pStyle w:val="TOC2"/>
            <w:tabs>
              <w:tab w:val="right" w:leader="dot" w:pos="9016"/>
            </w:tabs>
            <w:rPr>
              <w:noProof/>
              <w:sz w:val="22"/>
              <w:szCs w:val="22"/>
            </w:rPr>
          </w:pPr>
          <w:hyperlink w:anchor="_Toc224395099" w:history="1">
            <w:r w:rsidRPr="00DE16BD">
              <w:rPr>
                <w:rStyle w:val="Hyperlink"/>
                <w:rFonts w:ascii="Arial" w:hAnsi="Arial" w:cs="Arial"/>
                <w:noProof/>
              </w:rPr>
              <w:t>3.2 Customer Journey Mapping (Current State)</w:t>
            </w:r>
            <w:r>
              <w:rPr>
                <w:noProof/>
                <w:webHidden/>
              </w:rPr>
              <w:tab/>
            </w:r>
            <w:r>
              <w:rPr>
                <w:noProof/>
                <w:webHidden/>
              </w:rPr>
              <w:fldChar w:fldCharType="begin"/>
            </w:r>
            <w:r>
              <w:rPr>
                <w:noProof/>
                <w:webHidden/>
              </w:rPr>
              <w:instrText xml:space="preserve"> PAGEREF _Toc224395099 \h </w:instrText>
            </w:r>
            <w:r>
              <w:rPr>
                <w:noProof/>
                <w:webHidden/>
              </w:rPr>
            </w:r>
            <w:r>
              <w:rPr>
                <w:noProof/>
                <w:webHidden/>
              </w:rPr>
              <w:fldChar w:fldCharType="separate"/>
            </w:r>
            <w:r>
              <w:rPr>
                <w:noProof/>
                <w:webHidden/>
              </w:rPr>
              <w:t>11</w:t>
            </w:r>
            <w:r>
              <w:rPr>
                <w:noProof/>
                <w:webHidden/>
              </w:rPr>
              <w:fldChar w:fldCharType="end"/>
            </w:r>
          </w:hyperlink>
        </w:p>
        <w:p w14:paraId="0A0BB469" w14:textId="2B94874B" w:rsidR="004A38E7" w:rsidRDefault="004A38E7">
          <w:pPr>
            <w:pStyle w:val="TOC1"/>
            <w:tabs>
              <w:tab w:val="left" w:pos="480"/>
              <w:tab w:val="right" w:leader="dot" w:pos="9016"/>
            </w:tabs>
            <w:rPr>
              <w:noProof/>
              <w:sz w:val="22"/>
              <w:szCs w:val="22"/>
            </w:rPr>
          </w:pPr>
          <w:hyperlink w:anchor="_Toc224395100" w:history="1">
            <w:r w:rsidRPr="00DE16BD">
              <w:rPr>
                <w:rStyle w:val="Hyperlink"/>
                <w:noProof/>
              </w:rPr>
              <w:t>4.</w:t>
            </w:r>
            <w:r>
              <w:rPr>
                <w:noProof/>
                <w:sz w:val="22"/>
                <w:szCs w:val="22"/>
              </w:rPr>
              <w:tab/>
            </w:r>
            <w:r w:rsidRPr="00DE16BD">
              <w:rPr>
                <w:rStyle w:val="Hyperlink"/>
                <w:noProof/>
              </w:rPr>
              <w:t>Proposed Digital Transformation Initiative</w:t>
            </w:r>
            <w:r>
              <w:rPr>
                <w:noProof/>
                <w:webHidden/>
              </w:rPr>
              <w:tab/>
            </w:r>
            <w:r>
              <w:rPr>
                <w:noProof/>
                <w:webHidden/>
              </w:rPr>
              <w:fldChar w:fldCharType="begin"/>
            </w:r>
            <w:r>
              <w:rPr>
                <w:noProof/>
                <w:webHidden/>
              </w:rPr>
              <w:instrText xml:space="preserve"> PAGEREF _Toc224395100 \h </w:instrText>
            </w:r>
            <w:r>
              <w:rPr>
                <w:noProof/>
                <w:webHidden/>
              </w:rPr>
            </w:r>
            <w:r>
              <w:rPr>
                <w:noProof/>
                <w:webHidden/>
              </w:rPr>
              <w:fldChar w:fldCharType="separate"/>
            </w:r>
            <w:r>
              <w:rPr>
                <w:noProof/>
                <w:webHidden/>
              </w:rPr>
              <w:t>14</w:t>
            </w:r>
            <w:r>
              <w:rPr>
                <w:noProof/>
                <w:webHidden/>
              </w:rPr>
              <w:fldChar w:fldCharType="end"/>
            </w:r>
          </w:hyperlink>
        </w:p>
        <w:p w14:paraId="7E14D664" w14:textId="36F5E6CA" w:rsidR="004A38E7" w:rsidRDefault="004A38E7">
          <w:pPr>
            <w:pStyle w:val="TOC2"/>
            <w:tabs>
              <w:tab w:val="right" w:leader="dot" w:pos="9016"/>
            </w:tabs>
            <w:rPr>
              <w:noProof/>
              <w:sz w:val="22"/>
              <w:szCs w:val="22"/>
            </w:rPr>
          </w:pPr>
          <w:hyperlink w:anchor="_Toc224395101" w:history="1">
            <w:r w:rsidRPr="00DE16BD">
              <w:rPr>
                <w:rStyle w:val="Hyperlink"/>
                <w:noProof/>
              </w:rPr>
              <w:t>4.1 The Initiative: "BP Neuro-Hub"</w:t>
            </w:r>
            <w:r>
              <w:rPr>
                <w:noProof/>
                <w:webHidden/>
              </w:rPr>
              <w:tab/>
            </w:r>
            <w:r>
              <w:rPr>
                <w:noProof/>
                <w:webHidden/>
              </w:rPr>
              <w:fldChar w:fldCharType="begin"/>
            </w:r>
            <w:r>
              <w:rPr>
                <w:noProof/>
                <w:webHidden/>
              </w:rPr>
              <w:instrText xml:space="preserve"> PAGEREF _Toc224395101 \h </w:instrText>
            </w:r>
            <w:r>
              <w:rPr>
                <w:noProof/>
                <w:webHidden/>
              </w:rPr>
            </w:r>
            <w:r>
              <w:rPr>
                <w:noProof/>
                <w:webHidden/>
              </w:rPr>
              <w:fldChar w:fldCharType="separate"/>
            </w:r>
            <w:r>
              <w:rPr>
                <w:noProof/>
                <w:webHidden/>
              </w:rPr>
              <w:t>14</w:t>
            </w:r>
            <w:r>
              <w:rPr>
                <w:noProof/>
                <w:webHidden/>
              </w:rPr>
              <w:fldChar w:fldCharType="end"/>
            </w:r>
          </w:hyperlink>
        </w:p>
        <w:p w14:paraId="0071A7A7" w14:textId="29E0C0BC" w:rsidR="004A38E7" w:rsidRDefault="004A38E7">
          <w:pPr>
            <w:pStyle w:val="TOC2"/>
            <w:tabs>
              <w:tab w:val="right" w:leader="dot" w:pos="9016"/>
            </w:tabs>
            <w:rPr>
              <w:noProof/>
              <w:sz w:val="22"/>
              <w:szCs w:val="22"/>
            </w:rPr>
          </w:pPr>
          <w:hyperlink w:anchor="_Toc224395102" w:history="1">
            <w:r w:rsidRPr="00DE16BD">
              <w:rPr>
                <w:rStyle w:val="Hyperlink"/>
                <w:noProof/>
              </w:rPr>
              <w:t>4.2 The Enhanced Customer Journey (Future State)</w:t>
            </w:r>
            <w:r>
              <w:rPr>
                <w:noProof/>
                <w:webHidden/>
              </w:rPr>
              <w:tab/>
            </w:r>
            <w:r>
              <w:rPr>
                <w:noProof/>
                <w:webHidden/>
              </w:rPr>
              <w:fldChar w:fldCharType="begin"/>
            </w:r>
            <w:r>
              <w:rPr>
                <w:noProof/>
                <w:webHidden/>
              </w:rPr>
              <w:instrText xml:space="preserve"> PAGEREF _Toc224395102 \h </w:instrText>
            </w:r>
            <w:r>
              <w:rPr>
                <w:noProof/>
                <w:webHidden/>
              </w:rPr>
            </w:r>
            <w:r>
              <w:rPr>
                <w:noProof/>
                <w:webHidden/>
              </w:rPr>
              <w:fldChar w:fldCharType="separate"/>
            </w:r>
            <w:r>
              <w:rPr>
                <w:noProof/>
                <w:webHidden/>
              </w:rPr>
              <w:t>14</w:t>
            </w:r>
            <w:r>
              <w:rPr>
                <w:noProof/>
                <w:webHidden/>
              </w:rPr>
              <w:fldChar w:fldCharType="end"/>
            </w:r>
          </w:hyperlink>
        </w:p>
        <w:p w14:paraId="233965BF" w14:textId="25E031DC" w:rsidR="004A38E7" w:rsidRDefault="004A38E7">
          <w:pPr>
            <w:pStyle w:val="TOC2"/>
            <w:tabs>
              <w:tab w:val="right" w:leader="dot" w:pos="9016"/>
            </w:tabs>
            <w:rPr>
              <w:noProof/>
              <w:sz w:val="22"/>
              <w:szCs w:val="22"/>
            </w:rPr>
          </w:pPr>
          <w:hyperlink w:anchor="_Toc224395103" w:history="1">
            <w:r w:rsidRPr="00DE16BD">
              <w:rPr>
                <w:rStyle w:val="Hyperlink"/>
                <w:noProof/>
              </w:rPr>
              <w:t>4.3 Value Proposition and Strategic Impact</w:t>
            </w:r>
            <w:r>
              <w:rPr>
                <w:noProof/>
                <w:webHidden/>
              </w:rPr>
              <w:tab/>
            </w:r>
            <w:r>
              <w:rPr>
                <w:noProof/>
                <w:webHidden/>
              </w:rPr>
              <w:fldChar w:fldCharType="begin"/>
            </w:r>
            <w:r>
              <w:rPr>
                <w:noProof/>
                <w:webHidden/>
              </w:rPr>
              <w:instrText xml:space="preserve"> PAGEREF _Toc224395103 \h </w:instrText>
            </w:r>
            <w:r>
              <w:rPr>
                <w:noProof/>
                <w:webHidden/>
              </w:rPr>
            </w:r>
            <w:r>
              <w:rPr>
                <w:noProof/>
                <w:webHidden/>
              </w:rPr>
              <w:fldChar w:fldCharType="separate"/>
            </w:r>
            <w:r>
              <w:rPr>
                <w:noProof/>
                <w:webHidden/>
              </w:rPr>
              <w:t>15</w:t>
            </w:r>
            <w:r>
              <w:rPr>
                <w:noProof/>
                <w:webHidden/>
              </w:rPr>
              <w:fldChar w:fldCharType="end"/>
            </w:r>
          </w:hyperlink>
        </w:p>
        <w:p w14:paraId="6C010D14" w14:textId="315D746A" w:rsidR="004A38E7" w:rsidRDefault="004A38E7">
          <w:pPr>
            <w:pStyle w:val="TOC3"/>
            <w:tabs>
              <w:tab w:val="right" w:leader="dot" w:pos="9016"/>
            </w:tabs>
            <w:rPr>
              <w:noProof/>
              <w:sz w:val="22"/>
              <w:szCs w:val="22"/>
            </w:rPr>
          </w:pPr>
          <w:hyperlink w:anchor="_Toc224395104" w:history="1">
            <w:r w:rsidRPr="00DE16BD">
              <w:rPr>
                <w:rStyle w:val="Hyperlink"/>
                <w:noProof/>
              </w:rPr>
              <w:t>4.3.1 Impact on the Organisation</w:t>
            </w:r>
            <w:r>
              <w:rPr>
                <w:noProof/>
                <w:webHidden/>
              </w:rPr>
              <w:tab/>
            </w:r>
            <w:r>
              <w:rPr>
                <w:noProof/>
                <w:webHidden/>
              </w:rPr>
              <w:fldChar w:fldCharType="begin"/>
            </w:r>
            <w:r>
              <w:rPr>
                <w:noProof/>
                <w:webHidden/>
              </w:rPr>
              <w:instrText xml:space="preserve"> PAGEREF _Toc224395104 \h </w:instrText>
            </w:r>
            <w:r>
              <w:rPr>
                <w:noProof/>
                <w:webHidden/>
              </w:rPr>
            </w:r>
            <w:r>
              <w:rPr>
                <w:noProof/>
                <w:webHidden/>
              </w:rPr>
              <w:fldChar w:fldCharType="separate"/>
            </w:r>
            <w:r>
              <w:rPr>
                <w:noProof/>
                <w:webHidden/>
              </w:rPr>
              <w:t>15</w:t>
            </w:r>
            <w:r>
              <w:rPr>
                <w:noProof/>
                <w:webHidden/>
              </w:rPr>
              <w:fldChar w:fldCharType="end"/>
            </w:r>
          </w:hyperlink>
        </w:p>
        <w:p w14:paraId="7F5FA28C" w14:textId="2F8AA1F8" w:rsidR="004A38E7" w:rsidRDefault="004A38E7">
          <w:pPr>
            <w:pStyle w:val="TOC3"/>
            <w:tabs>
              <w:tab w:val="right" w:leader="dot" w:pos="9016"/>
            </w:tabs>
            <w:rPr>
              <w:noProof/>
              <w:sz w:val="22"/>
              <w:szCs w:val="22"/>
            </w:rPr>
          </w:pPr>
          <w:hyperlink w:anchor="_Toc224395105" w:history="1">
            <w:r w:rsidRPr="00DE16BD">
              <w:rPr>
                <w:rStyle w:val="Hyperlink"/>
                <w:noProof/>
              </w:rPr>
              <w:t>4.3.2 Measuring Success (KPIs)</w:t>
            </w:r>
            <w:r>
              <w:rPr>
                <w:noProof/>
                <w:webHidden/>
              </w:rPr>
              <w:tab/>
            </w:r>
            <w:r>
              <w:rPr>
                <w:noProof/>
                <w:webHidden/>
              </w:rPr>
              <w:fldChar w:fldCharType="begin"/>
            </w:r>
            <w:r>
              <w:rPr>
                <w:noProof/>
                <w:webHidden/>
              </w:rPr>
              <w:instrText xml:space="preserve"> PAGEREF _Toc224395105 \h </w:instrText>
            </w:r>
            <w:r>
              <w:rPr>
                <w:noProof/>
                <w:webHidden/>
              </w:rPr>
            </w:r>
            <w:r>
              <w:rPr>
                <w:noProof/>
                <w:webHidden/>
              </w:rPr>
              <w:fldChar w:fldCharType="separate"/>
            </w:r>
            <w:r>
              <w:rPr>
                <w:noProof/>
                <w:webHidden/>
              </w:rPr>
              <w:t>16</w:t>
            </w:r>
            <w:r>
              <w:rPr>
                <w:noProof/>
                <w:webHidden/>
              </w:rPr>
              <w:fldChar w:fldCharType="end"/>
            </w:r>
          </w:hyperlink>
        </w:p>
        <w:p w14:paraId="12EBDB35" w14:textId="6F3809A2" w:rsidR="004A38E7" w:rsidRDefault="004A38E7">
          <w:pPr>
            <w:pStyle w:val="TOC2"/>
            <w:tabs>
              <w:tab w:val="right" w:leader="dot" w:pos="9016"/>
            </w:tabs>
            <w:rPr>
              <w:noProof/>
              <w:sz w:val="22"/>
              <w:szCs w:val="22"/>
            </w:rPr>
          </w:pPr>
          <w:hyperlink w:anchor="_Toc224395106" w:history="1">
            <w:r w:rsidRPr="00DE16BD">
              <w:rPr>
                <w:rStyle w:val="Hyperlink"/>
                <w:noProof/>
              </w:rPr>
              <w:t>4.4 Implementation Challenges</w:t>
            </w:r>
            <w:r>
              <w:rPr>
                <w:noProof/>
                <w:webHidden/>
              </w:rPr>
              <w:tab/>
            </w:r>
            <w:r>
              <w:rPr>
                <w:noProof/>
                <w:webHidden/>
              </w:rPr>
              <w:fldChar w:fldCharType="begin"/>
            </w:r>
            <w:r>
              <w:rPr>
                <w:noProof/>
                <w:webHidden/>
              </w:rPr>
              <w:instrText xml:space="preserve"> PAGEREF _Toc224395106 \h </w:instrText>
            </w:r>
            <w:r>
              <w:rPr>
                <w:noProof/>
                <w:webHidden/>
              </w:rPr>
            </w:r>
            <w:r>
              <w:rPr>
                <w:noProof/>
                <w:webHidden/>
              </w:rPr>
              <w:fldChar w:fldCharType="separate"/>
            </w:r>
            <w:r>
              <w:rPr>
                <w:noProof/>
                <w:webHidden/>
              </w:rPr>
              <w:t>16</w:t>
            </w:r>
            <w:r>
              <w:rPr>
                <w:noProof/>
                <w:webHidden/>
              </w:rPr>
              <w:fldChar w:fldCharType="end"/>
            </w:r>
          </w:hyperlink>
        </w:p>
        <w:p w14:paraId="7D454DF3" w14:textId="339A92E2" w:rsidR="004A38E7" w:rsidRDefault="004A38E7">
          <w:pPr>
            <w:pStyle w:val="TOC1"/>
            <w:tabs>
              <w:tab w:val="right" w:leader="dot" w:pos="9016"/>
            </w:tabs>
            <w:rPr>
              <w:noProof/>
              <w:sz w:val="22"/>
              <w:szCs w:val="22"/>
            </w:rPr>
          </w:pPr>
          <w:hyperlink w:anchor="_Toc224395107" w:history="1">
            <w:r w:rsidRPr="00DE16BD">
              <w:rPr>
                <w:rStyle w:val="Hyperlink"/>
                <w:noProof/>
              </w:rPr>
              <w:t>5. Conclusion</w:t>
            </w:r>
            <w:r>
              <w:rPr>
                <w:noProof/>
                <w:webHidden/>
              </w:rPr>
              <w:tab/>
            </w:r>
            <w:r>
              <w:rPr>
                <w:noProof/>
                <w:webHidden/>
              </w:rPr>
              <w:fldChar w:fldCharType="begin"/>
            </w:r>
            <w:r>
              <w:rPr>
                <w:noProof/>
                <w:webHidden/>
              </w:rPr>
              <w:instrText xml:space="preserve"> PAGEREF _Toc224395107 \h </w:instrText>
            </w:r>
            <w:r>
              <w:rPr>
                <w:noProof/>
                <w:webHidden/>
              </w:rPr>
            </w:r>
            <w:r>
              <w:rPr>
                <w:noProof/>
                <w:webHidden/>
              </w:rPr>
              <w:fldChar w:fldCharType="separate"/>
            </w:r>
            <w:r>
              <w:rPr>
                <w:noProof/>
                <w:webHidden/>
              </w:rPr>
              <w:t>17</w:t>
            </w:r>
            <w:r>
              <w:rPr>
                <w:noProof/>
                <w:webHidden/>
              </w:rPr>
              <w:fldChar w:fldCharType="end"/>
            </w:r>
          </w:hyperlink>
        </w:p>
        <w:p w14:paraId="66CC7157" w14:textId="54F2401F" w:rsidR="004A38E7" w:rsidRDefault="004A38E7">
          <w:pPr>
            <w:pStyle w:val="TOC1"/>
            <w:tabs>
              <w:tab w:val="right" w:leader="dot" w:pos="9016"/>
            </w:tabs>
            <w:rPr>
              <w:noProof/>
              <w:sz w:val="22"/>
              <w:szCs w:val="22"/>
            </w:rPr>
          </w:pPr>
          <w:hyperlink w:anchor="_Toc224395108" w:history="1">
            <w:r w:rsidRPr="00DE16B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_Toc224395108 \h </w:instrText>
            </w:r>
            <w:r>
              <w:rPr>
                <w:noProof/>
                <w:webHidden/>
              </w:rPr>
            </w:r>
            <w:r>
              <w:rPr>
                <w:noProof/>
                <w:webHidden/>
              </w:rPr>
              <w:fldChar w:fldCharType="separate"/>
            </w:r>
            <w:r>
              <w:rPr>
                <w:noProof/>
                <w:webHidden/>
              </w:rPr>
              <w:t>18</w:t>
            </w:r>
            <w:r>
              <w:rPr>
                <w:noProof/>
                <w:webHidden/>
              </w:rPr>
              <w:fldChar w:fldCharType="end"/>
            </w:r>
          </w:hyperlink>
        </w:p>
        <w:p w14:paraId="410927BB" w14:textId="4C24FF6E" w:rsidR="000C75CA" w:rsidRDefault="000C75CA" w:rsidP="00822BE6">
          <w:pPr>
            <w:spacing w:line="360" w:lineRule="auto"/>
          </w:pPr>
          <w:r>
            <w:rPr>
              <w:b/>
              <w:bCs/>
              <w:noProof/>
            </w:rPr>
            <w:fldChar w:fldCharType="end"/>
          </w:r>
        </w:p>
      </w:sdtContent>
    </w:sdt>
    <w:p w14:paraId="32F2299E" w14:textId="77777777" w:rsidR="000C75CA" w:rsidRDefault="000C75CA" w:rsidP="00822BE6">
      <w:pPr>
        <w:spacing w:line="360" w:lineRule="auto"/>
        <w:rPr>
          <w:rFonts w:ascii="Arial" w:hAnsi="Arial" w:cs="Arial"/>
          <w:b/>
          <w:bCs/>
          <w:i/>
          <w:iCs/>
          <w:sz w:val="44"/>
          <w:szCs w:val="44"/>
        </w:rPr>
        <w:sectPr w:rsidR="000C75CA">
          <w:pgSz w:w="11906" w:h="16838"/>
          <w:pgMar w:top="1440" w:right="1440" w:bottom="1440" w:left="1440" w:header="708" w:footer="708" w:gutter="0"/>
          <w:cols w:space="708"/>
          <w:docGrid w:linePitch="360"/>
        </w:sectPr>
      </w:pPr>
    </w:p>
    <w:p w14:paraId="2BC6FA2E" w14:textId="319FD7D6" w:rsidR="00202438" w:rsidRPr="009B5B3F" w:rsidRDefault="00202438" w:rsidP="00BD34A4">
      <w:pPr>
        <w:pStyle w:val="Heading1"/>
        <w:numPr>
          <w:ilvl w:val="0"/>
          <w:numId w:val="24"/>
        </w:numPr>
        <w:spacing w:line="360" w:lineRule="auto"/>
        <w:jc w:val="both"/>
        <w:rPr>
          <w:rFonts w:ascii="Arial" w:hAnsi="Arial" w:cs="Arial"/>
        </w:rPr>
      </w:pPr>
      <w:bookmarkStart w:id="0" w:name="_Toc224395083"/>
      <w:r w:rsidRPr="009B5B3F">
        <w:rPr>
          <w:rFonts w:ascii="Arial" w:hAnsi="Arial" w:cs="Arial"/>
        </w:rPr>
        <w:lastRenderedPageBreak/>
        <w:t>Introduction</w:t>
      </w:r>
      <w:bookmarkEnd w:id="0"/>
    </w:p>
    <w:p w14:paraId="715D97E1" w14:textId="7BCB72D5" w:rsidR="00712D53" w:rsidRDefault="00712D53" w:rsidP="00BD34A4">
      <w:pPr>
        <w:spacing w:line="360" w:lineRule="auto"/>
        <w:jc w:val="both"/>
        <w:rPr>
          <w:rFonts w:ascii="Arial" w:hAnsi="Arial" w:cs="Arial"/>
        </w:rPr>
      </w:pPr>
      <w:r w:rsidRPr="00712D53">
        <w:rPr>
          <w:rFonts w:ascii="Arial" w:hAnsi="Arial" w:cs="Arial"/>
        </w:rPr>
        <w:t>BP plc is one of the world’s defining "supermajor" oil and gas companies, currently navigating one of the most significant strategic pivots in modern corporate history. Headquartered in London, BP operates in over 60 countries and employs approximately 87,000 people. For over a century, the organisation’s identity and business model were anchored in the extraction and refining of hydrocarbons</w:t>
      </w:r>
      <w:r w:rsidRPr="009B5B3F">
        <w:rPr>
          <w:rFonts w:ascii="Arial" w:hAnsi="Arial" w:cs="Arial"/>
        </w:rPr>
        <w:t xml:space="preserve">, </w:t>
      </w:r>
      <w:r w:rsidRPr="00712D53">
        <w:rPr>
          <w:rFonts w:ascii="Arial" w:hAnsi="Arial" w:cs="Arial"/>
        </w:rPr>
        <w:t>a model defined by high capital expenditure, long asset lifecycles, and a commodity-based value chain (BP Annual Report, 2023).</w:t>
      </w:r>
      <w:r w:rsidR="004D2482">
        <w:rPr>
          <w:rFonts w:ascii="Arial" w:hAnsi="Arial" w:cs="Arial"/>
        </w:rPr>
        <w:t xml:space="preserve"> </w:t>
      </w:r>
      <w:r w:rsidRPr="00712D53">
        <w:rPr>
          <w:rFonts w:ascii="Arial" w:hAnsi="Arial" w:cs="Arial"/>
        </w:rPr>
        <w:t>However, the organisation is now executing its "Reinventing BP" strategy, a radical transformation aimed at transitioning the company from an International Oil Company (IOC) to an Integrated Energy Company (IEC) by 2030. This strategy is not merely an environmental compliance exercise but an existential redesign of the business model, driven by the dual imperatives of the global energy transition and the digitalization of the consumer economy</w:t>
      </w:r>
      <w:r w:rsidR="00BD34A4">
        <w:rPr>
          <w:rFonts w:ascii="Arial" w:hAnsi="Arial" w:cs="Arial"/>
        </w:rPr>
        <w:t xml:space="preserve">. </w:t>
      </w:r>
      <w:r w:rsidRPr="00712D53">
        <w:rPr>
          <w:rFonts w:ascii="Arial" w:hAnsi="Arial" w:cs="Arial"/>
        </w:rPr>
        <w:t>This assessment provides a critical analysis of BP’s approach to innovation and design thinking within the UK market, specifically focusing on its retail and mobility operations</w:t>
      </w:r>
      <w:r w:rsidR="00BD34A4">
        <w:rPr>
          <w:rFonts w:ascii="Arial" w:hAnsi="Arial" w:cs="Arial"/>
        </w:rPr>
        <w:t>:</w:t>
      </w:r>
    </w:p>
    <w:p w14:paraId="18B87EC3" w14:textId="77777777" w:rsidR="00BD34A4" w:rsidRPr="00712D53" w:rsidRDefault="00BD34A4" w:rsidP="00BD34A4">
      <w:pPr>
        <w:spacing w:line="360" w:lineRule="auto"/>
        <w:jc w:val="both"/>
        <w:rPr>
          <w:rFonts w:ascii="Arial" w:hAnsi="Arial" w:cs="Arial"/>
        </w:rPr>
      </w:pPr>
    </w:p>
    <w:p w14:paraId="2E987499" w14:textId="77777777" w:rsidR="00712D53" w:rsidRPr="00712D53" w:rsidRDefault="00712D53" w:rsidP="00BD34A4">
      <w:pPr>
        <w:numPr>
          <w:ilvl w:val="0"/>
          <w:numId w:val="9"/>
        </w:numPr>
        <w:spacing w:line="360" w:lineRule="auto"/>
        <w:jc w:val="both"/>
        <w:rPr>
          <w:rFonts w:ascii="Arial" w:hAnsi="Arial" w:cs="Arial"/>
        </w:rPr>
      </w:pPr>
      <w:r w:rsidRPr="00712D53">
        <w:rPr>
          <w:rFonts w:ascii="Arial" w:hAnsi="Arial" w:cs="Arial"/>
          <w:b/>
          <w:bCs/>
        </w:rPr>
        <w:t>Part 1</w:t>
      </w:r>
      <w:r w:rsidRPr="00712D53">
        <w:rPr>
          <w:rFonts w:ascii="Arial" w:hAnsi="Arial" w:cs="Arial"/>
        </w:rPr>
        <w:t xml:space="preserve"> applies the </w:t>
      </w:r>
      <w:r w:rsidRPr="009842FF">
        <w:rPr>
          <w:rFonts w:ascii="Arial" w:hAnsi="Arial" w:cs="Arial"/>
        </w:rPr>
        <w:t>Innovation Ambition Matrix</w:t>
      </w:r>
      <w:r w:rsidRPr="00712D53">
        <w:rPr>
          <w:rFonts w:ascii="Arial" w:hAnsi="Arial" w:cs="Arial"/>
        </w:rPr>
        <w:t xml:space="preserve"> to categorize BP’s current portfolio and utilizes </w:t>
      </w:r>
      <w:r w:rsidRPr="009842FF">
        <w:rPr>
          <w:rFonts w:ascii="Arial" w:hAnsi="Arial" w:cs="Arial"/>
        </w:rPr>
        <w:t>Customer Journey Mapping</w:t>
      </w:r>
      <w:r w:rsidRPr="00712D53">
        <w:rPr>
          <w:rFonts w:ascii="Arial" w:hAnsi="Arial" w:cs="Arial"/>
        </w:rPr>
        <w:t xml:space="preserve"> to analyse the experience of the growing electric vehicle (EV) customer base.</w:t>
      </w:r>
    </w:p>
    <w:p w14:paraId="55A4D880" w14:textId="40665A39" w:rsidR="004D7BB6" w:rsidRDefault="00712D53" w:rsidP="00BD34A4">
      <w:pPr>
        <w:numPr>
          <w:ilvl w:val="0"/>
          <w:numId w:val="9"/>
        </w:numPr>
        <w:spacing w:line="360" w:lineRule="auto"/>
        <w:jc w:val="both"/>
        <w:rPr>
          <w:rFonts w:ascii="Arial" w:hAnsi="Arial" w:cs="Arial"/>
        </w:rPr>
      </w:pPr>
      <w:r w:rsidRPr="00712D53">
        <w:rPr>
          <w:rFonts w:ascii="Arial" w:hAnsi="Arial" w:cs="Arial"/>
          <w:b/>
          <w:bCs/>
        </w:rPr>
        <w:t>Part 2</w:t>
      </w:r>
      <w:r w:rsidRPr="00712D53">
        <w:rPr>
          <w:rFonts w:ascii="Arial" w:hAnsi="Arial" w:cs="Arial"/>
        </w:rPr>
        <w:t xml:space="preserve"> proposes a transformational digital initiative</w:t>
      </w:r>
      <w:r w:rsidRPr="009B5B3F">
        <w:rPr>
          <w:rFonts w:ascii="Arial" w:hAnsi="Arial" w:cs="Arial"/>
        </w:rPr>
        <w:t xml:space="preserve"> </w:t>
      </w:r>
      <w:r w:rsidRPr="00712D53">
        <w:rPr>
          <w:rFonts w:ascii="Arial" w:hAnsi="Arial" w:cs="Arial"/>
        </w:rPr>
        <w:t xml:space="preserve">the </w:t>
      </w:r>
      <w:r w:rsidRPr="00712D53">
        <w:rPr>
          <w:rFonts w:ascii="Arial" w:hAnsi="Arial" w:cs="Arial"/>
          <w:b/>
          <w:bCs/>
        </w:rPr>
        <w:t>"</w:t>
      </w:r>
      <w:r w:rsidRPr="009842FF">
        <w:rPr>
          <w:rFonts w:ascii="Arial" w:hAnsi="Arial" w:cs="Arial"/>
        </w:rPr>
        <w:t>BP Neuro-Hub</w:t>
      </w:r>
      <w:r w:rsidRPr="00712D53">
        <w:rPr>
          <w:rFonts w:ascii="Arial" w:hAnsi="Arial" w:cs="Arial"/>
          <w:b/>
          <w:bCs/>
        </w:rPr>
        <w:t>"</w:t>
      </w:r>
      <w:r w:rsidRPr="009B5B3F">
        <w:rPr>
          <w:rFonts w:ascii="Arial" w:hAnsi="Arial" w:cs="Arial"/>
        </w:rPr>
        <w:t xml:space="preserve"> </w:t>
      </w:r>
      <w:r w:rsidRPr="00712D53">
        <w:rPr>
          <w:rFonts w:ascii="Arial" w:hAnsi="Arial" w:cs="Arial"/>
        </w:rPr>
        <w:t>designed to bridge the disconnect between energy consumption and retail convenience. This proposal leverages Design Thinking principles to solve the "dwell time" friction inherent in EV adoption, aiming to create a seamless, "phygital" ecosystem for the modern consumer.</w:t>
      </w:r>
    </w:p>
    <w:p w14:paraId="6545EDC3" w14:textId="77777777" w:rsidR="004D7BB6" w:rsidRDefault="004D7BB6" w:rsidP="00822BE6">
      <w:pPr>
        <w:spacing w:line="360" w:lineRule="auto"/>
        <w:ind w:left="720"/>
        <w:rPr>
          <w:rFonts w:ascii="Arial" w:hAnsi="Arial" w:cs="Arial"/>
        </w:rPr>
      </w:pPr>
    </w:p>
    <w:p w14:paraId="58870F91" w14:textId="77777777" w:rsidR="009331F5" w:rsidRPr="004D7BB6" w:rsidRDefault="009331F5" w:rsidP="00822BE6">
      <w:pPr>
        <w:spacing w:line="360" w:lineRule="auto"/>
        <w:ind w:left="720"/>
        <w:rPr>
          <w:rFonts w:ascii="Arial" w:hAnsi="Arial" w:cs="Arial"/>
        </w:rPr>
      </w:pPr>
    </w:p>
    <w:p w14:paraId="30E52E2B" w14:textId="2E5C79FB" w:rsidR="00712D53" w:rsidRPr="009B5B3F" w:rsidRDefault="00712D53" w:rsidP="00822BE6">
      <w:pPr>
        <w:spacing w:line="360" w:lineRule="auto"/>
        <w:rPr>
          <w:rFonts w:ascii="Arial" w:hAnsi="Arial" w:cs="Arial"/>
        </w:rPr>
      </w:pPr>
    </w:p>
    <w:p w14:paraId="245DAF26" w14:textId="0D50A4C3" w:rsidR="00202438" w:rsidRPr="009B5B3F" w:rsidRDefault="002A0D47" w:rsidP="00822BE6">
      <w:pPr>
        <w:pStyle w:val="Heading1"/>
        <w:spacing w:line="360" w:lineRule="auto"/>
        <w:rPr>
          <w:rFonts w:ascii="Arial" w:hAnsi="Arial" w:cs="Arial"/>
        </w:rPr>
      </w:pPr>
      <w:bookmarkStart w:id="1" w:name="_Toc224395084"/>
      <w:r>
        <w:rPr>
          <w:rFonts w:ascii="Arial" w:hAnsi="Arial" w:cs="Arial"/>
        </w:rPr>
        <w:lastRenderedPageBreak/>
        <w:t xml:space="preserve">2. </w:t>
      </w:r>
      <w:r w:rsidR="00202438" w:rsidRPr="009B5B3F">
        <w:rPr>
          <w:rFonts w:ascii="Arial" w:hAnsi="Arial" w:cs="Arial"/>
        </w:rPr>
        <w:t>Key Consumer and Industry Trends</w:t>
      </w:r>
      <w:bookmarkEnd w:id="1"/>
    </w:p>
    <w:p w14:paraId="2F130D37" w14:textId="5EF194AE" w:rsidR="00822BE6" w:rsidRPr="00822BE6" w:rsidRDefault="00822BE6" w:rsidP="00822BE6">
      <w:pPr>
        <w:spacing w:line="360" w:lineRule="auto"/>
        <w:rPr>
          <w:rFonts w:ascii="Arial" w:hAnsi="Arial" w:cs="Arial"/>
          <w:b/>
          <w:bCs/>
        </w:rPr>
      </w:pPr>
      <w:r w:rsidRPr="00822BE6">
        <w:rPr>
          <w:rFonts w:ascii="Arial" w:hAnsi="Arial" w:cs="Arial"/>
          <w:b/>
          <w:bCs/>
        </w:rPr>
        <w:t>Understanding the Macro-Environmental Context for Design Thinking</w:t>
      </w:r>
    </w:p>
    <w:p w14:paraId="08EED312" w14:textId="77777777" w:rsidR="00822BE6" w:rsidRPr="00822BE6" w:rsidRDefault="00822BE6" w:rsidP="00BD34A4">
      <w:pPr>
        <w:spacing w:line="360" w:lineRule="auto"/>
        <w:jc w:val="both"/>
        <w:rPr>
          <w:rFonts w:ascii="Arial" w:hAnsi="Arial" w:cs="Arial"/>
        </w:rPr>
      </w:pPr>
      <w:r w:rsidRPr="00822BE6">
        <w:rPr>
          <w:rFonts w:ascii="Arial" w:hAnsi="Arial" w:cs="Arial"/>
        </w:rPr>
        <w:t>To effectively apply design thinking principles, one must first empathise with the broader environment in which the organisation operates. For BP plc, the UK market is undergoing structural transformation driven by regulatory pressure, technological disruption, and rapidly evolving consumer expectations. These macro-environmental shifts are not incremental; they represent a systemic redesign of mobility, retail, and energy consumption patterns. Understanding these trends is essential for identifying innovation opportunities that move beyond operational efficiency toward genuine customer-centric transformation (Vial, 2019).</w:t>
      </w:r>
    </w:p>
    <w:p w14:paraId="7C6FF479" w14:textId="77777777" w:rsidR="00822BE6" w:rsidRPr="00822BE6" w:rsidRDefault="00822BE6" w:rsidP="00822BE6">
      <w:pPr>
        <w:spacing w:line="360" w:lineRule="auto"/>
        <w:rPr>
          <w:rFonts w:ascii="Arial" w:hAnsi="Arial" w:cs="Arial"/>
          <w:b/>
          <w:bCs/>
        </w:rPr>
      </w:pPr>
      <w:r w:rsidRPr="00822BE6">
        <w:rPr>
          <w:rFonts w:ascii="Arial" w:hAnsi="Arial" w:cs="Arial"/>
          <w:b/>
          <w:bCs/>
        </w:rPr>
        <w:t>The Impact of the Energy Transition on Mobility Behaviour</w:t>
      </w:r>
    </w:p>
    <w:p w14:paraId="409C8813" w14:textId="77777777" w:rsidR="004D2482" w:rsidRDefault="004D2482" w:rsidP="00BD34A4">
      <w:pPr>
        <w:spacing w:line="360" w:lineRule="auto"/>
        <w:jc w:val="both"/>
        <w:rPr>
          <w:rFonts w:ascii="Arial" w:hAnsi="Arial" w:cs="Arial"/>
          <w:b/>
          <w:bCs/>
        </w:rPr>
      </w:pPr>
      <w:r w:rsidRPr="004D2482">
        <w:rPr>
          <w:rFonts w:ascii="Arial" w:hAnsi="Arial" w:cs="Arial"/>
        </w:rPr>
        <w:t>First, the acceleration of the UK’s energy transition is fundamentally altering mobility behaviour. Government commitments to phase out new petrol and diesel vehicles by 2035, combined with rising EV adoption rates, are reshaping the traditional forecourt model. The refuelling stops once, defined by speed and transactional efficiency, is becoming a longer, experience-driven charging session. This shift transforms the forecourt from a convenience pit-stop into a potential service destination. Consequently, reliability, digital integration, and customer reassurance are becoming more critical than fuel price competition (</w:t>
      </w:r>
      <w:proofErr w:type="spellStart"/>
      <w:r w:rsidRPr="004D2482">
        <w:rPr>
          <w:rFonts w:ascii="Arial" w:hAnsi="Arial" w:cs="Arial"/>
        </w:rPr>
        <w:t>Axsen</w:t>
      </w:r>
      <w:proofErr w:type="spellEnd"/>
      <w:r w:rsidRPr="004D2482">
        <w:rPr>
          <w:rFonts w:ascii="Arial" w:hAnsi="Arial" w:cs="Arial"/>
        </w:rPr>
        <w:t>, Bailey and Castro, 2015).</w:t>
      </w:r>
    </w:p>
    <w:p w14:paraId="408B166E" w14:textId="0BB1D747" w:rsidR="00822BE6" w:rsidRPr="00822BE6" w:rsidRDefault="00822BE6" w:rsidP="00822BE6">
      <w:pPr>
        <w:spacing w:line="360" w:lineRule="auto"/>
        <w:rPr>
          <w:rFonts w:ascii="Arial" w:hAnsi="Arial" w:cs="Arial"/>
          <w:b/>
          <w:bCs/>
        </w:rPr>
      </w:pPr>
      <w:r w:rsidRPr="00822BE6">
        <w:rPr>
          <w:rFonts w:ascii="Arial" w:hAnsi="Arial" w:cs="Arial"/>
          <w:b/>
          <w:bCs/>
        </w:rPr>
        <w:t>The Rise of Convenience-Driven Retail Behaviour</w:t>
      </w:r>
    </w:p>
    <w:p w14:paraId="3A23084F" w14:textId="77777777" w:rsidR="00223EB8" w:rsidRPr="00223EB8" w:rsidRDefault="00223EB8" w:rsidP="00BD34A4">
      <w:pPr>
        <w:spacing w:line="360" w:lineRule="auto"/>
        <w:jc w:val="both"/>
        <w:rPr>
          <w:rFonts w:ascii="Arial" w:hAnsi="Arial" w:cs="Arial"/>
        </w:rPr>
      </w:pPr>
      <w:r w:rsidRPr="00223EB8">
        <w:rPr>
          <w:rFonts w:ascii="Arial" w:hAnsi="Arial" w:cs="Arial"/>
        </w:rPr>
        <w:t>Second, consumer purchasing behaviour is shifting toward convenience-led, small-basket retailing. The growth of “</w:t>
      </w:r>
      <w:proofErr w:type="spellStart"/>
      <w:r w:rsidRPr="00223EB8">
        <w:rPr>
          <w:rFonts w:ascii="Arial" w:hAnsi="Arial" w:cs="Arial"/>
        </w:rPr>
        <w:t>foodvenience</w:t>
      </w:r>
      <w:proofErr w:type="spellEnd"/>
      <w:r w:rsidRPr="00223EB8">
        <w:rPr>
          <w:rFonts w:ascii="Arial" w:hAnsi="Arial" w:cs="Arial"/>
        </w:rPr>
        <w:t>” reflects a preference for top-up shopping, on-the-go meals, and hybrid work routines. Forecourts are increasingly competing with supermarkets, coffee chains, and quick-service restaurants. This convergence blurs industry boundaries and creates opportunities for integrated retail-energy ecosystems, particularly during EV dwell time (</w:t>
      </w:r>
      <w:proofErr w:type="spellStart"/>
      <w:r w:rsidRPr="00223EB8">
        <w:rPr>
          <w:rFonts w:ascii="Arial" w:hAnsi="Arial" w:cs="Arial"/>
        </w:rPr>
        <w:t>Morganosky</w:t>
      </w:r>
      <w:proofErr w:type="spellEnd"/>
      <w:r w:rsidRPr="00223EB8">
        <w:rPr>
          <w:rFonts w:ascii="Arial" w:hAnsi="Arial" w:cs="Arial"/>
        </w:rPr>
        <w:t xml:space="preserve"> and Cude, 2000).</w:t>
      </w:r>
    </w:p>
    <w:p w14:paraId="6D269F42" w14:textId="33D2D430" w:rsidR="00822BE6" w:rsidRPr="00822BE6" w:rsidRDefault="00822BE6" w:rsidP="00822BE6">
      <w:pPr>
        <w:spacing w:line="360" w:lineRule="auto"/>
        <w:rPr>
          <w:rFonts w:ascii="Arial" w:hAnsi="Arial" w:cs="Arial"/>
          <w:b/>
          <w:bCs/>
        </w:rPr>
      </w:pPr>
      <w:r w:rsidRPr="00822BE6">
        <w:rPr>
          <w:rFonts w:ascii="Arial" w:hAnsi="Arial" w:cs="Arial"/>
          <w:b/>
          <w:bCs/>
        </w:rPr>
        <w:t>Digitalisation and the Emergence of Hyper-Personalised Services</w:t>
      </w:r>
    </w:p>
    <w:p w14:paraId="7DB89EDC" w14:textId="77777777" w:rsidR="00822BE6" w:rsidRPr="00822BE6" w:rsidRDefault="00822BE6" w:rsidP="00822BE6">
      <w:pPr>
        <w:spacing w:line="360" w:lineRule="auto"/>
        <w:rPr>
          <w:rFonts w:ascii="Arial" w:hAnsi="Arial" w:cs="Arial"/>
        </w:rPr>
      </w:pPr>
      <w:r w:rsidRPr="00822BE6">
        <w:rPr>
          <w:rFonts w:ascii="Arial" w:hAnsi="Arial" w:cs="Arial"/>
        </w:rPr>
        <w:t xml:space="preserve">Third, digitalisation and hyper-personalisation are redefining customer expectations. Consumers now expect seamless, app-based ecosystems that integrate payment, navigation, loyalty, and service updates. The rise of connected vehicles and smart </w:t>
      </w:r>
      <w:r w:rsidRPr="00822BE6">
        <w:rPr>
          <w:rFonts w:ascii="Arial" w:hAnsi="Arial" w:cs="Arial"/>
        </w:rPr>
        <w:lastRenderedPageBreak/>
        <w:t>mobility platforms intensifies this expectation. Companies that fail to unify physical and digital touchpoints risk delivering fragmented experiences that erode trust and loyalty. As organisations undergo digital transformation, integrating technology with customer experience becomes a central strategic priority (Westerman, Bonnet and McAfee, 2014).</w:t>
      </w:r>
    </w:p>
    <w:p w14:paraId="3006DC34" w14:textId="77777777" w:rsidR="00822BE6" w:rsidRPr="00822BE6" w:rsidRDefault="00822BE6" w:rsidP="00822BE6">
      <w:pPr>
        <w:spacing w:line="360" w:lineRule="auto"/>
        <w:rPr>
          <w:rFonts w:ascii="Arial" w:hAnsi="Arial" w:cs="Arial"/>
          <w:b/>
          <w:bCs/>
        </w:rPr>
      </w:pPr>
      <w:r w:rsidRPr="00822BE6">
        <w:rPr>
          <w:rFonts w:ascii="Arial" w:hAnsi="Arial" w:cs="Arial"/>
          <w:b/>
          <w:bCs/>
        </w:rPr>
        <w:t>Strategic Implications for BP’s Customer Experience</w:t>
      </w:r>
    </w:p>
    <w:p w14:paraId="7AB4AC0F" w14:textId="1A33A364" w:rsidR="009B5B3F" w:rsidRPr="003D1B4A" w:rsidRDefault="00223EB8" w:rsidP="00BD34A4">
      <w:pPr>
        <w:spacing w:line="360" w:lineRule="auto"/>
        <w:jc w:val="both"/>
        <w:rPr>
          <w:rFonts w:ascii="Arial" w:hAnsi="Arial" w:cs="Arial"/>
        </w:rPr>
      </w:pPr>
      <w:r w:rsidRPr="00223EB8">
        <w:rPr>
          <w:rFonts w:ascii="Arial" w:hAnsi="Arial" w:cs="Arial"/>
        </w:rPr>
        <w:t>Together, these three macro trends create both disruption and opportunity for organisations operating in the energy and mobility sectors. For BP, they necessitate not only technological upgrades but also a fundamental redesign of the entire customer journey. As consumer expectations evolve toward seamless and integrated experiences, organisations must rethink how physical infrastructure, digital platforms, and service environments interact to deliver value to customers. This requires a holistic approach to service innovation in which organisations design coordinated touchpoints that enhance convenience, engagement, and overall customer experience (Verhoef et al., 2009).</w:t>
      </w:r>
    </w:p>
    <w:p w14:paraId="74F2EEE9" w14:textId="7CD10B8A" w:rsidR="00202438" w:rsidRPr="009B5B3F" w:rsidRDefault="00202438" w:rsidP="00822BE6">
      <w:pPr>
        <w:pStyle w:val="Heading2"/>
        <w:spacing w:line="360" w:lineRule="auto"/>
        <w:rPr>
          <w:rFonts w:ascii="Arial" w:hAnsi="Arial" w:cs="Arial"/>
        </w:rPr>
      </w:pPr>
      <w:bookmarkStart w:id="2" w:name="_Toc224395085"/>
      <w:r w:rsidRPr="009B5B3F">
        <w:rPr>
          <w:rFonts w:ascii="Arial" w:hAnsi="Arial" w:cs="Arial"/>
        </w:rPr>
        <w:t>2.1 The Energy Transition and EV Adoption</w:t>
      </w:r>
      <w:bookmarkEnd w:id="2"/>
    </w:p>
    <w:p w14:paraId="6D467F69" w14:textId="31DFC90C" w:rsidR="004D7BB6" w:rsidRPr="004D7BB6" w:rsidRDefault="004D7BB6" w:rsidP="00822BE6">
      <w:pPr>
        <w:pStyle w:val="Heading3"/>
        <w:spacing w:line="360" w:lineRule="auto"/>
        <w:rPr>
          <w:rFonts w:ascii="Arial" w:hAnsi="Arial" w:cs="Arial"/>
        </w:rPr>
      </w:pPr>
      <w:bookmarkStart w:id="3" w:name="_Toc224395086"/>
      <w:r w:rsidRPr="004D7BB6">
        <w:rPr>
          <w:rFonts w:ascii="Arial" w:hAnsi="Arial" w:cs="Arial"/>
        </w:rPr>
        <w:t>2.1.1 Government Policy as a Catalyst for Electric Vehicle Adoption</w:t>
      </w:r>
      <w:bookmarkEnd w:id="3"/>
    </w:p>
    <w:p w14:paraId="4492DE5F" w14:textId="77777777" w:rsidR="004D7BB6" w:rsidRPr="004D7BB6" w:rsidRDefault="004D7BB6" w:rsidP="00BD34A4">
      <w:pPr>
        <w:spacing w:line="360" w:lineRule="auto"/>
        <w:jc w:val="both"/>
        <w:rPr>
          <w:rFonts w:ascii="Arial" w:hAnsi="Arial" w:cs="Arial"/>
        </w:rPr>
      </w:pPr>
      <w:r w:rsidRPr="004D7BB6">
        <w:rPr>
          <w:rFonts w:ascii="Arial" w:hAnsi="Arial" w:cs="Arial"/>
        </w:rPr>
        <w:t>The transition toward low-carbon mobility is one of the most significant structural shifts currently affecting the energy and transport sectors. In the United Kingdom, government policy is a primary driver of this transformation. The UK government has committed to ending the sale of new petrol and diesel cars by 2035 as part of its broader decarbonisation strategy and net-zero commitments. This policy has fundamentally altered the long-term trajectory of personal mobility and is accelerating the adoption of electric vehicles across the country. The automotive market is already reflecting this shift. According to the Society of Motor Manufacturers and Traders (SMMT), battery electric vehicle (BEV) registrations accounted for approximately 19% of all new car sales in 2024, demonstrating a steady and significant increase in EV adoption compared to previous years (SMMT, 2025). As the proportion of EVs on UK roads continues to grow, industries historically dependent on fossil fuel consumption must rapidly adapt their business models and customer value propositions.</w:t>
      </w:r>
    </w:p>
    <w:p w14:paraId="5169CCD6" w14:textId="713D289B" w:rsidR="004D7BB6" w:rsidRPr="004D7BB6" w:rsidRDefault="004D7BB6" w:rsidP="00822BE6">
      <w:pPr>
        <w:pStyle w:val="Heading3"/>
        <w:spacing w:line="360" w:lineRule="auto"/>
        <w:rPr>
          <w:rFonts w:ascii="Arial" w:hAnsi="Arial" w:cs="Arial"/>
        </w:rPr>
      </w:pPr>
      <w:bookmarkStart w:id="4" w:name="_Toc224395087"/>
      <w:r w:rsidRPr="004D7BB6">
        <w:rPr>
          <w:rFonts w:ascii="Arial" w:hAnsi="Arial" w:cs="Arial"/>
        </w:rPr>
        <w:lastRenderedPageBreak/>
        <w:t>2.1.2 Electric Vehicles Redefining the Traditional Fuel Retail Model</w:t>
      </w:r>
      <w:bookmarkEnd w:id="4"/>
    </w:p>
    <w:p w14:paraId="62E3FDEA" w14:textId="2C9EA1FF" w:rsidR="004D7BB6" w:rsidRPr="004D7BB6" w:rsidRDefault="00931822" w:rsidP="00BD34A4">
      <w:pPr>
        <w:spacing w:line="360" w:lineRule="auto"/>
        <w:jc w:val="both"/>
        <w:rPr>
          <w:rFonts w:ascii="Arial" w:hAnsi="Arial" w:cs="Arial"/>
        </w:rPr>
      </w:pPr>
      <w:r w:rsidRPr="00931822">
        <w:rPr>
          <w:rFonts w:ascii="Arial" w:hAnsi="Arial" w:cs="Arial"/>
        </w:rPr>
        <w:t>For fuel retailers such as BP, this transformation represents a fundamental shift in the “job to be done” for customers visiting service stations. Traditionally, the core purpose of a petrol station visit was highly transactional and time efficient. Drivers would stop briefly to refuel their vehicles, typically spending only a few minutes at the pump before continuing their journey. This behaviour positioned fuel stations primarily as convenience stops rather than destinations. However, the rise of electric vehicles is fundamentally altering this dynamic. Charging an EV typically takes between 20 and 40 minutes depending on charger speed and battery capacity, which significantly extends the duration of the customer visit. Consequently, the traditional five-minute “fill-up” experience is gradually evolving into a longer “charging session”, transforming fuel stations into temporary dwell spaces where customers spend more time and potentially engage with additional services such as retail, food, or digital amenities (Hardman et al., 2018).</w:t>
      </w:r>
    </w:p>
    <w:p w14:paraId="5F90E17B" w14:textId="1B6E1556" w:rsidR="004D7BB6" w:rsidRPr="00300798" w:rsidRDefault="00300798" w:rsidP="00822BE6">
      <w:pPr>
        <w:pStyle w:val="Heading3"/>
        <w:spacing w:line="360" w:lineRule="auto"/>
        <w:rPr>
          <w:rFonts w:ascii="Arial" w:hAnsi="Arial" w:cs="Arial"/>
        </w:rPr>
      </w:pPr>
      <w:bookmarkStart w:id="5" w:name="_Toc224395088"/>
      <w:r w:rsidRPr="00300798">
        <w:rPr>
          <w:rFonts w:ascii="Arial" w:hAnsi="Arial" w:cs="Arial"/>
        </w:rPr>
        <w:t xml:space="preserve">2.1.3 </w:t>
      </w:r>
      <w:r w:rsidR="004D7BB6" w:rsidRPr="00300798">
        <w:rPr>
          <w:rFonts w:ascii="Arial" w:hAnsi="Arial" w:cs="Arial"/>
        </w:rPr>
        <w:t>The Strategic Importance of Customer Experience in EV Charging</w:t>
      </w:r>
      <w:bookmarkEnd w:id="5"/>
    </w:p>
    <w:p w14:paraId="542725F7" w14:textId="3810D4C1" w:rsidR="004D7BB6" w:rsidRPr="004D7BB6" w:rsidRDefault="00931822" w:rsidP="00BD34A4">
      <w:pPr>
        <w:spacing w:line="360" w:lineRule="auto"/>
        <w:jc w:val="both"/>
        <w:rPr>
          <w:rFonts w:ascii="Arial" w:hAnsi="Arial" w:cs="Arial"/>
        </w:rPr>
      </w:pPr>
      <w:r w:rsidRPr="00931822">
        <w:rPr>
          <w:rFonts w:ascii="Arial" w:hAnsi="Arial" w:cs="Arial"/>
        </w:rPr>
        <w:t>This shift has important implications for customer experience design and business innovation. Instead of focusing solely on speed and efficiency, service providers must now consider how to enhance the quality of the waiting experience. Charging locations increasingly function as micro-destinations where comfort, convenience, and supplementary services can influence consumer satisfaction and brand loyalty. Retail offerings, seating areas, Wi-Fi connectivity, and integrated digital payment systems may therefore become key components of the value proposition for modern charging hubs. Designing such integrated service environments is essential for creating positive customer experiences that influence satisfaction and long-term loyalty (Lemon and Verhoef, 2016).</w:t>
      </w:r>
    </w:p>
    <w:p w14:paraId="7CE85F5A" w14:textId="31BFF02B" w:rsidR="004D7BB6" w:rsidRPr="00300798" w:rsidRDefault="00300798" w:rsidP="00822BE6">
      <w:pPr>
        <w:pStyle w:val="Heading3"/>
        <w:spacing w:line="360" w:lineRule="auto"/>
        <w:rPr>
          <w:rFonts w:ascii="Arial" w:hAnsi="Arial" w:cs="Arial"/>
        </w:rPr>
      </w:pPr>
      <w:bookmarkStart w:id="6" w:name="_Toc224395089"/>
      <w:r w:rsidRPr="00300798">
        <w:rPr>
          <w:rFonts w:ascii="Arial" w:hAnsi="Arial" w:cs="Arial"/>
        </w:rPr>
        <w:t xml:space="preserve">2.1.4 </w:t>
      </w:r>
      <w:r w:rsidR="004D7BB6" w:rsidRPr="00300798">
        <w:rPr>
          <w:rFonts w:ascii="Arial" w:hAnsi="Arial" w:cs="Arial"/>
        </w:rPr>
        <w:t>The Evolution from Range Anxiety to Charging Anxiety</w:t>
      </w:r>
      <w:bookmarkEnd w:id="6"/>
    </w:p>
    <w:p w14:paraId="799EEBBD" w14:textId="1C23C2B8" w:rsidR="004D7BB6" w:rsidRPr="004D7BB6" w:rsidRDefault="00931822" w:rsidP="00BD34A4">
      <w:pPr>
        <w:spacing w:line="360" w:lineRule="auto"/>
        <w:jc w:val="both"/>
        <w:rPr>
          <w:rFonts w:ascii="Arial" w:hAnsi="Arial" w:cs="Arial"/>
        </w:rPr>
      </w:pPr>
      <w:r w:rsidRPr="00931822">
        <w:rPr>
          <w:rFonts w:ascii="Arial" w:hAnsi="Arial" w:cs="Arial"/>
        </w:rPr>
        <w:t>At the same time, the psychological barriers associated with EV adoption are evolving. In the early stages of the electric vehicle market, range anxiety</w:t>
      </w:r>
      <w:r>
        <w:rPr>
          <w:rFonts w:ascii="Arial" w:hAnsi="Arial" w:cs="Arial"/>
        </w:rPr>
        <w:t xml:space="preserve"> (</w:t>
      </w:r>
      <w:r w:rsidRPr="00931822">
        <w:rPr>
          <w:rFonts w:ascii="Arial" w:hAnsi="Arial" w:cs="Arial"/>
        </w:rPr>
        <w:t>the fear that a vehicle would run out of battery before reaching a charging point</w:t>
      </w:r>
      <w:r>
        <w:rPr>
          <w:rFonts w:ascii="Arial" w:hAnsi="Arial" w:cs="Arial"/>
        </w:rPr>
        <w:t xml:space="preserve">) </w:t>
      </w:r>
      <w:r w:rsidRPr="00931822">
        <w:rPr>
          <w:rFonts w:ascii="Arial" w:hAnsi="Arial" w:cs="Arial"/>
        </w:rPr>
        <w:t xml:space="preserve">was widely cited as the primary concern among potential EV buyers. However, as battery technology improves and the charging network expands, this concern is gradually being replaced by what industry analysts increasingly describe as “charging anxiety.” Charging anxiety refers </w:t>
      </w:r>
      <w:r w:rsidRPr="00931822">
        <w:rPr>
          <w:rFonts w:ascii="Arial" w:hAnsi="Arial" w:cs="Arial"/>
        </w:rPr>
        <w:lastRenderedPageBreak/>
        <w:t>to consumer concerns regarding the reliability, accessibility, and usability of charging infrastructure. Drivers worry about arriving at charging stations only to find that chargers are broken, occupied, incompatible with their payment methods, or difficult to use (Nicholas and Tal, 2017).</w:t>
      </w:r>
    </w:p>
    <w:p w14:paraId="60C6AF2A" w14:textId="67F9169C" w:rsidR="004D7BB6" w:rsidRPr="00300798" w:rsidRDefault="00300798" w:rsidP="00822BE6">
      <w:pPr>
        <w:pStyle w:val="Heading3"/>
        <w:spacing w:line="360" w:lineRule="auto"/>
        <w:rPr>
          <w:rFonts w:ascii="Arial" w:hAnsi="Arial" w:cs="Arial"/>
        </w:rPr>
      </w:pPr>
      <w:bookmarkStart w:id="7" w:name="_Toc224395090"/>
      <w:r w:rsidRPr="00300798">
        <w:rPr>
          <w:rFonts w:ascii="Arial" w:hAnsi="Arial" w:cs="Arial"/>
        </w:rPr>
        <w:t xml:space="preserve">2.1.5 </w:t>
      </w:r>
      <w:r w:rsidR="004D7BB6" w:rsidRPr="00300798">
        <w:rPr>
          <w:rFonts w:ascii="Arial" w:hAnsi="Arial" w:cs="Arial"/>
        </w:rPr>
        <w:t>Rapid Infrastructure Expansion and Persistent Reliability Issues</w:t>
      </w:r>
      <w:bookmarkEnd w:id="7"/>
    </w:p>
    <w:p w14:paraId="413AC1B0" w14:textId="77777777" w:rsidR="004D7BB6" w:rsidRPr="004D7BB6" w:rsidRDefault="004D7BB6" w:rsidP="00BD34A4">
      <w:pPr>
        <w:spacing w:line="360" w:lineRule="auto"/>
        <w:jc w:val="both"/>
        <w:rPr>
          <w:rFonts w:ascii="Arial" w:hAnsi="Arial" w:cs="Arial"/>
        </w:rPr>
      </w:pPr>
      <w:r w:rsidRPr="004D7BB6">
        <w:rPr>
          <w:rFonts w:ascii="Arial" w:hAnsi="Arial" w:cs="Arial"/>
        </w:rPr>
        <w:t xml:space="preserve">Infrastructure growth has been substantial in recent years, reflecting both public and private sector investment in EV charging networks. According to a 2024 report by </w:t>
      </w:r>
      <w:proofErr w:type="spellStart"/>
      <w:r w:rsidRPr="004D7BB6">
        <w:rPr>
          <w:rFonts w:ascii="Arial" w:hAnsi="Arial" w:cs="Arial"/>
        </w:rPr>
        <w:t>Zapmap</w:t>
      </w:r>
      <w:proofErr w:type="spellEnd"/>
      <w:r w:rsidRPr="004D7BB6">
        <w:rPr>
          <w:rFonts w:ascii="Arial" w:hAnsi="Arial" w:cs="Arial"/>
        </w:rPr>
        <w:t>, the number of public charging points in the UK grew by 38% during 2024 alone, illustrating the rapid expansion of charging infrastructure nationwide (</w:t>
      </w:r>
      <w:proofErr w:type="spellStart"/>
      <w:r w:rsidRPr="004D7BB6">
        <w:rPr>
          <w:rFonts w:ascii="Arial" w:hAnsi="Arial" w:cs="Arial"/>
        </w:rPr>
        <w:t>Zapmap</w:t>
      </w:r>
      <w:proofErr w:type="spellEnd"/>
      <w:r w:rsidRPr="004D7BB6">
        <w:rPr>
          <w:rFonts w:ascii="Arial" w:hAnsi="Arial" w:cs="Arial"/>
        </w:rPr>
        <w:t>, 2025). Despite this growth, reliability and user experience remain critical challenges for the industry. The same report highlighted that charger reliability and operational consistency remain among the primary detractors from the EV charging experience, indicating that infrastructure quantity alone is insufficient to ensure customer satisfaction.</w:t>
      </w:r>
    </w:p>
    <w:p w14:paraId="06255834" w14:textId="7D2740A4" w:rsidR="004D7BB6" w:rsidRPr="00300798" w:rsidRDefault="00300798" w:rsidP="00822BE6">
      <w:pPr>
        <w:pStyle w:val="Heading3"/>
        <w:spacing w:line="360" w:lineRule="auto"/>
        <w:rPr>
          <w:rFonts w:ascii="Arial" w:hAnsi="Arial" w:cs="Arial"/>
        </w:rPr>
      </w:pPr>
      <w:bookmarkStart w:id="8" w:name="_Toc224395091"/>
      <w:r w:rsidRPr="00300798">
        <w:rPr>
          <w:rFonts w:ascii="Arial" w:hAnsi="Arial" w:cs="Arial"/>
        </w:rPr>
        <w:t xml:space="preserve">2.1.6 </w:t>
      </w:r>
      <w:r w:rsidR="004D7BB6" w:rsidRPr="00300798">
        <w:rPr>
          <w:rFonts w:ascii="Arial" w:hAnsi="Arial" w:cs="Arial"/>
        </w:rPr>
        <w:t>Innovation Opportunities for Energy Companies in the EV Ecosystem</w:t>
      </w:r>
      <w:bookmarkEnd w:id="8"/>
    </w:p>
    <w:p w14:paraId="61B57F82" w14:textId="3A792ADF" w:rsidR="004D7BB6" w:rsidRPr="004D7BB6" w:rsidRDefault="00931822" w:rsidP="00BD34A4">
      <w:pPr>
        <w:spacing w:line="360" w:lineRule="auto"/>
        <w:jc w:val="both"/>
        <w:rPr>
          <w:rFonts w:ascii="Arial" w:hAnsi="Arial" w:cs="Arial"/>
        </w:rPr>
      </w:pPr>
      <w:r w:rsidRPr="00931822">
        <w:t xml:space="preserve"> </w:t>
      </w:r>
      <w:r w:rsidRPr="00931822">
        <w:rPr>
          <w:rFonts w:ascii="Arial" w:hAnsi="Arial" w:cs="Arial"/>
        </w:rPr>
        <w:t>For companies operating within the energy and mobility ecosystem, these developments highlight a critical opportunity for innovation. Improving charger reliability, simplifying payment systems, and enhancing the overall user journey at charging locations are becoming central priorities. From a design thinking perspective, understanding these evolving consumer needs and anxieties is essential for developing solutions that not only support the energy transition but also create compelling and user-centred charging experiences. As EV adoption accelerates, organisations that successfully address these emerging challenges will be better positioned to capture long-term value in the rapidly evolving mobility landscape. A user-centred innovation approach such as design thinking emphasises deep understanding of customer needs to develop solutions that generate sustainable competitive advantage (Brown, 2008).</w:t>
      </w:r>
    </w:p>
    <w:p w14:paraId="26C45D41" w14:textId="0AE9760C" w:rsidR="00202438" w:rsidRPr="00202438" w:rsidRDefault="00202438" w:rsidP="00822BE6">
      <w:pPr>
        <w:spacing w:line="360" w:lineRule="auto"/>
        <w:rPr>
          <w:rFonts w:ascii="Arial" w:hAnsi="Arial" w:cs="Arial"/>
        </w:rPr>
      </w:pPr>
    </w:p>
    <w:p w14:paraId="68034380" w14:textId="77777777" w:rsidR="009B5B3F" w:rsidRPr="009B5B3F" w:rsidRDefault="00202438" w:rsidP="00822BE6">
      <w:pPr>
        <w:pStyle w:val="Heading2"/>
        <w:spacing w:line="360" w:lineRule="auto"/>
        <w:rPr>
          <w:rFonts w:ascii="Arial" w:hAnsi="Arial" w:cs="Arial"/>
        </w:rPr>
      </w:pPr>
      <w:bookmarkStart w:id="9" w:name="_Toc224395092"/>
      <w:r w:rsidRPr="009B5B3F">
        <w:rPr>
          <w:rFonts w:ascii="Arial" w:hAnsi="Arial" w:cs="Arial"/>
        </w:rPr>
        <w:lastRenderedPageBreak/>
        <w:t>2.2 The Rise of "Foodvenience"</w:t>
      </w:r>
      <w:bookmarkEnd w:id="9"/>
    </w:p>
    <w:p w14:paraId="329445FD" w14:textId="5CCD799E" w:rsidR="009B5B3F" w:rsidRPr="002A0D47" w:rsidRDefault="00931822" w:rsidP="00BD34A4">
      <w:pPr>
        <w:spacing w:line="360" w:lineRule="auto"/>
        <w:jc w:val="both"/>
        <w:rPr>
          <w:rFonts w:ascii="Arial" w:eastAsiaTheme="majorEastAsia" w:hAnsi="Arial" w:cs="Arial"/>
          <w:color w:val="0F4761" w:themeColor="accent1" w:themeShade="BF"/>
          <w:sz w:val="32"/>
          <w:szCs w:val="32"/>
        </w:rPr>
      </w:pPr>
      <w:r w:rsidRPr="00931822">
        <w:rPr>
          <w:rFonts w:ascii="Arial" w:hAnsi="Arial" w:cs="Arial"/>
        </w:rPr>
        <w:t>Consumer behaviour in the UK grocery sector has shifted towards "top-up" shopping and on-the-go consumption, moving away from the traditional weekly "big shop." This has blurred the lines between fuel retailing and grocery. Data from Euromonitor (2024) suggests that forecourt retail is growing faster than traditional grocery channels, driven by strategic partnerships. For BP, this trend validates its longstanding partnership with Marks &amp; Spencer (M&amp;S). However, the challenge lies in monetizing the EV driver’s waiting time. The "</w:t>
      </w:r>
      <w:proofErr w:type="spellStart"/>
      <w:r w:rsidRPr="00931822">
        <w:rPr>
          <w:rFonts w:ascii="Arial" w:hAnsi="Arial" w:cs="Arial"/>
        </w:rPr>
        <w:t>foodvenience</w:t>
      </w:r>
      <w:proofErr w:type="spellEnd"/>
      <w:r w:rsidRPr="00931822">
        <w:rPr>
          <w:rFonts w:ascii="Arial" w:hAnsi="Arial" w:cs="Arial"/>
        </w:rPr>
        <w:t>" model must evolve from "grab-and-go" (optimised for speed) to "stay-and-consume" (optimi</w:t>
      </w:r>
      <w:r>
        <w:rPr>
          <w:rFonts w:ascii="Arial" w:hAnsi="Arial" w:cs="Arial"/>
        </w:rPr>
        <w:t>s</w:t>
      </w:r>
      <w:r w:rsidRPr="00931822">
        <w:rPr>
          <w:rFonts w:ascii="Arial" w:hAnsi="Arial" w:cs="Arial"/>
        </w:rPr>
        <w:t>ed for experience), requiring a redesign of the physical forecourt environment. Such changes in retail behaviour reflect broader shifts toward convenience-oriented consumption and smaller, more frequent shopping trips (Dawson, 2013).</w:t>
      </w:r>
    </w:p>
    <w:p w14:paraId="527F07FF" w14:textId="142670CF" w:rsidR="00202438" w:rsidRPr="009B5B3F" w:rsidRDefault="00202438" w:rsidP="00822BE6">
      <w:pPr>
        <w:pStyle w:val="Heading2"/>
        <w:spacing w:line="360" w:lineRule="auto"/>
        <w:rPr>
          <w:rFonts w:ascii="Arial" w:hAnsi="Arial" w:cs="Arial"/>
        </w:rPr>
      </w:pPr>
      <w:bookmarkStart w:id="10" w:name="_Toc224395093"/>
      <w:r w:rsidRPr="009B5B3F">
        <w:rPr>
          <w:rFonts w:ascii="Arial" w:hAnsi="Arial" w:cs="Arial"/>
        </w:rPr>
        <w:t>2.3 Digitali</w:t>
      </w:r>
      <w:r w:rsidR="00BD34A4">
        <w:rPr>
          <w:rFonts w:ascii="Arial" w:hAnsi="Arial" w:cs="Arial"/>
        </w:rPr>
        <w:t>s</w:t>
      </w:r>
      <w:r w:rsidRPr="009B5B3F">
        <w:rPr>
          <w:rFonts w:ascii="Arial" w:hAnsi="Arial" w:cs="Arial"/>
        </w:rPr>
        <w:t>ation and Hyper-Personalization</w:t>
      </w:r>
      <w:bookmarkEnd w:id="10"/>
    </w:p>
    <w:p w14:paraId="2CA472A5" w14:textId="09C51922" w:rsidR="009B5B3F" w:rsidRPr="009B5B3F" w:rsidRDefault="009B5B3F" w:rsidP="00BD34A4">
      <w:pPr>
        <w:spacing w:line="360" w:lineRule="auto"/>
        <w:jc w:val="both"/>
        <w:rPr>
          <w:rFonts w:ascii="Arial" w:hAnsi="Arial" w:cs="Arial"/>
        </w:rPr>
      </w:pPr>
      <w:r w:rsidRPr="009B5B3F">
        <w:rPr>
          <w:rFonts w:ascii="Arial" w:hAnsi="Arial" w:cs="Arial"/>
        </w:rPr>
        <w:t>Customers accustomed to the seamless, algorithmic experiences of Amazon, Netflix, and Uber now expect similar friction lessness in physical retail. This is the era of "Phygital" retail</w:t>
      </w:r>
      <w:r>
        <w:rPr>
          <w:rFonts w:ascii="Arial" w:hAnsi="Arial" w:cs="Arial"/>
        </w:rPr>
        <w:t xml:space="preserve"> </w:t>
      </w:r>
      <w:r w:rsidRPr="009B5B3F">
        <w:rPr>
          <w:rFonts w:ascii="Arial" w:hAnsi="Arial" w:cs="Arial"/>
        </w:rPr>
        <w:t>where digital layers enhance physical interactions.</w:t>
      </w:r>
    </w:p>
    <w:p w14:paraId="3BCEF5FD" w14:textId="77777777" w:rsidR="009B5B3F" w:rsidRPr="009B5B3F" w:rsidRDefault="009B5B3F" w:rsidP="00BD34A4">
      <w:pPr>
        <w:numPr>
          <w:ilvl w:val="0"/>
          <w:numId w:val="11"/>
        </w:numPr>
        <w:spacing w:line="360" w:lineRule="auto"/>
        <w:jc w:val="both"/>
        <w:rPr>
          <w:rFonts w:ascii="Arial" w:hAnsi="Arial" w:cs="Arial"/>
        </w:rPr>
      </w:pPr>
      <w:r w:rsidRPr="009B5B3F">
        <w:rPr>
          <w:rFonts w:ascii="Arial" w:hAnsi="Arial" w:cs="Arial"/>
          <w:b/>
          <w:bCs/>
        </w:rPr>
        <w:t>Data Silos:</w:t>
      </w:r>
      <w:r w:rsidRPr="009B5B3F">
        <w:rPr>
          <w:rFonts w:ascii="Arial" w:hAnsi="Arial" w:cs="Arial"/>
        </w:rPr>
        <w:t xml:space="preserve"> Currently, energy companies struggle to integrate data. A customer might use a fuel card for payment, a loyalty app for points, and a third-party navigation app to find the station.</w:t>
      </w:r>
    </w:p>
    <w:p w14:paraId="0DBFC0C8" w14:textId="77777777" w:rsidR="009B5B3F" w:rsidRPr="009B5B3F" w:rsidRDefault="009B5B3F" w:rsidP="00BD34A4">
      <w:pPr>
        <w:numPr>
          <w:ilvl w:val="0"/>
          <w:numId w:val="11"/>
        </w:numPr>
        <w:spacing w:line="360" w:lineRule="auto"/>
        <w:jc w:val="both"/>
        <w:rPr>
          <w:rFonts w:ascii="Arial" w:hAnsi="Arial" w:cs="Arial"/>
        </w:rPr>
      </w:pPr>
      <w:r w:rsidRPr="009B5B3F">
        <w:rPr>
          <w:rFonts w:ascii="Arial" w:hAnsi="Arial" w:cs="Arial"/>
          <w:b/>
          <w:bCs/>
        </w:rPr>
        <w:t>The Expectation:</w:t>
      </w:r>
      <w:r w:rsidRPr="009B5B3F">
        <w:rPr>
          <w:rFonts w:ascii="Arial" w:hAnsi="Arial" w:cs="Arial"/>
        </w:rPr>
        <w:t xml:space="preserve"> Modern consumers expect an ecosystem where their car, their payment method, and their retail preferences are connected. As noted by Westerman et al. (2014), leading digital masters focus on "transforming the customer experience" rather than just digitizing operational processes.</w:t>
      </w:r>
    </w:p>
    <w:p w14:paraId="74F00900" w14:textId="392E9C82" w:rsidR="00202438" w:rsidRPr="009B5B3F" w:rsidRDefault="00202438" w:rsidP="00822BE6">
      <w:pPr>
        <w:pStyle w:val="Heading1"/>
        <w:numPr>
          <w:ilvl w:val="1"/>
          <w:numId w:val="11"/>
        </w:numPr>
        <w:spacing w:line="360" w:lineRule="auto"/>
        <w:rPr>
          <w:rFonts w:ascii="Arial" w:hAnsi="Arial" w:cs="Arial"/>
        </w:rPr>
      </w:pPr>
      <w:bookmarkStart w:id="11" w:name="_Toc224395094"/>
      <w:r w:rsidRPr="009B5B3F">
        <w:rPr>
          <w:rFonts w:ascii="Arial" w:hAnsi="Arial" w:cs="Arial"/>
        </w:rPr>
        <w:t>Strategic Analysis of Innovation</w:t>
      </w:r>
      <w:bookmarkEnd w:id="11"/>
    </w:p>
    <w:p w14:paraId="561C9D47" w14:textId="150D83DE" w:rsidR="00202438" w:rsidRPr="009B5B3F" w:rsidRDefault="00931822" w:rsidP="00BD34A4">
      <w:pPr>
        <w:spacing w:line="360" w:lineRule="auto"/>
        <w:jc w:val="both"/>
        <w:rPr>
          <w:rFonts w:ascii="Arial" w:hAnsi="Arial" w:cs="Arial"/>
        </w:rPr>
      </w:pPr>
      <w:r w:rsidRPr="00931822">
        <w:rPr>
          <w:rFonts w:ascii="Arial" w:hAnsi="Arial" w:cs="Arial"/>
        </w:rPr>
        <w:t xml:space="preserve">To assess how BP is responding to these emerging challenges and opportunities, it is necessary to apply structured analytical frameworks that evaluate the organisation’s innovation strategy. Two core frameworks are particularly useful in this context: the Innovation Ambition Matrix and Customer Journey Mapping. The Innovation Ambition Matrix helps organisations categorise innovation initiatives according to their strategic scope, distinguishing between core, adjacent, and transformational innovations. </w:t>
      </w:r>
      <w:r w:rsidRPr="00931822">
        <w:rPr>
          <w:rFonts w:ascii="Arial" w:hAnsi="Arial" w:cs="Arial"/>
        </w:rPr>
        <w:lastRenderedPageBreak/>
        <w:t>Meanwhile, Customer Journey Mapping provides insight into how customers interact with a company’s services across multiple touchpoints, allowing organisations to identify friction points and opportunities for improvement. Together, these frameworks enable a more comprehensive understanding of how BP can align its innovation activities with evolving consumer expectations and the broader transformation of the mobility and energy ecosystem (</w:t>
      </w:r>
      <w:proofErr w:type="spellStart"/>
      <w:r w:rsidRPr="00931822">
        <w:rPr>
          <w:rFonts w:ascii="Arial" w:hAnsi="Arial" w:cs="Arial"/>
        </w:rPr>
        <w:t>Nagji</w:t>
      </w:r>
      <w:proofErr w:type="spellEnd"/>
      <w:r w:rsidRPr="00931822">
        <w:rPr>
          <w:rFonts w:ascii="Arial" w:hAnsi="Arial" w:cs="Arial"/>
        </w:rPr>
        <w:t xml:space="preserve"> and Tuff, 2012).</w:t>
      </w:r>
    </w:p>
    <w:p w14:paraId="379649EC" w14:textId="77777777" w:rsidR="00202438" w:rsidRPr="009B5B3F" w:rsidRDefault="00202438" w:rsidP="00822BE6">
      <w:pPr>
        <w:pStyle w:val="Heading2"/>
        <w:spacing w:line="360" w:lineRule="auto"/>
        <w:rPr>
          <w:rFonts w:ascii="Arial" w:hAnsi="Arial" w:cs="Arial"/>
        </w:rPr>
      </w:pPr>
      <w:bookmarkStart w:id="12" w:name="_Toc224395095"/>
      <w:r w:rsidRPr="009B5B3F">
        <w:rPr>
          <w:rFonts w:ascii="Arial" w:hAnsi="Arial" w:cs="Arial"/>
        </w:rPr>
        <w:t>3.1 The Innovation Ambition Matrix</w:t>
      </w:r>
      <w:bookmarkEnd w:id="12"/>
    </w:p>
    <w:p w14:paraId="655D778A" w14:textId="37467FD5" w:rsidR="00202438" w:rsidRPr="00202438" w:rsidRDefault="009B5B3F" w:rsidP="00BD34A4">
      <w:pPr>
        <w:spacing w:line="360" w:lineRule="auto"/>
        <w:jc w:val="both"/>
        <w:rPr>
          <w:rFonts w:ascii="Arial" w:hAnsi="Arial" w:cs="Arial"/>
        </w:rPr>
      </w:pPr>
      <w:r w:rsidRPr="009B5B3F">
        <w:rPr>
          <w:rFonts w:ascii="Arial" w:hAnsi="Arial" w:cs="Arial"/>
        </w:rPr>
        <w:t xml:space="preserve">The </w:t>
      </w:r>
      <w:r w:rsidRPr="002A0D47">
        <w:rPr>
          <w:rFonts w:ascii="Arial" w:hAnsi="Arial" w:cs="Arial"/>
        </w:rPr>
        <w:t>Innovation Ambition Matrix</w:t>
      </w:r>
      <w:r w:rsidRPr="009B5B3F">
        <w:rPr>
          <w:rFonts w:ascii="Arial" w:hAnsi="Arial" w:cs="Arial"/>
        </w:rPr>
        <w:t xml:space="preserve">, developed by Nagji and Tuff (2012), categorizes innovation activity into three bands: </w:t>
      </w:r>
      <w:r w:rsidRPr="002A0D47">
        <w:rPr>
          <w:rFonts w:ascii="Arial" w:hAnsi="Arial" w:cs="Arial"/>
        </w:rPr>
        <w:t>Core, Adjacent, and Transformational</w:t>
      </w:r>
      <w:r w:rsidRPr="009B5B3F">
        <w:rPr>
          <w:rFonts w:ascii="Arial" w:hAnsi="Arial" w:cs="Arial"/>
        </w:rPr>
        <w:t>. This framework is essential for visualizing whether an organisation is playing it safe or genuinely investing in its future survival.</w:t>
      </w:r>
    </w:p>
    <w:p w14:paraId="350E158E" w14:textId="39C38BB1" w:rsidR="00202438" w:rsidRPr="009B5B3F" w:rsidRDefault="00202438" w:rsidP="00822BE6">
      <w:pPr>
        <w:pStyle w:val="Heading3"/>
        <w:spacing w:line="360" w:lineRule="auto"/>
        <w:rPr>
          <w:rFonts w:ascii="Arial" w:hAnsi="Arial" w:cs="Arial"/>
        </w:rPr>
      </w:pPr>
      <w:bookmarkStart w:id="13" w:name="_Toc224395096"/>
      <w:r w:rsidRPr="009B5B3F">
        <w:rPr>
          <w:rFonts w:ascii="Arial" w:hAnsi="Arial" w:cs="Arial"/>
        </w:rPr>
        <w:t>3.1.1 Core Innovation (Optimi</w:t>
      </w:r>
      <w:r w:rsidR="00BD34A4">
        <w:rPr>
          <w:rFonts w:ascii="Arial" w:hAnsi="Arial" w:cs="Arial"/>
        </w:rPr>
        <w:t>s</w:t>
      </w:r>
      <w:r w:rsidRPr="009B5B3F">
        <w:rPr>
          <w:rFonts w:ascii="Arial" w:hAnsi="Arial" w:cs="Arial"/>
        </w:rPr>
        <w:t>ing Existing Assets)</w:t>
      </w:r>
      <w:bookmarkEnd w:id="13"/>
    </w:p>
    <w:p w14:paraId="25E00734" w14:textId="77777777" w:rsidR="009B5B3F" w:rsidRPr="009B5B3F" w:rsidRDefault="009B5B3F" w:rsidP="00BD34A4">
      <w:pPr>
        <w:spacing w:line="360" w:lineRule="auto"/>
        <w:ind w:left="720"/>
        <w:jc w:val="both"/>
        <w:rPr>
          <w:rFonts w:ascii="Arial" w:hAnsi="Arial" w:cs="Arial"/>
        </w:rPr>
      </w:pPr>
      <w:r w:rsidRPr="009B5B3F">
        <w:rPr>
          <w:rFonts w:ascii="Arial" w:hAnsi="Arial" w:cs="Arial"/>
          <w:i/>
          <w:iCs/>
        </w:rPr>
        <w:t>Definition:</w:t>
      </w:r>
      <w:r w:rsidRPr="009B5B3F">
        <w:rPr>
          <w:rFonts w:ascii="Arial" w:hAnsi="Arial" w:cs="Arial"/>
        </w:rPr>
        <w:t xml:space="preserve"> Initiatives that optimize existing products for existing customers.</w:t>
      </w:r>
    </w:p>
    <w:p w14:paraId="1E812325" w14:textId="77777777" w:rsidR="009B5B3F" w:rsidRPr="009B5B3F" w:rsidRDefault="009B5B3F" w:rsidP="00BD34A4">
      <w:pPr>
        <w:numPr>
          <w:ilvl w:val="0"/>
          <w:numId w:val="12"/>
        </w:numPr>
        <w:spacing w:line="360" w:lineRule="auto"/>
        <w:jc w:val="both"/>
        <w:rPr>
          <w:rFonts w:ascii="Arial" w:hAnsi="Arial" w:cs="Arial"/>
        </w:rPr>
      </w:pPr>
      <w:r w:rsidRPr="009B5B3F">
        <w:rPr>
          <w:rFonts w:ascii="Arial" w:hAnsi="Arial" w:cs="Arial"/>
          <w:b/>
          <w:bCs/>
        </w:rPr>
        <w:t>BP’s Activity:</w:t>
      </w:r>
      <w:r w:rsidRPr="009B5B3F">
        <w:rPr>
          <w:rFonts w:ascii="Arial" w:hAnsi="Arial" w:cs="Arial"/>
        </w:rPr>
        <w:t xml:space="preserve"> BP continues to invest heavily in the digitalization of its upstream assets. For example, the use of </w:t>
      </w:r>
      <w:r w:rsidRPr="009842FF">
        <w:rPr>
          <w:rFonts w:ascii="Arial" w:hAnsi="Arial" w:cs="Arial"/>
        </w:rPr>
        <w:t>Digital Twin</w:t>
      </w:r>
      <w:r w:rsidRPr="009B5B3F">
        <w:rPr>
          <w:rFonts w:ascii="Arial" w:hAnsi="Arial" w:cs="Arial"/>
        </w:rPr>
        <w:t xml:space="preserve"> technology in offshore rigs (e.g., in the North Sea) allows BP to create virtual replicas of physical assets. This enables predictive maintenance, reducing downtime and improving safety (BP Technology Report, 2023).</w:t>
      </w:r>
    </w:p>
    <w:p w14:paraId="5B2E0055" w14:textId="77777777" w:rsidR="009B5B3F" w:rsidRPr="009B5B3F" w:rsidRDefault="009B5B3F" w:rsidP="00BD34A4">
      <w:pPr>
        <w:numPr>
          <w:ilvl w:val="0"/>
          <w:numId w:val="12"/>
        </w:numPr>
        <w:spacing w:line="360" w:lineRule="auto"/>
        <w:jc w:val="both"/>
        <w:rPr>
          <w:rFonts w:ascii="Arial" w:hAnsi="Arial" w:cs="Arial"/>
        </w:rPr>
      </w:pPr>
      <w:r w:rsidRPr="009B5B3F">
        <w:rPr>
          <w:rFonts w:ascii="Arial" w:hAnsi="Arial" w:cs="Arial"/>
          <w:b/>
          <w:bCs/>
        </w:rPr>
        <w:t>Retail Context:</w:t>
      </w:r>
      <w:r w:rsidRPr="009B5B3F">
        <w:rPr>
          <w:rFonts w:ascii="Arial" w:hAnsi="Arial" w:cs="Arial"/>
        </w:rPr>
        <w:t xml:space="preserve"> In the UK forecourt sector, the continuous refreshment of the "Wild Bean Cafe" brand represents core innovation. It improves the quality of coffee and food to increase basket size for existing fuel customers without changing the fundamental business model.</w:t>
      </w:r>
    </w:p>
    <w:p w14:paraId="0ECF9812" w14:textId="77777777" w:rsidR="009B5B3F" w:rsidRPr="009B5B3F" w:rsidRDefault="009B5B3F" w:rsidP="00BD34A4">
      <w:pPr>
        <w:numPr>
          <w:ilvl w:val="0"/>
          <w:numId w:val="12"/>
        </w:numPr>
        <w:spacing w:line="360" w:lineRule="auto"/>
        <w:jc w:val="both"/>
        <w:rPr>
          <w:rFonts w:ascii="Arial" w:hAnsi="Arial" w:cs="Arial"/>
        </w:rPr>
      </w:pPr>
      <w:r w:rsidRPr="009B5B3F">
        <w:rPr>
          <w:rFonts w:ascii="Arial" w:hAnsi="Arial" w:cs="Arial"/>
          <w:b/>
          <w:bCs/>
        </w:rPr>
        <w:t>Critique:</w:t>
      </w:r>
      <w:r w:rsidRPr="009B5B3F">
        <w:rPr>
          <w:rFonts w:ascii="Arial" w:hAnsi="Arial" w:cs="Arial"/>
        </w:rPr>
        <w:t xml:space="preserve"> These innovations are vital for cash flow ("feeding the cow"), but they are defensive. They sustain the current business but offer no protection against the long-term decline of hydrocarbon demand.</w:t>
      </w:r>
    </w:p>
    <w:p w14:paraId="1C94D768" w14:textId="77777777" w:rsidR="00202438" w:rsidRDefault="00202438" w:rsidP="00822BE6">
      <w:pPr>
        <w:spacing w:line="360" w:lineRule="auto"/>
        <w:ind w:left="720"/>
        <w:rPr>
          <w:rFonts w:ascii="Arial" w:hAnsi="Arial" w:cs="Arial"/>
        </w:rPr>
      </w:pPr>
    </w:p>
    <w:p w14:paraId="3F6AE6DE" w14:textId="77777777" w:rsidR="00BD34A4" w:rsidRDefault="00BD34A4" w:rsidP="00822BE6">
      <w:pPr>
        <w:spacing w:line="360" w:lineRule="auto"/>
        <w:ind w:left="720"/>
        <w:rPr>
          <w:rFonts w:ascii="Arial" w:hAnsi="Arial" w:cs="Arial"/>
        </w:rPr>
      </w:pPr>
    </w:p>
    <w:p w14:paraId="25D174E9" w14:textId="77777777" w:rsidR="00BD34A4" w:rsidRPr="00202438" w:rsidRDefault="00BD34A4" w:rsidP="00822BE6">
      <w:pPr>
        <w:spacing w:line="360" w:lineRule="auto"/>
        <w:ind w:left="720"/>
        <w:rPr>
          <w:rFonts w:ascii="Arial" w:hAnsi="Arial" w:cs="Arial"/>
        </w:rPr>
      </w:pPr>
    </w:p>
    <w:p w14:paraId="70A5D9DD" w14:textId="77777777" w:rsidR="00202438" w:rsidRPr="009B5B3F" w:rsidRDefault="00202438" w:rsidP="00822BE6">
      <w:pPr>
        <w:pStyle w:val="Heading3"/>
        <w:spacing w:line="360" w:lineRule="auto"/>
        <w:rPr>
          <w:rFonts w:ascii="Arial" w:hAnsi="Arial" w:cs="Arial"/>
        </w:rPr>
      </w:pPr>
      <w:bookmarkStart w:id="14" w:name="_Toc224395097"/>
      <w:r w:rsidRPr="009B5B3F">
        <w:rPr>
          <w:rFonts w:ascii="Arial" w:hAnsi="Arial" w:cs="Arial"/>
        </w:rPr>
        <w:lastRenderedPageBreak/>
        <w:t>3.1.2 Adjacent Innovation (Expanding from Existing Capabilities)</w:t>
      </w:r>
      <w:bookmarkEnd w:id="14"/>
    </w:p>
    <w:p w14:paraId="6B9224DC" w14:textId="77777777" w:rsidR="009B5B3F" w:rsidRPr="009B5B3F" w:rsidRDefault="009B5B3F" w:rsidP="00822BE6">
      <w:pPr>
        <w:spacing w:line="360" w:lineRule="auto"/>
        <w:rPr>
          <w:rFonts w:ascii="Arial" w:hAnsi="Arial" w:cs="Arial"/>
        </w:rPr>
      </w:pPr>
      <w:r w:rsidRPr="009B5B3F">
        <w:rPr>
          <w:rFonts w:ascii="Arial" w:hAnsi="Arial" w:cs="Arial"/>
          <w:i/>
          <w:iCs/>
        </w:rPr>
        <w:t>Definition:</w:t>
      </w:r>
      <w:r w:rsidRPr="009B5B3F">
        <w:rPr>
          <w:rFonts w:ascii="Arial" w:hAnsi="Arial" w:cs="Arial"/>
        </w:rPr>
        <w:t xml:space="preserve"> Expanding from existing business into "new to the company" business, utilizing existing strengths.</w:t>
      </w:r>
    </w:p>
    <w:p w14:paraId="609CF44C" w14:textId="6CAD0328" w:rsidR="009B5B3F" w:rsidRPr="009B5B3F" w:rsidRDefault="009B5B3F" w:rsidP="00BD34A4">
      <w:pPr>
        <w:numPr>
          <w:ilvl w:val="0"/>
          <w:numId w:val="13"/>
        </w:numPr>
        <w:spacing w:line="360" w:lineRule="auto"/>
        <w:jc w:val="both"/>
        <w:rPr>
          <w:rFonts w:ascii="Arial" w:hAnsi="Arial" w:cs="Arial"/>
        </w:rPr>
      </w:pPr>
      <w:r w:rsidRPr="009B5B3F">
        <w:rPr>
          <w:rFonts w:ascii="Arial" w:hAnsi="Arial" w:cs="Arial"/>
          <w:b/>
          <w:bCs/>
        </w:rPr>
        <w:t>BP’s Activity:</w:t>
      </w:r>
      <w:r w:rsidRPr="009B5B3F">
        <w:rPr>
          <w:rFonts w:ascii="Arial" w:hAnsi="Arial" w:cs="Arial"/>
        </w:rPr>
        <w:t xml:space="preserve"> The BP x M&amp;S Partnership is a prime example. BP leveraged its prime real estate (existing asset) but introduced high-quality grocery retail (new product capability) to capture a different "shopper mission"</w:t>
      </w:r>
      <w:r>
        <w:rPr>
          <w:rFonts w:ascii="Arial" w:hAnsi="Arial" w:cs="Arial"/>
        </w:rPr>
        <w:t xml:space="preserve"> </w:t>
      </w:r>
      <w:r w:rsidRPr="009B5B3F">
        <w:rPr>
          <w:rFonts w:ascii="Arial" w:hAnsi="Arial" w:cs="Arial"/>
        </w:rPr>
        <w:t>the dinner-for-tonight shopper rather than just the fuel customer.</w:t>
      </w:r>
    </w:p>
    <w:p w14:paraId="0054E280" w14:textId="77777777" w:rsidR="009B5B3F" w:rsidRPr="009B5B3F" w:rsidRDefault="009B5B3F" w:rsidP="00BD34A4">
      <w:pPr>
        <w:numPr>
          <w:ilvl w:val="0"/>
          <w:numId w:val="13"/>
        </w:numPr>
        <w:spacing w:line="360" w:lineRule="auto"/>
        <w:jc w:val="both"/>
        <w:rPr>
          <w:rFonts w:ascii="Arial" w:hAnsi="Arial" w:cs="Arial"/>
        </w:rPr>
      </w:pPr>
      <w:r w:rsidRPr="009B5B3F">
        <w:rPr>
          <w:rFonts w:ascii="Arial" w:hAnsi="Arial" w:cs="Arial"/>
          <w:b/>
          <w:bCs/>
        </w:rPr>
        <w:t>Biofuels/SAF:</w:t>
      </w:r>
      <w:r w:rsidRPr="009B5B3F">
        <w:rPr>
          <w:rFonts w:ascii="Arial" w:hAnsi="Arial" w:cs="Arial"/>
        </w:rPr>
        <w:t xml:space="preserve"> Sustainable Aviation Fuel (SAF) production is also adjacent. It utilizes BP’s existing refining and distribution infrastructure (core assets) but delivers a lower-carbon product to existing B2B clients who are under pressure to decarbonize (BP Annual Report, 2023).</w:t>
      </w:r>
    </w:p>
    <w:p w14:paraId="538208A3" w14:textId="77777777" w:rsidR="009B5B3F" w:rsidRPr="009B5B3F" w:rsidRDefault="009B5B3F" w:rsidP="00BD34A4">
      <w:pPr>
        <w:numPr>
          <w:ilvl w:val="0"/>
          <w:numId w:val="13"/>
        </w:numPr>
        <w:spacing w:line="360" w:lineRule="auto"/>
        <w:jc w:val="both"/>
        <w:rPr>
          <w:rFonts w:ascii="Arial" w:hAnsi="Arial" w:cs="Arial"/>
        </w:rPr>
      </w:pPr>
      <w:r w:rsidRPr="009B5B3F">
        <w:rPr>
          <w:rFonts w:ascii="Arial" w:hAnsi="Arial" w:cs="Arial"/>
          <w:b/>
          <w:bCs/>
        </w:rPr>
        <w:t>Critique:</w:t>
      </w:r>
      <w:r w:rsidRPr="009B5B3F">
        <w:rPr>
          <w:rFonts w:ascii="Arial" w:hAnsi="Arial" w:cs="Arial"/>
        </w:rPr>
        <w:t xml:space="preserve"> This is currently BP’s strongest area. The move into convenience retail has been highly successful, cushioning the volatility of oil prices. However, "Adjacent" innovations are often incremental and risk becoming obsolete if the core product (fossil fuel) disappears entirely.</w:t>
      </w:r>
    </w:p>
    <w:p w14:paraId="577E01F5" w14:textId="77777777" w:rsidR="00202438" w:rsidRPr="009B5B3F" w:rsidRDefault="00202438" w:rsidP="00822BE6">
      <w:pPr>
        <w:spacing w:line="360" w:lineRule="auto"/>
        <w:rPr>
          <w:rFonts w:ascii="Arial" w:hAnsi="Arial" w:cs="Arial"/>
          <w:b/>
          <w:bCs/>
        </w:rPr>
      </w:pPr>
    </w:p>
    <w:p w14:paraId="6B76F364" w14:textId="4A591B6D" w:rsidR="00202438" w:rsidRPr="009B5B3F" w:rsidRDefault="00202438" w:rsidP="00822BE6">
      <w:pPr>
        <w:pStyle w:val="Heading3"/>
        <w:spacing w:line="360" w:lineRule="auto"/>
        <w:rPr>
          <w:rFonts w:ascii="Arial" w:hAnsi="Arial" w:cs="Arial"/>
        </w:rPr>
      </w:pPr>
      <w:bookmarkStart w:id="15" w:name="_Toc224395098"/>
      <w:r w:rsidRPr="009B5B3F">
        <w:rPr>
          <w:rFonts w:ascii="Arial" w:hAnsi="Arial" w:cs="Arial"/>
        </w:rPr>
        <w:t>3.1.3 Transformational Innovation (Creating New Markets)</w:t>
      </w:r>
      <w:bookmarkEnd w:id="15"/>
    </w:p>
    <w:p w14:paraId="08A813A2" w14:textId="77777777" w:rsidR="009B5B3F" w:rsidRPr="009B5B3F" w:rsidRDefault="009B5B3F" w:rsidP="00822BE6">
      <w:pPr>
        <w:spacing w:line="360" w:lineRule="auto"/>
        <w:rPr>
          <w:rFonts w:ascii="Arial" w:hAnsi="Arial" w:cs="Arial"/>
        </w:rPr>
      </w:pPr>
      <w:r w:rsidRPr="009B5B3F">
        <w:rPr>
          <w:rFonts w:ascii="Arial" w:hAnsi="Arial" w:cs="Arial"/>
          <w:i/>
          <w:iCs/>
        </w:rPr>
        <w:t>Definition:</w:t>
      </w:r>
      <w:r w:rsidRPr="009B5B3F">
        <w:rPr>
          <w:rFonts w:ascii="Arial" w:hAnsi="Arial" w:cs="Arial"/>
        </w:rPr>
        <w:t xml:space="preserve"> Developing breakthroughs and inventing things for markets that don’t yet exist.</w:t>
      </w:r>
    </w:p>
    <w:p w14:paraId="3305F389" w14:textId="0D4789B6" w:rsidR="009B5B3F" w:rsidRPr="009B5B3F" w:rsidRDefault="009B5B3F" w:rsidP="00BD34A4">
      <w:pPr>
        <w:numPr>
          <w:ilvl w:val="0"/>
          <w:numId w:val="14"/>
        </w:numPr>
        <w:spacing w:line="360" w:lineRule="auto"/>
        <w:jc w:val="both"/>
        <w:rPr>
          <w:rFonts w:ascii="Arial" w:hAnsi="Arial" w:cs="Arial"/>
        </w:rPr>
      </w:pPr>
      <w:r w:rsidRPr="009B5B3F">
        <w:rPr>
          <w:rFonts w:ascii="Arial" w:hAnsi="Arial" w:cs="Arial"/>
          <w:b/>
          <w:bCs/>
        </w:rPr>
        <w:t>BP’s Activity:</w:t>
      </w:r>
      <w:r w:rsidRPr="009B5B3F">
        <w:rPr>
          <w:rFonts w:ascii="Arial" w:hAnsi="Arial" w:cs="Arial"/>
        </w:rPr>
        <w:t xml:space="preserve"> </w:t>
      </w:r>
      <w:r w:rsidRPr="009B5B3F">
        <w:rPr>
          <w:rFonts w:ascii="Arial" w:hAnsi="Arial" w:cs="Arial"/>
          <w:b/>
          <w:bCs/>
        </w:rPr>
        <w:t>BP Pulse (EV Charging).</w:t>
      </w:r>
      <w:r w:rsidRPr="009B5B3F">
        <w:rPr>
          <w:rFonts w:ascii="Arial" w:hAnsi="Arial" w:cs="Arial"/>
        </w:rPr>
        <w:t xml:space="preserve"> This creates an entirely new offer (electrons vs. molecules) for a fundamentally different customer need (charging vs. </w:t>
      </w:r>
      <w:r w:rsidR="002A0D47" w:rsidRPr="009B5B3F">
        <w:rPr>
          <w:rFonts w:ascii="Arial" w:hAnsi="Arial" w:cs="Arial"/>
        </w:rPr>
        <w:t>refuelling</w:t>
      </w:r>
      <w:r w:rsidRPr="009B5B3F">
        <w:rPr>
          <w:rFonts w:ascii="Arial" w:hAnsi="Arial" w:cs="Arial"/>
        </w:rPr>
        <w:t>). BP aims to expand its charging network to 100,000 points globally by 2030 (BP Strategic Report, 2024).</w:t>
      </w:r>
    </w:p>
    <w:p w14:paraId="065CA5C4" w14:textId="0D7B8E5D" w:rsidR="009B5B3F" w:rsidRPr="009B5B3F" w:rsidRDefault="009B5B3F" w:rsidP="00BD34A4">
      <w:pPr>
        <w:numPr>
          <w:ilvl w:val="0"/>
          <w:numId w:val="14"/>
        </w:numPr>
        <w:spacing w:line="360" w:lineRule="auto"/>
        <w:jc w:val="both"/>
        <w:rPr>
          <w:rFonts w:ascii="Arial" w:hAnsi="Arial" w:cs="Arial"/>
        </w:rPr>
      </w:pPr>
      <w:r w:rsidRPr="009B5B3F">
        <w:rPr>
          <w:rFonts w:ascii="Arial" w:hAnsi="Arial" w:cs="Arial"/>
          <w:b/>
          <w:bCs/>
        </w:rPr>
        <w:t>Critique:</w:t>
      </w:r>
      <w:r w:rsidRPr="009B5B3F">
        <w:rPr>
          <w:rFonts w:ascii="Arial" w:hAnsi="Arial" w:cs="Arial"/>
        </w:rPr>
        <w:t xml:space="preserve"> While BP Pulse is strategically transformational, the </w:t>
      </w:r>
      <w:r w:rsidRPr="003D1B4A">
        <w:rPr>
          <w:rFonts w:ascii="Arial" w:hAnsi="Arial" w:cs="Arial"/>
        </w:rPr>
        <w:t>execution often mimics Core innovation</w:t>
      </w:r>
      <w:r w:rsidRPr="009B5B3F">
        <w:rPr>
          <w:rFonts w:ascii="Arial" w:hAnsi="Arial" w:cs="Arial"/>
        </w:rPr>
        <w:t>. BP has largely replicated the "petrol pump model"</w:t>
      </w:r>
      <w:r>
        <w:rPr>
          <w:rFonts w:ascii="Arial" w:hAnsi="Arial" w:cs="Arial"/>
        </w:rPr>
        <w:t xml:space="preserve"> </w:t>
      </w:r>
      <w:r w:rsidRPr="009B5B3F">
        <w:rPr>
          <w:rFonts w:ascii="Arial" w:hAnsi="Arial" w:cs="Arial"/>
        </w:rPr>
        <w:t xml:space="preserve">installing a charger where a pump used to be. True transformational innovation in design thinking requires rethinking the </w:t>
      </w:r>
      <w:r w:rsidRPr="009B5B3F">
        <w:rPr>
          <w:rFonts w:ascii="Arial" w:hAnsi="Arial" w:cs="Arial"/>
          <w:i/>
          <w:iCs/>
        </w:rPr>
        <w:t>entire experience</w:t>
      </w:r>
      <w:r w:rsidRPr="009B5B3F">
        <w:rPr>
          <w:rFonts w:ascii="Arial" w:hAnsi="Arial" w:cs="Arial"/>
        </w:rPr>
        <w:t>, not just the hardware. The current user experience (UX) is fragmented, often requiring different apps for charging and retail, representing a significant design gap.</w:t>
      </w:r>
    </w:p>
    <w:p w14:paraId="2B4FFF42" w14:textId="57980A2F" w:rsidR="009B5B3F" w:rsidRPr="009B5B3F" w:rsidRDefault="009B5B3F" w:rsidP="00822BE6">
      <w:pPr>
        <w:spacing w:line="360" w:lineRule="auto"/>
        <w:rPr>
          <w:rFonts w:ascii="Arial" w:hAnsi="Arial" w:cs="Arial"/>
        </w:rPr>
      </w:pPr>
      <w:r w:rsidRPr="009B5B3F">
        <w:rPr>
          <w:rFonts w:ascii="Arial" w:hAnsi="Arial" w:cs="Arial"/>
          <w:b/>
          <w:bCs/>
        </w:rPr>
        <w:lastRenderedPageBreak/>
        <w:t>Assessment Summary:</w:t>
      </w:r>
      <w:r w:rsidRPr="009B5B3F">
        <w:rPr>
          <w:rFonts w:ascii="Arial" w:hAnsi="Arial" w:cs="Arial"/>
        </w:rPr>
        <w:t xml:space="preserve"> BP’s portfolio is unbalanced. It is heavy on Core (efficiency) and aggressive on Transformational (EVs) targets, but the </w:t>
      </w:r>
      <w:r w:rsidRPr="009B5B3F">
        <w:rPr>
          <w:rFonts w:ascii="Arial" w:hAnsi="Arial" w:cs="Arial"/>
          <w:i/>
          <w:iCs/>
        </w:rPr>
        <w:t>connective tissue</w:t>
      </w:r>
      <w:r>
        <w:rPr>
          <w:rFonts w:ascii="Arial" w:hAnsi="Arial" w:cs="Arial"/>
        </w:rPr>
        <w:t xml:space="preserve"> </w:t>
      </w:r>
      <w:r w:rsidRPr="009B5B3F">
        <w:rPr>
          <w:rFonts w:ascii="Arial" w:hAnsi="Arial" w:cs="Arial"/>
        </w:rPr>
        <w:t>the innovations that link the new energy products to the customer experience</w:t>
      </w:r>
      <w:r>
        <w:rPr>
          <w:rFonts w:ascii="Arial" w:hAnsi="Arial" w:cs="Arial"/>
        </w:rPr>
        <w:t xml:space="preserve"> </w:t>
      </w:r>
      <w:r w:rsidRPr="009B5B3F">
        <w:rPr>
          <w:rFonts w:ascii="Arial" w:hAnsi="Arial" w:cs="Arial"/>
        </w:rPr>
        <w:t>is missing. This "innovation gap" is where the user experience fails.</w:t>
      </w:r>
    </w:p>
    <w:p w14:paraId="2908FA81" w14:textId="77777777" w:rsidR="00202438" w:rsidRPr="00202438" w:rsidRDefault="00202438" w:rsidP="00822BE6">
      <w:pPr>
        <w:spacing w:line="360" w:lineRule="auto"/>
        <w:rPr>
          <w:rFonts w:ascii="Arial" w:hAnsi="Arial" w:cs="Arial"/>
        </w:rPr>
      </w:pPr>
    </w:p>
    <w:p w14:paraId="22B16AEC" w14:textId="77777777" w:rsidR="00202438" w:rsidRPr="009B5B3F" w:rsidRDefault="00202438" w:rsidP="00822BE6">
      <w:pPr>
        <w:pStyle w:val="Heading2"/>
        <w:spacing w:line="360" w:lineRule="auto"/>
        <w:rPr>
          <w:rFonts w:ascii="Arial" w:hAnsi="Arial" w:cs="Arial"/>
        </w:rPr>
      </w:pPr>
      <w:bookmarkStart w:id="16" w:name="_Toc224395099"/>
      <w:r w:rsidRPr="009B5B3F">
        <w:rPr>
          <w:rFonts w:ascii="Arial" w:hAnsi="Arial" w:cs="Arial"/>
        </w:rPr>
        <w:t>3.2 Customer Journey Mapping (Current State)</w:t>
      </w:r>
      <w:bookmarkEnd w:id="16"/>
    </w:p>
    <w:p w14:paraId="0B5F97B6" w14:textId="14C2BE4B" w:rsidR="00202438" w:rsidRPr="00202438" w:rsidRDefault="00202438" w:rsidP="00BD34A4">
      <w:pPr>
        <w:spacing w:line="360" w:lineRule="auto"/>
        <w:jc w:val="both"/>
        <w:rPr>
          <w:rFonts w:ascii="Arial" w:hAnsi="Arial" w:cs="Arial"/>
        </w:rPr>
      </w:pPr>
      <w:r w:rsidRPr="00202438">
        <w:rPr>
          <w:rFonts w:ascii="Arial" w:hAnsi="Arial" w:cs="Arial"/>
        </w:rPr>
        <w:t xml:space="preserve">To understand the user experience, we map the journey of a specific persona: </w:t>
      </w:r>
      <w:r w:rsidRPr="00202438">
        <w:rPr>
          <w:rFonts w:ascii="Arial" w:hAnsi="Arial" w:cs="Arial"/>
          <w:b/>
          <w:bCs/>
        </w:rPr>
        <w:t>"</w:t>
      </w:r>
      <w:r w:rsidRPr="003D1B4A">
        <w:rPr>
          <w:rFonts w:ascii="Arial" w:hAnsi="Arial" w:cs="Arial"/>
        </w:rPr>
        <w:t>The Transitioning Commuter"</w:t>
      </w:r>
      <w:r w:rsidR="009B5B3F" w:rsidRPr="003D1B4A">
        <w:rPr>
          <w:rFonts w:ascii="Arial" w:hAnsi="Arial" w:cs="Arial"/>
        </w:rPr>
        <w:t xml:space="preserve"> </w:t>
      </w:r>
      <w:r w:rsidRPr="003D1B4A">
        <w:rPr>
          <w:rFonts w:ascii="Arial" w:hAnsi="Arial" w:cs="Arial"/>
        </w:rPr>
        <w:t>a UK-based driver who has rec</w:t>
      </w:r>
      <w:r w:rsidRPr="00202438">
        <w:rPr>
          <w:rFonts w:ascii="Arial" w:hAnsi="Arial" w:cs="Arial"/>
        </w:rPr>
        <w:t>ently switched to an EV and visits a BP Pulse hub.</w:t>
      </w:r>
    </w:p>
    <w:p w14:paraId="6D4BC887" w14:textId="77777777" w:rsidR="00202438" w:rsidRPr="00202438" w:rsidRDefault="00202438" w:rsidP="00BD34A4">
      <w:pPr>
        <w:spacing w:line="360" w:lineRule="auto"/>
        <w:jc w:val="both"/>
        <w:rPr>
          <w:rFonts w:ascii="Arial" w:hAnsi="Arial" w:cs="Arial"/>
        </w:rPr>
      </w:pPr>
      <w:r w:rsidRPr="00202438">
        <w:rPr>
          <w:rFonts w:ascii="Arial" w:hAnsi="Arial" w:cs="Arial"/>
          <w:b/>
          <w:bCs/>
        </w:rPr>
        <w:t>Persona:</w:t>
      </w:r>
      <w:r w:rsidRPr="00202438">
        <w:rPr>
          <w:rFonts w:ascii="Arial" w:hAnsi="Arial" w:cs="Arial"/>
        </w:rPr>
        <w:t xml:space="preserve"> Sarah (34), Sales Manager.</w:t>
      </w:r>
    </w:p>
    <w:p w14:paraId="0F58D1B7" w14:textId="77777777" w:rsidR="00202438" w:rsidRPr="00202438" w:rsidRDefault="00202438" w:rsidP="00BD34A4">
      <w:pPr>
        <w:spacing w:line="360" w:lineRule="auto"/>
        <w:jc w:val="both"/>
        <w:rPr>
          <w:rFonts w:ascii="Arial" w:hAnsi="Arial" w:cs="Arial"/>
        </w:rPr>
      </w:pPr>
      <w:r w:rsidRPr="00202438">
        <w:rPr>
          <w:rFonts w:ascii="Arial" w:hAnsi="Arial" w:cs="Arial"/>
          <w:b/>
          <w:bCs/>
        </w:rPr>
        <w:t>Goal:</w:t>
      </w:r>
      <w:r w:rsidRPr="00202438">
        <w:rPr>
          <w:rFonts w:ascii="Arial" w:hAnsi="Arial" w:cs="Arial"/>
        </w:rPr>
        <w:t xml:space="preserve"> Charge her EV to 80% while grabbing lunch and preparing for a meeting.</w:t>
      </w:r>
    </w:p>
    <w:p w14:paraId="5D7217E5" w14:textId="77777777" w:rsidR="00202438" w:rsidRDefault="00202438" w:rsidP="00BD34A4">
      <w:pPr>
        <w:spacing w:line="360" w:lineRule="auto"/>
        <w:jc w:val="both"/>
        <w:rPr>
          <w:rFonts w:ascii="Arial" w:hAnsi="Arial" w:cs="Arial"/>
        </w:rPr>
      </w:pPr>
      <w:r w:rsidRPr="00202438">
        <w:rPr>
          <w:rFonts w:ascii="Arial" w:hAnsi="Arial" w:cs="Arial"/>
          <w:b/>
          <w:bCs/>
        </w:rPr>
        <w:t>Context:</w:t>
      </w:r>
      <w:r w:rsidRPr="00202438">
        <w:rPr>
          <w:rFonts w:ascii="Arial" w:hAnsi="Arial" w:cs="Arial"/>
        </w:rPr>
        <w:t xml:space="preserve"> High stress, low time, "charging anxiety."</w:t>
      </w:r>
    </w:p>
    <w:p w14:paraId="5AA12DE4" w14:textId="6C0B0223" w:rsidR="002A0D47" w:rsidRDefault="00F07E51" w:rsidP="00822BE6">
      <w:pPr>
        <w:spacing w:line="360" w:lineRule="auto"/>
        <w:rPr>
          <w:rFonts w:ascii="Arial" w:hAnsi="Arial" w:cs="Arial"/>
        </w:rPr>
      </w:pPr>
      <w:r w:rsidRPr="00F07E51">
        <w:rPr>
          <w:rFonts w:ascii="Arial" w:hAnsi="Arial" w:cs="Arial"/>
        </w:rPr>
        <w:drawing>
          <wp:inline distT="0" distB="0" distL="0" distR="0" wp14:anchorId="7D5DE5BB" wp14:editId="66630C0C">
            <wp:extent cx="5347032" cy="4674412"/>
            <wp:effectExtent l="0" t="0" r="6350" b="0"/>
            <wp:docPr id="387046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046969" name=""/>
                    <pic:cNvPicPr/>
                  </pic:nvPicPr>
                  <pic:blipFill>
                    <a:blip r:embed="rId8"/>
                    <a:stretch>
                      <a:fillRect/>
                    </a:stretch>
                  </pic:blipFill>
                  <pic:spPr>
                    <a:xfrm>
                      <a:off x="0" y="0"/>
                      <a:ext cx="5389461" cy="4711503"/>
                    </a:xfrm>
                    <a:prstGeom prst="rect">
                      <a:avLst/>
                    </a:prstGeom>
                  </pic:spPr>
                </pic:pic>
              </a:graphicData>
            </a:graphic>
          </wp:inline>
        </w:drawing>
      </w:r>
    </w:p>
    <w:p w14:paraId="56C0DE2A" w14:textId="77777777" w:rsidR="00300798" w:rsidRDefault="00300798" w:rsidP="00822BE6">
      <w:pPr>
        <w:spacing w:line="360" w:lineRule="auto"/>
        <w:rPr>
          <w:rFonts w:ascii="Arial" w:hAnsi="Arial" w:cs="Arial"/>
        </w:rPr>
      </w:pPr>
    </w:p>
    <w:p w14:paraId="6E3E7413" w14:textId="77777777" w:rsidR="00300798" w:rsidRPr="00202438" w:rsidRDefault="00300798" w:rsidP="00822BE6">
      <w:pPr>
        <w:spacing w:line="360" w:lineRule="auto"/>
        <w:rPr>
          <w:rFonts w:ascii="Arial" w:hAnsi="Arial" w:cs="Arial"/>
        </w:rPr>
      </w:pPr>
    </w:p>
    <w:p w14:paraId="17C45811" w14:textId="611E3735" w:rsidR="004D7BB6" w:rsidRPr="004D7BB6" w:rsidRDefault="004D7BB6" w:rsidP="00822BE6">
      <w:pPr>
        <w:pStyle w:val="Caption"/>
        <w:keepNext/>
        <w:spacing w:line="360" w:lineRule="auto"/>
      </w:pPr>
      <w:r>
        <w:t xml:space="preserve">Table </w:t>
      </w:r>
      <w:r>
        <w:fldChar w:fldCharType="begin"/>
      </w:r>
      <w:r>
        <w:instrText xml:space="preserve"> SEQ Table \* ARABIC </w:instrText>
      </w:r>
      <w:r>
        <w:fldChar w:fldCharType="separate"/>
      </w:r>
      <w:r>
        <w:rPr>
          <w:noProof/>
        </w:rPr>
        <w:t>1</w:t>
      </w:r>
      <w:r>
        <w:rPr>
          <w:noProof/>
        </w:rPr>
        <w:fldChar w:fldCharType="end"/>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7"/>
        <w:gridCol w:w="2177"/>
        <w:gridCol w:w="1848"/>
        <w:gridCol w:w="1865"/>
        <w:gridCol w:w="1593"/>
      </w:tblGrid>
      <w:tr w:rsidR="00202438" w:rsidRPr="00202438" w14:paraId="22E842ED" w14:textId="77777777" w:rsidTr="00421EA4">
        <w:trPr>
          <w:trHeight w:val="827"/>
          <w:tblHeade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7D0B91CA" w14:textId="77777777" w:rsidR="00202438" w:rsidRPr="00202438" w:rsidRDefault="00202438" w:rsidP="00421EA4">
            <w:pPr>
              <w:spacing w:line="360" w:lineRule="auto"/>
              <w:jc w:val="center"/>
              <w:rPr>
                <w:rFonts w:ascii="Arial" w:hAnsi="Arial" w:cs="Arial"/>
              </w:rPr>
            </w:pPr>
            <w:r w:rsidRPr="00202438">
              <w:rPr>
                <w:rFonts w:ascii="Arial" w:hAnsi="Arial" w:cs="Arial"/>
                <w:b/>
                <w:bCs/>
              </w:rPr>
              <w:t>Stage</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vAlign w:val="center"/>
            <w:hideMark/>
          </w:tcPr>
          <w:p w14:paraId="3FE4FE46" w14:textId="77777777" w:rsidR="00202438" w:rsidRPr="00202438" w:rsidRDefault="00202438" w:rsidP="00421EA4">
            <w:pPr>
              <w:spacing w:line="360" w:lineRule="auto"/>
              <w:jc w:val="center"/>
              <w:rPr>
                <w:rFonts w:ascii="Arial" w:hAnsi="Arial" w:cs="Arial"/>
              </w:rPr>
            </w:pPr>
            <w:r w:rsidRPr="00202438">
              <w:rPr>
                <w:rFonts w:ascii="Arial" w:hAnsi="Arial" w:cs="Arial"/>
                <w:b/>
                <w:bCs/>
              </w:rPr>
              <w:t>1. Awareness &amp; Consideration</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vAlign w:val="center"/>
            <w:hideMark/>
          </w:tcPr>
          <w:p w14:paraId="4EFBA210" w14:textId="77777777" w:rsidR="00202438" w:rsidRPr="00202438" w:rsidRDefault="00202438" w:rsidP="00421EA4">
            <w:pPr>
              <w:spacing w:line="360" w:lineRule="auto"/>
              <w:jc w:val="center"/>
              <w:rPr>
                <w:rFonts w:ascii="Arial" w:hAnsi="Arial" w:cs="Arial"/>
              </w:rPr>
            </w:pPr>
            <w:r w:rsidRPr="00202438">
              <w:rPr>
                <w:rFonts w:ascii="Arial" w:hAnsi="Arial" w:cs="Arial"/>
                <w:b/>
                <w:bCs/>
              </w:rPr>
              <w:t>2. Arrival &amp; Connection</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vAlign w:val="center"/>
            <w:hideMark/>
          </w:tcPr>
          <w:p w14:paraId="26852977" w14:textId="77777777" w:rsidR="00202438" w:rsidRPr="00202438" w:rsidRDefault="00202438" w:rsidP="00421EA4">
            <w:pPr>
              <w:spacing w:line="360" w:lineRule="auto"/>
              <w:jc w:val="center"/>
              <w:rPr>
                <w:rFonts w:ascii="Arial" w:hAnsi="Arial" w:cs="Arial"/>
              </w:rPr>
            </w:pPr>
            <w:r w:rsidRPr="00202438">
              <w:rPr>
                <w:rFonts w:ascii="Arial" w:hAnsi="Arial" w:cs="Arial"/>
                <w:b/>
                <w:bCs/>
              </w:rPr>
              <w:t>3. The "Dwell" (Charging)</w:t>
            </w:r>
          </w:p>
        </w:tc>
        <w:tc>
          <w:tcPr>
            <w:tcW w:w="0" w:type="auto"/>
            <w:tcBorders>
              <w:top w:val="single" w:sz="6" w:space="0" w:color="auto"/>
              <w:left w:val="single" w:sz="6" w:space="0" w:color="auto"/>
              <w:bottom w:val="single" w:sz="6" w:space="0" w:color="auto"/>
              <w:right w:val="single" w:sz="6" w:space="0" w:color="auto"/>
            </w:tcBorders>
            <w:shd w:val="clear" w:color="auto" w:fill="45B0E1" w:themeFill="accent1" w:themeFillTint="99"/>
            <w:vAlign w:val="center"/>
            <w:hideMark/>
          </w:tcPr>
          <w:p w14:paraId="5D94720D" w14:textId="77777777" w:rsidR="00202438" w:rsidRPr="00202438" w:rsidRDefault="00202438" w:rsidP="00421EA4">
            <w:pPr>
              <w:spacing w:line="360" w:lineRule="auto"/>
              <w:jc w:val="center"/>
              <w:rPr>
                <w:rFonts w:ascii="Arial" w:hAnsi="Arial" w:cs="Arial"/>
              </w:rPr>
            </w:pPr>
            <w:r w:rsidRPr="00202438">
              <w:rPr>
                <w:rFonts w:ascii="Arial" w:hAnsi="Arial" w:cs="Arial"/>
                <w:b/>
                <w:bCs/>
              </w:rPr>
              <w:t>4. Payment &amp; Departure</w:t>
            </w:r>
          </w:p>
        </w:tc>
      </w:tr>
      <w:tr w:rsidR="00202438" w:rsidRPr="00202438" w14:paraId="2E0535DF" w14:textId="77777777" w:rsidTr="00421EA4">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435C4EA5" w14:textId="77777777" w:rsidR="00202438" w:rsidRPr="00202438" w:rsidRDefault="00202438" w:rsidP="00421EA4">
            <w:pPr>
              <w:spacing w:line="360" w:lineRule="auto"/>
              <w:jc w:val="center"/>
              <w:rPr>
                <w:rFonts w:ascii="Arial" w:hAnsi="Arial" w:cs="Arial"/>
              </w:rPr>
            </w:pPr>
            <w:r w:rsidRPr="00202438">
              <w:rPr>
                <w:rFonts w:ascii="Arial" w:hAnsi="Arial" w:cs="Arial"/>
                <w:b/>
                <w:bCs/>
              </w:rPr>
              <w:t>Actions</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4741F3E5" w14:textId="77777777" w:rsidR="00202438" w:rsidRPr="00202438" w:rsidRDefault="00202438" w:rsidP="00421EA4">
            <w:pPr>
              <w:spacing w:line="360" w:lineRule="auto"/>
              <w:jc w:val="center"/>
              <w:rPr>
                <w:rFonts w:ascii="Arial" w:hAnsi="Arial" w:cs="Arial"/>
              </w:rPr>
            </w:pPr>
            <w:r w:rsidRPr="00202438">
              <w:rPr>
                <w:rFonts w:ascii="Arial" w:hAnsi="Arial" w:cs="Arial"/>
              </w:rPr>
              <w:t>Checks car battery (15%). Opens Zap-Map or Google Maps to find a fast charger. Filters for BP Pulse due to fuel card.</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48367DDE" w14:textId="77777777" w:rsidR="00202438" w:rsidRPr="00202438" w:rsidRDefault="00202438" w:rsidP="00421EA4">
            <w:pPr>
              <w:spacing w:line="360" w:lineRule="auto"/>
              <w:jc w:val="center"/>
              <w:rPr>
                <w:rFonts w:ascii="Arial" w:hAnsi="Arial" w:cs="Arial"/>
              </w:rPr>
            </w:pPr>
            <w:r w:rsidRPr="00202438">
              <w:rPr>
                <w:rFonts w:ascii="Arial" w:hAnsi="Arial" w:cs="Arial"/>
              </w:rPr>
              <w:t>Arrives at station. Navigates tight corners. Parks. Struggles with heavy cable. Scans RFID card or uses App.</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6D879A24" w14:textId="77777777" w:rsidR="00202438" w:rsidRPr="00202438" w:rsidRDefault="00202438" w:rsidP="00421EA4">
            <w:pPr>
              <w:spacing w:line="360" w:lineRule="auto"/>
              <w:jc w:val="center"/>
              <w:rPr>
                <w:rFonts w:ascii="Arial" w:hAnsi="Arial" w:cs="Arial"/>
              </w:rPr>
            </w:pPr>
            <w:r w:rsidRPr="00202438">
              <w:rPr>
                <w:rFonts w:ascii="Arial" w:hAnsi="Arial" w:cs="Arial"/>
              </w:rPr>
              <w:t>Sits in car for 2 mins checking emails. Decides to go to M&amp;S. Walks across forecourt (raining). Buys sandwich. Waits.</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063157E2" w14:textId="77777777" w:rsidR="00202438" w:rsidRPr="00202438" w:rsidRDefault="00202438" w:rsidP="00421EA4">
            <w:pPr>
              <w:spacing w:line="360" w:lineRule="auto"/>
              <w:jc w:val="center"/>
              <w:rPr>
                <w:rFonts w:ascii="Arial" w:hAnsi="Arial" w:cs="Arial"/>
              </w:rPr>
            </w:pPr>
            <w:r w:rsidRPr="00202438">
              <w:rPr>
                <w:rFonts w:ascii="Arial" w:hAnsi="Arial" w:cs="Arial"/>
              </w:rPr>
              <w:t>Returns to car. Unplugs. Checks app for receipt. Drives away.</w:t>
            </w:r>
          </w:p>
        </w:tc>
      </w:tr>
      <w:tr w:rsidR="00202438" w:rsidRPr="00202438" w14:paraId="157DB5DB" w14:textId="77777777" w:rsidTr="00421EA4">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18F06B67" w14:textId="77777777" w:rsidR="00202438" w:rsidRPr="00202438" w:rsidRDefault="00202438" w:rsidP="00421EA4">
            <w:pPr>
              <w:spacing w:line="360" w:lineRule="auto"/>
              <w:jc w:val="center"/>
              <w:rPr>
                <w:rFonts w:ascii="Arial" w:hAnsi="Arial" w:cs="Arial"/>
              </w:rPr>
            </w:pPr>
            <w:r w:rsidRPr="00202438">
              <w:rPr>
                <w:rFonts w:ascii="Arial" w:hAnsi="Arial" w:cs="Arial"/>
                <w:b/>
                <w:bCs/>
              </w:rPr>
              <w:t>Touchpoints</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5A551B85" w14:textId="77777777" w:rsidR="00202438" w:rsidRPr="00202438" w:rsidRDefault="00202438" w:rsidP="00421EA4">
            <w:pPr>
              <w:spacing w:line="360" w:lineRule="auto"/>
              <w:jc w:val="center"/>
              <w:rPr>
                <w:rFonts w:ascii="Arial" w:hAnsi="Arial" w:cs="Arial"/>
              </w:rPr>
            </w:pPr>
            <w:r w:rsidRPr="00202438">
              <w:rPr>
                <w:rFonts w:ascii="Arial" w:hAnsi="Arial" w:cs="Arial"/>
              </w:rPr>
              <w:t>3rd Party Maps, BP Pulse App</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0E0D93A3" w14:textId="77777777" w:rsidR="00202438" w:rsidRPr="00202438" w:rsidRDefault="00202438" w:rsidP="00421EA4">
            <w:pPr>
              <w:spacing w:line="360" w:lineRule="auto"/>
              <w:jc w:val="center"/>
              <w:rPr>
                <w:rFonts w:ascii="Arial" w:hAnsi="Arial" w:cs="Arial"/>
              </w:rPr>
            </w:pPr>
            <w:r w:rsidRPr="00202438">
              <w:rPr>
                <w:rFonts w:ascii="Arial" w:hAnsi="Arial" w:cs="Arial"/>
              </w:rPr>
              <w:t>Physical Charger, Cable, Screen</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39E59148" w14:textId="77777777" w:rsidR="00202438" w:rsidRPr="00202438" w:rsidRDefault="00202438" w:rsidP="00421EA4">
            <w:pPr>
              <w:spacing w:line="360" w:lineRule="auto"/>
              <w:jc w:val="center"/>
              <w:rPr>
                <w:rFonts w:ascii="Arial" w:hAnsi="Arial" w:cs="Arial"/>
              </w:rPr>
            </w:pPr>
            <w:r w:rsidRPr="00202438">
              <w:rPr>
                <w:rFonts w:ascii="Arial" w:hAnsi="Arial" w:cs="Arial"/>
              </w:rPr>
              <w:t>Mobile Phone, M&amp;S Store, Toilet facilities</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3703526B" w14:textId="77777777" w:rsidR="00202438" w:rsidRPr="00202438" w:rsidRDefault="00202438" w:rsidP="00421EA4">
            <w:pPr>
              <w:spacing w:line="360" w:lineRule="auto"/>
              <w:jc w:val="center"/>
              <w:rPr>
                <w:rFonts w:ascii="Arial" w:hAnsi="Arial" w:cs="Arial"/>
              </w:rPr>
            </w:pPr>
            <w:r w:rsidRPr="00202438">
              <w:rPr>
                <w:rFonts w:ascii="Arial" w:hAnsi="Arial" w:cs="Arial"/>
              </w:rPr>
              <w:t>BP Pulse App, Credit Card</w:t>
            </w:r>
          </w:p>
        </w:tc>
      </w:tr>
      <w:tr w:rsidR="00202438" w:rsidRPr="00202438" w14:paraId="286B2CA5" w14:textId="77777777" w:rsidTr="00421EA4">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12B64404" w14:textId="77777777" w:rsidR="00202438" w:rsidRPr="00202438" w:rsidRDefault="00202438" w:rsidP="00421EA4">
            <w:pPr>
              <w:spacing w:line="360" w:lineRule="auto"/>
              <w:jc w:val="center"/>
              <w:rPr>
                <w:rFonts w:ascii="Arial" w:hAnsi="Arial" w:cs="Arial"/>
              </w:rPr>
            </w:pPr>
            <w:r w:rsidRPr="00202438">
              <w:rPr>
                <w:rFonts w:ascii="Arial" w:hAnsi="Arial" w:cs="Arial"/>
                <w:b/>
                <w:bCs/>
              </w:rPr>
              <w:t>Thinking</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755BFC6E" w14:textId="77777777" w:rsidR="00202438" w:rsidRPr="00202438" w:rsidRDefault="00202438" w:rsidP="00421EA4">
            <w:pPr>
              <w:spacing w:line="360" w:lineRule="auto"/>
              <w:jc w:val="center"/>
              <w:rPr>
                <w:rFonts w:ascii="Arial" w:hAnsi="Arial" w:cs="Arial"/>
              </w:rPr>
            </w:pPr>
            <w:r w:rsidRPr="00202438">
              <w:rPr>
                <w:rFonts w:ascii="Arial" w:hAnsi="Arial" w:cs="Arial"/>
              </w:rPr>
              <w:t>"Will it be working? Will there be a queue?"</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64F003E4" w14:textId="77777777" w:rsidR="00202438" w:rsidRPr="00202438" w:rsidRDefault="00202438" w:rsidP="00421EA4">
            <w:pPr>
              <w:spacing w:line="360" w:lineRule="auto"/>
              <w:jc w:val="center"/>
              <w:rPr>
                <w:rFonts w:ascii="Arial" w:hAnsi="Arial" w:cs="Arial"/>
              </w:rPr>
            </w:pPr>
            <w:r w:rsidRPr="00202438">
              <w:rPr>
                <w:rFonts w:ascii="Arial" w:hAnsi="Arial" w:cs="Arial"/>
              </w:rPr>
              <w:t>"Which plug is CCS? Why is the screen flickering?"</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66D22C73" w14:textId="470DC577" w:rsidR="00202438" w:rsidRPr="00202438" w:rsidRDefault="00202438" w:rsidP="00421EA4">
            <w:pPr>
              <w:spacing w:line="360" w:lineRule="auto"/>
              <w:jc w:val="center"/>
              <w:rPr>
                <w:rFonts w:ascii="Arial" w:hAnsi="Arial" w:cs="Arial"/>
              </w:rPr>
            </w:pPr>
            <w:r w:rsidRPr="00202438">
              <w:rPr>
                <w:rFonts w:ascii="Arial" w:hAnsi="Arial" w:cs="Arial"/>
              </w:rPr>
              <w:t xml:space="preserve">"I have 30 mins to kill. The shop looks busy. I hope the car is </w:t>
            </w:r>
            <w:r w:rsidRPr="009B5B3F">
              <w:rPr>
                <w:rFonts w:ascii="Arial" w:hAnsi="Arial" w:cs="Arial"/>
              </w:rPr>
              <w:t>charging</w:t>
            </w:r>
            <w:r w:rsidRPr="00202438">
              <w:rPr>
                <w:rFonts w:ascii="Arial" w:hAnsi="Arial" w:cs="Arial"/>
              </w:rPr>
              <w:t>."</w:t>
            </w:r>
          </w:p>
        </w:tc>
        <w:tc>
          <w:tcPr>
            <w:tcW w:w="0" w:type="auto"/>
            <w:tcBorders>
              <w:top w:val="single" w:sz="6" w:space="0" w:color="auto"/>
              <w:left w:val="single" w:sz="6" w:space="0" w:color="auto"/>
              <w:bottom w:val="single" w:sz="6" w:space="0" w:color="auto"/>
              <w:right w:val="single" w:sz="6" w:space="0" w:color="auto"/>
            </w:tcBorders>
            <w:shd w:val="clear" w:color="auto" w:fill="D1D1D1" w:themeFill="background2" w:themeFillShade="E6"/>
            <w:vAlign w:val="center"/>
            <w:hideMark/>
          </w:tcPr>
          <w:p w14:paraId="280023D3" w14:textId="77777777" w:rsidR="00202438" w:rsidRPr="00202438" w:rsidRDefault="00202438" w:rsidP="00421EA4">
            <w:pPr>
              <w:spacing w:line="360" w:lineRule="auto"/>
              <w:jc w:val="center"/>
              <w:rPr>
                <w:rFonts w:ascii="Arial" w:hAnsi="Arial" w:cs="Arial"/>
              </w:rPr>
            </w:pPr>
            <w:r w:rsidRPr="00202438">
              <w:rPr>
                <w:rFonts w:ascii="Arial" w:hAnsi="Arial" w:cs="Arial"/>
              </w:rPr>
              <w:t>"Did it stop at 80%? How much was that? Expensive!"</w:t>
            </w:r>
          </w:p>
        </w:tc>
      </w:tr>
      <w:tr w:rsidR="00202438" w:rsidRPr="00202438" w14:paraId="0445658E" w14:textId="77777777" w:rsidTr="00421EA4">
        <w:trPr>
          <w:tblCellSpacing w:w="15" w:type="dxa"/>
        </w:trPr>
        <w:tc>
          <w:tcPr>
            <w:tcW w:w="0" w:type="auto"/>
            <w:tcBorders>
              <w:top w:val="single" w:sz="6" w:space="0" w:color="auto"/>
              <w:left w:val="single" w:sz="6" w:space="0" w:color="auto"/>
              <w:bottom w:val="single" w:sz="6" w:space="0" w:color="auto"/>
              <w:right w:val="single" w:sz="6" w:space="0" w:color="auto"/>
            </w:tcBorders>
            <w:shd w:val="clear" w:color="auto" w:fill="FFC000"/>
            <w:vAlign w:val="center"/>
            <w:hideMark/>
          </w:tcPr>
          <w:p w14:paraId="329C8B5C" w14:textId="77777777" w:rsidR="00202438" w:rsidRPr="00202438" w:rsidRDefault="00202438" w:rsidP="00421EA4">
            <w:pPr>
              <w:spacing w:line="360" w:lineRule="auto"/>
              <w:jc w:val="center"/>
              <w:rPr>
                <w:rFonts w:ascii="Arial" w:hAnsi="Arial" w:cs="Arial"/>
              </w:rPr>
            </w:pPr>
            <w:r w:rsidRPr="00202438">
              <w:rPr>
                <w:rFonts w:ascii="Arial" w:hAnsi="Arial" w:cs="Arial"/>
                <w:b/>
                <w:bCs/>
              </w:rPr>
              <w:t>Feeling</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3A9B24F5" w14:textId="77777777" w:rsidR="00202438" w:rsidRPr="00202438" w:rsidRDefault="00202438" w:rsidP="00421EA4">
            <w:pPr>
              <w:spacing w:line="360" w:lineRule="auto"/>
              <w:jc w:val="center"/>
              <w:rPr>
                <w:rFonts w:ascii="Arial" w:hAnsi="Arial" w:cs="Arial"/>
              </w:rPr>
            </w:pPr>
            <w:r w:rsidRPr="00202438">
              <w:rPr>
                <w:rFonts w:ascii="Arial" w:hAnsi="Arial" w:cs="Arial"/>
                <w:b/>
                <w:bCs/>
              </w:rPr>
              <w:t>Anxiety / Uncertainty</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6CE5B15B" w14:textId="77777777" w:rsidR="00202438" w:rsidRPr="00202438" w:rsidRDefault="00202438" w:rsidP="00421EA4">
            <w:pPr>
              <w:spacing w:line="360" w:lineRule="auto"/>
              <w:jc w:val="center"/>
              <w:rPr>
                <w:rFonts w:ascii="Arial" w:hAnsi="Arial" w:cs="Arial"/>
              </w:rPr>
            </w:pPr>
            <w:r w:rsidRPr="00202438">
              <w:rPr>
                <w:rFonts w:ascii="Arial" w:hAnsi="Arial" w:cs="Arial"/>
                <w:b/>
                <w:bCs/>
              </w:rPr>
              <w:t>Frustration</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42D1CE8B" w14:textId="77777777" w:rsidR="00202438" w:rsidRPr="00202438" w:rsidRDefault="00202438" w:rsidP="00421EA4">
            <w:pPr>
              <w:spacing w:line="360" w:lineRule="auto"/>
              <w:jc w:val="center"/>
              <w:rPr>
                <w:rFonts w:ascii="Arial" w:hAnsi="Arial" w:cs="Arial"/>
              </w:rPr>
            </w:pPr>
            <w:r w:rsidRPr="00202438">
              <w:rPr>
                <w:rFonts w:ascii="Arial" w:hAnsi="Arial" w:cs="Arial"/>
                <w:b/>
                <w:bCs/>
              </w:rPr>
              <w:t>Boredom / Disconnect</w:t>
            </w:r>
          </w:p>
        </w:tc>
        <w:tc>
          <w:tcPr>
            <w:tcW w:w="0" w:type="auto"/>
            <w:tcBorders>
              <w:top w:val="single" w:sz="6" w:space="0" w:color="auto"/>
              <w:left w:val="single" w:sz="6" w:space="0" w:color="auto"/>
              <w:bottom w:val="single" w:sz="6" w:space="0" w:color="auto"/>
              <w:right w:val="single" w:sz="6" w:space="0" w:color="auto"/>
            </w:tcBorders>
            <w:shd w:val="clear" w:color="auto" w:fill="C1E4F5" w:themeFill="accent1" w:themeFillTint="33"/>
            <w:vAlign w:val="center"/>
            <w:hideMark/>
          </w:tcPr>
          <w:p w14:paraId="05ED864A" w14:textId="77777777" w:rsidR="00202438" w:rsidRPr="00202438" w:rsidRDefault="00202438" w:rsidP="00421EA4">
            <w:pPr>
              <w:spacing w:line="360" w:lineRule="auto"/>
              <w:jc w:val="center"/>
              <w:rPr>
                <w:rFonts w:ascii="Arial" w:hAnsi="Arial" w:cs="Arial"/>
              </w:rPr>
            </w:pPr>
            <w:r w:rsidRPr="00202438">
              <w:rPr>
                <w:rFonts w:ascii="Arial" w:hAnsi="Arial" w:cs="Arial"/>
                <w:b/>
                <w:bCs/>
              </w:rPr>
              <w:t>Relief / Price Shock</w:t>
            </w:r>
          </w:p>
        </w:tc>
      </w:tr>
    </w:tbl>
    <w:p w14:paraId="4DD2BD4E" w14:textId="77777777" w:rsidR="00202438" w:rsidRPr="009B5B3F" w:rsidRDefault="00202438" w:rsidP="00822BE6">
      <w:pPr>
        <w:spacing w:line="360" w:lineRule="auto"/>
        <w:rPr>
          <w:rFonts w:ascii="Arial" w:hAnsi="Arial" w:cs="Arial"/>
          <w:b/>
          <w:bCs/>
        </w:rPr>
      </w:pPr>
    </w:p>
    <w:p w14:paraId="00156218" w14:textId="77777777" w:rsidR="004D7BB6" w:rsidRDefault="00202438" w:rsidP="00822BE6">
      <w:pPr>
        <w:keepNext/>
        <w:spacing w:line="360" w:lineRule="auto"/>
      </w:pPr>
      <w:r w:rsidRPr="009B5B3F">
        <w:rPr>
          <w:rFonts w:ascii="Arial" w:hAnsi="Arial" w:cs="Arial"/>
          <w:b/>
          <w:bCs/>
          <w:noProof/>
        </w:rPr>
        <w:lastRenderedPageBreak/>
        <w:drawing>
          <wp:inline distT="0" distB="0" distL="0" distR="0" wp14:anchorId="33F71891" wp14:editId="61A6A523">
            <wp:extent cx="5731510" cy="3086100"/>
            <wp:effectExtent l="0" t="0" r="2540" b="0"/>
            <wp:docPr id="538849030" name="Picture 2" descr="A colorful road with white lines with Ofu-Olosega in th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849030" name="Picture 2" descr="A colorful road with white lines with Ofu-Olosega in the backgroun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inline>
        </w:drawing>
      </w:r>
    </w:p>
    <w:p w14:paraId="4A8A563E" w14:textId="3DCC2B81" w:rsidR="00202438" w:rsidRPr="009B5B3F" w:rsidRDefault="004D7BB6" w:rsidP="00822BE6">
      <w:pPr>
        <w:pStyle w:val="Caption"/>
        <w:spacing w:line="360" w:lineRule="auto"/>
        <w:rPr>
          <w:rFonts w:ascii="Arial" w:hAnsi="Arial" w:cs="Arial"/>
          <w:b/>
          <w:bCs/>
        </w:rPr>
      </w:pPr>
      <w:r>
        <w:t xml:space="preserve">Table </w:t>
      </w:r>
      <w:r>
        <w:fldChar w:fldCharType="begin"/>
      </w:r>
      <w:r>
        <w:instrText xml:space="preserve"> SEQ Table \* ARABIC </w:instrText>
      </w:r>
      <w:r>
        <w:fldChar w:fldCharType="separate"/>
      </w:r>
      <w:r>
        <w:rPr>
          <w:noProof/>
        </w:rPr>
        <w:t>2</w:t>
      </w:r>
      <w:r>
        <w:rPr>
          <w:noProof/>
        </w:rPr>
        <w:fldChar w:fldCharType="end"/>
      </w:r>
    </w:p>
    <w:p w14:paraId="0F9344B3" w14:textId="77777777" w:rsidR="00202438" w:rsidRPr="009B5B3F" w:rsidRDefault="00202438" w:rsidP="00822BE6">
      <w:pPr>
        <w:spacing w:line="360" w:lineRule="auto"/>
        <w:rPr>
          <w:rFonts w:ascii="Arial" w:hAnsi="Arial" w:cs="Arial"/>
          <w:b/>
          <w:bCs/>
        </w:rPr>
      </w:pPr>
    </w:p>
    <w:p w14:paraId="51CCF2A6" w14:textId="77777777" w:rsidR="00A92609" w:rsidRDefault="00A92609" w:rsidP="00822BE6">
      <w:pPr>
        <w:spacing w:line="360" w:lineRule="auto"/>
        <w:rPr>
          <w:rFonts w:ascii="Arial" w:hAnsi="Arial" w:cs="Arial"/>
          <w:b/>
          <w:bCs/>
        </w:rPr>
      </w:pPr>
    </w:p>
    <w:p w14:paraId="7555B38D" w14:textId="5F977E16" w:rsidR="00202438" w:rsidRPr="00202438" w:rsidRDefault="00202438" w:rsidP="00822BE6">
      <w:pPr>
        <w:spacing w:line="360" w:lineRule="auto"/>
        <w:rPr>
          <w:rFonts w:ascii="Arial" w:hAnsi="Arial" w:cs="Arial"/>
        </w:rPr>
      </w:pPr>
      <w:r w:rsidRPr="00202438">
        <w:rPr>
          <w:rFonts w:ascii="Arial" w:hAnsi="Arial" w:cs="Arial"/>
          <w:b/>
          <w:bCs/>
        </w:rPr>
        <w:t>Critical Pain Points identified in Design Thinking analysis:</w:t>
      </w:r>
    </w:p>
    <w:p w14:paraId="73D6268D" w14:textId="77777777" w:rsidR="00202438" w:rsidRPr="00202438" w:rsidRDefault="00202438" w:rsidP="00BD34A4">
      <w:pPr>
        <w:numPr>
          <w:ilvl w:val="0"/>
          <w:numId w:val="4"/>
        </w:numPr>
        <w:spacing w:line="360" w:lineRule="auto"/>
        <w:jc w:val="both"/>
        <w:rPr>
          <w:rFonts w:ascii="Arial" w:hAnsi="Arial" w:cs="Arial"/>
        </w:rPr>
      </w:pPr>
      <w:r w:rsidRPr="00202438">
        <w:rPr>
          <w:rFonts w:ascii="Arial" w:hAnsi="Arial" w:cs="Arial"/>
          <w:b/>
          <w:bCs/>
        </w:rPr>
        <w:t>Fragmentation:</w:t>
      </w:r>
      <w:r w:rsidRPr="00202438">
        <w:rPr>
          <w:rFonts w:ascii="Arial" w:hAnsi="Arial" w:cs="Arial"/>
        </w:rPr>
        <w:t xml:space="preserve"> Sarah uses Google Maps to find the station, the BP Pulse app to charge, and a contactless card to buy coffee. The data is siloed. BP does not know Sarah is in the store buying a sandwich while her car charges.</w:t>
      </w:r>
    </w:p>
    <w:p w14:paraId="7991D2A6" w14:textId="7241C647" w:rsidR="00202438" w:rsidRPr="00202438" w:rsidRDefault="00202438" w:rsidP="00BD34A4">
      <w:pPr>
        <w:numPr>
          <w:ilvl w:val="0"/>
          <w:numId w:val="4"/>
        </w:numPr>
        <w:spacing w:line="360" w:lineRule="auto"/>
        <w:jc w:val="both"/>
        <w:rPr>
          <w:rFonts w:ascii="Arial" w:hAnsi="Arial" w:cs="Arial"/>
        </w:rPr>
      </w:pPr>
      <w:r w:rsidRPr="00202438">
        <w:rPr>
          <w:rFonts w:ascii="Arial" w:hAnsi="Arial" w:cs="Arial"/>
          <w:b/>
          <w:bCs/>
        </w:rPr>
        <w:t>The "Dead Time" Void:</w:t>
      </w:r>
      <w:r w:rsidRPr="00202438">
        <w:rPr>
          <w:rFonts w:ascii="Arial" w:hAnsi="Arial" w:cs="Arial"/>
        </w:rPr>
        <w:t xml:space="preserve"> The </w:t>
      </w:r>
      <w:r w:rsidRPr="009B5B3F">
        <w:rPr>
          <w:rFonts w:ascii="Arial" w:hAnsi="Arial" w:cs="Arial"/>
        </w:rPr>
        <w:t>20–40-minute</w:t>
      </w:r>
      <w:r w:rsidRPr="00202438">
        <w:rPr>
          <w:rFonts w:ascii="Arial" w:hAnsi="Arial" w:cs="Arial"/>
        </w:rPr>
        <w:t xml:space="preserve"> dwell time is currently viewed as a nuisance rather than an experience. There is no digital bridge connecting the charging session status with the retail environment (e.g., Sarah doesn't know when her car is done while she is inside queuing for coffee).</w:t>
      </w:r>
    </w:p>
    <w:p w14:paraId="6A4B2C01" w14:textId="77777777" w:rsidR="00202438" w:rsidRPr="00202438" w:rsidRDefault="00202438" w:rsidP="00BD34A4">
      <w:pPr>
        <w:numPr>
          <w:ilvl w:val="0"/>
          <w:numId w:val="4"/>
        </w:numPr>
        <w:spacing w:line="360" w:lineRule="auto"/>
        <w:jc w:val="both"/>
        <w:rPr>
          <w:rFonts w:ascii="Arial" w:hAnsi="Arial" w:cs="Arial"/>
        </w:rPr>
      </w:pPr>
      <w:r w:rsidRPr="00202438">
        <w:rPr>
          <w:rFonts w:ascii="Arial" w:hAnsi="Arial" w:cs="Arial"/>
          <w:b/>
          <w:bCs/>
        </w:rPr>
        <w:t>Physical/Digital Disconnect:</w:t>
      </w:r>
      <w:r w:rsidRPr="00202438">
        <w:rPr>
          <w:rFonts w:ascii="Arial" w:hAnsi="Arial" w:cs="Arial"/>
        </w:rPr>
        <w:t xml:space="preserve"> The "Rain Walk." The digital promise of high-tech EV charging clashes with the analogue reality of walking through rain to a convenience store.</w:t>
      </w:r>
    </w:p>
    <w:p w14:paraId="60E40C63" w14:textId="0263D22C" w:rsidR="00202438" w:rsidRPr="00202438" w:rsidRDefault="00202438" w:rsidP="00822BE6">
      <w:pPr>
        <w:spacing w:line="360" w:lineRule="auto"/>
        <w:rPr>
          <w:rFonts w:ascii="Arial" w:hAnsi="Arial" w:cs="Arial"/>
        </w:rPr>
      </w:pPr>
    </w:p>
    <w:p w14:paraId="0964185F" w14:textId="787F62F8" w:rsidR="009B5B3F" w:rsidRPr="009B5B3F" w:rsidRDefault="009B5B3F" w:rsidP="00822BE6">
      <w:pPr>
        <w:pStyle w:val="Heading1"/>
        <w:numPr>
          <w:ilvl w:val="0"/>
          <w:numId w:val="4"/>
        </w:numPr>
        <w:spacing w:line="360" w:lineRule="auto"/>
      </w:pPr>
      <w:bookmarkStart w:id="17" w:name="_Toc224395100"/>
      <w:r w:rsidRPr="009B5B3F">
        <w:lastRenderedPageBreak/>
        <w:t>Proposed Digital Transformation Initiative</w:t>
      </w:r>
      <w:bookmarkEnd w:id="17"/>
    </w:p>
    <w:p w14:paraId="60079FF8" w14:textId="6B286C21" w:rsidR="009B5B3F" w:rsidRPr="009B5B3F" w:rsidRDefault="009B5B3F" w:rsidP="00BD34A4">
      <w:pPr>
        <w:spacing w:line="360" w:lineRule="auto"/>
        <w:jc w:val="both"/>
        <w:rPr>
          <w:rFonts w:ascii="Arial" w:hAnsi="Arial" w:cs="Arial"/>
        </w:rPr>
      </w:pPr>
      <w:r w:rsidRPr="009B5B3F">
        <w:rPr>
          <w:rFonts w:ascii="Arial" w:hAnsi="Arial" w:cs="Arial"/>
        </w:rPr>
        <w:t>Based on the analysis above, BP needs a "Digital Glue" to connect its</w:t>
      </w:r>
      <w:r w:rsidR="002A0D47">
        <w:rPr>
          <w:rFonts w:ascii="Arial" w:hAnsi="Arial" w:cs="Arial"/>
        </w:rPr>
        <w:t xml:space="preserve"> </w:t>
      </w:r>
      <w:r w:rsidRPr="009B5B3F">
        <w:rPr>
          <w:rFonts w:ascii="Arial" w:hAnsi="Arial" w:cs="Arial"/>
        </w:rPr>
        <w:t>Transformational Ambitions (EVs) with its Adjacent Strengths (Retail).</w:t>
      </w:r>
    </w:p>
    <w:p w14:paraId="1F90D46C" w14:textId="77777777" w:rsidR="009B5B3F" w:rsidRPr="009B5B3F" w:rsidRDefault="009B5B3F" w:rsidP="00BD34A4">
      <w:pPr>
        <w:pStyle w:val="Heading2"/>
        <w:spacing w:line="360" w:lineRule="auto"/>
        <w:jc w:val="both"/>
      </w:pPr>
      <w:bookmarkStart w:id="18" w:name="_Toc224395101"/>
      <w:r w:rsidRPr="009B5B3F">
        <w:t>4.1 The Initiative: "BP Neuro-Hub"</w:t>
      </w:r>
      <w:bookmarkEnd w:id="18"/>
    </w:p>
    <w:p w14:paraId="7273445E" w14:textId="77777777" w:rsidR="00931822" w:rsidRPr="00931822" w:rsidRDefault="00931822" w:rsidP="00BD34A4">
      <w:pPr>
        <w:spacing w:line="360" w:lineRule="auto"/>
        <w:ind w:left="720"/>
        <w:jc w:val="both"/>
        <w:rPr>
          <w:rFonts w:ascii="Arial" w:hAnsi="Arial" w:cs="Arial"/>
        </w:rPr>
      </w:pPr>
      <w:r w:rsidRPr="00931822">
        <w:rPr>
          <w:rFonts w:ascii="Arial" w:hAnsi="Arial" w:cs="Arial"/>
        </w:rPr>
        <w:t>Proposition: The BP Neuro-Hub is an AI-driven "Super App" ecosystem that integrates Energy, Retail, and Mobility into a single, hyper-personalized experience. This initiative is not just an app update; it is a Service Design overhaul. It shifts the business model from "selling fuel and food" to "optimizing the customer's time" (Porter and Heppelmann, 2014).</w:t>
      </w:r>
    </w:p>
    <w:p w14:paraId="4B12C076" w14:textId="77777777" w:rsidR="00931822" w:rsidRPr="00931822" w:rsidRDefault="00931822" w:rsidP="00BD34A4">
      <w:pPr>
        <w:spacing w:line="360" w:lineRule="auto"/>
        <w:ind w:left="720"/>
        <w:jc w:val="both"/>
        <w:rPr>
          <w:rFonts w:ascii="Arial" w:hAnsi="Arial" w:cs="Arial"/>
        </w:rPr>
      </w:pPr>
      <w:r w:rsidRPr="00931822">
        <w:rPr>
          <w:rFonts w:ascii="Arial" w:hAnsi="Arial" w:cs="Arial"/>
        </w:rPr>
        <w:t>Core Technologies Involved:</w:t>
      </w:r>
    </w:p>
    <w:p w14:paraId="296E4184" w14:textId="05807D6B" w:rsidR="00931822" w:rsidRPr="00931822" w:rsidRDefault="00931822" w:rsidP="00BD34A4">
      <w:pPr>
        <w:pStyle w:val="ListParagraph"/>
        <w:numPr>
          <w:ilvl w:val="0"/>
          <w:numId w:val="26"/>
        </w:numPr>
        <w:spacing w:line="360" w:lineRule="auto"/>
        <w:jc w:val="both"/>
        <w:rPr>
          <w:rFonts w:ascii="Arial" w:hAnsi="Arial" w:cs="Arial"/>
        </w:rPr>
      </w:pPr>
      <w:r w:rsidRPr="00931822">
        <w:rPr>
          <w:rFonts w:ascii="Arial" w:hAnsi="Arial" w:cs="Arial"/>
          <w:b/>
          <w:bCs/>
        </w:rPr>
        <w:t>ISO 15118 (Plug &amp; Charge):</w:t>
      </w:r>
      <w:r w:rsidRPr="00931822">
        <w:rPr>
          <w:rFonts w:ascii="Arial" w:hAnsi="Arial" w:cs="Arial"/>
        </w:rPr>
        <w:t xml:space="preserve"> Enabling the car to authenticate payment automatically upon plugging in, removing the need for cards or apps at the pedestal.</w:t>
      </w:r>
    </w:p>
    <w:p w14:paraId="05D425D8" w14:textId="53AF2C0E" w:rsidR="00931822" w:rsidRPr="00931822" w:rsidRDefault="00931822" w:rsidP="00BD34A4">
      <w:pPr>
        <w:pStyle w:val="ListParagraph"/>
        <w:numPr>
          <w:ilvl w:val="0"/>
          <w:numId w:val="26"/>
        </w:numPr>
        <w:spacing w:line="360" w:lineRule="auto"/>
        <w:jc w:val="both"/>
        <w:rPr>
          <w:rFonts w:ascii="Arial" w:hAnsi="Arial" w:cs="Arial"/>
        </w:rPr>
      </w:pPr>
      <w:r w:rsidRPr="00931822">
        <w:rPr>
          <w:rFonts w:ascii="Arial" w:hAnsi="Arial" w:cs="Arial"/>
          <w:b/>
          <w:bCs/>
        </w:rPr>
        <w:t>Predictive AI &amp; Geofencing:</w:t>
      </w:r>
      <w:r w:rsidRPr="00931822">
        <w:rPr>
          <w:rFonts w:ascii="Arial" w:hAnsi="Arial" w:cs="Arial"/>
        </w:rPr>
        <w:t xml:space="preserve"> Using vehicle telemetry to predict arrival times and pre-order goods.</w:t>
      </w:r>
    </w:p>
    <w:p w14:paraId="36BC8E7C" w14:textId="191D3591" w:rsidR="00931822" w:rsidRPr="00931822" w:rsidRDefault="00931822" w:rsidP="00BD34A4">
      <w:pPr>
        <w:pStyle w:val="ListParagraph"/>
        <w:numPr>
          <w:ilvl w:val="0"/>
          <w:numId w:val="26"/>
        </w:numPr>
        <w:spacing w:line="360" w:lineRule="auto"/>
        <w:jc w:val="both"/>
        <w:rPr>
          <w:rFonts w:ascii="Arial" w:hAnsi="Arial" w:cs="Arial"/>
        </w:rPr>
      </w:pPr>
      <w:r w:rsidRPr="00931822">
        <w:rPr>
          <w:rFonts w:ascii="Arial" w:hAnsi="Arial" w:cs="Arial"/>
          <w:b/>
          <w:bCs/>
        </w:rPr>
        <w:t>IoT Integration:</w:t>
      </w:r>
      <w:r w:rsidRPr="00931822">
        <w:rPr>
          <w:rFonts w:ascii="Arial" w:hAnsi="Arial" w:cs="Arial"/>
        </w:rPr>
        <w:t xml:space="preserve"> Connecting the coffee machine and oven in the Wild Bean Cafe directly to the charging pedestal’s timer.</w:t>
      </w:r>
    </w:p>
    <w:p w14:paraId="3B5AC163" w14:textId="3FBD1CDC" w:rsidR="009B5B3F" w:rsidRPr="009B5B3F" w:rsidRDefault="009B5B3F" w:rsidP="00822BE6">
      <w:pPr>
        <w:spacing w:line="360" w:lineRule="auto"/>
        <w:ind w:left="720"/>
        <w:rPr>
          <w:rFonts w:ascii="Arial" w:hAnsi="Arial" w:cs="Arial"/>
        </w:rPr>
      </w:pPr>
    </w:p>
    <w:p w14:paraId="23B9D62C" w14:textId="77777777" w:rsidR="009B5B3F" w:rsidRPr="009B5B3F" w:rsidRDefault="009B5B3F" w:rsidP="00822BE6">
      <w:pPr>
        <w:pStyle w:val="Heading2"/>
        <w:spacing w:line="360" w:lineRule="auto"/>
      </w:pPr>
      <w:bookmarkStart w:id="19" w:name="_Toc224395102"/>
      <w:r w:rsidRPr="009B5B3F">
        <w:t>4.2 The Enhanced Customer Journey (Future State)</w:t>
      </w:r>
      <w:bookmarkEnd w:id="19"/>
    </w:p>
    <w:p w14:paraId="2B5A1C58" w14:textId="77777777" w:rsidR="009B5B3F" w:rsidRPr="009B5B3F" w:rsidRDefault="009B5B3F" w:rsidP="00822BE6">
      <w:pPr>
        <w:spacing w:line="360" w:lineRule="auto"/>
        <w:rPr>
          <w:rFonts w:ascii="Arial" w:hAnsi="Arial" w:cs="Arial"/>
        </w:rPr>
      </w:pPr>
      <w:r w:rsidRPr="009B5B3F">
        <w:rPr>
          <w:rFonts w:ascii="Arial" w:hAnsi="Arial" w:cs="Arial"/>
        </w:rPr>
        <w:t>Let’s replay Sarah’s journey with the BP Neuro-Hub.</w:t>
      </w:r>
    </w:p>
    <w:p w14:paraId="3AFE24F3" w14:textId="77777777" w:rsidR="009B5B3F" w:rsidRPr="00BD34A4" w:rsidRDefault="009B5B3F" w:rsidP="00822BE6">
      <w:pPr>
        <w:spacing w:line="360" w:lineRule="auto"/>
        <w:rPr>
          <w:rFonts w:ascii="Arial" w:hAnsi="Arial" w:cs="Arial"/>
          <w:b/>
          <w:bCs/>
        </w:rPr>
      </w:pPr>
      <w:r w:rsidRPr="00BD34A4">
        <w:rPr>
          <w:rFonts w:ascii="Arial" w:hAnsi="Arial" w:cs="Arial"/>
          <w:b/>
          <w:bCs/>
        </w:rPr>
        <w:t>Phase 1: Anticipation (Predictive)</w:t>
      </w:r>
    </w:p>
    <w:p w14:paraId="42DC54F8" w14:textId="77777777" w:rsidR="009B5B3F" w:rsidRPr="009B5B3F" w:rsidRDefault="009B5B3F" w:rsidP="00BD34A4">
      <w:pPr>
        <w:numPr>
          <w:ilvl w:val="0"/>
          <w:numId w:val="16"/>
        </w:numPr>
        <w:spacing w:line="360" w:lineRule="auto"/>
        <w:jc w:val="both"/>
        <w:rPr>
          <w:rFonts w:ascii="Arial" w:hAnsi="Arial" w:cs="Arial"/>
        </w:rPr>
      </w:pPr>
      <w:r w:rsidRPr="009B5B3F">
        <w:rPr>
          <w:rFonts w:ascii="Arial" w:hAnsi="Arial" w:cs="Arial"/>
        </w:rPr>
        <w:t>Action: The BP Neuro-Hub (integrated into her car's dashboard via CarPlay/Android Auto) notices her route and battery level.</w:t>
      </w:r>
    </w:p>
    <w:p w14:paraId="19B48E01" w14:textId="77777777" w:rsidR="009B5B3F" w:rsidRPr="009B5B3F" w:rsidRDefault="009B5B3F" w:rsidP="00BD34A4">
      <w:pPr>
        <w:numPr>
          <w:ilvl w:val="0"/>
          <w:numId w:val="16"/>
        </w:numPr>
        <w:spacing w:line="360" w:lineRule="auto"/>
        <w:jc w:val="both"/>
        <w:rPr>
          <w:rFonts w:ascii="Arial" w:hAnsi="Arial" w:cs="Arial"/>
        </w:rPr>
      </w:pPr>
      <w:r w:rsidRPr="009B5B3F">
        <w:rPr>
          <w:rFonts w:ascii="Arial" w:hAnsi="Arial" w:cs="Arial"/>
        </w:rPr>
        <w:t xml:space="preserve">The Innovation: The AI suggests: </w:t>
      </w:r>
      <w:r w:rsidRPr="009B5B3F">
        <w:rPr>
          <w:rFonts w:ascii="Arial" w:hAnsi="Arial" w:cs="Arial"/>
          <w:i/>
          <w:iCs/>
        </w:rPr>
        <w:t>"BP Hammersmith has a 150kW charger available at 12:45. Based on your previous orders, would you like to reserve a 'Lunch Bundle' (Charger + Flat White + Sandwich) for £15?"</w:t>
      </w:r>
    </w:p>
    <w:p w14:paraId="3EB88305" w14:textId="77777777" w:rsidR="009B5B3F" w:rsidRPr="009B5B3F" w:rsidRDefault="009B5B3F" w:rsidP="00BD34A4">
      <w:pPr>
        <w:numPr>
          <w:ilvl w:val="0"/>
          <w:numId w:val="16"/>
        </w:numPr>
        <w:spacing w:line="360" w:lineRule="auto"/>
        <w:jc w:val="both"/>
        <w:rPr>
          <w:rFonts w:ascii="Arial" w:hAnsi="Arial" w:cs="Arial"/>
        </w:rPr>
      </w:pPr>
      <w:r w:rsidRPr="009B5B3F">
        <w:rPr>
          <w:rFonts w:ascii="Arial" w:hAnsi="Arial" w:cs="Arial"/>
        </w:rPr>
        <w:t>Value: Certainty. Sarah confirms with one voice command. The charger is reserved.</w:t>
      </w:r>
    </w:p>
    <w:p w14:paraId="47873BAB" w14:textId="77777777" w:rsidR="009B5B3F" w:rsidRPr="00BD34A4" w:rsidRDefault="009B5B3F" w:rsidP="00822BE6">
      <w:pPr>
        <w:spacing w:line="360" w:lineRule="auto"/>
        <w:rPr>
          <w:rFonts w:ascii="Arial" w:hAnsi="Arial" w:cs="Arial"/>
          <w:b/>
          <w:bCs/>
        </w:rPr>
      </w:pPr>
      <w:r w:rsidRPr="00BD34A4">
        <w:rPr>
          <w:rFonts w:ascii="Arial" w:hAnsi="Arial" w:cs="Arial"/>
          <w:b/>
          <w:bCs/>
        </w:rPr>
        <w:lastRenderedPageBreak/>
        <w:t>Phase 2: Arrival (Frictionless)</w:t>
      </w:r>
    </w:p>
    <w:p w14:paraId="2A08FBB2" w14:textId="77777777" w:rsidR="009B5B3F" w:rsidRPr="009B5B3F" w:rsidRDefault="009B5B3F" w:rsidP="00BD34A4">
      <w:pPr>
        <w:numPr>
          <w:ilvl w:val="0"/>
          <w:numId w:val="17"/>
        </w:numPr>
        <w:spacing w:line="360" w:lineRule="auto"/>
        <w:jc w:val="both"/>
        <w:rPr>
          <w:rFonts w:ascii="Arial" w:hAnsi="Arial" w:cs="Arial"/>
        </w:rPr>
      </w:pPr>
      <w:r w:rsidRPr="009B5B3F">
        <w:rPr>
          <w:rFonts w:ascii="Arial" w:hAnsi="Arial" w:cs="Arial"/>
        </w:rPr>
        <w:t>Action: Sarah pulls up. An ALPR (Automatic License Plate Recognition) camera identifies her. The barrier to the "Reserved EV Bay" opens.</w:t>
      </w:r>
    </w:p>
    <w:p w14:paraId="35AC96B5" w14:textId="77777777" w:rsidR="009B5B3F" w:rsidRPr="009B5B3F" w:rsidRDefault="009B5B3F" w:rsidP="00BD34A4">
      <w:pPr>
        <w:numPr>
          <w:ilvl w:val="0"/>
          <w:numId w:val="17"/>
        </w:numPr>
        <w:spacing w:line="360" w:lineRule="auto"/>
        <w:jc w:val="both"/>
        <w:rPr>
          <w:rFonts w:ascii="Arial" w:hAnsi="Arial" w:cs="Arial"/>
        </w:rPr>
      </w:pPr>
      <w:r w:rsidRPr="009B5B3F">
        <w:rPr>
          <w:rFonts w:ascii="Arial" w:hAnsi="Arial" w:cs="Arial"/>
        </w:rPr>
        <w:t>The Innovation: Plug &amp; Charge. She plugs in. No screens, no cards. The charger communicates with the car (ISO 15118), authenticates her account, and charging begins instantly. The led ring on the charger turns green.</w:t>
      </w:r>
    </w:p>
    <w:p w14:paraId="391E7CB0" w14:textId="77777777" w:rsidR="009B5B3F" w:rsidRPr="009B5B3F" w:rsidRDefault="009B5B3F" w:rsidP="00BD34A4">
      <w:pPr>
        <w:numPr>
          <w:ilvl w:val="0"/>
          <w:numId w:val="17"/>
        </w:numPr>
        <w:spacing w:line="360" w:lineRule="auto"/>
        <w:jc w:val="both"/>
        <w:rPr>
          <w:rFonts w:ascii="Arial" w:hAnsi="Arial" w:cs="Arial"/>
        </w:rPr>
      </w:pPr>
      <w:r w:rsidRPr="009B5B3F">
        <w:rPr>
          <w:rFonts w:ascii="Arial" w:hAnsi="Arial" w:cs="Arial"/>
        </w:rPr>
        <w:t>Value: Speed and Status. She feels like a VIP.</w:t>
      </w:r>
    </w:p>
    <w:p w14:paraId="61A24B18" w14:textId="77777777" w:rsidR="009B5B3F" w:rsidRPr="00BD34A4" w:rsidRDefault="009B5B3F" w:rsidP="00822BE6">
      <w:pPr>
        <w:spacing w:line="360" w:lineRule="auto"/>
        <w:rPr>
          <w:rFonts w:ascii="Arial" w:hAnsi="Arial" w:cs="Arial"/>
          <w:b/>
          <w:bCs/>
        </w:rPr>
      </w:pPr>
      <w:r w:rsidRPr="00BD34A4">
        <w:rPr>
          <w:rFonts w:ascii="Arial" w:hAnsi="Arial" w:cs="Arial"/>
          <w:b/>
          <w:bCs/>
        </w:rPr>
        <w:t>Phase 3: Engagement (The "Concierge" Experience)</w:t>
      </w:r>
    </w:p>
    <w:p w14:paraId="2A27CBC9" w14:textId="77777777" w:rsidR="009B5B3F" w:rsidRPr="009B5B3F" w:rsidRDefault="009B5B3F" w:rsidP="00822BE6">
      <w:pPr>
        <w:numPr>
          <w:ilvl w:val="0"/>
          <w:numId w:val="18"/>
        </w:numPr>
        <w:spacing w:line="360" w:lineRule="auto"/>
        <w:rPr>
          <w:rFonts w:ascii="Arial" w:hAnsi="Arial" w:cs="Arial"/>
        </w:rPr>
      </w:pPr>
      <w:r w:rsidRPr="009B5B3F">
        <w:rPr>
          <w:rFonts w:ascii="Arial" w:hAnsi="Arial" w:cs="Arial"/>
        </w:rPr>
        <w:t xml:space="preserve">Action: As she walks toward the store (under a newly installed solar canopy), her phone buzzes. </w:t>
      </w:r>
      <w:r w:rsidRPr="009B5B3F">
        <w:rPr>
          <w:rFonts w:ascii="Arial" w:hAnsi="Arial" w:cs="Arial"/>
          <w:i/>
          <w:iCs/>
        </w:rPr>
        <w:t>"Welcome, Sarah. Your charge will take 28 minutes. Your Flat White is being prepared now to be ready at 12:50."</w:t>
      </w:r>
    </w:p>
    <w:p w14:paraId="53C19F5B" w14:textId="716DC966" w:rsidR="009B5B3F" w:rsidRPr="009B5B3F" w:rsidRDefault="009B5B3F" w:rsidP="00822BE6">
      <w:pPr>
        <w:numPr>
          <w:ilvl w:val="0"/>
          <w:numId w:val="18"/>
        </w:numPr>
        <w:spacing w:line="360" w:lineRule="auto"/>
        <w:rPr>
          <w:rFonts w:ascii="Arial" w:hAnsi="Arial" w:cs="Arial"/>
        </w:rPr>
      </w:pPr>
      <w:r w:rsidRPr="009B5B3F">
        <w:rPr>
          <w:rFonts w:ascii="Arial" w:hAnsi="Arial" w:cs="Arial"/>
        </w:rPr>
        <w:t xml:space="preserve">The Innovation: Just-in-Time Retail. She walks into the Wild Bean Cafe. She skips the queue and goes to the "Neuro-Hub Collection Point." Her coffee is fresh. The app notifies her: </w:t>
      </w:r>
      <w:r w:rsidRPr="009B5B3F">
        <w:rPr>
          <w:rFonts w:ascii="Arial" w:hAnsi="Arial" w:cs="Arial"/>
          <w:i/>
          <w:iCs/>
        </w:rPr>
        <w:t xml:space="preserve">"Feel free to use the Business Lounge. </w:t>
      </w:r>
      <w:r w:rsidRPr="002A0D47">
        <w:rPr>
          <w:rFonts w:ascii="Arial" w:hAnsi="Arial" w:cs="Arial"/>
          <w:i/>
          <w:iCs/>
        </w:rPr>
        <w:t>Wi-Fi</w:t>
      </w:r>
      <w:r w:rsidRPr="009B5B3F">
        <w:rPr>
          <w:rFonts w:ascii="Arial" w:hAnsi="Arial" w:cs="Arial"/>
          <w:i/>
          <w:iCs/>
        </w:rPr>
        <w:t xml:space="preserve"> password is connected automatically."</w:t>
      </w:r>
    </w:p>
    <w:p w14:paraId="460B4EE2" w14:textId="77777777" w:rsidR="009B5B3F" w:rsidRPr="009B5B3F" w:rsidRDefault="009B5B3F" w:rsidP="00822BE6">
      <w:pPr>
        <w:numPr>
          <w:ilvl w:val="0"/>
          <w:numId w:val="18"/>
        </w:numPr>
        <w:spacing w:line="360" w:lineRule="auto"/>
        <w:rPr>
          <w:rFonts w:ascii="Arial" w:hAnsi="Arial" w:cs="Arial"/>
        </w:rPr>
      </w:pPr>
      <w:r w:rsidRPr="009B5B3F">
        <w:rPr>
          <w:rFonts w:ascii="Arial" w:hAnsi="Arial" w:cs="Arial"/>
        </w:rPr>
        <w:t>Value: Productivity. The "Dwell Time" has been transformed into "Value Time."</w:t>
      </w:r>
    </w:p>
    <w:p w14:paraId="3ADE125D" w14:textId="77777777" w:rsidR="009B5B3F" w:rsidRPr="00BD34A4" w:rsidRDefault="009B5B3F" w:rsidP="00822BE6">
      <w:pPr>
        <w:spacing w:line="360" w:lineRule="auto"/>
        <w:rPr>
          <w:rFonts w:ascii="Arial" w:hAnsi="Arial" w:cs="Arial"/>
          <w:b/>
          <w:bCs/>
        </w:rPr>
      </w:pPr>
      <w:r w:rsidRPr="00BD34A4">
        <w:rPr>
          <w:rFonts w:ascii="Arial" w:hAnsi="Arial" w:cs="Arial"/>
          <w:b/>
          <w:bCs/>
        </w:rPr>
        <w:t>Phase 4: Departure (Unified)</w:t>
      </w:r>
    </w:p>
    <w:p w14:paraId="74734097" w14:textId="77777777" w:rsidR="009B5B3F" w:rsidRPr="009B5B3F" w:rsidRDefault="009B5B3F" w:rsidP="00822BE6">
      <w:pPr>
        <w:numPr>
          <w:ilvl w:val="0"/>
          <w:numId w:val="19"/>
        </w:numPr>
        <w:spacing w:line="360" w:lineRule="auto"/>
        <w:rPr>
          <w:rFonts w:ascii="Arial" w:hAnsi="Arial" w:cs="Arial"/>
        </w:rPr>
      </w:pPr>
      <w:r w:rsidRPr="009B5B3F">
        <w:rPr>
          <w:rFonts w:ascii="Arial" w:hAnsi="Arial" w:cs="Arial"/>
        </w:rPr>
        <w:t xml:space="preserve">Action: The app notifies her: </w:t>
      </w:r>
      <w:r w:rsidRPr="009B5B3F">
        <w:rPr>
          <w:rFonts w:ascii="Arial" w:hAnsi="Arial" w:cs="Arial"/>
          <w:i/>
          <w:iCs/>
        </w:rPr>
        <w:t>"Car charged to 80%. Total bundled cost: £15. Receipt sent to your admin."</w:t>
      </w:r>
    </w:p>
    <w:p w14:paraId="0481D3A6" w14:textId="77777777" w:rsidR="009B5B3F" w:rsidRPr="009B5B3F" w:rsidRDefault="009B5B3F" w:rsidP="00822BE6">
      <w:pPr>
        <w:numPr>
          <w:ilvl w:val="0"/>
          <w:numId w:val="19"/>
        </w:numPr>
        <w:spacing w:line="360" w:lineRule="auto"/>
        <w:rPr>
          <w:rFonts w:ascii="Arial" w:hAnsi="Arial" w:cs="Arial"/>
        </w:rPr>
      </w:pPr>
      <w:r w:rsidRPr="009B5B3F">
        <w:rPr>
          <w:rFonts w:ascii="Arial" w:hAnsi="Arial" w:cs="Arial"/>
        </w:rPr>
        <w:t>The Innovation: Unified Billing. One transaction covers energy, parking, and food.</w:t>
      </w:r>
    </w:p>
    <w:p w14:paraId="03A14546" w14:textId="77777777" w:rsidR="009B5B3F" w:rsidRPr="009B5B3F" w:rsidRDefault="009B5B3F" w:rsidP="00822BE6">
      <w:pPr>
        <w:numPr>
          <w:ilvl w:val="0"/>
          <w:numId w:val="19"/>
        </w:numPr>
        <w:spacing w:line="360" w:lineRule="auto"/>
        <w:rPr>
          <w:rFonts w:ascii="Arial" w:hAnsi="Arial" w:cs="Arial"/>
        </w:rPr>
      </w:pPr>
      <w:r w:rsidRPr="009B5B3F">
        <w:rPr>
          <w:rFonts w:ascii="Arial" w:hAnsi="Arial" w:cs="Arial"/>
        </w:rPr>
        <w:t>Value: Simplicity.</w:t>
      </w:r>
    </w:p>
    <w:p w14:paraId="5CEB4A39" w14:textId="77777777" w:rsidR="009B5B3F" w:rsidRPr="009B5B3F" w:rsidRDefault="009B5B3F" w:rsidP="00822BE6">
      <w:pPr>
        <w:pStyle w:val="Heading2"/>
        <w:spacing w:line="360" w:lineRule="auto"/>
      </w:pPr>
      <w:bookmarkStart w:id="20" w:name="_Toc224395103"/>
      <w:r w:rsidRPr="009B5B3F">
        <w:t>4.3 Value Proposition and Strategic Impact</w:t>
      </w:r>
      <w:bookmarkEnd w:id="20"/>
    </w:p>
    <w:p w14:paraId="498B4499" w14:textId="77777777" w:rsidR="009B5B3F" w:rsidRPr="009B5B3F" w:rsidRDefault="009B5B3F" w:rsidP="00822BE6">
      <w:pPr>
        <w:pStyle w:val="Heading3"/>
        <w:spacing w:line="360" w:lineRule="auto"/>
      </w:pPr>
      <w:bookmarkStart w:id="21" w:name="_Toc224395104"/>
      <w:r w:rsidRPr="009B5B3F">
        <w:t>4.3.1 Impact on the Organisation</w:t>
      </w:r>
      <w:bookmarkEnd w:id="21"/>
    </w:p>
    <w:p w14:paraId="75ADDA63" w14:textId="77777777" w:rsidR="00931822" w:rsidRPr="00931822" w:rsidRDefault="00931822" w:rsidP="00822BE6">
      <w:pPr>
        <w:spacing w:line="360" w:lineRule="auto"/>
        <w:rPr>
          <w:rFonts w:ascii="Arial" w:hAnsi="Arial" w:cs="Arial"/>
        </w:rPr>
      </w:pPr>
      <w:r w:rsidRPr="00931822">
        <w:rPr>
          <w:rFonts w:ascii="Arial" w:hAnsi="Arial" w:cs="Arial"/>
        </w:rPr>
        <w:t>The BP Neuro-Hub addresses the key challenges of the energy transition by unlocking three sources of value (Rogers, 2016):</w:t>
      </w:r>
    </w:p>
    <w:p w14:paraId="299FF4B0" w14:textId="77777777" w:rsidR="00931822" w:rsidRPr="00931822" w:rsidRDefault="00931822" w:rsidP="00BD34A4">
      <w:pPr>
        <w:numPr>
          <w:ilvl w:val="0"/>
          <w:numId w:val="27"/>
        </w:numPr>
        <w:spacing w:line="360" w:lineRule="auto"/>
        <w:jc w:val="both"/>
        <w:rPr>
          <w:rFonts w:ascii="Arial" w:hAnsi="Arial" w:cs="Arial"/>
        </w:rPr>
      </w:pPr>
      <w:r w:rsidRPr="00931822">
        <w:rPr>
          <w:rFonts w:ascii="Arial" w:hAnsi="Arial" w:cs="Arial"/>
          <w:b/>
          <w:bCs/>
        </w:rPr>
        <w:lastRenderedPageBreak/>
        <w:t>Yield Management (Financial Value):</w:t>
      </w:r>
      <w:r w:rsidRPr="00931822">
        <w:rPr>
          <w:rFonts w:ascii="Arial" w:hAnsi="Arial" w:cs="Arial"/>
        </w:rPr>
        <w:t xml:space="preserve"> Currently, electricity margins are thin compared to fossil fuels. By bundling energy with high-margin retail (coffee/food), BP can mask the commodity price of electricity. The "Bundle" concept allows BP to discount the energy (to compete with home charging) while making up the margin on the food, effectively using the charger as a loss leader to drive retail footfall.</w:t>
      </w:r>
    </w:p>
    <w:p w14:paraId="787ACCFD" w14:textId="77777777" w:rsidR="00931822" w:rsidRPr="00931822" w:rsidRDefault="00931822" w:rsidP="00BD34A4">
      <w:pPr>
        <w:numPr>
          <w:ilvl w:val="0"/>
          <w:numId w:val="27"/>
        </w:numPr>
        <w:spacing w:line="360" w:lineRule="auto"/>
        <w:jc w:val="both"/>
        <w:rPr>
          <w:rFonts w:ascii="Arial" w:hAnsi="Arial" w:cs="Arial"/>
        </w:rPr>
      </w:pPr>
      <w:r w:rsidRPr="00931822">
        <w:rPr>
          <w:rFonts w:ascii="Arial" w:hAnsi="Arial" w:cs="Arial"/>
          <w:b/>
          <w:bCs/>
        </w:rPr>
        <w:t>Asset Optimization (Operational Value):</w:t>
      </w:r>
      <w:r w:rsidRPr="00931822">
        <w:rPr>
          <w:rFonts w:ascii="Arial" w:hAnsi="Arial" w:cs="Arial"/>
        </w:rPr>
        <w:t xml:space="preserve"> Reservation data allows BP to smooth out demand peaks. If the AI knows 5 cars are arriving at 1 PM, it can dynamically adjust pricing to encourage some users to come at 1:30 PM, reducing strain on the local grid connection and ensuring higher charger utilization rates.</w:t>
      </w:r>
    </w:p>
    <w:p w14:paraId="1A1709F0" w14:textId="77777777" w:rsidR="00931822" w:rsidRPr="00931822" w:rsidRDefault="00931822" w:rsidP="00BD34A4">
      <w:pPr>
        <w:numPr>
          <w:ilvl w:val="0"/>
          <w:numId w:val="27"/>
        </w:numPr>
        <w:spacing w:line="360" w:lineRule="auto"/>
        <w:jc w:val="both"/>
        <w:rPr>
          <w:rFonts w:ascii="Arial" w:hAnsi="Arial" w:cs="Arial"/>
        </w:rPr>
      </w:pPr>
      <w:r w:rsidRPr="00931822">
        <w:rPr>
          <w:rFonts w:ascii="Arial" w:hAnsi="Arial" w:cs="Arial"/>
          <w:b/>
          <w:bCs/>
        </w:rPr>
        <w:t>Data Sovereignty (Strategic Value):</w:t>
      </w:r>
      <w:r w:rsidRPr="00931822">
        <w:rPr>
          <w:rFonts w:ascii="Arial" w:hAnsi="Arial" w:cs="Arial"/>
        </w:rPr>
        <w:t xml:space="preserve"> This initiative creates a "Moat." Pure-play charging networks like </w:t>
      </w:r>
      <w:proofErr w:type="spellStart"/>
      <w:r w:rsidRPr="00931822">
        <w:rPr>
          <w:rFonts w:ascii="Arial" w:hAnsi="Arial" w:cs="Arial"/>
        </w:rPr>
        <w:t>Ionity</w:t>
      </w:r>
      <w:proofErr w:type="spellEnd"/>
      <w:r w:rsidRPr="00931822">
        <w:rPr>
          <w:rFonts w:ascii="Arial" w:hAnsi="Arial" w:cs="Arial"/>
        </w:rPr>
        <w:t xml:space="preserve"> or Tesla (in Europe) lack the retail footprint to offer this integrated bundle. By owning the data on both the car and the stomach, BP builds a proprietary dataset that competitors cannot replicate.</w:t>
      </w:r>
    </w:p>
    <w:p w14:paraId="3F983B46" w14:textId="16549B68" w:rsidR="009B5B3F" w:rsidRPr="009B5B3F" w:rsidRDefault="009B5B3F" w:rsidP="00822BE6">
      <w:pPr>
        <w:spacing w:line="360" w:lineRule="auto"/>
        <w:ind w:left="720"/>
        <w:rPr>
          <w:rFonts w:ascii="Arial" w:hAnsi="Arial" w:cs="Arial"/>
        </w:rPr>
      </w:pPr>
    </w:p>
    <w:p w14:paraId="4E26B316" w14:textId="77777777" w:rsidR="009B5B3F" w:rsidRPr="009B5B3F" w:rsidRDefault="009B5B3F" w:rsidP="00822BE6">
      <w:pPr>
        <w:pStyle w:val="Heading3"/>
        <w:spacing w:line="360" w:lineRule="auto"/>
      </w:pPr>
      <w:bookmarkStart w:id="22" w:name="_Toc224395105"/>
      <w:r w:rsidRPr="009B5B3F">
        <w:t>4.3.2 Measuring Success (KPIs)</w:t>
      </w:r>
      <w:bookmarkEnd w:id="22"/>
    </w:p>
    <w:p w14:paraId="3DB137D9" w14:textId="77777777" w:rsidR="009B5B3F" w:rsidRPr="009B5B3F" w:rsidRDefault="009B5B3F" w:rsidP="00BD34A4">
      <w:pPr>
        <w:spacing w:line="360" w:lineRule="auto"/>
        <w:jc w:val="both"/>
        <w:rPr>
          <w:rFonts w:ascii="Arial" w:hAnsi="Arial" w:cs="Arial"/>
        </w:rPr>
      </w:pPr>
      <w:r w:rsidRPr="009B5B3F">
        <w:rPr>
          <w:rFonts w:ascii="Arial" w:hAnsi="Arial" w:cs="Arial"/>
        </w:rPr>
        <w:t>To measure the success of the Neuro-Hub, BP should track:</w:t>
      </w:r>
    </w:p>
    <w:p w14:paraId="52B8460A" w14:textId="77777777" w:rsidR="009B5B3F" w:rsidRPr="009B5B3F" w:rsidRDefault="009B5B3F" w:rsidP="00BD34A4">
      <w:pPr>
        <w:numPr>
          <w:ilvl w:val="0"/>
          <w:numId w:val="21"/>
        </w:numPr>
        <w:spacing w:line="360" w:lineRule="auto"/>
        <w:jc w:val="both"/>
        <w:rPr>
          <w:rFonts w:ascii="Arial" w:hAnsi="Arial" w:cs="Arial"/>
        </w:rPr>
      </w:pPr>
      <w:r w:rsidRPr="009B5B3F">
        <w:rPr>
          <w:rFonts w:ascii="Arial" w:hAnsi="Arial" w:cs="Arial"/>
        </w:rPr>
        <w:t>Retail Conversion Rate (RCR): The % of charging sessions that result in a retail purchase. (Target: Increase from current industry avg of ~30% to &gt;65%).</w:t>
      </w:r>
    </w:p>
    <w:p w14:paraId="0263CF0B" w14:textId="77777777" w:rsidR="009B5B3F" w:rsidRPr="009B5B3F" w:rsidRDefault="009B5B3F" w:rsidP="00BD34A4">
      <w:pPr>
        <w:numPr>
          <w:ilvl w:val="0"/>
          <w:numId w:val="21"/>
        </w:numPr>
        <w:spacing w:line="360" w:lineRule="auto"/>
        <w:jc w:val="both"/>
        <w:rPr>
          <w:rFonts w:ascii="Arial" w:hAnsi="Arial" w:cs="Arial"/>
        </w:rPr>
      </w:pPr>
      <w:r w:rsidRPr="009B5B3F">
        <w:rPr>
          <w:rFonts w:ascii="Arial" w:hAnsi="Arial" w:cs="Arial"/>
        </w:rPr>
        <w:t>Dwell Time Revenue (DTR): Average revenue generated per minute of customer stay.</w:t>
      </w:r>
    </w:p>
    <w:p w14:paraId="4A0A9191" w14:textId="77777777" w:rsidR="009B5B3F" w:rsidRPr="009B5B3F" w:rsidRDefault="009B5B3F" w:rsidP="00BD34A4">
      <w:pPr>
        <w:numPr>
          <w:ilvl w:val="0"/>
          <w:numId w:val="21"/>
        </w:numPr>
        <w:spacing w:line="360" w:lineRule="auto"/>
        <w:jc w:val="both"/>
        <w:rPr>
          <w:rFonts w:ascii="Arial" w:hAnsi="Arial" w:cs="Arial"/>
        </w:rPr>
      </w:pPr>
      <w:r w:rsidRPr="009B5B3F">
        <w:rPr>
          <w:rFonts w:ascii="Arial" w:hAnsi="Arial" w:cs="Arial"/>
        </w:rPr>
        <w:t>Net Promoter Score (NPS): Specifically tracking the "Ease of Use" metric.</w:t>
      </w:r>
    </w:p>
    <w:p w14:paraId="127F46D7" w14:textId="77777777" w:rsidR="009B5B3F" w:rsidRPr="009B5B3F" w:rsidRDefault="009B5B3F" w:rsidP="00BD34A4">
      <w:pPr>
        <w:numPr>
          <w:ilvl w:val="0"/>
          <w:numId w:val="21"/>
        </w:numPr>
        <w:spacing w:line="360" w:lineRule="auto"/>
        <w:jc w:val="both"/>
        <w:rPr>
          <w:rFonts w:ascii="Arial" w:hAnsi="Arial" w:cs="Arial"/>
        </w:rPr>
      </w:pPr>
      <w:r w:rsidRPr="009B5B3F">
        <w:rPr>
          <w:rFonts w:ascii="Arial" w:hAnsi="Arial" w:cs="Arial"/>
        </w:rPr>
        <w:t>Churn Rate: The retention of fleet drivers who use the Neuro-Hub vs. standard card users.</w:t>
      </w:r>
    </w:p>
    <w:p w14:paraId="37CD6472" w14:textId="77777777" w:rsidR="009B5B3F" w:rsidRPr="009B5B3F" w:rsidRDefault="009B5B3F" w:rsidP="00822BE6">
      <w:pPr>
        <w:pStyle w:val="Heading2"/>
        <w:spacing w:line="360" w:lineRule="auto"/>
      </w:pPr>
      <w:bookmarkStart w:id="23" w:name="_Toc224395106"/>
      <w:r w:rsidRPr="009B5B3F">
        <w:t>4.4 Implementation Challenges</w:t>
      </w:r>
      <w:bookmarkEnd w:id="23"/>
    </w:p>
    <w:p w14:paraId="5D93480C" w14:textId="77777777" w:rsidR="009B5B3F" w:rsidRPr="009B5B3F" w:rsidRDefault="009B5B3F" w:rsidP="00BD34A4">
      <w:pPr>
        <w:spacing w:line="360" w:lineRule="auto"/>
        <w:jc w:val="both"/>
        <w:rPr>
          <w:rFonts w:ascii="Arial" w:hAnsi="Arial" w:cs="Arial"/>
        </w:rPr>
      </w:pPr>
      <w:r w:rsidRPr="009B5B3F">
        <w:rPr>
          <w:rFonts w:ascii="Arial" w:hAnsi="Arial" w:cs="Arial"/>
        </w:rPr>
        <w:t>This transformation is not without risk.</w:t>
      </w:r>
    </w:p>
    <w:p w14:paraId="763FDE01" w14:textId="77777777" w:rsidR="009B5B3F" w:rsidRPr="009B5B3F" w:rsidRDefault="009B5B3F" w:rsidP="00BD34A4">
      <w:pPr>
        <w:numPr>
          <w:ilvl w:val="0"/>
          <w:numId w:val="22"/>
        </w:numPr>
        <w:spacing w:line="360" w:lineRule="auto"/>
        <w:jc w:val="both"/>
        <w:rPr>
          <w:rFonts w:ascii="Arial" w:hAnsi="Arial" w:cs="Arial"/>
        </w:rPr>
      </w:pPr>
      <w:r w:rsidRPr="009B5B3F">
        <w:rPr>
          <w:rFonts w:ascii="Arial" w:hAnsi="Arial" w:cs="Arial"/>
        </w:rPr>
        <w:t>Legacy Systems: Integrating modern IoT chargers with legacy Point-of-Sale (POS) systems in M&amp;S franchises is technically complex.</w:t>
      </w:r>
    </w:p>
    <w:p w14:paraId="0B34D0EA" w14:textId="77777777" w:rsidR="009B5B3F" w:rsidRPr="009B5B3F" w:rsidRDefault="009B5B3F" w:rsidP="00BD34A4">
      <w:pPr>
        <w:numPr>
          <w:ilvl w:val="0"/>
          <w:numId w:val="22"/>
        </w:numPr>
        <w:spacing w:line="360" w:lineRule="auto"/>
        <w:jc w:val="both"/>
        <w:rPr>
          <w:rFonts w:ascii="Arial" w:hAnsi="Arial" w:cs="Arial"/>
        </w:rPr>
      </w:pPr>
      <w:r w:rsidRPr="009B5B3F">
        <w:rPr>
          <w:rFonts w:ascii="Arial" w:hAnsi="Arial" w:cs="Arial"/>
        </w:rPr>
        <w:lastRenderedPageBreak/>
        <w:t>Cultural Inertia: BP is engineering-led. Moving to a software-led, customer-centric culture requires significant change management.</w:t>
      </w:r>
    </w:p>
    <w:p w14:paraId="043F60ED" w14:textId="77777777" w:rsidR="009B5B3F" w:rsidRPr="009B5B3F" w:rsidRDefault="009B5B3F" w:rsidP="00BD34A4">
      <w:pPr>
        <w:numPr>
          <w:ilvl w:val="0"/>
          <w:numId w:val="22"/>
        </w:numPr>
        <w:spacing w:line="360" w:lineRule="auto"/>
        <w:jc w:val="both"/>
        <w:rPr>
          <w:rFonts w:ascii="Arial" w:hAnsi="Arial" w:cs="Arial"/>
        </w:rPr>
      </w:pPr>
      <w:r w:rsidRPr="009B5B3F">
        <w:rPr>
          <w:rFonts w:ascii="Arial" w:hAnsi="Arial" w:cs="Arial"/>
        </w:rPr>
        <w:t>Data Privacy: Handling granular data on user location and consumption habits requires strict GDPR compliance and transparent user consent.</w:t>
      </w:r>
    </w:p>
    <w:p w14:paraId="631A1815" w14:textId="77777777" w:rsidR="009B5B3F" w:rsidRPr="009B5B3F" w:rsidRDefault="009B5B3F" w:rsidP="00822BE6">
      <w:pPr>
        <w:pStyle w:val="Heading1"/>
        <w:spacing w:line="360" w:lineRule="auto"/>
      </w:pPr>
      <w:bookmarkStart w:id="24" w:name="_Toc224395107"/>
      <w:r w:rsidRPr="009B5B3F">
        <w:t>5. Conclusion</w:t>
      </w:r>
      <w:bookmarkEnd w:id="24"/>
    </w:p>
    <w:p w14:paraId="0ADDF5C6" w14:textId="672E3C19" w:rsidR="00931822" w:rsidRPr="00931822" w:rsidRDefault="00931822" w:rsidP="00BD34A4">
      <w:pPr>
        <w:spacing w:line="360" w:lineRule="auto"/>
        <w:ind w:firstLine="720"/>
        <w:jc w:val="both"/>
        <w:rPr>
          <w:rFonts w:ascii="Arial" w:hAnsi="Arial" w:cs="Arial"/>
        </w:rPr>
      </w:pPr>
      <w:r w:rsidRPr="00931822">
        <w:rPr>
          <w:rFonts w:ascii="Arial" w:hAnsi="Arial" w:cs="Arial"/>
        </w:rPr>
        <w:t>BP stands at a critical juncture. The transition from an International Oil Company to an Integrated Energy Company requires more than just replacing fossil fuels with renewables; it requires a fundamental redesign of the customer relationship (Vial, 2019).</w:t>
      </w:r>
    </w:p>
    <w:p w14:paraId="002A63A2" w14:textId="77777777" w:rsidR="00931822" w:rsidRPr="00931822" w:rsidRDefault="00931822" w:rsidP="00BD34A4">
      <w:pPr>
        <w:spacing w:line="360" w:lineRule="auto"/>
        <w:jc w:val="both"/>
        <w:rPr>
          <w:rFonts w:ascii="Arial" w:hAnsi="Arial" w:cs="Arial"/>
        </w:rPr>
      </w:pPr>
      <w:r w:rsidRPr="00931822">
        <w:rPr>
          <w:rFonts w:ascii="Arial" w:hAnsi="Arial" w:cs="Arial"/>
        </w:rPr>
        <w:t>The application of the Innovation Ambition Matrix reveals that while BP is investing in Transformational assets (Gigawatts of power), its customer experience is stuck in a "Core" mindset treating EV charging as just another form of refuelling. The Customer Journey Mapping exposes the friction and missed opportunities in the current "dwell time."</w:t>
      </w:r>
    </w:p>
    <w:p w14:paraId="753CE1E4" w14:textId="77777777" w:rsidR="00931822" w:rsidRPr="00931822" w:rsidRDefault="00931822" w:rsidP="00BD34A4">
      <w:pPr>
        <w:spacing w:line="360" w:lineRule="auto"/>
        <w:jc w:val="both"/>
        <w:rPr>
          <w:rFonts w:ascii="Arial" w:hAnsi="Arial" w:cs="Arial"/>
        </w:rPr>
      </w:pPr>
      <w:r w:rsidRPr="00931822">
        <w:rPr>
          <w:rFonts w:ascii="Arial" w:hAnsi="Arial" w:cs="Arial"/>
        </w:rPr>
        <w:t>The proposed BP Neuro-Hub is not merely a digital app; it is a strategic bridge. By using Design Thinking to empathize with the EV driver’s need for productivity and ease, the initiative transforms a "wait" into a "service." This "phygital" integration allows BP to leverage its physical retail advantage against digital-native competitors. If successfully executed, the Neuro-Hub will not only increase share-of-wallet but will secure BP’s relevance in a future where the petrol pump is obsolete (Stickdorn and Schneider, 2011).</w:t>
      </w:r>
    </w:p>
    <w:p w14:paraId="3BB2CFD5" w14:textId="77777777" w:rsidR="00931822" w:rsidRDefault="00931822" w:rsidP="00BD34A4">
      <w:pPr>
        <w:spacing w:line="360" w:lineRule="auto"/>
        <w:jc w:val="both"/>
        <w:rPr>
          <w:rFonts w:ascii="Arial" w:hAnsi="Arial" w:cs="Arial"/>
        </w:rPr>
      </w:pPr>
      <w:r w:rsidRPr="00931822">
        <w:rPr>
          <w:rFonts w:ascii="Arial" w:hAnsi="Arial" w:cs="Arial"/>
        </w:rPr>
        <w:t>In the words of digital transformation expert George Westerman, "When digital transformation is done right, it’s like a caterpillar turning into a butterfly, but when done wrong, all you have is a really fast caterpillar." The Neuro-Hub is BP’s opportunity to become the butterfly.</w:t>
      </w:r>
    </w:p>
    <w:p w14:paraId="3804964B" w14:textId="77777777" w:rsidR="00207A93" w:rsidRPr="00931822" w:rsidRDefault="00207A93" w:rsidP="00822BE6">
      <w:pPr>
        <w:spacing w:line="360" w:lineRule="auto"/>
        <w:rPr>
          <w:rFonts w:ascii="Arial" w:hAnsi="Arial" w:cs="Arial"/>
        </w:rPr>
      </w:pPr>
    </w:p>
    <w:p w14:paraId="0E8A81DE" w14:textId="55DBE4BC" w:rsidR="009B5B3F" w:rsidRPr="009B5B3F" w:rsidRDefault="009B5B3F" w:rsidP="00822BE6">
      <w:pPr>
        <w:spacing w:line="360" w:lineRule="auto"/>
        <w:rPr>
          <w:rFonts w:ascii="Arial" w:hAnsi="Arial" w:cs="Arial"/>
        </w:rPr>
      </w:pPr>
    </w:p>
    <w:p w14:paraId="3BCCD90D" w14:textId="439C6F83" w:rsidR="009B5B3F" w:rsidRPr="002A0D47" w:rsidRDefault="009B5B3F" w:rsidP="00BD34A4">
      <w:pPr>
        <w:pStyle w:val="Heading1"/>
        <w:spacing w:line="360" w:lineRule="auto"/>
        <w:rPr>
          <w:rFonts w:ascii="Arial" w:hAnsi="Arial" w:cs="Arial"/>
        </w:rPr>
      </w:pPr>
      <w:bookmarkStart w:id="25" w:name="_Toc224395108"/>
      <w:r w:rsidRPr="002A0D47">
        <w:rPr>
          <w:rFonts w:ascii="Arial" w:hAnsi="Arial" w:cs="Arial"/>
        </w:rPr>
        <w:lastRenderedPageBreak/>
        <w:t>Reference List</w:t>
      </w:r>
      <w:bookmarkEnd w:id="25"/>
    </w:p>
    <w:p w14:paraId="2D3DAB4D" w14:textId="3A03D0D5" w:rsidR="004D2482" w:rsidRPr="00223EB8" w:rsidRDefault="004D2482" w:rsidP="00BD34A4">
      <w:pPr>
        <w:pStyle w:val="ListParagraph"/>
        <w:numPr>
          <w:ilvl w:val="1"/>
          <w:numId w:val="18"/>
        </w:numPr>
        <w:spacing w:line="360" w:lineRule="auto"/>
        <w:ind w:left="284"/>
        <w:jc w:val="both"/>
        <w:rPr>
          <w:rFonts w:ascii="Arial" w:hAnsi="Arial" w:cs="Arial"/>
        </w:rPr>
      </w:pPr>
      <w:proofErr w:type="spellStart"/>
      <w:r w:rsidRPr="00223EB8">
        <w:rPr>
          <w:rFonts w:ascii="Arial" w:hAnsi="Arial" w:cs="Arial"/>
        </w:rPr>
        <w:t>Axsen</w:t>
      </w:r>
      <w:proofErr w:type="spellEnd"/>
      <w:r w:rsidRPr="00223EB8">
        <w:rPr>
          <w:rFonts w:ascii="Arial" w:hAnsi="Arial" w:cs="Arial"/>
        </w:rPr>
        <w:t xml:space="preserve">, J., Bailey, J. and Castro, M. (2015) ‘Preference and lifestyle heterogeneity among potential plug-in electric vehicle buyers’, </w:t>
      </w:r>
      <w:r w:rsidRPr="00223EB8">
        <w:rPr>
          <w:rFonts w:ascii="Arial" w:hAnsi="Arial" w:cs="Arial"/>
          <w:i/>
          <w:iCs/>
        </w:rPr>
        <w:t>Energy Economics</w:t>
      </w:r>
      <w:r w:rsidRPr="00223EB8">
        <w:rPr>
          <w:rFonts w:ascii="Arial" w:hAnsi="Arial" w:cs="Arial"/>
        </w:rPr>
        <w:t>, 50, pp. 190–201.</w:t>
      </w:r>
    </w:p>
    <w:p w14:paraId="153BC123" w14:textId="15E66CA3"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BP plc (2023) </w:t>
      </w:r>
      <w:r w:rsidRPr="00223EB8">
        <w:rPr>
          <w:rFonts w:ascii="Arial" w:hAnsi="Arial" w:cs="Arial"/>
          <w:i/>
          <w:iCs/>
        </w:rPr>
        <w:t>Reinventing energy: Annual Report and Form 20-F 2023.</w:t>
      </w:r>
      <w:r w:rsidRPr="00223EB8">
        <w:rPr>
          <w:rFonts w:ascii="Arial" w:hAnsi="Arial" w:cs="Arial"/>
        </w:rPr>
        <w:t xml:space="preserve"> London: BP plc.</w:t>
      </w:r>
    </w:p>
    <w:p w14:paraId="306D16D6" w14:textId="37FB4BC1"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BP plc (2024) </w:t>
      </w:r>
      <w:r w:rsidRPr="00223EB8">
        <w:rPr>
          <w:rFonts w:ascii="Arial" w:hAnsi="Arial" w:cs="Arial"/>
          <w:i/>
          <w:iCs/>
        </w:rPr>
        <w:t>Strategic Report 2023: From IOC to IEC.</w:t>
      </w:r>
      <w:r w:rsidRPr="00223EB8">
        <w:rPr>
          <w:rFonts w:ascii="Arial" w:hAnsi="Arial" w:cs="Arial"/>
        </w:rPr>
        <w:t xml:space="preserve"> London: BP plc.</w:t>
      </w:r>
    </w:p>
    <w:p w14:paraId="6411E648" w14:textId="29465634"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Brown, T. (2008) ‘Design thinking’, </w:t>
      </w:r>
      <w:r w:rsidRPr="00223EB8">
        <w:rPr>
          <w:rFonts w:ascii="Arial" w:hAnsi="Arial" w:cs="Arial"/>
          <w:i/>
          <w:iCs/>
        </w:rPr>
        <w:t>Harvard Business Review</w:t>
      </w:r>
      <w:r w:rsidRPr="00223EB8">
        <w:rPr>
          <w:rFonts w:ascii="Arial" w:hAnsi="Arial" w:cs="Arial"/>
        </w:rPr>
        <w:t>, 86(6), pp. 84–92.</w:t>
      </w:r>
    </w:p>
    <w:p w14:paraId="1DBC507E" w14:textId="16B91092"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Dawson, J. (2013) ‘Retail trends in Europe’, </w:t>
      </w:r>
      <w:r w:rsidRPr="00223EB8">
        <w:rPr>
          <w:rFonts w:ascii="Arial" w:hAnsi="Arial" w:cs="Arial"/>
          <w:i/>
          <w:iCs/>
        </w:rPr>
        <w:t>International Journal of Retail &amp; Distribution Management</w:t>
      </w:r>
      <w:r w:rsidRPr="00223EB8">
        <w:rPr>
          <w:rFonts w:ascii="Arial" w:hAnsi="Arial" w:cs="Arial"/>
        </w:rPr>
        <w:t>, 41(9), pp. 690–704.</w:t>
      </w:r>
    </w:p>
    <w:p w14:paraId="5C68C0AC" w14:textId="120AB2B7"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Euromonitor International (2024) </w:t>
      </w:r>
      <w:r w:rsidRPr="00223EB8">
        <w:rPr>
          <w:rFonts w:ascii="Arial" w:hAnsi="Arial" w:cs="Arial"/>
          <w:i/>
          <w:iCs/>
        </w:rPr>
        <w:t>Convenience Store Retailing in the United Kingdom: Market Report.</w:t>
      </w:r>
      <w:r w:rsidRPr="00223EB8">
        <w:rPr>
          <w:rFonts w:ascii="Arial" w:hAnsi="Arial" w:cs="Arial"/>
        </w:rPr>
        <w:t xml:space="preserve"> London: Euromonitor.</w:t>
      </w:r>
    </w:p>
    <w:p w14:paraId="39B46A97" w14:textId="478B99DB"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Hardman, S., Shiu, E. and Steinberger-Wilckens, R. (2018) ‘Comparing high-end and low-end early adopters of battery electric vehicles’, </w:t>
      </w:r>
      <w:r w:rsidRPr="00223EB8">
        <w:rPr>
          <w:rFonts w:ascii="Arial" w:hAnsi="Arial" w:cs="Arial"/>
          <w:i/>
          <w:iCs/>
        </w:rPr>
        <w:t>Transportation Research Part A: Policy and Practice</w:t>
      </w:r>
      <w:r w:rsidRPr="00223EB8">
        <w:rPr>
          <w:rFonts w:ascii="Arial" w:hAnsi="Arial" w:cs="Arial"/>
        </w:rPr>
        <w:t>, 88, pp. 40–57.</w:t>
      </w:r>
    </w:p>
    <w:p w14:paraId="5969F01B" w14:textId="5F888103"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Lemon, K.N. and Verhoef, P.C. (2016) ‘Understanding customer experience throughout the customer journey’, </w:t>
      </w:r>
      <w:r w:rsidRPr="00223EB8">
        <w:rPr>
          <w:rFonts w:ascii="Arial" w:hAnsi="Arial" w:cs="Arial"/>
          <w:i/>
          <w:iCs/>
        </w:rPr>
        <w:t>Journal of Marketing</w:t>
      </w:r>
      <w:r w:rsidRPr="00223EB8">
        <w:rPr>
          <w:rFonts w:ascii="Arial" w:hAnsi="Arial" w:cs="Arial"/>
        </w:rPr>
        <w:t>, 80(6), pp. 69–96.</w:t>
      </w:r>
    </w:p>
    <w:p w14:paraId="17077ECB" w14:textId="4A585C30" w:rsidR="00223EB8" w:rsidRPr="00223EB8" w:rsidRDefault="00223EB8"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Morganosky, M.A. and Cude, B.J. (2000) ‘Consumer response to online grocery shopping’, </w:t>
      </w:r>
      <w:r w:rsidRPr="00223EB8">
        <w:rPr>
          <w:rFonts w:ascii="Arial" w:hAnsi="Arial" w:cs="Arial"/>
          <w:i/>
          <w:iCs/>
        </w:rPr>
        <w:t>International Journal of Retail &amp; Distribution Management</w:t>
      </w:r>
      <w:r w:rsidRPr="00223EB8">
        <w:rPr>
          <w:rFonts w:ascii="Arial" w:hAnsi="Arial" w:cs="Arial"/>
        </w:rPr>
        <w:t>, 28(1), pp. 17–26.</w:t>
      </w:r>
    </w:p>
    <w:p w14:paraId="502D2010" w14:textId="58B8D6BB" w:rsidR="00931822" w:rsidRPr="00223EB8" w:rsidRDefault="00931822" w:rsidP="00BD34A4">
      <w:pPr>
        <w:pStyle w:val="ListParagraph"/>
        <w:numPr>
          <w:ilvl w:val="1"/>
          <w:numId w:val="18"/>
        </w:numPr>
        <w:spacing w:line="360" w:lineRule="auto"/>
        <w:ind w:left="284"/>
        <w:jc w:val="both"/>
        <w:rPr>
          <w:rFonts w:ascii="Arial" w:hAnsi="Arial" w:cs="Arial"/>
        </w:rPr>
      </w:pPr>
      <w:proofErr w:type="spellStart"/>
      <w:r w:rsidRPr="00223EB8">
        <w:rPr>
          <w:rFonts w:ascii="Arial" w:hAnsi="Arial" w:cs="Arial"/>
        </w:rPr>
        <w:t>Nagji</w:t>
      </w:r>
      <w:proofErr w:type="spellEnd"/>
      <w:r w:rsidRPr="00223EB8">
        <w:rPr>
          <w:rFonts w:ascii="Arial" w:hAnsi="Arial" w:cs="Arial"/>
        </w:rPr>
        <w:t xml:space="preserve">, B. and Tuff, G. (2012) ‘Managing your innovation portfolio’, </w:t>
      </w:r>
      <w:r w:rsidRPr="00223EB8">
        <w:rPr>
          <w:rFonts w:ascii="Arial" w:hAnsi="Arial" w:cs="Arial"/>
          <w:i/>
          <w:iCs/>
        </w:rPr>
        <w:t>Harvard Business Review</w:t>
      </w:r>
      <w:r w:rsidRPr="00223EB8">
        <w:rPr>
          <w:rFonts w:ascii="Arial" w:hAnsi="Arial" w:cs="Arial"/>
        </w:rPr>
        <w:t>, 90(5), pp. 66–74.</w:t>
      </w:r>
    </w:p>
    <w:p w14:paraId="6E33E0FF" w14:textId="590CBF1F"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Nicholas, M. and Tal, G. (2017) </w:t>
      </w:r>
      <w:r w:rsidRPr="00223EB8">
        <w:rPr>
          <w:rFonts w:ascii="Arial" w:hAnsi="Arial" w:cs="Arial"/>
          <w:i/>
          <w:iCs/>
        </w:rPr>
        <w:t>Survey of plug-in electric vehicle drivers regarding charging infrastructure.</w:t>
      </w:r>
      <w:r w:rsidRPr="00223EB8">
        <w:rPr>
          <w:rFonts w:ascii="Arial" w:hAnsi="Arial" w:cs="Arial"/>
        </w:rPr>
        <w:t xml:space="preserve"> Davis: Institute of Transportation Studies, University of California.</w:t>
      </w:r>
    </w:p>
    <w:p w14:paraId="574B9903" w14:textId="28E6044A"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Porter, M.E. and Heppelmann, J.E. (2014) ‘How smart, connected products are transforming competition’, </w:t>
      </w:r>
      <w:r w:rsidRPr="00223EB8">
        <w:rPr>
          <w:rFonts w:ascii="Arial" w:hAnsi="Arial" w:cs="Arial"/>
          <w:i/>
          <w:iCs/>
        </w:rPr>
        <w:t>Harvard Business Review</w:t>
      </w:r>
      <w:r w:rsidRPr="00223EB8">
        <w:rPr>
          <w:rFonts w:ascii="Arial" w:hAnsi="Arial" w:cs="Arial"/>
        </w:rPr>
        <w:t>, 92(11), pp. 64–88.</w:t>
      </w:r>
    </w:p>
    <w:p w14:paraId="0A39E408" w14:textId="42A67388"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Rogers, D.L. (2016) </w:t>
      </w:r>
      <w:r w:rsidRPr="00223EB8">
        <w:rPr>
          <w:rFonts w:ascii="Arial" w:hAnsi="Arial" w:cs="Arial"/>
          <w:i/>
          <w:iCs/>
        </w:rPr>
        <w:t>The Digital Transformation Playbook: Rethink Your Business for the Digital Age.</w:t>
      </w:r>
      <w:r w:rsidRPr="00223EB8">
        <w:rPr>
          <w:rFonts w:ascii="Arial" w:hAnsi="Arial" w:cs="Arial"/>
        </w:rPr>
        <w:t xml:space="preserve"> New York: Columbia Business School Publishing.</w:t>
      </w:r>
    </w:p>
    <w:p w14:paraId="69EDB582" w14:textId="50F51B00"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SMMT (2025) </w:t>
      </w:r>
      <w:r w:rsidRPr="00223EB8">
        <w:rPr>
          <w:rFonts w:ascii="Arial" w:hAnsi="Arial" w:cs="Arial"/>
          <w:i/>
          <w:iCs/>
        </w:rPr>
        <w:t>New Car Registrations Data: December 2024.</w:t>
      </w:r>
      <w:r w:rsidRPr="00223EB8">
        <w:rPr>
          <w:rFonts w:ascii="Arial" w:hAnsi="Arial" w:cs="Arial"/>
        </w:rPr>
        <w:t xml:space="preserve"> Available at: </w:t>
      </w:r>
      <w:hyperlink r:id="rId10" w:tgtFrame="_new" w:history="1">
        <w:r w:rsidRPr="00223EB8">
          <w:rPr>
            <w:rStyle w:val="Hyperlink"/>
            <w:rFonts w:ascii="Arial" w:hAnsi="Arial" w:cs="Arial"/>
          </w:rPr>
          <w:t>https://www.smmt.co.uk/</w:t>
        </w:r>
      </w:hyperlink>
      <w:r w:rsidRPr="00223EB8">
        <w:rPr>
          <w:rFonts w:ascii="Arial" w:hAnsi="Arial" w:cs="Arial"/>
        </w:rPr>
        <w:t xml:space="preserve"> (Accessed: 9 February 2026).</w:t>
      </w:r>
    </w:p>
    <w:p w14:paraId="5F593BAE" w14:textId="093FB635"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Stickdorn, M. and Schneider, J. (2011) </w:t>
      </w:r>
      <w:r w:rsidRPr="00223EB8">
        <w:rPr>
          <w:rFonts w:ascii="Arial" w:hAnsi="Arial" w:cs="Arial"/>
          <w:i/>
          <w:iCs/>
        </w:rPr>
        <w:t>This Is Service Design Thinking: Basics, Tools, Cases.</w:t>
      </w:r>
      <w:r w:rsidRPr="00223EB8">
        <w:rPr>
          <w:rFonts w:ascii="Arial" w:hAnsi="Arial" w:cs="Arial"/>
        </w:rPr>
        <w:t xml:space="preserve"> Hoboken: Wiley.</w:t>
      </w:r>
    </w:p>
    <w:p w14:paraId="5C925EF6" w14:textId="00C234A1" w:rsidR="00223EB8" w:rsidRPr="00223EB8" w:rsidRDefault="00223EB8" w:rsidP="00BD34A4">
      <w:pPr>
        <w:pStyle w:val="ListParagraph"/>
        <w:numPr>
          <w:ilvl w:val="1"/>
          <w:numId w:val="18"/>
        </w:numPr>
        <w:spacing w:line="360" w:lineRule="auto"/>
        <w:ind w:left="284"/>
        <w:jc w:val="both"/>
        <w:rPr>
          <w:rFonts w:ascii="Arial" w:hAnsi="Arial" w:cs="Arial"/>
        </w:rPr>
      </w:pPr>
      <w:r w:rsidRPr="00223EB8">
        <w:rPr>
          <w:rFonts w:ascii="Arial" w:hAnsi="Arial" w:cs="Arial"/>
        </w:rPr>
        <w:lastRenderedPageBreak/>
        <w:t xml:space="preserve">Verhoef, P.C., Lemon, K.N., Parasuraman, A., Roggeveen, A., Tsiros, M. and Schlesinger, L.A. (2009) ‘Customer experience creation: Determinants, dynamics and management strategies’, </w:t>
      </w:r>
      <w:r w:rsidRPr="00223EB8">
        <w:rPr>
          <w:rFonts w:ascii="Arial" w:hAnsi="Arial" w:cs="Arial"/>
          <w:i/>
          <w:iCs/>
        </w:rPr>
        <w:t>Journal of Retailing</w:t>
      </w:r>
      <w:r w:rsidRPr="00223EB8">
        <w:rPr>
          <w:rFonts w:ascii="Arial" w:hAnsi="Arial" w:cs="Arial"/>
        </w:rPr>
        <w:t>, 85(1), pp. 31–41.</w:t>
      </w:r>
    </w:p>
    <w:p w14:paraId="7D535AEC" w14:textId="6A821DE6"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Vial, G. (2019) ‘Understanding digital transformation: A review and a research agenda’, </w:t>
      </w:r>
      <w:r w:rsidRPr="00223EB8">
        <w:rPr>
          <w:rFonts w:ascii="Arial" w:hAnsi="Arial" w:cs="Arial"/>
          <w:i/>
          <w:iCs/>
        </w:rPr>
        <w:t>Journal of Strategic Information Systems</w:t>
      </w:r>
      <w:r w:rsidRPr="00223EB8">
        <w:rPr>
          <w:rFonts w:ascii="Arial" w:hAnsi="Arial" w:cs="Arial"/>
        </w:rPr>
        <w:t>, 28(2), pp. 118–144.</w:t>
      </w:r>
    </w:p>
    <w:p w14:paraId="01D41257" w14:textId="6873CB50"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Vial, G. (2019) ‘Understanding digital transformation: A review and a research agenda’, </w:t>
      </w:r>
      <w:r w:rsidRPr="00223EB8">
        <w:rPr>
          <w:rFonts w:ascii="Arial" w:hAnsi="Arial" w:cs="Arial"/>
          <w:i/>
          <w:iCs/>
        </w:rPr>
        <w:t>Journal of Strategic Information Systems</w:t>
      </w:r>
      <w:r w:rsidRPr="00223EB8">
        <w:rPr>
          <w:rFonts w:ascii="Arial" w:hAnsi="Arial" w:cs="Arial"/>
        </w:rPr>
        <w:t>, 28(2), pp. 118–144.</w:t>
      </w:r>
    </w:p>
    <w:p w14:paraId="3FD037CC" w14:textId="22AE7720"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Westerman, G., Bonnet, D. and McAfee, A. (2014) </w:t>
      </w:r>
      <w:r w:rsidRPr="00223EB8">
        <w:rPr>
          <w:rFonts w:ascii="Arial" w:hAnsi="Arial" w:cs="Arial"/>
          <w:i/>
          <w:iCs/>
        </w:rPr>
        <w:t>Leading Digital: Turning Technology into Business Transformation</w:t>
      </w:r>
      <w:r w:rsidRPr="00223EB8">
        <w:rPr>
          <w:rFonts w:ascii="Arial" w:hAnsi="Arial" w:cs="Arial"/>
        </w:rPr>
        <w:t>. Boston: Harvard Business Review Press.</w:t>
      </w:r>
    </w:p>
    <w:p w14:paraId="31F95CB0" w14:textId="6FB8E740" w:rsidR="00931822" w:rsidRPr="00223EB8" w:rsidRDefault="00931822" w:rsidP="00BD34A4">
      <w:pPr>
        <w:pStyle w:val="ListParagraph"/>
        <w:numPr>
          <w:ilvl w:val="1"/>
          <w:numId w:val="18"/>
        </w:numPr>
        <w:spacing w:line="360" w:lineRule="auto"/>
        <w:ind w:left="284"/>
        <w:jc w:val="both"/>
        <w:rPr>
          <w:rFonts w:ascii="Arial" w:hAnsi="Arial" w:cs="Arial"/>
        </w:rPr>
      </w:pPr>
      <w:r w:rsidRPr="00223EB8">
        <w:rPr>
          <w:rFonts w:ascii="Arial" w:hAnsi="Arial" w:cs="Arial"/>
        </w:rPr>
        <w:t xml:space="preserve">Westerman, G., Bonnet, D. and McAfee, A. (2014) </w:t>
      </w:r>
      <w:r w:rsidRPr="00223EB8">
        <w:rPr>
          <w:rFonts w:ascii="Arial" w:hAnsi="Arial" w:cs="Arial"/>
          <w:i/>
          <w:iCs/>
        </w:rPr>
        <w:t>Leading Digital: Turning Technology into Business Transformation.</w:t>
      </w:r>
      <w:r w:rsidRPr="00223EB8">
        <w:rPr>
          <w:rFonts w:ascii="Arial" w:hAnsi="Arial" w:cs="Arial"/>
        </w:rPr>
        <w:t xml:space="preserve"> Boston: Harvard Business Review Press.</w:t>
      </w:r>
    </w:p>
    <w:p w14:paraId="466592AB" w14:textId="19222A17" w:rsidR="00931822" w:rsidRPr="00223EB8" w:rsidRDefault="00931822" w:rsidP="00BD34A4">
      <w:pPr>
        <w:pStyle w:val="ListParagraph"/>
        <w:numPr>
          <w:ilvl w:val="1"/>
          <w:numId w:val="18"/>
        </w:numPr>
        <w:spacing w:line="360" w:lineRule="auto"/>
        <w:ind w:left="284"/>
        <w:jc w:val="both"/>
        <w:rPr>
          <w:rFonts w:ascii="Arial" w:hAnsi="Arial" w:cs="Arial"/>
        </w:rPr>
      </w:pPr>
      <w:proofErr w:type="spellStart"/>
      <w:r w:rsidRPr="00223EB8">
        <w:rPr>
          <w:rFonts w:ascii="Arial" w:hAnsi="Arial" w:cs="Arial"/>
        </w:rPr>
        <w:t>Zapmap</w:t>
      </w:r>
      <w:proofErr w:type="spellEnd"/>
      <w:r w:rsidRPr="00223EB8">
        <w:rPr>
          <w:rFonts w:ascii="Arial" w:hAnsi="Arial" w:cs="Arial"/>
        </w:rPr>
        <w:t xml:space="preserve"> (2025) </w:t>
      </w:r>
      <w:proofErr w:type="spellStart"/>
      <w:r w:rsidRPr="00223EB8">
        <w:rPr>
          <w:rFonts w:ascii="Arial" w:hAnsi="Arial" w:cs="Arial"/>
          <w:i/>
          <w:iCs/>
        </w:rPr>
        <w:t>Zapmap</w:t>
      </w:r>
      <w:proofErr w:type="spellEnd"/>
      <w:r w:rsidRPr="00223EB8">
        <w:rPr>
          <w:rFonts w:ascii="Arial" w:hAnsi="Arial" w:cs="Arial"/>
          <w:i/>
          <w:iCs/>
        </w:rPr>
        <w:t xml:space="preserve"> EV Charging Survey Report 2024.</w:t>
      </w:r>
      <w:r w:rsidRPr="00223EB8">
        <w:rPr>
          <w:rFonts w:ascii="Arial" w:hAnsi="Arial" w:cs="Arial"/>
        </w:rPr>
        <w:t xml:space="preserve"> Bristol: </w:t>
      </w:r>
      <w:proofErr w:type="spellStart"/>
      <w:r w:rsidRPr="00223EB8">
        <w:rPr>
          <w:rFonts w:ascii="Arial" w:hAnsi="Arial" w:cs="Arial"/>
        </w:rPr>
        <w:t>Zapmap</w:t>
      </w:r>
      <w:proofErr w:type="spellEnd"/>
      <w:r w:rsidRPr="00223EB8">
        <w:rPr>
          <w:rFonts w:ascii="Arial" w:hAnsi="Arial" w:cs="Arial"/>
        </w:rPr>
        <w:t>.</w:t>
      </w:r>
    </w:p>
    <w:p w14:paraId="2AE1D08D" w14:textId="45F1A07D" w:rsidR="00251FEF" w:rsidRPr="00931822" w:rsidRDefault="00251FEF" w:rsidP="004D2482">
      <w:pPr>
        <w:spacing w:line="360" w:lineRule="auto"/>
        <w:rPr>
          <w:rFonts w:ascii="Arial" w:hAnsi="Arial" w:cs="Arial"/>
        </w:rPr>
      </w:pPr>
    </w:p>
    <w:sectPr w:rsidR="00251FEF" w:rsidRPr="009318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81D1C"/>
    <w:multiLevelType w:val="multilevel"/>
    <w:tmpl w:val="C8C23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E6CE7"/>
    <w:multiLevelType w:val="multilevel"/>
    <w:tmpl w:val="4208B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7387C"/>
    <w:multiLevelType w:val="hybridMultilevel"/>
    <w:tmpl w:val="4E00C9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F063B"/>
    <w:multiLevelType w:val="multilevel"/>
    <w:tmpl w:val="5484C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D703F8"/>
    <w:multiLevelType w:val="multilevel"/>
    <w:tmpl w:val="C0DEA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31460"/>
    <w:multiLevelType w:val="hybridMultilevel"/>
    <w:tmpl w:val="984C31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370F40"/>
    <w:multiLevelType w:val="multilevel"/>
    <w:tmpl w:val="8684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A35C42"/>
    <w:multiLevelType w:val="multilevel"/>
    <w:tmpl w:val="1A988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D0858"/>
    <w:multiLevelType w:val="multilevel"/>
    <w:tmpl w:val="23E2E846"/>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74339C"/>
    <w:multiLevelType w:val="multilevel"/>
    <w:tmpl w:val="40AA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7259ED"/>
    <w:multiLevelType w:val="multilevel"/>
    <w:tmpl w:val="35BA7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72377F"/>
    <w:multiLevelType w:val="multilevel"/>
    <w:tmpl w:val="70CA5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19352C"/>
    <w:multiLevelType w:val="hybridMultilevel"/>
    <w:tmpl w:val="0F1292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BF6078"/>
    <w:multiLevelType w:val="multilevel"/>
    <w:tmpl w:val="43B6F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845357"/>
    <w:multiLevelType w:val="multilevel"/>
    <w:tmpl w:val="E294D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8616CF"/>
    <w:multiLevelType w:val="multilevel"/>
    <w:tmpl w:val="69FA3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623D5F"/>
    <w:multiLevelType w:val="hybridMultilevel"/>
    <w:tmpl w:val="4A2853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445849"/>
    <w:multiLevelType w:val="multilevel"/>
    <w:tmpl w:val="474459A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44115E"/>
    <w:multiLevelType w:val="multilevel"/>
    <w:tmpl w:val="D446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6B2BA8"/>
    <w:multiLevelType w:val="multilevel"/>
    <w:tmpl w:val="FAE0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FE0FE1"/>
    <w:multiLevelType w:val="multilevel"/>
    <w:tmpl w:val="B74C7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C96E88"/>
    <w:multiLevelType w:val="multilevel"/>
    <w:tmpl w:val="68168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0E5381"/>
    <w:multiLevelType w:val="hybridMultilevel"/>
    <w:tmpl w:val="95206B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266EB6"/>
    <w:multiLevelType w:val="multilevel"/>
    <w:tmpl w:val="F446A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F306AF"/>
    <w:multiLevelType w:val="hybridMultilevel"/>
    <w:tmpl w:val="1CE255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167E55"/>
    <w:multiLevelType w:val="multilevel"/>
    <w:tmpl w:val="A174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2C72B8"/>
    <w:multiLevelType w:val="multilevel"/>
    <w:tmpl w:val="A900E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BB79FA"/>
    <w:multiLevelType w:val="multilevel"/>
    <w:tmpl w:val="92DC8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CD56E62"/>
    <w:multiLevelType w:val="hybridMultilevel"/>
    <w:tmpl w:val="0C9ADB02"/>
    <w:lvl w:ilvl="0" w:tplc="45B230F2">
      <w:start w:val="1"/>
      <w:numFmt w:val="decimal"/>
      <w:lvlText w:val="%1."/>
      <w:lvlJc w:val="left"/>
      <w:pPr>
        <w:ind w:left="465" w:hanging="360"/>
      </w:pPr>
      <w:rPr>
        <w:rFonts w:hint="default"/>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abstractNum w:abstractNumId="29" w15:restartNumberingAfterBreak="0">
    <w:nsid w:val="6E004BE5"/>
    <w:multiLevelType w:val="multilevel"/>
    <w:tmpl w:val="C7C09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477754"/>
    <w:multiLevelType w:val="hybridMultilevel"/>
    <w:tmpl w:val="C722058A"/>
    <w:lvl w:ilvl="0" w:tplc="6E681F8C">
      <w:start w:val="4"/>
      <w:numFmt w:val="bullet"/>
      <w:lvlText w:val="-"/>
      <w:lvlJc w:val="left"/>
      <w:pPr>
        <w:ind w:left="1080" w:hanging="360"/>
      </w:pPr>
      <w:rPr>
        <w:rFonts w:ascii="Arial" w:eastAsiaTheme="minorEastAsia"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6A022EC"/>
    <w:multiLevelType w:val="multilevel"/>
    <w:tmpl w:val="D5A23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3343C6"/>
    <w:multiLevelType w:val="multilevel"/>
    <w:tmpl w:val="AF42E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576001">
    <w:abstractNumId w:val="23"/>
  </w:num>
  <w:num w:numId="2" w16cid:durableId="1888640127">
    <w:abstractNumId w:val="15"/>
  </w:num>
  <w:num w:numId="3" w16cid:durableId="1079131794">
    <w:abstractNumId w:val="13"/>
  </w:num>
  <w:num w:numId="4" w16cid:durableId="236286430">
    <w:abstractNumId w:val="29"/>
  </w:num>
  <w:num w:numId="5" w16cid:durableId="1282150869">
    <w:abstractNumId w:val="10"/>
  </w:num>
  <w:num w:numId="6" w16cid:durableId="1716927414">
    <w:abstractNumId w:val="11"/>
  </w:num>
  <w:num w:numId="7" w16cid:durableId="1435512354">
    <w:abstractNumId w:val="27"/>
  </w:num>
  <w:num w:numId="8" w16cid:durableId="1816289487">
    <w:abstractNumId w:val="6"/>
  </w:num>
  <w:num w:numId="9" w16cid:durableId="1322078035">
    <w:abstractNumId w:val="9"/>
  </w:num>
  <w:num w:numId="10" w16cid:durableId="752359736">
    <w:abstractNumId w:val="3"/>
  </w:num>
  <w:num w:numId="11" w16cid:durableId="184634083">
    <w:abstractNumId w:val="8"/>
  </w:num>
  <w:num w:numId="12" w16cid:durableId="1082601109">
    <w:abstractNumId w:val="32"/>
  </w:num>
  <w:num w:numId="13" w16cid:durableId="619803855">
    <w:abstractNumId w:val="7"/>
  </w:num>
  <w:num w:numId="14" w16cid:durableId="561216690">
    <w:abstractNumId w:val="0"/>
  </w:num>
  <w:num w:numId="15" w16cid:durableId="728847087">
    <w:abstractNumId w:val="26"/>
  </w:num>
  <w:num w:numId="16" w16cid:durableId="143471475">
    <w:abstractNumId w:val="19"/>
  </w:num>
  <w:num w:numId="17" w16cid:durableId="1428034706">
    <w:abstractNumId w:val="1"/>
  </w:num>
  <w:num w:numId="18" w16cid:durableId="188104509">
    <w:abstractNumId w:val="17"/>
  </w:num>
  <w:num w:numId="19" w16cid:durableId="1408112267">
    <w:abstractNumId w:val="18"/>
  </w:num>
  <w:num w:numId="20" w16cid:durableId="1881438148">
    <w:abstractNumId w:val="31"/>
  </w:num>
  <w:num w:numId="21" w16cid:durableId="821699361">
    <w:abstractNumId w:val="21"/>
  </w:num>
  <w:num w:numId="22" w16cid:durableId="2143846242">
    <w:abstractNumId w:val="25"/>
  </w:num>
  <w:num w:numId="23" w16cid:durableId="507642237">
    <w:abstractNumId w:val="4"/>
  </w:num>
  <w:num w:numId="24" w16cid:durableId="1915040875">
    <w:abstractNumId w:val="28"/>
  </w:num>
  <w:num w:numId="25" w16cid:durableId="520894695">
    <w:abstractNumId w:val="20"/>
  </w:num>
  <w:num w:numId="26" w16cid:durableId="2036154293">
    <w:abstractNumId w:val="30"/>
  </w:num>
  <w:num w:numId="27" w16cid:durableId="860119724">
    <w:abstractNumId w:val="14"/>
  </w:num>
  <w:num w:numId="28" w16cid:durableId="1680154836">
    <w:abstractNumId w:val="5"/>
  </w:num>
  <w:num w:numId="29" w16cid:durableId="1304430814">
    <w:abstractNumId w:val="24"/>
  </w:num>
  <w:num w:numId="30" w16cid:durableId="151677567">
    <w:abstractNumId w:val="22"/>
  </w:num>
  <w:num w:numId="31" w16cid:durableId="1749768960">
    <w:abstractNumId w:val="16"/>
  </w:num>
  <w:num w:numId="32" w16cid:durableId="644091464">
    <w:abstractNumId w:val="2"/>
  </w:num>
  <w:num w:numId="33" w16cid:durableId="12481501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438"/>
    <w:rsid w:val="000B6792"/>
    <w:rsid w:val="000C75CA"/>
    <w:rsid w:val="00115D6E"/>
    <w:rsid w:val="00202438"/>
    <w:rsid w:val="00207A93"/>
    <w:rsid w:val="0021447D"/>
    <w:rsid w:val="00223EB8"/>
    <w:rsid w:val="00251FEF"/>
    <w:rsid w:val="002A0D47"/>
    <w:rsid w:val="002B0320"/>
    <w:rsid w:val="00300798"/>
    <w:rsid w:val="003A1404"/>
    <w:rsid w:val="003D1B4A"/>
    <w:rsid w:val="004035AC"/>
    <w:rsid w:val="00421EA4"/>
    <w:rsid w:val="00472E9B"/>
    <w:rsid w:val="004A38E7"/>
    <w:rsid w:val="004D2482"/>
    <w:rsid w:val="004D7BB6"/>
    <w:rsid w:val="005D4504"/>
    <w:rsid w:val="00712D53"/>
    <w:rsid w:val="00822BE6"/>
    <w:rsid w:val="00824893"/>
    <w:rsid w:val="0085074A"/>
    <w:rsid w:val="00931822"/>
    <w:rsid w:val="009331F5"/>
    <w:rsid w:val="00964646"/>
    <w:rsid w:val="009842FF"/>
    <w:rsid w:val="009B5B3F"/>
    <w:rsid w:val="009C6309"/>
    <w:rsid w:val="00A92609"/>
    <w:rsid w:val="00BD34A4"/>
    <w:rsid w:val="00D40996"/>
    <w:rsid w:val="00E037A9"/>
    <w:rsid w:val="00F07E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6ED11"/>
  <w15:chartTrackingRefBased/>
  <w15:docId w15:val="{81CA7D05-52F3-4A89-A040-DC4173C22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4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24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24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24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4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4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4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4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4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4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24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24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4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4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4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4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4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438"/>
    <w:rPr>
      <w:rFonts w:eastAsiaTheme="majorEastAsia" w:cstheme="majorBidi"/>
      <w:color w:val="272727" w:themeColor="text1" w:themeTint="D8"/>
    </w:rPr>
  </w:style>
  <w:style w:type="paragraph" w:styleId="Title">
    <w:name w:val="Title"/>
    <w:basedOn w:val="Normal"/>
    <w:next w:val="Normal"/>
    <w:link w:val="TitleChar"/>
    <w:uiPriority w:val="10"/>
    <w:qFormat/>
    <w:rsid w:val="002024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4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4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4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438"/>
    <w:pPr>
      <w:spacing w:before="160"/>
      <w:jc w:val="center"/>
    </w:pPr>
    <w:rPr>
      <w:i/>
      <w:iCs/>
      <w:color w:val="404040" w:themeColor="text1" w:themeTint="BF"/>
    </w:rPr>
  </w:style>
  <w:style w:type="character" w:customStyle="1" w:styleId="QuoteChar">
    <w:name w:val="Quote Char"/>
    <w:basedOn w:val="DefaultParagraphFont"/>
    <w:link w:val="Quote"/>
    <w:uiPriority w:val="29"/>
    <w:rsid w:val="00202438"/>
    <w:rPr>
      <w:i/>
      <w:iCs/>
      <w:color w:val="404040" w:themeColor="text1" w:themeTint="BF"/>
    </w:rPr>
  </w:style>
  <w:style w:type="paragraph" w:styleId="ListParagraph">
    <w:name w:val="List Paragraph"/>
    <w:basedOn w:val="Normal"/>
    <w:uiPriority w:val="34"/>
    <w:qFormat/>
    <w:rsid w:val="00202438"/>
    <w:pPr>
      <w:ind w:left="720"/>
      <w:contextualSpacing/>
    </w:pPr>
  </w:style>
  <w:style w:type="character" w:styleId="IntenseEmphasis">
    <w:name w:val="Intense Emphasis"/>
    <w:basedOn w:val="DefaultParagraphFont"/>
    <w:uiPriority w:val="21"/>
    <w:qFormat/>
    <w:rsid w:val="00202438"/>
    <w:rPr>
      <w:i/>
      <w:iCs/>
      <w:color w:val="0F4761" w:themeColor="accent1" w:themeShade="BF"/>
    </w:rPr>
  </w:style>
  <w:style w:type="paragraph" w:styleId="IntenseQuote">
    <w:name w:val="Intense Quote"/>
    <w:basedOn w:val="Normal"/>
    <w:next w:val="Normal"/>
    <w:link w:val="IntenseQuoteChar"/>
    <w:uiPriority w:val="30"/>
    <w:qFormat/>
    <w:rsid w:val="002024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438"/>
    <w:rPr>
      <w:i/>
      <w:iCs/>
      <w:color w:val="0F4761" w:themeColor="accent1" w:themeShade="BF"/>
    </w:rPr>
  </w:style>
  <w:style w:type="character" w:styleId="IntenseReference">
    <w:name w:val="Intense Reference"/>
    <w:basedOn w:val="DefaultParagraphFont"/>
    <w:uiPriority w:val="32"/>
    <w:qFormat/>
    <w:rsid w:val="00202438"/>
    <w:rPr>
      <w:b/>
      <w:bCs/>
      <w:smallCaps/>
      <w:color w:val="0F4761" w:themeColor="accent1" w:themeShade="BF"/>
      <w:spacing w:val="5"/>
    </w:rPr>
  </w:style>
  <w:style w:type="character" w:styleId="Hyperlink">
    <w:name w:val="Hyperlink"/>
    <w:basedOn w:val="DefaultParagraphFont"/>
    <w:uiPriority w:val="99"/>
    <w:unhideWhenUsed/>
    <w:rsid w:val="00202438"/>
    <w:rPr>
      <w:color w:val="467886" w:themeColor="hyperlink"/>
      <w:u w:val="single"/>
    </w:rPr>
  </w:style>
  <w:style w:type="character" w:styleId="UnresolvedMention">
    <w:name w:val="Unresolved Mention"/>
    <w:basedOn w:val="DefaultParagraphFont"/>
    <w:uiPriority w:val="99"/>
    <w:semiHidden/>
    <w:unhideWhenUsed/>
    <w:rsid w:val="00202438"/>
    <w:rPr>
      <w:color w:val="605E5C"/>
      <w:shd w:val="clear" w:color="auto" w:fill="E1DFDD"/>
    </w:rPr>
  </w:style>
  <w:style w:type="paragraph" w:styleId="TOCHeading">
    <w:name w:val="TOC Heading"/>
    <w:basedOn w:val="Heading1"/>
    <w:next w:val="Normal"/>
    <w:uiPriority w:val="39"/>
    <w:unhideWhenUsed/>
    <w:qFormat/>
    <w:rsid w:val="000C75C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C75CA"/>
    <w:pPr>
      <w:spacing w:after="100"/>
    </w:pPr>
  </w:style>
  <w:style w:type="paragraph" w:styleId="TOC2">
    <w:name w:val="toc 2"/>
    <w:basedOn w:val="Normal"/>
    <w:next w:val="Normal"/>
    <w:autoRedefine/>
    <w:uiPriority w:val="39"/>
    <w:unhideWhenUsed/>
    <w:rsid w:val="000C75CA"/>
    <w:pPr>
      <w:spacing w:after="100"/>
      <w:ind w:left="240"/>
    </w:pPr>
  </w:style>
  <w:style w:type="paragraph" w:styleId="TOC3">
    <w:name w:val="toc 3"/>
    <w:basedOn w:val="Normal"/>
    <w:next w:val="Normal"/>
    <w:autoRedefine/>
    <w:uiPriority w:val="39"/>
    <w:unhideWhenUsed/>
    <w:rsid w:val="000C75CA"/>
    <w:pPr>
      <w:spacing w:after="100"/>
      <w:ind w:left="480"/>
    </w:pPr>
  </w:style>
  <w:style w:type="paragraph" w:styleId="NormalWeb">
    <w:name w:val="Normal (Web)"/>
    <w:basedOn w:val="Normal"/>
    <w:uiPriority w:val="99"/>
    <w:semiHidden/>
    <w:unhideWhenUsed/>
    <w:rsid w:val="00A92609"/>
    <w:rPr>
      <w:rFonts w:ascii="Times New Roman" w:hAnsi="Times New Roman" w:cs="Times New Roman"/>
    </w:rPr>
  </w:style>
  <w:style w:type="paragraph" w:styleId="Caption">
    <w:name w:val="caption"/>
    <w:basedOn w:val="Normal"/>
    <w:next w:val="Normal"/>
    <w:uiPriority w:val="35"/>
    <w:unhideWhenUsed/>
    <w:qFormat/>
    <w:rsid w:val="004D7BB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2852">
      <w:bodyDiv w:val="1"/>
      <w:marLeft w:val="0"/>
      <w:marRight w:val="0"/>
      <w:marTop w:val="0"/>
      <w:marBottom w:val="0"/>
      <w:divBdr>
        <w:top w:val="none" w:sz="0" w:space="0" w:color="auto"/>
        <w:left w:val="none" w:sz="0" w:space="0" w:color="auto"/>
        <w:bottom w:val="none" w:sz="0" w:space="0" w:color="auto"/>
        <w:right w:val="none" w:sz="0" w:space="0" w:color="auto"/>
      </w:divBdr>
    </w:div>
    <w:div w:id="63601270">
      <w:bodyDiv w:val="1"/>
      <w:marLeft w:val="0"/>
      <w:marRight w:val="0"/>
      <w:marTop w:val="0"/>
      <w:marBottom w:val="0"/>
      <w:divBdr>
        <w:top w:val="none" w:sz="0" w:space="0" w:color="auto"/>
        <w:left w:val="none" w:sz="0" w:space="0" w:color="auto"/>
        <w:bottom w:val="none" w:sz="0" w:space="0" w:color="auto"/>
        <w:right w:val="none" w:sz="0" w:space="0" w:color="auto"/>
      </w:divBdr>
    </w:div>
    <w:div w:id="80956960">
      <w:bodyDiv w:val="1"/>
      <w:marLeft w:val="0"/>
      <w:marRight w:val="0"/>
      <w:marTop w:val="0"/>
      <w:marBottom w:val="0"/>
      <w:divBdr>
        <w:top w:val="none" w:sz="0" w:space="0" w:color="auto"/>
        <w:left w:val="none" w:sz="0" w:space="0" w:color="auto"/>
        <w:bottom w:val="none" w:sz="0" w:space="0" w:color="auto"/>
        <w:right w:val="none" w:sz="0" w:space="0" w:color="auto"/>
      </w:divBdr>
    </w:div>
    <w:div w:id="100146205">
      <w:bodyDiv w:val="1"/>
      <w:marLeft w:val="0"/>
      <w:marRight w:val="0"/>
      <w:marTop w:val="0"/>
      <w:marBottom w:val="0"/>
      <w:divBdr>
        <w:top w:val="none" w:sz="0" w:space="0" w:color="auto"/>
        <w:left w:val="none" w:sz="0" w:space="0" w:color="auto"/>
        <w:bottom w:val="none" w:sz="0" w:space="0" w:color="auto"/>
        <w:right w:val="none" w:sz="0" w:space="0" w:color="auto"/>
      </w:divBdr>
    </w:div>
    <w:div w:id="184753149">
      <w:bodyDiv w:val="1"/>
      <w:marLeft w:val="0"/>
      <w:marRight w:val="0"/>
      <w:marTop w:val="0"/>
      <w:marBottom w:val="0"/>
      <w:divBdr>
        <w:top w:val="none" w:sz="0" w:space="0" w:color="auto"/>
        <w:left w:val="none" w:sz="0" w:space="0" w:color="auto"/>
        <w:bottom w:val="none" w:sz="0" w:space="0" w:color="auto"/>
        <w:right w:val="none" w:sz="0" w:space="0" w:color="auto"/>
      </w:divBdr>
    </w:div>
    <w:div w:id="189606476">
      <w:bodyDiv w:val="1"/>
      <w:marLeft w:val="0"/>
      <w:marRight w:val="0"/>
      <w:marTop w:val="0"/>
      <w:marBottom w:val="0"/>
      <w:divBdr>
        <w:top w:val="none" w:sz="0" w:space="0" w:color="auto"/>
        <w:left w:val="none" w:sz="0" w:space="0" w:color="auto"/>
        <w:bottom w:val="none" w:sz="0" w:space="0" w:color="auto"/>
        <w:right w:val="none" w:sz="0" w:space="0" w:color="auto"/>
      </w:divBdr>
    </w:div>
    <w:div w:id="301927507">
      <w:bodyDiv w:val="1"/>
      <w:marLeft w:val="0"/>
      <w:marRight w:val="0"/>
      <w:marTop w:val="0"/>
      <w:marBottom w:val="0"/>
      <w:divBdr>
        <w:top w:val="none" w:sz="0" w:space="0" w:color="auto"/>
        <w:left w:val="none" w:sz="0" w:space="0" w:color="auto"/>
        <w:bottom w:val="none" w:sz="0" w:space="0" w:color="auto"/>
        <w:right w:val="none" w:sz="0" w:space="0" w:color="auto"/>
      </w:divBdr>
    </w:div>
    <w:div w:id="424889255">
      <w:bodyDiv w:val="1"/>
      <w:marLeft w:val="0"/>
      <w:marRight w:val="0"/>
      <w:marTop w:val="0"/>
      <w:marBottom w:val="0"/>
      <w:divBdr>
        <w:top w:val="none" w:sz="0" w:space="0" w:color="auto"/>
        <w:left w:val="none" w:sz="0" w:space="0" w:color="auto"/>
        <w:bottom w:val="none" w:sz="0" w:space="0" w:color="auto"/>
        <w:right w:val="none" w:sz="0" w:space="0" w:color="auto"/>
      </w:divBdr>
    </w:div>
    <w:div w:id="432482175">
      <w:bodyDiv w:val="1"/>
      <w:marLeft w:val="0"/>
      <w:marRight w:val="0"/>
      <w:marTop w:val="0"/>
      <w:marBottom w:val="0"/>
      <w:divBdr>
        <w:top w:val="none" w:sz="0" w:space="0" w:color="auto"/>
        <w:left w:val="none" w:sz="0" w:space="0" w:color="auto"/>
        <w:bottom w:val="none" w:sz="0" w:space="0" w:color="auto"/>
        <w:right w:val="none" w:sz="0" w:space="0" w:color="auto"/>
      </w:divBdr>
    </w:div>
    <w:div w:id="437602356">
      <w:bodyDiv w:val="1"/>
      <w:marLeft w:val="0"/>
      <w:marRight w:val="0"/>
      <w:marTop w:val="0"/>
      <w:marBottom w:val="0"/>
      <w:divBdr>
        <w:top w:val="none" w:sz="0" w:space="0" w:color="auto"/>
        <w:left w:val="none" w:sz="0" w:space="0" w:color="auto"/>
        <w:bottom w:val="none" w:sz="0" w:space="0" w:color="auto"/>
        <w:right w:val="none" w:sz="0" w:space="0" w:color="auto"/>
      </w:divBdr>
    </w:div>
    <w:div w:id="550074193">
      <w:bodyDiv w:val="1"/>
      <w:marLeft w:val="0"/>
      <w:marRight w:val="0"/>
      <w:marTop w:val="0"/>
      <w:marBottom w:val="0"/>
      <w:divBdr>
        <w:top w:val="none" w:sz="0" w:space="0" w:color="auto"/>
        <w:left w:val="none" w:sz="0" w:space="0" w:color="auto"/>
        <w:bottom w:val="none" w:sz="0" w:space="0" w:color="auto"/>
        <w:right w:val="none" w:sz="0" w:space="0" w:color="auto"/>
      </w:divBdr>
    </w:div>
    <w:div w:id="612593693">
      <w:bodyDiv w:val="1"/>
      <w:marLeft w:val="0"/>
      <w:marRight w:val="0"/>
      <w:marTop w:val="0"/>
      <w:marBottom w:val="0"/>
      <w:divBdr>
        <w:top w:val="none" w:sz="0" w:space="0" w:color="auto"/>
        <w:left w:val="none" w:sz="0" w:space="0" w:color="auto"/>
        <w:bottom w:val="none" w:sz="0" w:space="0" w:color="auto"/>
        <w:right w:val="none" w:sz="0" w:space="0" w:color="auto"/>
      </w:divBdr>
    </w:div>
    <w:div w:id="639117630">
      <w:bodyDiv w:val="1"/>
      <w:marLeft w:val="0"/>
      <w:marRight w:val="0"/>
      <w:marTop w:val="0"/>
      <w:marBottom w:val="0"/>
      <w:divBdr>
        <w:top w:val="none" w:sz="0" w:space="0" w:color="auto"/>
        <w:left w:val="none" w:sz="0" w:space="0" w:color="auto"/>
        <w:bottom w:val="none" w:sz="0" w:space="0" w:color="auto"/>
        <w:right w:val="none" w:sz="0" w:space="0" w:color="auto"/>
      </w:divBdr>
    </w:div>
    <w:div w:id="762535808">
      <w:bodyDiv w:val="1"/>
      <w:marLeft w:val="0"/>
      <w:marRight w:val="0"/>
      <w:marTop w:val="0"/>
      <w:marBottom w:val="0"/>
      <w:divBdr>
        <w:top w:val="none" w:sz="0" w:space="0" w:color="auto"/>
        <w:left w:val="none" w:sz="0" w:space="0" w:color="auto"/>
        <w:bottom w:val="none" w:sz="0" w:space="0" w:color="auto"/>
        <w:right w:val="none" w:sz="0" w:space="0" w:color="auto"/>
      </w:divBdr>
    </w:div>
    <w:div w:id="764493785">
      <w:bodyDiv w:val="1"/>
      <w:marLeft w:val="0"/>
      <w:marRight w:val="0"/>
      <w:marTop w:val="0"/>
      <w:marBottom w:val="0"/>
      <w:divBdr>
        <w:top w:val="none" w:sz="0" w:space="0" w:color="auto"/>
        <w:left w:val="none" w:sz="0" w:space="0" w:color="auto"/>
        <w:bottom w:val="none" w:sz="0" w:space="0" w:color="auto"/>
        <w:right w:val="none" w:sz="0" w:space="0" w:color="auto"/>
      </w:divBdr>
    </w:div>
    <w:div w:id="776214746">
      <w:bodyDiv w:val="1"/>
      <w:marLeft w:val="0"/>
      <w:marRight w:val="0"/>
      <w:marTop w:val="0"/>
      <w:marBottom w:val="0"/>
      <w:divBdr>
        <w:top w:val="none" w:sz="0" w:space="0" w:color="auto"/>
        <w:left w:val="none" w:sz="0" w:space="0" w:color="auto"/>
        <w:bottom w:val="none" w:sz="0" w:space="0" w:color="auto"/>
        <w:right w:val="none" w:sz="0" w:space="0" w:color="auto"/>
      </w:divBdr>
    </w:div>
    <w:div w:id="782655626">
      <w:bodyDiv w:val="1"/>
      <w:marLeft w:val="0"/>
      <w:marRight w:val="0"/>
      <w:marTop w:val="0"/>
      <w:marBottom w:val="0"/>
      <w:divBdr>
        <w:top w:val="none" w:sz="0" w:space="0" w:color="auto"/>
        <w:left w:val="none" w:sz="0" w:space="0" w:color="auto"/>
        <w:bottom w:val="none" w:sz="0" w:space="0" w:color="auto"/>
        <w:right w:val="none" w:sz="0" w:space="0" w:color="auto"/>
      </w:divBdr>
    </w:div>
    <w:div w:id="786385959">
      <w:bodyDiv w:val="1"/>
      <w:marLeft w:val="0"/>
      <w:marRight w:val="0"/>
      <w:marTop w:val="0"/>
      <w:marBottom w:val="0"/>
      <w:divBdr>
        <w:top w:val="none" w:sz="0" w:space="0" w:color="auto"/>
        <w:left w:val="none" w:sz="0" w:space="0" w:color="auto"/>
        <w:bottom w:val="none" w:sz="0" w:space="0" w:color="auto"/>
        <w:right w:val="none" w:sz="0" w:space="0" w:color="auto"/>
      </w:divBdr>
    </w:div>
    <w:div w:id="790780414">
      <w:bodyDiv w:val="1"/>
      <w:marLeft w:val="0"/>
      <w:marRight w:val="0"/>
      <w:marTop w:val="0"/>
      <w:marBottom w:val="0"/>
      <w:divBdr>
        <w:top w:val="none" w:sz="0" w:space="0" w:color="auto"/>
        <w:left w:val="none" w:sz="0" w:space="0" w:color="auto"/>
        <w:bottom w:val="none" w:sz="0" w:space="0" w:color="auto"/>
        <w:right w:val="none" w:sz="0" w:space="0" w:color="auto"/>
      </w:divBdr>
    </w:div>
    <w:div w:id="791022711">
      <w:bodyDiv w:val="1"/>
      <w:marLeft w:val="0"/>
      <w:marRight w:val="0"/>
      <w:marTop w:val="0"/>
      <w:marBottom w:val="0"/>
      <w:divBdr>
        <w:top w:val="none" w:sz="0" w:space="0" w:color="auto"/>
        <w:left w:val="none" w:sz="0" w:space="0" w:color="auto"/>
        <w:bottom w:val="none" w:sz="0" w:space="0" w:color="auto"/>
        <w:right w:val="none" w:sz="0" w:space="0" w:color="auto"/>
      </w:divBdr>
    </w:div>
    <w:div w:id="835538309">
      <w:bodyDiv w:val="1"/>
      <w:marLeft w:val="0"/>
      <w:marRight w:val="0"/>
      <w:marTop w:val="0"/>
      <w:marBottom w:val="0"/>
      <w:divBdr>
        <w:top w:val="none" w:sz="0" w:space="0" w:color="auto"/>
        <w:left w:val="none" w:sz="0" w:space="0" w:color="auto"/>
        <w:bottom w:val="none" w:sz="0" w:space="0" w:color="auto"/>
        <w:right w:val="none" w:sz="0" w:space="0" w:color="auto"/>
      </w:divBdr>
    </w:div>
    <w:div w:id="887843530">
      <w:bodyDiv w:val="1"/>
      <w:marLeft w:val="0"/>
      <w:marRight w:val="0"/>
      <w:marTop w:val="0"/>
      <w:marBottom w:val="0"/>
      <w:divBdr>
        <w:top w:val="none" w:sz="0" w:space="0" w:color="auto"/>
        <w:left w:val="none" w:sz="0" w:space="0" w:color="auto"/>
        <w:bottom w:val="none" w:sz="0" w:space="0" w:color="auto"/>
        <w:right w:val="none" w:sz="0" w:space="0" w:color="auto"/>
      </w:divBdr>
    </w:div>
    <w:div w:id="894124762">
      <w:bodyDiv w:val="1"/>
      <w:marLeft w:val="0"/>
      <w:marRight w:val="0"/>
      <w:marTop w:val="0"/>
      <w:marBottom w:val="0"/>
      <w:divBdr>
        <w:top w:val="none" w:sz="0" w:space="0" w:color="auto"/>
        <w:left w:val="none" w:sz="0" w:space="0" w:color="auto"/>
        <w:bottom w:val="none" w:sz="0" w:space="0" w:color="auto"/>
        <w:right w:val="none" w:sz="0" w:space="0" w:color="auto"/>
      </w:divBdr>
    </w:div>
    <w:div w:id="906303422">
      <w:bodyDiv w:val="1"/>
      <w:marLeft w:val="0"/>
      <w:marRight w:val="0"/>
      <w:marTop w:val="0"/>
      <w:marBottom w:val="0"/>
      <w:divBdr>
        <w:top w:val="none" w:sz="0" w:space="0" w:color="auto"/>
        <w:left w:val="none" w:sz="0" w:space="0" w:color="auto"/>
        <w:bottom w:val="none" w:sz="0" w:space="0" w:color="auto"/>
        <w:right w:val="none" w:sz="0" w:space="0" w:color="auto"/>
      </w:divBdr>
    </w:div>
    <w:div w:id="938216687">
      <w:bodyDiv w:val="1"/>
      <w:marLeft w:val="0"/>
      <w:marRight w:val="0"/>
      <w:marTop w:val="0"/>
      <w:marBottom w:val="0"/>
      <w:divBdr>
        <w:top w:val="none" w:sz="0" w:space="0" w:color="auto"/>
        <w:left w:val="none" w:sz="0" w:space="0" w:color="auto"/>
        <w:bottom w:val="none" w:sz="0" w:space="0" w:color="auto"/>
        <w:right w:val="none" w:sz="0" w:space="0" w:color="auto"/>
      </w:divBdr>
    </w:div>
    <w:div w:id="939264680">
      <w:bodyDiv w:val="1"/>
      <w:marLeft w:val="0"/>
      <w:marRight w:val="0"/>
      <w:marTop w:val="0"/>
      <w:marBottom w:val="0"/>
      <w:divBdr>
        <w:top w:val="none" w:sz="0" w:space="0" w:color="auto"/>
        <w:left w:val="none" w:sz="0" w:space="0" w:color="auto"/>
        <w:bottom w:val="none" w:sz="0" w:space="0" w:color="auto"/>
        <w:right w:val="none" w:sz="0" w:space="0" w:color="auto"/>
      </w:divBdr>
    </w:div>
    <w:div w:id="962268112">
      <w:bodyDiv w:val="1"/>
      <w:marLeft w:val="0"/>
      <w:marRight w:val="0"/>
      <w:marTop w:val="0"/>
      <w:marBottom w:val="0"/>
      <w:divBdr>
        <w:top w:val="none" w:sz="0" w:space="0" w:color="auto"/>
        <w:left w:val="none" w:sz="0" w:space="0" w:color="auto"/>
        <w:bottom w:val="none" w:sz="0" w:space="0" w:color="auto"/>
        <w:right w:val="none" w:sz="0" w:space="0" w:color="auto"/>
      </w:divBdr>
    </w:div>
    <w:div w:id="1013068297">
      <w:bodyDiv w:val="1"/>
      <w:marLeft w:val="0"/>
      <w:marRight w:val="0"/>
      <w:marTop w:val="0"/>
      <w:marBottom w:val="0"/>
      <w:divBdr>
        <w:top w:val="none" w:sz="0" w:space="0" w:color="auto"/>
        <w:left w:val="none" w:sz="0" w:space="0" w:color="auto"/>
        <w:bottom w:val="none" w:sz="0" w:space="0" w:color="auto"/>
        <w:right w:val="none" w:sz="0" w:space="0" w:color="auto"/>
      </w:divBdr>
    </w:div>
    <w:div w:id="1053390933">
      <w:bodyDiv w:val="1"/>
      <w:marLeft w:val="0"/>
      <w:marRight w:val="0"/>
      <w:marTop w:val="0"/>
      <w:marBottom w:val="0"/>
      <w:divBdr>
        <w:top w:val="none" w:sz="0" w:space="0" w:color="auto"/>
        <w:left w:val="none" w:sz="0" w:space="0" w:color="auto"/>
        <w:bottom w:val="none" w:sz="0" w:space="0" w:color="auto"/>
        <w:right w:val="none" w:sz="0" w:space="0" w:color="auto"/>
      </w:divBdr>
    </w:div>
    <w:div w:id="1070807362">
      <w:bodyDiv w:val="1"/>
      <w:marLeft w:val="0"/>
      <w:marRight w:val="0"/>
      <w:marTop w:val="0"/>
      <w:marBottom w:val="0"/>
      <w:divBdr>
        <w:top w:val="none" w:sz="0" w:space="0" w:color="auto"/>
        <w:left w:val="none" w:sz="0" w:space="0" w:color="auto"/>
        <w:bottom w:val="none" w:sz="0" w:space="0" w:color="auto"/>
        <w:right w:val="none" w:sz="0" w:space="0" w:color="auto"/>
      </w:divBdr>
    </w:div>
    <w:div w:id="1074547079">
      <w:bodyDiv w:val="1"/>
      <w:marLeft w:val="0"/>
      <w:marRight w:val="0"/>
      <w:marTop w:val="0"/>
      <w:marBottom w:val="0"/>
      <w:divBdr>
        <w:top w:val="none" w:sz="0" w:space="0" w:color="auto"/>
        <w:left w:val="none" w:sz="0" w:space="0" w:color="auto"/>
        <w:bottom w:val="none" w:sz="0" w:space="0" w:color="auto"/>
        <w:right w:val="none" w:sz="0" w:space="0" w:color="auto"/>
      </w:divBdr>
    </w:div>
    <w:div w:id="1115514597">
      <w:bodyDiv w:val="1"/>
      <w:marLeft w:val="0"/>
      <w:marRight w:val="0"/>
      <w:marTop w:val="0"/>
      <w:marBottom w:val="0"/>
      <w:divBdr>
        <w:top w:val="none" w:sz="0" w:space="0" w:color="auto"/>
        <w:left w:val="none" w:sz="0" w:space="0" w:color="auto"/>
        <w:bottom w:val="none" w:sz="0" w:space="0" w:color="auto"/>
        <w:right w:val="none" w:sz="0" w:space="0" w:color="auto"/>
      </w:divBdr>
    </w:div>
    <w:div w:id="1159154061">
      <w:bodyDiv w:val="1"/>
      <w:marLeft w:val="0"/>
      <w:marRight w:val="0"/>
      <w:marTop w:val="0"/>
      <w:marBottom w:val="0"/>
      <w:divBdr>
        <w:top w:val="none" w:sz="0" w:space="0" w:color="auto"/>
        <w:left w:val="none" w:sz="0" w:space="0" w:color="auto"/>
        <w:bottom w:val="none" w:sz="0" w:space="0" w:color="auto"/>
        <w:right w:val="none" w:sz="0" w:space="0" w:color="auto"/>
      </w:divBdr>
    </w:div>
    <w:div w:id="1206211649">
      <w:bodyDiv w:val="1"/>
      <w:marLeft w:val="0"/>
      <w:marRight w:val="0"/>
      <w:marTop w:val="0"/>
      <w:marBottom w:val="0"/>
      <w:divBdr>
        <w:top w:val="none" w:sz="0" w:space="0" w:color="auto"/>
        <w:left w:val="none" w:sz="0" w:space="0" w:color="auto"/>
        <w:bottom w:val="none" w:sz="0" w:space="0" w:color="auto"/>
        <w:right w:val="none" w:sz="0" w:space="0" w:color="auto"/>
      </w:divBdr>
    </w:div>
    <w:div w:id="1252161632">
      <w:bodyDiv w:val="1"/>
      <w:marLeft w:val="0"/>
      <w:marRight w:val="0"/>
      <w:marTop w:val="0"/>
      <w:marBottom w:val="0"/>
      <w:divBdr>
        <w:top w:val="none" w:sz="0" w:space="0" w:color="auto"/>
        <w:left w:val="none" w:sz="0" w:space="0" w:color="auto"/>
        <w:bottom w:val="none" w:sz="0" w:space="0" w:color="auto"/>
        <w:right w:val="none" w:sz="0" w:space="0" w:color="auto"/>
      </w:divBdr>
    </w:div>
    <w:div w:id="1338268536">
      <w:bodyDiv w:val="1"/>
      <w:marLeft w:val="0"/>
      <w:marRight w:val="0"/>
      <w:marTop w:val="0"/>
      <w:marBottom w:val="0"/>
      <w:divBdr>
        <w:top w:val="none" w:sz="0" w:space="0" w:color="auto"/>
        <w:left w:val="none" w:sz="0" w:space="0" w:color="auto"/>
        <w:bottom w:val="none" w:sz="0" w:space="0" w:color="auto"/>
        <w:right w:val="none" w:sz="0" w:space="0" w:color="auto"/>
      </w:divBdr>
    </w:div>
    <w:div w:id="1342854141">
      <w:bodyDiv w:val="1"/>
      <w:marLeft w:val="0"/>
      <w:marRight w:val="0"/>
      <w:marTop w:val="0"/>
      <w:marBottom w:val="0"/>
      <w:divBdr>
        <w:top w:val="none" w:sz="0" w:space="0" w:color="auto"/>
        <w:left w:val="none" w:sz="0" w:space="0" w:color="auto"/>
        <w:bottom w:val="none" w:sz="0" w:space="0" w:color="auto"/>
        <w:right w:val="none" w:sz="0" w:space="0" w:color="auto"/>
      </w:divBdr>
    </w:div>
    <w:div w:id="1372732838">
      <w:bodyDiv w:val="1"/>
      <w:marLeft w:val="0"/>
      <w:marRight w:val="0"/>
      <w:marTop w:val="0"/>
      <w:marBottom w:val="0"/>
      <w:divBdr>
        <w:top w:val="none" w:sz="0" w:space="0" w:color="auto"/>
        <w:left w:val="none" w:sz="0" w:space="0" w:color="auto"/>
        <w:bottom w:val="none" w:sz="0" w:space="0" w:color="auto"/>
        <w:right w:val="none" w:sz="0" w:space="0" w:color="auto"/>
      </w:divBdr>
    </w:div>
    <w:div w:id="1385329068">
      <w:bodyDiv w:val="1"/>
      <w:marLeft w:val="0"/>
      <w:marRight w:val="0"/>
      <w:marTop w:val="0"/>
      <w:marBottom w:val="0"/>
      <w:divBdr>
        <w:top w:val="none" w:sz="0" w:space="0" w:color="auto"/>
        <w:left w:val="none" w:sz="0" w:space="0" w:color="auto"/>
        <w:bottom w:val="none" w:sz="0" w:space="0" w:color="auto"/>
        <w:right w:val="none" w:sz="0" w:space="0" w:color="auto"/>
      </w:divBdr>
    </w:div>
    <w:div w:id="1585265551">
      <w:bodyDiv w:val="1"/>
      <w:marLeft w:val="0"/>
      <w:marRight w:val="0"/>
      <w:marTop w:val="0"/>
      <w:marBottom w:val="0"/>
      <w:divBdr>
        <w:top w:val="none" w:sz="0" w:space="0" w:color="auto"/>
        <w:left w:val="none" w:sz="0" w:space="0" w:color="auto"/>
        <w:bottom w:val="none" w:sz="0" w:space="0" w:color="auto"/>
        <w:right w:val="none" w:sz="0" w:space="0" w:color="auto"/>
      </w:divBdr>
    </w:div>
    <w:div w:id="1612085247">
      <w:bodyDiv w:val="1"/>
      <w:marLeft w:val="0"/>
      <w:marRight w:val="0"/>
      <w:marTop w:val="0"/>
      <w:marBottom w:val="0"/>
      <w:divBdr>
        <w:top w:val="none" w:sz="0" w:space="0" w:color="auto"/>
        <w:left w:val="none" w:sz="0" w:space="0" w:color="auto"/>
        <w:bottom w:val="none" w:sz="0" w:space="0" w:color="auto"/>
        <w:right w:val="none" w:sz="0" w:space="0" w:color="auto"/>
      </w:divBdr>
    </w:div>
    <w:div w:id="1627351946">
      <w:bodyDiv w:val="1"/>
      <w:marLeft w:val="0"/>
      <w:marRight w:val="0"/>
      <w:marTop w:val="0"/>
      <w:marBottom w:val="0"/>
      <w:divBdr>
        <w:top w:val="none" w:sz="0" w:space="0" w:color="auto"/>
        <w:left w:val="none" w:sz="0" w:space="0" w:color="auto"/>
        <w:bottom w:val="none" w:sz="0" w:space="0" w:color="auto"/>
        <w:right w:val="none" w:sz="0" w:space="0" w:color="auto"/>
      </w:divBdr>
    </w:div>
    <w:div w:id="1635451519">
      <w:bodyDiv w:val="1"/>
      <w:marLeft w:val="0"/>
      <w:marRight w:val="0"/>
      <w:marTop w:val="0"/>
      <w:marBottom w:val="0"/>
      <w:divBdr>
        <w:top w:val="none" w:sz="0" w:space="0" w:color="auto"/>
        <w:left w:val="none" w:sz="0" w:space="0" w:color="auto"/>
        <w:bottom w:val="none" w:sz="0" w:space="0" w:color="auto"/>
        <w:right w:val="none" w:sz="0" w:space="0" w:color="auto"/>
      </w:divBdr>
    </w:div>
    <w:div w:id="1677490760">
      <w:bodyDiv w:val="1"/>
      <w:marLeft w:val="0"/>
      <w:marRight w:val="0"/>
      <w:marTop w:val="0"/>
      <w:marBottom w:val="0"/>
      <w:divBdr>
        <w:top w:val="none" w:sz="0" w:space="0" w:color="auto"/>
        <w:left w:val="none" w:sz="0" w:space="0" w:color="auto"/>
        <w:bottom w:val="none" w:sz="0" w:space="0" w:color="auto"/>
        <w:right w:val="none" w:sz="0" w:space="0" w:color="auto"/>
      </w:divBdr>
    </w:div>
    <w:div w:id="1781024205">
      <w:bodyDiv w:val="1"/>
      <w:marLeft w:val="0"/>
      <w:marRight w:val="0"/>
      <w:marTop w:val="0"/>
      <w:marBottom w:val="0"/>
      <w:divBdr>
        <w:top w:val="none" w:sz="0" w:space="0" w:color="auto"/>
        <w:left w:val="none" w:sz="0" w:space="0" w:color="auto"/>
        <w:bottom w:val="none" w:sz="0" w:space="0" w:color="auto"/>
        <w:right w:val="none" w:sz="0" w:space="0" w:color="auto"/>
      </w:divBdr>
    </w:div>
    <w:div w:id="1828353863">
      <w:bodyDiv w:val="1"/>
      <w:marLeft w:val="0"/>
      <w:marRight w:val="0"/>
      <w:marTop w:val="0"/>
      <w:marBottom w:val="0"/>
      <w:divBdr>
        <w:top w:val="none" w:sz="0" w:space="0" w:color="auto"/>
        <w:left w:val="none" w:sz="0" w:space="0" w:color="auto"/>
        <w:bottom w:val="none" w:sz="0" w:space="0" w:color="auto"/>
        <w:right w:val="none" w:sz="0" w:space="0" w:color="auto"/>
      </w:divBdr>
    </w:div>
    <w:div w:id="2044207237">
      <w:bodyDiv w:val="1"/>
      <w:marLeft w:val="0"/>
      <w:marRight w:val="0"/>
      <w:marTop w:val="0"/>
      <w:marBottom w:val="0"/>
      <w:divBdr>
        <w:top w:val="none" w:sz="0" w:space="0" w:color="auto"/>
        <w:left w:val="none" w:sz="0" w:space="0" w:color="auto"/>
        <w:bottom w:val="none" w:sz="0" w:space="0" w:color="auto"/>
        <w:right w:val="none" w:sz="0" w:space="0" w:color="auto"/>
      </w:divBdr>
    </w:div>
    <w:div w:id="2046444003">
      <w:bodyDiv w:val="1"/>
      <w:marLeft w:val="0"/>
      <w:marRight w:val="0"/>
      <w:marTop w:val="0"/>
      <w:marBottom w:val="0"/>
      <w:divBdr>
        <w:top w:val="none" w:sz="0" w:space="0" w:color="auto"/>
        <w:left w:val="none" w:sz="0" w:space="0" w:color="auto"/>
        <w:bottom w:val="none" w:sz="0" w:space="0" w:color="auto"/>
        <w:right w:val="none" w:sz="0" w:space="0" w:color="auto"/>
      </w:divBdr>
    </w:div>
    <w:div w:id="2060855365">
      <w:bodyDiv w:val="1"/>
      <w:marLeft w:val="0"/>
      <w:marRight w:val="0"/>
      <w:marTop w:val="0"/>
      <w:marBottom w:val="0"/>
      <w:divBdr>
        <w:top w:val="none" w:sz="0" w:space="0" w:color="auto"/>
        <w:left w:val="none" w:sz="0" w:space="0" w:color="auto"/>
        <w:bottom w:val="none" w:sz="0" w:space="0" w:color="auto"/>
        <w:right w:val="none" w:sz="0" w:space="0" w:color="auto"/>
      </w:divBdr>
    </w:div>
    <w:div w:id="214469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mmt.co.uk/" TargetMode="Externa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83596-091B-42A4-B1F6-FA26ED43C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19</Pages>
  <Words>4549</Words>
  <Characters>27205</Characters>
  <Application>Microsoft Office Word</Application>
  <DocSecurity>0</DocSecurity>
  <Lines>591</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Hughes</dc:creator>
  <cp:keywords/>
  <dc:description/>
  <cp:lastModifiedBy>Tammy Hughes</cp:lastModifiedBy>
  <cp:revision>14</cp:revision>
  <dcterms:created xsi:type="dcterms:W3CDTF">2026-02-09T17:53:00Z</dcterms:created>
  <dcterms:modified xsi:type="dcterms:W3CDTF">2026-03-16T20:32:00Z</dcterms:modified>
</cp:coreProperties>
</file>