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7DF6D" w14:textId="77777777" w:rsidR="001C692B" w:rsidRDefault="001C692B" w:rsidP="001C692B">
      <w:pPr>
        <w:jc w:val="center"/>
      </w:pPr>
      <w:r w:rsidRPr="00AE282F">
        <w:rPr>
          <w:noProof/>
        </w:rPr>
        <w:drawing>
          <wp:inline distT="0" distB="0" distL="0" distR="0" wp14:anchorId="7D583A9E" wp14:editId="3CCDC8D1">
            <wp:extent cx="2025754" cy="838243"/>
            <wp:effectExtent l="0" t="0" r="0" b="0"/>
            <wp:docPr id="1809957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57361" name=""/>
                    <pic:cNvPicPr/>
                  </pic:nvPicPr>
                  <pic:blipFill>
                    <a:blip r:embed="rId8"/>
                    <a:stretch>
                      <a:fillRect/>
                    </a:stretch>
                  </pic:blipFill>
                  <pic:spPr>
                    <a:xfrm>
                      <a:off x="0" y="0"/>
                      <a:ext cx="2025754" cy="838243"/>
                    </a:xfrm>
                    <a:prstGeom prst="rect">
                      <a:avLst/>
                    </a:prstGeom>
                  </pic:spPr>
                </pic:pic>
              </a:graphicData>
            </a:graphic>
          </wp:inline>
        </w:drawing>
      </w:r>
    </w:p>
    <w:p w14:paraId="49F3350F" w14:textId="77777777" w:rsidR="001C692B" w:rsidRDefault="001C692B" w:rsidP="001C692B">
      <w:pPr>
        <w:jc w:val="center"/>
      </w:pPr>
    </w:p>
    <w:p w14:paraId="573450FC" w14:textId="40DF2E03" w:rsidR="001C692B" w:rsidRDefault="00CE12B9" w:rsidP="001C692B">
      <w:pPr>
        <w:jc w:val="center"/>
        <w:rPr>
          <w:b/>
          <w:bCs/>
          <w:sz w:val="32"/>
          <w:szCs w:val="32"/>
        </w:rPr>
      </w:pPr>
      <w:r w:rsidRPr="00CE12B9">
        <w:rPr>
          <w:b/>
          <w:bCs/>
          <w:sz w:val="32"/>
          <w:szCs w:val="32"/>
        </w:rPr>
        <w:t>Assessment component: Financial performance and management</w:t>
      </w:r>
    </w:p>
    <w:p w14:paraId="4CF4F717" w14:textId="77777777" w:rsidR="00CE12B9" w:rsidRPr="003D5466" w:rsidRDefault="00CE12B9" w:rsidP="001C692B">
      <w:pPr>
        <w:jc w:val="center"/>
        <w:rPr>
          <w:b/>
          <w:bCs/>
          <w:sz w:val="32"/>
          <w:szCs w:val="32"/>
        </w:rPr>
      </w:pPr>
    </w:p>
    <w:tbl>
      <w:tblPr>
        <w:tblStyle w:val="TableGrid"/>
        <w:tblW w:w="0" w:type="auto"/>
        <w:jc w:val="center"/>
        <w:tblLook w:val="04A0" w:firstRow="1" w:lastRow="0" w:firstColumn="1" w:lastColumn="0" w:noHBand="0" w:noVBand="1"/>
      </w:tblPr>
      <w:tblGrid>
        <w:gridCol w:w="3055"/>
        <w:gridCol w:w="5961"/>
      </w:tblGrid>
      <w:tr w:rsidR="001C692B" w:rsidRPr="003D5466" w14:paraId="0AA70C6C" w14:textId="77777777" w:rsidTr="00F07908">
        <w:trPr>
          <w:jc w:val="center"/>
        </w:trPr>
        <w:tc>
          <w:tcPr>
            <w:tcW w:w="3145" w:type="dxa"/>
          </w:tcPr>
          <w:p w14:paraId="0D13AEE3" w14:textId="77777777" w:rsidR="001C692B" w:rsidRPr="003D5466" w:rsidRDefault="001C692B" w:rsidP="00F07908">
            <w:pPr>
              <w:rPr>
                <w:b/>
                <w:bCs/>
                <w:sz w:val="28"/>
                <w:szCs w:val="28"/>
              </w:rPr>
            </w:pPr>
            <w:r w:rsidRPr="003D5466">
              <w:rPr>
                <w:b/>
                <w:bCs/>
                <w:sz w:val="28"/>
                <w:szCs w:val="28"/>
              </w:rPr>
              <w:t>Student Name</w:t>
            </w:r>
          </w:p>
        </w:tc>
        <w:tc>
          <w:tcPr>
            <w:tcW w:w="6205" w:type="dxa"/>
          </w:tcPr>
          <w:p w14:paraId="4728FE0D" w14:textId="77777777" w:rsidR="001C692B" w:rsidRPr="003D5466" w:rsidRDefault="001C692B" w:rsidP="00F07908">
            <w:pPr>
              <w:rPr>
                <w:b/>
                <w:bCs/>
                <w:sz w:val="28"/>
                <w:szCs w:val="28"/>
              </w:rPr>
            </w:pPr>
            <w:proofErr w:type="spellStart"/>
            <w:r w:rsidRPr="003D5466">
              <w:rPr>
                <w:b/>
                <w:bCs/>
                <w:sz w:val="28"/>
                <w:szCs w:val="28"/>
              </w:rPr>
              <w:t>Kharul</w:t>
            </w:r>
            <w:proofErr w:type="spellEnd"/>
            <w:r w:rsidRPr="003D5466">
              <w:rPr>
                <w:b/>
                <w:bCs/>
                <w:sz w:val="28"/>
                <w:szCs w:val="28"/>
              </w:rPr>
              <w:t xml:space="preserve"> </w:t>
            </w:r>
            <w:proofErr w:type="spellStart"/>
            <w:r w:rsidRPr="003D5466">
              <w:rPr>
                <w:b/>
                <w:bCs/>
                <w:sz w:val="28"/>
                <w:szCs w:val="28"/>
              </w:rPr>
              <w:t>Alam</w:t>
            </w:r>
            <w:proofErr w:type="spellEnd"/>
            <w:r w:rsidRPr="003D5466">
              <w:rPr>
                <w:b/>
                <w:bCs/>
                <w:sz w:val="28"/>
                <w:szCs w:val="28"/>
              </w:rPr>
              <w:t xml:space="preserve"> Riad</w:t>
            </w:r>
          </w:p>
        </w:tc>
      </w:tr>
      <w:tr w:rsidR="001C692B" w:rsidRPr="003D5466" w14:paraId="102F67CA" w14:textId="77777777" w:rsidTr="00F07908">
        <w:trPr>
          <w:jc w:val="center"/>
        </w:trPr>
        <w:tc>
          <w:tcPr>
            <w:tcW w:w="3145" w:type="dxa"/>
          </w:tcPr>
          <w:p w14:paraId="45943A97" w14:textId="77777777" w:rsidR="001C692B" w:rsidRPr="003D5466" w:rsidRDefault="001C692B" w:rsidP="00F07908">
            <w:pPr>
              <w:rPr>
                <w:b/>
                <w:bCs/>
                <w:sz w:val="28"/>
                <w:szCs w:val="28"/>
              </w:rPr>
            </w:pPr>
            <w:r w:rsidRPr="003D5466">
              <w:rPr>
                <w:b/>
                <w:bCs/>
                <w:sz w:val="28"/>
                <w:szCs w:val="28"/>
              </w:rPr>
              <w:t>ID</w:t>
            </w:r>
          </w:p>
        </w:tc>
        <w:tc>
          <w:tcPr>
            <w:tcW w:w="6205" w:type="dxa"/>
          </w:tcPr>
          <w:p w14:paraId="629884E6" w14:textId="77777777" w:rsidR="001C692B" w:rsidRPr="003D5466" w:rsidRDefault="001C692B" w:rsidP="00F07908">
            <w:pPr>
              <w:rPr>
                <w:b/>
                <w:bCs/>
                <w:sz w:val="28"/>
                <w:szCs w:val="28"/>
              </w:rPr>
            </w:pPr>
            <w:r w:rsidRPr="003D5466">
              <w:rPr>
                <w:b/>
                <w:bCs/>
                <w:sz w:val="28"/>
                <w:szCs w:val="28"/>
              </w:rPr>
              <w:t>2438577</w:t>
            </w:r>
          </w:p>
        </w:tc>
      </w:tr>
      <w:tr w:rsidR="001C692B" w:rsidRPr="003D5466" w14:paraId="6D634BA4" w14:textId="77777777" w:rsidTr="00F07908">
        <w:trPr>
          <w:jc w:val="center"/>
        </w:trPr>
        <w:tc>
          <w:tcPr>
            <w:tcW w:w="3145" w:type="dxa"/>
          </w:tcPr>
          <w:p w14:paraId="05AD6A02" w14:textId="77777777" w:rsidR="001C692B" w:rsidRPr="003D5466" w:rsidRDefault="001C692B" w:rsidP="00F07908">
            <w:pPr>
              <w:rPr>
                <w:b/>
                <w:bCs/>
                <w:sz w:val="28"/>
                <w:szCs w:val="28"/>
              </w:rPr>
            </w:pPr>
            <w:r w:rsidRPr="003D5466">
              <w:rPr>
                <w:b/>
                <w:bCs/>
                <w:sz w:val="28"/>
                <w:szCs w:val="28"/>
              </w:rPr>
              <w:t xml:space="preserve">Program </w:t>
            </w:r>
          </w:p>
        </w:tc>
        <w:tc>
          <w:tcPr>
            <w:tcW w:w="6205" w:type="dxa"/>
          </w:tcPr>
          <w:p w14:paraId="68C875FD" w14:textId="77777777" w:rsidR="001C692B" w:rsidRPr="003D5466" w:rsidRDefault="001C692B" w:rsidP="00F07908">
            <w:pPr>
              <w:rPr>
                <w:b/>
                <w:bCs/>
                <w:sz w:val="28"/>
                <w:szCs w:val="28"/>
              </w:rPr>
            </w:pPr>
            <w:r w:rsidRPr="003D5466">
              <w:rPr>
                <w:b/>
                <w:bCs/>
                <w:sz w:val="28"/>
                <w:szCs w:val="28"/>
              </w:rPr>
              <w:t>Master of Business Administration</w:t>
            </w:r>
          </w:p>
        </w:tc>
      </w:tr>
      <w:tr w:rsidR="001C692B" w:rsidRPr="003D5466" w14:paraId="608625BF" w14:textId="77777777" w:rsidTr="00F07908">
        <w:trPr>
          <w:jc w:val="center"/>
        </w:trPr>
        <w:tc>
          <w:tcPr>
            <w:tcW w:w="3145" w:type="dxa"/>
          </w:tcPr>
          <w:p w14:paraId="1559BF87" w14:textId="77777777" w:rsidR="001C692B" w:rsidRPr="003D5466" w:rsidRDefault="001C692B" w:rsidP="00F07908">
            <w:pPr>
              <w:rPr>
                <w:b/>
                <w:bCs/>
                <w:sz w:val="28"/>
                <w:szCs w:val="28"/>
              </w:rPr>
            </w:pPr>
            <w:r w:rsidRPr="003D5466">
              <w:rPr>
                <w:b/>
                <w:bCs/>
                <w:sz w:val="28"/>
                <w:szCs w:val="28"/>
              </w:rPr>
              <w:t>Module Code</w:t>
            </w:r>
          </w:p>
        </w:tc>
        <w:tc>
          <w:tcPr>
            <w:tcW w:w="6205" w:type="dxa"/>
          </w:tcPr>
          <w:p w14:paraId="2F1555B7" w14:textId="7B811DAA" w:rsidR="001C692B" w:rsidRPr="003D5466" w:rsidRDefault="00CE12B9" w:rsidP="00F07908">
            <w:pPr>
              <w:rPr>
                <w:b/>
                <w:bCs/>
                <w:sz w:val="28"/>
                <w:szCs w:val="28"/>
              </w:rPr>
            </w:pPr>
            <w:r w:rsidRPr="00CE12B9">
              <w:rPr>
                <w:b/>
                <w:bCs/>
                <w:sz w:val="28"/>
                <w:szCs w:val="28"/>
                <w:lang w:val="en-GB"/>
              </w:rPr>
              <w:t>LCMB7002</w:t>
            </w:r>
          </w:p>
        </w:tc>
      </w:tr>
      <w:tr w:rsidR="001C692B" w:rsidRPr="003D5466" w14:paraId="02D77BF3" w14:textId="77777777" w:rsidTr="00F07908">
        <w:trPr>
          <w:jc w:val="center"/>
        </w:trPr>
        <w:tc>
          <w:tcPr>
            <w:tcW w:w="3145" w:type="dxa"/>
          </w:tcPr>
          <w:p w14:paraId="1562E92E" w14:textId="77777777" w:rsidR="001C692B" w:rsidRPr="003D5466" w:rsidRDefault="001C692B" w:rsidP="00F07908">
            <w:pPr>
              <w:rPr>
                <w:b/>
                <w:bCs/>
                <w:sz w:val="28"/>
                <w:szCs w:val="28"/>
              </w:rPr>
            </w:pPr>
            <w:r w:rsidRPr="003D5466">
              <w:rPr>
                <w:b/>
                <w:bCs/>
                <w:sz w:val="28"/>
                <w:szCs w:val="28"/>
              </w:rPr>
              <w:t>Module</w:t>
            </w:r>
          </w:p>
        </w:tc>
        <w:tc>
          <w:tcPr>
            <w:tcW w:w="6205" w:type="dxa"/>
          </w:tcPr>
          <w:p w14:paraId="0E98468E" w14:textId="65B427DB" w:rsidR="001C692B" w:rsidRPr="00CE3918" w:rsidRDefault="00CE12B9" w:rsidP="00F07908">
            <w:pPr>
              <w:rPr>
                <w:b/>
                <w:bCs/>
                <w:sz w:val="28"/>
                <w:szCs w:val="28"/>
              </w:rPr>
            </w:pPr>
            <w:r w:rsidRPr="00CE12B9">
              <w:rPr>
                <w:b/>
                <w:bCs/>
                <w:sz w:val="28"/>
                <w:szCs w:val="28"/>
                <w:lang w:val="en-GB"/>
              </w:rPr>
              <w:t>Financial Management</w:t>
            </w:r>
          </w:p>
        </w:tc>
      </w:tr>
      <w:tr w:rsidR="001C692B" w:rsidRPr="003D5466" w14:paraId="45C5D303" w14:textId="77777777" w:rsidTr="00F07908">
        <w:trPr>
          <w:jc w:val="center"/>
        </w:trPr>
        <w:tc>
          <w:tcPr>
            <w:tcW w:w="3145" w:type="dxa"/>
          </w:tcPr>
          <w:p w14:paraId="1FBABBE6" w14:textId="77777777" w:rsidR="001C692B" w:rsidRPr="003D5466" w:rsidRDefault="001C692B" w:rsidP="00F07908">
            <w:pPr>
              <w:rPr>
                <w:b/>
                <w:bCs/>
                <w:sz w:val="28"/>
                <w:szCs w:val="28"/>
              </w:rPr>
            </w:pPr>
            <w:r w:rsidRPr="003D5466">
              <w:rPr>
                <w:b/>
                <w:bCs/>
                <w:sz w:val="28"/>
                <w:szCs w:val="28"/>
              </w:rPr>
              <w:t>Assignment Title</w:t>
            </w:r>
          </w:p>
        </w:tc>
        <w:tc>
          <w:tcPr>
            <w:tcW w:w="6205" w:type="dxa"/>
          </w:tcPr>
          <w:p w14:paraId="59C716E2" w14:textId="748A7A7F" w:rsidR="001C692B" w:rsidRPr="003D5466" w:rsidRDefault="00CE12B9" w:rsidP="00F07908">
            <w:pPr>
              <w:rPr>
                <w:b/>
                <w:bCs/>
                <w:sz w:val="28"/>
                <w:szCs w:val="28"/>
              </w:rPr>
            </w:pPr>
            <w:r w:rsidRPr="00CE12B9">
              <w:rPr>
                <w:b/>
                <w:bCs/>
                <w:sz w:val="28"/>
                <w:szCs w:val="28"/>
                <w:lang w:val="en-GB"/>
              </w:rPr>
              <w:t>Financial performance and management</w:t>
            </w:r>
          </w:p>
        </w:tc>
      </w:tr>
      <w:tr w:rsidR="001C692B" w:rsidRPr="003D5466" w14:paraId="6A7A9FFA" w14:textId="77777777" w:rsidTr="00F07908">
        <w:trPr>
          <w:jc w:val="center"/>
        </w:trPr>
        <w:tc>
          <w:tcPr>
            <w:tcW w:w="3145" w:type="dxa"/>
          </w:tcPr>
          <w:p w14:paraId="513CFE0B" w14:textId="77777777" w:rsidR="001C692B" w:rsidRPr="003D5466" w:rsidRDefault="001C692B" w:rsidP="00F07908">
            <w:pPr>
              <w:rPr>
                <w:b/>
                <w:bCs/>
                <w:sz w:val="28"/>
                <w:szCs w:val="28"/>
              </w:rPr>
            </w:pPr>
            <w:r w:rsidRPr="003D5466">
              <w:rPr>
                <w:b/>
                <w:bCs/>
                <w:sz w:val="28"/>
                <w:szCs w:val="28"/>
              </w:rPr>
              <w:t>Lecturer Name</w:t>
            </w:r>
          </w:p>
        </w:tc>
        <w:tc>
          <w:tcPr>
            <w:tcW w:w="6205" w:type="dxa"/>
          </w:tcPr>
          <w:p w14:paraId="2BEAD1AD" w14:textId="363184CA" w:rsidR="001C692B" w:rsidRPr="003D5466" w:rsidRDefault="00CE12B9" w:rsidP="00F07908">
            <w:pPr>
              <w:rPr>
                <w:b/>
                <w:bCs/>
                <w:sz w:val="28"/>
                <w:szCs w:val="28"/>
              </w:rPr>
            </w:pPr>
            <w:r w:rsidRPr="00CE12B9">
              <w:rPr>
                <w:b/>
                <w:bCs/>
                <w:sz w:val="28"/>
                <w:szCs w:val="28"/>
                <w:lang w:val="en-GB"/>
              </w:rPr>
              <w:t>Patrick Yeboah (Birmingham)</w:t>
            </w:r>
          </w:p>
        </w:tc>
      </w:tr>
    </w:tbl>
    <w:p w14:paraId="074E7135" w14:textId="77777777" w:rsidR="00586A59" w:rsidRPr="00064CB9" w:rsidRDefault="00586A59">
      <w:pPr>
        <w:rPr>
          <w:rFonts w:eastAsiaTheme="majorEastAsia" w:cstheme="majorBidi"/>
          <w:b/>
          <w:color w:val="000000" w:themeColor="text1"/>
          <w:sz w:val="32"/>
          <w:szCs w:val="32"/>
        </w:rPr>
      </w:pPr>
      <w:r w:rsidRPr="00064CB9">
        <w:br w:type="page"/>
      </w:r>
    </w:p>
    <w:sdt>
      <w:sdtPr>
        <w:rPr>
          <w:rFonts w:ascii="Times New Roman" w:eastAsiaTheme="minorHAnsi" w:hAnsi="Times New Roman" w:cs="Times New Roman"/>
          <w:b/>
          <w:bCs/>
          <w:color w:val="auto"/>
          <w:sz w:val="24"/>
          <w:szCs w:val="22"/>
          <w:lang w:val="en-GB"/>
        </w:rPr>
        <w:id w:val="-653295206"/>
        <w:docPartObj>
          <w:docPartGallery w:val="Table of Contents"/>
          <w:docPartUnique/>
        </w:docPartObj>
      </w:sdtPr>
      <w:sdtEndPr>
        <w:rPr>
          <w:rFonts w:cstheme="minorBidi"/>
          <w:noProof/>
        </w:rPr>
      </w:sdtEndPr>
      <w:sdtContent>
        <w:p w14:paraId="610B5F64" w14:textId="2ECFE7CC" w:rsidR="00DE57A2" w:rsidRPr="00290BE3" w:rsidRDefault="00DE57A2">
          <w:pPr>
            <w:pStyle w:val="TOCHeading"/>
            <w:rPr>
              <w:rFonts w:ascii="Times New Roman" w:hAnsi="Times New Roman" w:cs="Times New Roman"/>
              <w:b/>
              <w:bCs/>
              <w:color w:val="auto"/>
              <w:lang w:val="en-GB"/>
            </w:rPr>
          </w:pPr>
          <w:r w:rsidRPr="00290BE3">
            <w:rPr>
              <w:rFonts w:ascii="Times New Roman" w:hAnsi="Times New Roman" w:cs="Times New Roman"/>
              <w:b/>
              <w:bCs/>
              <w:color w:val="auto"/>
              <w:lang w:val="en-GB"/>
            </w:rPr>
            <w:t>Table of Contents</w:t>
          </w:r>
        </w:p>
        <w:p w14:paraId="13B8B2BE" w14:textId="4C8F662F" w:rsidR="00290BE3" w:rsidRDefault="00DE57A2">
          <w:pPr>
            <w:pStyle w:val="TOC1"/>
            <w:tabs>
              <w:tab w:val="right" w:leader="dot" w:pos="9016"/>
            </w:tabs>
            <w:rPr>
              <w:rFonts w:asciiTheme="minorHAnsi" w:eastAsiaTheme="minorEastAsia" w:hAnsiTheme="minorHAnsi"/>
              <w:noProof/>
              <w:sz w:val="22"/>
              <w:lang w:val="en-US"/>
            </w:rPr>
          </w:pPr>
          <w:r w:rsidRPr="00064CB9">
            <w:fldChar w:fldCharType="begin"/>
          </w:r>
          <w:r w:rsidRPr="00064CB9">
            <w:instrText xml:space="preserve"> TOC \o "1-3" \h \z \u </w:instrText>
          </w:r>
          <w:r w:rsidRPr="00064CB9">
            <w:fldChar w:fldCharType="separate"/>
          </w:r>
          <w:hyperlink w:anchor="_Toc211978695" w:history="1">
            <w:r w:rsidR="00290BE3" w:rsidRPr="000A5202">
              <w:rPr>
                <w:rStyle w:val="Hyperlink"/>
                <w:noProof/>
              </w:rPr>
              <w:t>Executive summary</w:t>
            </w:r>
            <w:r w:rsidR="00290BE3">
              <w:rPr>
                <w:noProof/>
                <w:webHidden/>
              </w:rPr>
              <w:tab/>
            </w:r>
            <w:r w:rsidR="00290BE3">
              <w:rPr>
                <w:noProof/>
                <w:webHidden/>
              </w:rPr>
              <w:fldChar w:fldCharType="begin"/>
            </w:r>
            <w:r w:rsidR="00290BE3">
              <w:rPr>
                <w:noProof/>
                <w:webHidden/>
              </w:rPr>
              <w:instrText xml:space="preserve"> PAGEREF _Toc211978695 \h </w:instrText>
            </w:r>
            <w:r w:rsidR="00290BE3">
              <w:rPr>
                <w:noProof/>
                <w:webHidden/>
              </w:rPr>
            </w:r>
            <w:r w:rsidR="00290BE3">
              <w:rPr>
                <w:noProof/>
                <w:webHidden/>
              </w:rPr>
              <w:fldChar w:fldCharType="separate"/>
            </w:r>
            <w:r w:rsidR="00290BE3">
              <w:rPr>
                <w:noProof/>
                <w:webHidden/>
              </w:rPr>
              <w:t>4</w:t>
            </w:r>
            <w:r w:rsidR="00290BE3">
              <w:rPr>
                <w:noProof/>
                <w:webHidden/>
              </w:rPr>
              <w:fldChar w:fldCharType="end"/>
            </w:r>
          </w:hyperlink>
        </w:p>
        <w:p w14:paraId="2FADEC14" w14:textId="09011748" w:rsidR="00290BE3" w:rsidRDefault="00290BE3">
          <w:pPr>
            <w:pStyle w:val="TOC1"/>
            <w:tabs>
              <w:tab w:val="right" w:leader="dot" w:pos="9016"/>
            </w:tabs>
            <w:rPr>
              <w:rFonts w:asciiTheme="minorHAnsi" w:eastAsiaTheme="minorEastAsia" w:hAnsiTheme="minorHAnsi"/>
              <w:noProof/>
              <w:sz w:val="22"/>
              <w:lang w:val="en-US"/>
            </w:rPr>
          </w:pPr>
          <w:hyperlink w:anchor="_Toc211978696" w:history="1">
            <w:r w:rsidRPr="000A5202">
              <w:rPr>
                <w:rStyle w:val="Hyperlink"/>
                <w:noProof/>
              </w:rPr>
              <w:t>Introduction</w:t>
            </w:r>
            <w:r>
              <w:rPr>
                <w:noProof/>
                <w:webHidden/>
              </w:rPr>
              <w:tab/>
            </w:r>
            <w:r>
              <w:rPr>
                <w:noProof/>
                <w:webHidden/>
              </w:rPr>
              <w:fldChar w:fldCharType="begin"/>
            </w:r>
            <w:r>
              <w:rPr>
                <w:noProof/>
                <w:webHidden/>
              </w:rPr>
              <w:instrText xml:space="preserve"> PAGEREF _Toc211978696 \h </w:instrText>
            </w:r>
            <w:r>
              <w:rPr>
                <w:noProof/>
                <w:webHidden/>
              </w:rPr>
            </w:r>
            <w:r>
              <w:rPr>
                <w:noProof/>
                <w:webHidden/>
              </w:rPr>
              <w:fldChar w:fldCharType="separate"/>
            </w:r>
            <w:r>
              <w:rPr>
                <w:noProof/>
                <w:webHidden/>
              </w:rPr>
              <w:t>5</w:t>
            </w:r>
            <w:r>
              <w:rPr>
                <w:noProof/>
                <w:webHidden/>
              </w:rPr>
              <w:fldChar w:fldCharType="end"/>
            </w:r>
          </w:hyperlink>
        </w:p>
        <w:p w14:paraId="3E4698ED" w14:textId="79FE23A5" w:rsidR="00290BE3" w:rsidRDefault="00290BE3">
          <w:pPr>
            <w:pStyle w:val="TOC1"/>
            <w:tabs>
              <w:tab w:val="right" w:leader="dot" w:pos="9016"/>
            </w:tabs>
            <w:rPr>
              <w:rFonts w:asciiTheme="minorHAnsi" w:eastAsiaTheme="minorEastAsia" w:hAnsiTheme="minorHAnsi"/>
              <w:noProof/>
              <w:sz w:val="22"/>
              <w:lang w:val="en-US"/>
            </w:rPr>
          </w:pPr>
          <w:hyperlink w:anchor="_Toc211978697" w:history="1">
            <w:r w:rsidRPr="000A5202">
              <w:rPr>
                <w:rStyle w:val="Hyperlink"/>
                <w:noProof/>
              </w:rPr>
              <w:t>Financial Health Check</w:t>
            </w:r>
            <w:r>
              <w:rPr>
                <w:noProof/>
                <w:webHidden/>
              </w:rPr>
              <w:tab/>
            </w:r>
            <w:r>
              <w:rPr>
                <w:noProof/>
                <w:webHidden/>
              </w:rPr>
              <w:fldChar w:fldCharType="begin"/>
            </w:r>
            <w:r>
              <w:rPr>
                <w:noProof/>
                <w:webHidden/>
              </w:rPr>
              <w:instrText xml:space="preserve"> PAGEREF _Toc211978697 \h </w:instrText>
            </w:r>
            <w:r>
              <w:rPr>
                <w:noProof/>
                <w:webHidden/>
              </w:rPr>
            </w:r>
            <w:r>
              <w:rPr>
                <w:noProof/>
                <w:webHidden/>
              </w:rPr>
              <w:fldChar w:fldCharType="separate"/>
            </w:r>
            <w:r>
              <w:rPr>
                <w:noProof/>
                <w:webHidden/>
              </w:rPr>
              <w:t>5</w:t>
            </w:r>
            <w:r>
              <w:rPr>
                <w:noProof/>
                <w:webHidden/>
              </w:rPr>
              <w:fldChar w:fldCharType="end"/>
            </w:r>
          </w:hyperlink>
        </w:p>
        <w:p w14:paraId="356597E3" w14:textId="1C69A38C" w:rsidR="00290BE3" w:rsidRDefault="00290BE3">
          <w:pPr>
            <w:pStyle w:val="TOC2"/>
            <w:tabs>
              <w:tab w:val="right" w:leader="dot" w:pos="9016"/>
            </w:tabs>
            <w:rPr>
              <w:rFonts w:asciiTheme="minorHAnsi" w:eastAsiaTheme="minorEastAsia" w:hAnsiTheme="minorHAnsi"/>
              <w:noProof/>
              <w:sz w:val="22"/>
              <w:lang w:val="en-US"/>
            </w:rPr>
          </w:pPr>
          <w:hyperlink w:anchor="_Toc211978698" w:history="1">
            <w:r w:rsidRPr="000A5202">
              <w:rPr>
                <w:rStyle w:val="Hyperlink"/>
                <w:noProof/>
              </w:rPr>
              <w:t>Profitability</w:t>
            </w:r>
            <w:r>
              <w:rPr>
                <w:noProof/>
                <w:webHidden/>
              </w:rPr>
              <w:tab/>
            </w:r>
            <w:r>
              <w:rPr>
                <w:noProof/>
                <w:webHidden/>
              </w:rPr>
              <w:fldChar w:fldCharType="begin"/>
            </w:r>
            <w:r>
              <w:rPr>
                <w:noProof/>
                <w:webHidden/>
              </w:rPr>
              <w:instrText xml:space="preserve"> PAGEREF _Toc211978698 \h </w:instrText>
            </w:r>
            <w:r>
              <w:rPr>
                <w:noProof/>
                <w:webHidden/>
              </w:rPr>
            </w:r>
            <w:r>
              <w:rPr>
                <w:noProof/>
                <w:webHidden/>
              </w:rPr>
              <w:fldChar w:fldCharType="separate"/>
            </w:r>
            <w:r>
              <w:rPr>
                <w:noProof/>
                <w:webHidden/>
              </w:rPr>
              <w:t>5</w:t>
            </w:r>
            <w:r>
              <w:rPr>
                <w:noProof/>
                <w:webHidden/>
              </w:rPr>
              <w:fldChar w:fldCharType="end"/>
            </w:r>
          </w:hyperlink>
        </w:p>
        <w:p w14:paraId="1580A680" w14:textId="7948D75F" w:rsidR="00290BE3" w:rsidRDefault="00290BE3">
          <w:pPr>
            <w:pStyle w:val="TOC2"/>
            <w:tabs>
              <w:tab w:val="right" w:leader="dot" w:pos="9016"/>
            </w:tabs>
            <w:rPr>
              <w:rFonts w:asciiTheme="minorHAnsi" w:eastAsiaTheme="minorEastAsia" w:hAnsiTheme="minorHAnsi"/>
              <w:noProof/>
              <w:sz w:val="22"/>
              <w:lang w:val="en-US"/>
            </w:rPr>
          </w:pPr>
          <w:hyperlink w:anchor="_Toc211978699" w:history="1">
            <w:r w:rsidRPr="000A5202">
              <w:rPr>
                <w:rStyle w:val="Hyperlink"/>
                <w:noProof/>
              </w:rPr>
              <w:t>Liquidity</w:t>
            </w:r>
            <w:r>
              <w:rPr>
                <w:noProof/>
                <w:webHidden/>
              </w:rPr>
              <w:tab/>
            </w:r>
            <w:r>
              <w:rPr>
                <w:noProof/>
                <w:webHidden/>
              </w:rPr>
              <w:fldChar w:fldCharType="begin"/>
            </w:r>
            <w:r>
              <w:rPr>
                <w:noProof/>
                <w:webHidden/>
              </w:rPr>
              <w:instrText xml:space="preserve"> PAGEREF _Toc211978699 \h </w:instrText>
            </w:r>
            <w:r>
              <w:rPr>
                <w:noProof/>
                <w:webHidden/>
              </w:rPr>
            </w:r>
            <w:r>
              <w:rPr>
                <w:noProof/>
                <w:webHidden/>
              </w:rPr>
              <w:fldChar w:fldCharType="separate"/>
            </w:r>
            <w:r>
              <w:rPr>
                <w:noProof/>
                <w:webHidden/>
              </w:rPr>
              <w:t>6</w:t>
            </w:r>
            <w:r>
              <w:rPr>
                <w:noProof/>
                <w:webHidden/>
              </w:rPr>
              <w:fldChar w:fldCharType="end"/>
            </w:r>
          </w:hyperlink>
        </w:p>
        <w:p w14:paraId="03803779" w14:textId="12DECBBD" w:rsidR="00290BE3" w:rsidRDefault="00290BE3">
          <w:pPr>
            <w:pStyle w:val="TOC2"/>
            <w:tabs>
              <w:tab w:val="right" w:leader="dot" w:pos="9016"/>
            </w:tabs>
            <w:rPr>
              <w:rFonts w:asciiTheme="minorHAnsi" w:eastAsiaTheme="minorEastAsia" w:hAnsiTheme="minorHAnsi"/>
              <w:noProof/>
              <w:sz w:val="22"/>
              <w:lang w:val="en-US"/>
            </w:rPr>
          </w:pPr>
          <w:hyperlink w:anchor="_Toc211978700" w:history="1">
            <w:r w:rsidRPr="000A5202">
              <w:rPr>
                <w:rStyle w:val="Hyperlink"/>
                <w:noProof/>
              </w:rPr>
              <w:t>Efficiency</w:t>
            </w:r>
            <w:r>
              <w:rPr>
                <w:noProof/>
                <w:webHidden/>
              </w:rPr>
              <w:tab/>
            </w:r>
            <w:r>
              <w:rPr>
                <w:noProof/>
                <w:webHidden/>
              </w:rPr>
              <w:fldChar w:fldCharType="begin"/>
            </w:r>
            <w:r>
              <w:rPr>
                <w:noProof/>
                <w:webHidden/>
              </w:rPr>
              <w:instrText xml:space="preserve"> PAGEREF _Toc211978700 \h </w:instrText>
            </w:r>
            <w:r>
              <w:rPr>
                <w:noProof/>
                <w:webHidden/>
              </w:rPr>
            </w:r>
            <w:r>
              <w:rPr>
                <w:noProof/>
                <w:webHidden/>
              </w:rPr>
              <w:fldChar w:fldCharType="separate"/>
            </w:r>
            <w:r>
              <w:rPr>
                <w:noProof/>
                <w:webHidden/>
              </w:rPr>
              <w:t>6</w:t>
            </w:r>
            <w:r>
              <w:rPr>
                <w:noProof/>
                <w:webHidden/>
              </w:rPr>
              <w:fldChar w:fldCharType="end"/>
            </w:r>
          </w:hyperlink>
        </w:p>
        <w:p w14:paraId="68DCCE8F" w14:textId="3D433148" w:rsidR="00290BE3" w:rsidRDefault="00290BE3">
          <w:pPr>
            <w:pStyle w:val="TOC2"/>
            <w:tabs>
              <w:tab w:val="right" w:leader="dot" w:pos="9016"/>
            </w:tabs>
            <w:rPr>
              <w:rFonts w:asciiTheme="minorHAnsi" w:eastAsiaTheme="minorEastAsia" w:hAnsiTheme="minorHAnsi"/>
              <w:noProof/>
              <w:sz w:val="22"/>
              <w:lang w:val="en-US"/>
            </w:rPr>
          </w:pPr>
          <w:hyperlink w:anchor="_Toc211978701" w:history="1">
            <w:r w:rsidRPr="000A5202">
              <w:rPr>
                <w:rStyle w:val="Hyperlink"/>
                <w:noProof/>
              </w:rPr>
              <w:t>Gearing and coverage</w:t>
            </w:r>
            <w:r>
              <w:rPr>
                <w:noProof/>
                <w:webHidden/>
              </w:rPr>
              <w:tab/>
            </w:r>
            <w:r>
              <w:rPr>
                <w:noProof/>
                <w:webHidden/>
              </w:rPr>
              <w:fldChar w:fldCharType="begin"/>
            </w:r>
            <w:r>
              <w:rPr>
                <w:noProof/>
                <w:webHidden/>
              </w:rPr>
              <w:instrText xml:space="preserve"> PAGEREF _Toc211978701 \h </w:instrText>
            </w:r>
            <w:r>
              <w:rPr>
                <w:noProof/>
                <w:webHidden/>
              </w:rPr>
            </w:r>
            <w:r>
              <w:rPr>
                <w:noProof/>
                <w:webHidden/>
              </w:rPr>
              <w:fldChar w:fldCharType="separate"/>
            </w:r>
            <w:r>
              <w:rPr>
                <w:noProof/>
                <w:webHidden/>
              </w:rPr>
              <w:t>7</w:t>
            </w:r>
            <w:r>
              <w:rPr>
                <w:noProof/>
                <w:webHidden/>
              </w:rPr>
              <w:fldChar w:fldCharType="end"/>
            </w:r>
          </w:hyperlink>
        </w:p>
        <w:p w14:paraId="79ED273A" w14:textId="13BBAD01" w:rsidR="00290BE3" w:rsidRDefault="00290BE3">
          <w:pPr>
            <w:pStyle w:val="TOC2"/>
            <w:tabs>
              <w:tab w:val="right" w:leader="dot" w:pos="9016"/>
            </w:tabs>
            <w:rPr>
              <w:rFonts w:asciiTheme="minorHAnsi" w:eastAsiaTheme="minorEastAsia" w:hAnsiTheme="minorHAnsi"/>
              <w:noProof/>
              <w:sz w:val="22"/>
              <w:lang w:val="en-US"/>
            </w:rPr>
          </w:pPr>
          <w:hyperlink w:anchor="_Toc211978702" w:history="1">
            <w:r w:rsidRPr="000A5202">
              <w:rPr>
                <w:rStyle w:val="Hyperlink"/>
                <w:noProof/>
              </w:rPr>
              <w:t>Cash flow quality</w:t>
            </w:r>
            <w:r>
              <w:rPr>
                <w:noProof/>
                <w:webHidden/>
              </w:rPr>
              <w:tab/>
            </w:r>
            <w:r>
              <w:rPr>
                <w:noProof/>
                <w:webHidden/>
              </w:rPr>
              <w:fldChar w:fldCharType="begin"/>
            </w:r>
            <w:r>
              <w:rPr>
                <w:noProof/>
                <w:webHidden/>
              </w:rPr>
              <w:instrText xml:space="preserve"> PAGEREF _Toc211978702 \h </w:instrText>
            </w:r>
            <w:r>
              <w:rPr>
                <w:noProof/>
                <w:webHidden/>
              </w:rPr>
            </w:r>
            <w:r>
              <w:rPr>
                <w:noProof/>
                <w:webHidden/>
              </w:rPr>
              <w:fldChar w:fldCharType="separate"/>
            </w:r>
            <w:r>
              <w:rPr>
                <w:noProof/>
                <w:webHidden/>
              </w:rPr>
              <w:t>8</w:t>
            </w:r>
            <w:r>
              <w:rPr>
                <w:noProof/>
                <w:webHidden/>
              </w:rPr>
              <w:fldChar w:fldCharType="end"/>
            </w:r>
          </w:hyperlink>
        </w:p>
        <w:p w14:paraId="1A06CFC3" w14:textId="70CA956B" w:rsidR="00290BE3" w:rsidRDefault="00290BE3">
          <w:pPr>
            <w:pStyle w:val="TOC2"/>
            <w:tabs>
              <w:tab w:val="right" w:leader="dot" w:pos="9016"/>
            </w:tabs>
            <w:rPr>
              <w:rFonts w:asciiTheme="minorHAnsi" w:eastAsiaTheme="minorEastAsia" w:hAnsiTheme="minorHAnsi"/>
              <w:noProof/>
              <w:sz w:val="22"/>
              <w:lang w:val="en-US"/>
            </w:rPr>
          </w:pPr>
          <w:hyperlink w:anchor="_Toc211978703" w:history="1">
            <w:r w:rsidRPr="000A5202">
              <w:rPr>
                <w:rStyle w:val="Hyperlink"/>
                <w:noProof/>
              </w:rPr>
              <w:t>Default risk: Altman Z-Score</w:t>
            </w:r>
            <w:r>
              <w:rPr>
                <w:noProof/>
                <w:webHidden/>
              </w:rPr>
              <w:tab/>
            </w:r>
            <w:r>
              <w:rPr>
                <w:noProof/>
                <w:webHidden/>
              </w:rPr>
              <w:fldChar w:fldCharType="begin"/>
            </w:r>
            <w:r>
              <w:rPr>
                <w:noProof/>
                <w:webHidden/>
              </w:rPr>
              <w:instrText xml:space="preserve"> PAGEREF _Toc211978703 \h </w:instrText>
            </w:r>
            <w:r>
              <w:rPr>
                <w:noProof/>
                <w:webHidden/>
              </w:rPr>
            </w:r>
            <w:r>
              <w:rPr>
                <w:noProof/>
                <w:webHidden/>
              </w:rPr>
              <w:fldChar w:fldCharType="separate"/>
            </w:r>
            <w:r>
              <w:rPr>
                <w:noProof/>
                <w:webHidden/>
              </w:rPr>
              <w:t>8</w:t>
            </w:r>
            <w:r>
              <w:rPr>
                <w:noProof/>
                <w:webHidden/>
              </w:rPr>
              <w:fldChar w:fldCharType="end"/>
            </w:r>
          </w:hyperlink>
        </w:p>
        <w:p w14:paraId="125D30B4" w14:textId="0913ED33" w:rsidR="00290BE3" w:rsidRDefault="00290BE3">
          <w:pPr>
            <w:pStyle w:val="TOC2"/>
            <w:tabs>
              <w:tab w:val="right" w:leader="dot" w:pos="9016"/>
            </w:tabs>
            <w:rPr>
              <w:rFonts w:asciiTheme="minorHAnsi" w:eastAsiaTheme="minorEastAsia" w:hAnsiTheme="minorHAnsi"/>
              <w:noProof/>
              <w:sz w:val="22"/>
              <w:lang w:val="en-US"/>
            </w:rPr>
          </w:pPr>
          <w:hyperlink w:anchor="_Toc211978704" w:history="1">
            <w:r w:rsidRPr="000A5202">
              <w:rPr>
                <w:rStyle w:val="Hyperlink"/>
                <w:noProof/>
              </w:rPr>
              <w:t>Trends, strengths, threats</w:t>
            </w:r>
            <w:r>
              <w:rPr>
                <w:noProof/>
                <w:webHidden/>
              </w:rPr>
              <w:tab/>
            </w:r>
            <w:r>
              <w:rPr>
                <w:noProof/>
                <w:webHidden/>
              </w:rPr>
              <w:fldChar w:fldCharType="begin"/>
            </w:r>
            <w:r>
              <w:rPr>
                <w:noProof/>
                <w:webHidden/>
              </w:rPr>
              <w:instrText xml:space="preserve"> PAGEREF _Toc211978704 \h </w:instrText>
            </w:r>
            <w:r>
              <w:rPr>
                <w:noProof/>
                <w:webHidden/>
              </w:rPr>
            </w:r>
            <w:r>
              <w:rPr>
                <w:noProof/>
                <w:webHidden/>
              </w:rPr>
              <w:fldChar w:fldCharType="separate"/>
            </w:r>
            <w:r>
              <w:rPr>
                <w:noProof/>
                <w:webHidden/>
              </w:rPr>
              <w:t>9</w:t>
            </w:r>
            <w:r>
              <w:rPr>
                <w:noProof/>
                <w:webHidden/>
              </w:rPr>
              <w:fldChar w:fldCharType="end"/>
            </w:r>
          </w:hyperlink>
        </w:p>
        <w:p w14:paraId="1C221A19" w14:textId="7A5F8917" w:rsidR="00290BE3" w:rsidRDefault="00290BE3">
          <w:pPr>
            <w:pStyle w:val="TOC1"/>
            <w:tabs>
              <w:tab w:val="right" w:leader="dot" w:pos="9016"/>
            </w:tabs>
            <w:rPr>
              <w:rFonts w:asciiTheme="minorHAnsi" w:eastAsiaTheme="minorEastAsia" w:hAnsiTheme="minorHAnsi"/>
              <w:noProof/>
              <w:sz w:val="22"/>
              <w:lang w:val="en-US"/>
            </w:rPr>
          </w:pPr>
          <w:hyperlink w:anchor="_Toc211978705" w:history="1">
            <w:r w:rsidRPr="000A5202">
              <w:rPr>
                <w:rStyle w:val="Hyperlink"/>
                <w:noProof/>
              </w:rPr>
              <w:t>Implications</w:t>
            </w:r>
            <w:r>
              <w:rPr>
                <w:noProof/>
                <w:webHidden/>
              </w:rPr>
              <w:tab/>
            </w:r>
            <w:r>
              <w:rPr>
                <w:noProof/>
                <w:webHidden/>
              </w:rPr>
              <w:fldChar w:fldCharType="begin"/>
            </w:r>
            <w:r>
              <w:rPr>
                <w:noProof/>
                <w:webHidden/>
              </w:rPr>
              <w:instrText xml:space="preserve"> PAGEREF _Toc211978705 \h </w:instrText>
            </w:r>
            <w:r>
              <w:rPr>
                <w:noProof/>
                <w:webHidden/>
              </w:rPr>
            </w:r>
            <w:r>
              <w:rPr>
                <w:noProof/>
                <w:webHidden/>
              </w:rPr>
              <w:fldChar w:fldCharType="separate"/>
            </w:r>
            <w:r>
              <w:rPr>
                <w:noProof/>
                <w:webHidden/>
              </w:rPr>
              <w:t>10</w:t>
            </w:r>
            <w:r>
              <w:rPr>
                <w:noProof/>
                <w:webHidden/>
              </w:rPr>
              <w:fldChar w:fldCharType="end"/>
            </w:r>
          </w:hyperlink>
        </w:p>
        <w:p w14:paraId="634FE71A" w14:textId="2848F4FF" w:rsidR="00290BE3" w:rsidRDefault="00290BE3">
          <w:pPr>
            <w:pStyle w:val="TOC1"/>
            <w:tabs>
              <w:tab w:val="right" w:leader="dot" w:pos="9016"/>
            </w:tabs>
            <w:rPr>
              <w:rFonts w:asciiTheme="minorHAnsi" w:eastAsiaTheme="minorEastAsia" w:hAnsiTheme="minorHAnsi"/>
              <w:noProof/>
              <w:sz w:val="22"/>
              <w:lang w:val="en-US"/>
            </w:rPr>
          </w:pPr>
          <w:hyperlink w:anchor="_Toc211978706" w:history="1">
            <w:r w:rsidRPr="000A5202">
              <w:rPr>
                <w:rStyle w:val="Hyperlink"/>
                <w:noProof/>
              </w:rPr>
              <w:t>Working Capital Management Analysis</w:t>
            </w:r>
            <w:r>
              <w:rPr>
                <w:noProof/>
                <w:webHidden/>
              </w:rPr>
              <w:tab/>
            </w:r>
            <w:r>
              <w:rPr>
                <w:noProof/>
                <w:webHidden/>
              </w:rPr>
              <w:fldChar w:fldCharType="begin"/>
            </w:r>
            <w:r>
              <w:rPr>
                <w:noProof/>
                <w:webHidden/>
              </w:rPr>
              <w:instrText xml:space="preserve"> PAGEREF _Toc211978706 \h </w:instrText>
            </w:r>
            <w:r>
              <w:rPr>
                <w:noProof/>
                <w:webHidden/>
              </w:rPr>
            </w:r>
            <w:r>
              <w:rPr>
                <w:noProof/>
                <w:webHidden/>
              </w:rPr>
              <w:fldChar w:fldCharType="separate"/>
            </w:r>
            <w:r>
              <w:rPr>
                <w:noProof/>
                <w:webHidden/>
              </w:rPr>
              <w:t>11</w:t>
            </w:r>
            <w:r>
              <w:rPr>
                <w:noProof/>
                <w:webHidden/>
              </w:rPr>
              <w:fldChar w:fldCharType="end"/>
            </w:r>
          </w:hyperlink>
        </w:p>
        <w:p w14:paraId="0B61CF3A" w14:textId="15775A97" w:rsidR="00290BE3" w:rsidRDefault="00290BE3">
          <w:pPr>
            <w:pStyle w:val="TOC1"/>
            <w:tabs>
              <w:tab w:val="right" w:leader="dot" w:pos="9016"/>
            </w:tabs>
            <w:rPr>
              <w:rFonts w:asciiTheme="minorHAnsi" w:eastAsiaTheme="minorEastAsia" w:hAnsiTheme="minorHAnsi"/>
              <w:noProof/>
              <w:sz w:val="22"/>
              <w:lang w:val="en-US"/>
            </w:rPr>
          </w:pPr>
          <w:hyperlink w:anchor="_Toc211978707" w:history="1">
            <w:r w:rsidRPr="000A5202">
              <w:rPr>
                <w:rStyle w:val="Hyperlink"/>
                <w:noProof/>
              </w:rPr>
              <w:t>Cash operating cycle assessment</w:t>
            </w:r>
            <w:r>
              <w:rPr>
                <w:noProof/>
                <w:webHidden/>
              </w:rPr>
              <w:tab/>
            </w:r>
            <w:r>
              <w:rPr>
                <w:noProof/>
                <w:webHidden/>
              </w:rPr>
              <w:fldChar w:fldCharType="begin"/>
            </w:r>
            <w:r>
              <w:rPr>
                <w:noProof/>
                <w:webHidden/>
              </w:rPr>
              <w:instrText xml:space="preserve"> PAGEREF _Toc211978707 \h </w:instrText>
            </w:r>
            <w:r>
              <w:rPr>
                <w:noProof/>
                <w:webHidden/>
              </w:rPr>
            </w:r>
            <w:r>
              <w:rPr>
                <w:noProof/>
                <w:webHidden/>
              </w:rPr>
              <w:fldChar w:fldCharType="separate"/>
            </w:r>
            <w:r>
              <w:rPr>
                <w:noProof/>
                <w:webHidden/>
              </w:rPr>
              <w:t>11</w:t>
            </w:r>
            <w:r>
              <w:rPr>
                <w:noProof/>
                <w:webHidden/>
              </w:rPr>
              <w:fldChar w:fldCharType="end"/>
            </w:r>
          </w:hyperlink>
        </w:p>
        <w:p w14:paraId="4257A46F" w14:textId="6EE58D6D" w:rsidR="00290BE3" w:rsidRDefault="00290BE3">
          <w:pPr>
            <w:pStyle w:val="TOC1"/>
            <w:tabs>
              <w:tab w:val="right" w:leader="dot" w:pos="9016"/>
            </w:tabs>
            <w:rPr>
              <w:rFonts w:asciiTheme="minorHAnsi" w:eastAsiaTheme="minorEastAsia" w:hAnsiTheme="minorHAnsi"/>
              <w:noProof/>
              <w:sz w:val="22"/>
              <w:lang w:val="en-US"/>
            </w:rPr>
          </w:pPr>
          <w:hyperlink w:anchor="_Toc211978708" w:history="1">
            <w:r w:rsidRPr="000A5202">
              <w:rPr>
                <w:rStyle w:val="Hyperlink"/>
                <w:noProof/>
              </w:rPr>
              <w:t>Root causes and benchmarks</w:t>
            </w:r>
            <w:r>
              <w:rPr>
                <w:noProof/>
                <w:webHidden/>
              </w:rPr>
              <w:tab/>
            </w:r>
            <w:r>
              <w:rPr>
                <w:noProof/>
                <w:webHidden/>
              </w:rPr>
              <w:fldChar w:fldCharType="begin"/>
            </w:r>
            <w:r>
              <w:rPr>
                <w:noProof/>
                <w:webHidden/>
              </w:rPr>
              <w:instrText xml:space="preserve"> PAGEREF _Toc211978708 \h </w:instrText>
            </w:r>
            <w:r>
              <w:rPr>
                <w:noProof/>
                <w:webHidden/>
              </w:rPr>
            </w:r>
            <w:r>
              <w:rPr>
                <w:noProof/>
                <w:webHidden/>
              </w:rPr>
              <w:fldChar w:fldCharType="separate"/>
            </w:r>
            <w:r>
              <w:rPr>
                <w:noProof/>
                <w:webHidden/>
              </w:rPr>
              <w:t>11</w:t>
            </w:r>
            <w:r>
              <w:rPr>
                <w:noProof/>
                <w:webHidden/>
              </w:rPr>
              <w:fldChar w:fldCharType="end"/>
            </w:r>
          </w:hyperlink>
        </w:p>
        <w:p w14:paraId="374C114A" w14:textId="4C65587C" w:rsidR="00290BE3" w:rsidRDefault="00290BE3">
          <w:pPr>
            <w:pStyle w:val="TOC1"/>
            <w:tabs>
              <w:tab w:val="right" w:leader="dot" w:pos="9016"/>
            </w:tabs>
            <w:rPr>
              <w:rFonts w:asciiTheme="minorHAnsi" w:eastAsiaTheme="minorEastAsia" w:hAnsiTheme="minorHAnsi"/>
              <w:noProof/>
              <w:sz w:val="22"/>
              <w:lang w:val="en-US"/>
            </w:rPr>
          </w:pPr>
          <w:hyperlink w:anchor="_Toc211978709" w:history="1">
            <w:r w:rsidRPr="000A5202">
              <w:rPr>
                <w:rStyle w:val="Hyperlink"/>
                <w:noProof/>
              </w:rPr>
              <w:t>Liquidity improvement strategies</w:t>
            </w:r>
            <w:r>
              <w:rPr>
                <w:noProof/>
                <w:webHidden/>
              </w:rPr>
              <w:tab/>
            </w:r>
            <w:r>
              <w:rPr>
                <w:noProof/>
                <w:webHidden/>
              </w:rPr>
              <w:fldChar w:fldCharType="begin"/>
            </w:r>
            <w:r>
              <w:rPr>
                <w:noProof/>
                <w:webHidden/>
              </w:rPr>
              <w:instrText xml:space="preserve"> PAGEREF _Toc211978709 \h </w:instrText>
            </w:r>
            <w:r>
              <w:rPr>
                <w:noProof/>
                <w:webHidden/>
              </w:rPr>
            </w:r>
            <w:r>
              <w:rPr>
                <w:noProof/>
                <w:webHidden/>
              </w:rPr>
              <w:fldChar w:fldCharType="separate"/>
            </w:r>
            <w:r>
              <w:rPr>
                <w:noProof/>
                <w:webHidden/>
              </w:rPr>
              <w:t>12</w:t>
            </w:r>
            <w:r>
              <w:rPr>
                <w:noProof/>
                <w:webHidden/>
              </w:rPr>
              <w:fldChar w:fldCharType="end"/>
            </w:r>
          </w:hyperlink>
        </w:p>
        <w:p w14:paraId="7C400AFD" w14:textId="462AE525" w:rsidR="00290BE3" w:rsidRDefault="00290BE3">
          <w:pPr>
            <w:pStyle w:val="TOC2"/>
            <w:tabs>
              <w:tab w:val="right" w:leader="dot" w:pos="9016"/>
            </w:tabs>
            <w:rPr>
              <w:rFonts w:asciiTheme="minorHAnsi" w:eastAsiaTheme="minorEastAsia" w:hAnsiTheme="minorHAnsi"/>
              <w:noProof/>
              <w:sz w:val="22"/>
              <w:lang w:val="en-US"/>
            </w:rPr>
          </w:pPr>
          <w:hyperlink w:anchor="_Toc211978710" w:history="1">
            <w:r w:rsidRPr="000A5202">
              <w:rPr>
                <w:rStyle w:val="Hyperlink"/>
                <w:noProof/>
              </w:rPr>
              <w:t>Collections (receivables)</w:t>
            </w:r>
            <w:r>
              <w:rPr>
                <w:noProof/>
                <w:webHidden/>
              </w:rPr>
              <w:tab/>
            </w:r>
            <w:r>
              <w:rPr>
                <w:noProof/>
                <w:webHidden/>
              </w:rPr>
              <w:fldChar w:fldCharType="begin"/>
            </w:r>
            <w:r>
              <w:rPr>
                <w:noProof/>
                <w:webHidden/>
              </w:rPr>
              <w:instrText xml:space="preserve"> PAGEREF _Toc211978710 \h </w:instrText>
            </w:r>
            <w:r>
              <w:rPr>
                <w:noProof/>
                <w:webHidden/>
              </w:rPr>
            </w:r>
            <w:r>
              <w:rPr>
                <w:noProof/>
                <w:webHidden/>
              </w:rPr>
              <w:fldChar w:fldCharType="separate"/>
            </w:r>
            <w:r>
              <w:rPr>
                <w:noProof/>
                <w:webHidden/>
              </w:rPr>
              <w:t>12</w:t>
            </w:r>
            <w:r>
              <w:rPr>
                <w:noProof/>
                <w:webHidden/>
              </w:rPr>
              <w:fldChar w:fldCharType="end"/>
            </w:r>
          </w:hyperlink>
        </w:p>
        <w:p w14:paraId="3FF27436" w14:textId="59CB589B" w:rsidR="00290BE3" w:rsidRDefault="00290BE3">
          <w:pPr>
            <w:pStyle w:val="TOC2"/>
            <w:tabs>
              <w:tab w:val="right" w:leader="dot" w:pos="9016"/>
            </w:tabs>
            <w:rPr>
              <w:rFonts w:asciiTheme="minorHAnsi" w:eastAsiaTheme="minorEastAsia" w:hAnsiTheme="minorHAnsi"/>
              <w:noProof/>
              <w:sz w:val="22"/>
              <w:lang w:val="en-US"/>
            </w:rPr>
          </w:pPr>
          <w:hyperlink w:anchor="_Toc211978711" w:history="1">
            <w:r w:rsidRPr="000A5202">
              <w:rPr>
                <w:rStyle w:val="Hyperlink"/>
                <w:noProof/>
              </w:rPr>
              <w:t>Inventory</w:t>
            </w:r>
            <w:r>
              <w:rPr>
                <w:noProof/>
                <w:webHidden/>
              </w:rPr>
              <w:tab/>
            </w:r>
            <w:r>
              <w:rPr>
                <w:noProof/>
                <w:webHidden/>
              </w:rPr>
              <w:fldChar w:fldCharType="begin"/>
            </w:r>
            <w:r>
              <w:rPr>
                <w:noProof/>
                <w:webHidden/>
              </w:rPr>
              <w:instrText xml:space="preserve"> PAGEREF _Toc211978711 \h </w:instrText>
            </w:r>
            <w:r>
              <w:rPr>
                <w:noProof/>
                <w:webHidden/>
              </w:rPr>
            </w:r>
            <w:r>
              <w:rPr>
                <w:noProof/>
                <w:webHidden/>
              </w:rPr>
              <w:fldChar w:fldCharType="separate"/>
            </w:r>
            <w:r>
              <w:rPr>
                <w:noProof/>
                <w:webHidden/>
              </w:rPr>
              <w:t>12</w:t>
            </w:r>
            <w:r>
              <w:rPr>
                <w:noProof/>
                <w:webHidden/>
              </w:rPr>
              <w:fldChar w:fldCharType="end"/>
            </w:r>
          </w:hyperlink>
        </w:p>
        <w:p w14:paraId="53610F76" w14:textId="5717E52F" w:rsidR="00290BE3" w:rsidRDefault="00290BE3">
          <w:pPr>
            <w:pStyle w:val="TOC2"/>
            <w:tabs>
              <w:tab w:val="right" w:leader="dot" w:pos="9016"/>
            </w:tabs>
            <w:rPr>
              <w:rFonts w:asciiTheme="minorHAnsi" w:eastAsiaTheme="minorEastAsia" w:hAnsiTheme="minorHAnsi"/>
              <w:noProof/>
              <w:sz w:val="22"/>
              <w:lang w:val="en-US"/>
            </w:rPr>
          </w:pPr>
          <w:hyperlink w:anchor="_Toc211978712" w:history="1">
            <w:r w:rsidRPr="000A5202">
              <w:rPr>
                <w:rStyle w:val="Hyperlink"/>
                <w:noProof/>
              </w:rPr>
              <w:t>Payables</w:t>
            </w:r>
            <w:r>
              <w:rPr>
                <w:noProof/>
                <w:webHidden/>
              </w:rPr>
              <w:tab/>
            </w:r>
            <w:r>
              <w:rPr>
                <w:noProof/>
                <w:webHidden/>
              </w:rPr>
              <w:fldChar w:fldCharType="begin"/>
            </w:r>
            <w:r>
              <w:rPr>
                <w:noProof/>
                <w:webHidden/>
              </w:rPr>
              <w:instrText xml:space="preserve"> PAGEREF _Toc211978712 \h </w:instrText>
            </w:r>
            <w:r>
              <w:rPr>
                <w:noProof/>
                <w:webHidden/>
              </w:rPr>
            </w:r>
            <w:r>
              <w:rPr>
                <w:noProof/>
                <w:webHidden/>
              </w:rPr>
              <w:fldChar w:fldCharType="separate"/>
            </w:r>
            <w:r>
              <w:rPr>
                <w:noProof/>
                <w:webHidden/>
              </w:rPr>
              <w:t>13</w:t>
            </w:r>
            <w:r>
              <w:rPr>
                <w:noProof/>
                <w:webHidden/>
              </w:rPr>
              <w:fldChar w:fldCharType="end"/>
            </w:r>
          </w:hyperlink>
        </w:p>
        <w:p w14:paraId="4D9B0585" w14:textId="49E2D819" w:rsidR="00290BE3" w:rsidRDefault="00290BE3">
          <w:pPr>
            <w:pStyle w:val="TOC2"/>
            <w:tabs>
              <w:tab w:val="right" w:leader="dot" w:pos="9016"/>
            </w:tabs>
            <w:rPr>
              <w:rFonts w:asciiTheme="minorHAnsi" w:eastAsiaTheme="minorEastAsia" w:hAnsiTheme="minorHAnsi"/>
              <w:noProof/>
              <w:sz w:val="22"/>
              <w:lang w:val="en-US"/>
            </w:rPr>
          </w:pPr>
          <w:hyperlink w:anchor="_Toc211978713" w:history="1">
            <w:r w:rsidRPr="000A5202">
              <w:rPr>
                <w:rStyle w:val="Hyperlink"/>
                <w:noProof/>
              </w:rPr>
              <w:t>Cash governance</w:t>
            </w:r>
            <w:r>
              <w:rPr>
                <w:noProof/>
                <w:webHidden/>
              </w:rPr>
              <w:tab/>
            </w:r>
            <w:r>
              <w:rPr>
                <w:noProof/>
                <w:webHidden/>
              </w:rPr>
              <w:fldChar w:fldCharType="begin"/>
            </w:r>
            <w:r>
              <w:rPr>
                <w:noProof/>
                <w:webHidden/>
              </w:rPr>
              <w:instrText xml:space="preserve"> PAGEREF _Toc211978713 \h </w:instrText>
            </w:r>
            <w:r>
              <w:rPr>
                <w:noProof/>
                <w:webHidden/>
              </w:rPr>
            </w:r>
            <w:r>
              <w:rPr>
                <w:noProof/>
                <w:webHidden/>
              </w:rPr>
              <w:fldChar w:fldCharType="separate"/>
            </w:r>
            <w:r>
              <w:rPr>
                <w:noProof/>
                <w:webHidden/>
              </w:rPr>
              <w:t>13</w:t>
            </w:r>
            <w:r>
              <w:rPr>
                <w:noProof/>
                <w:webHidden/>
              </w:rPr>
              <w:fldChar w:fldCharType="end"/>
            </w:r>
          </w:hyperlink>
        </w:p>
        <w:p w14:paraId="4F2FAF7C" w14:textId="19C3288D" w:rsidR="00290BE3" w:rsidRDefault="00290BE3">
          <w:pPr>
            <w:pStyle w:val="TOC1"/>
            <w:tabs>
              <w:tab w:val="right" w:leader="dot" w:pos="9016"/>
            </w:tabs>
            <w:rPr>
              <w:rFonts w:asciiTheme="minorHAnsi" w:eastAsiaTheme="minorEastAsia" w:hAnsiTheme="minorHAnsi"/>
              <w:noProof/>
              <w:sz w:val="22"/>
              <w:lang w:val="en-US"/>
            </w:rPr>
          </w:pPr>
          <w:hyperlink w:anchor="_Toc211978714" w:history="1">
            <w:r w:rsidRPr="000A5202">
              <w:rPr>
                <w:rStyle w:val="Hyperlink"/>
                <w:noProof/>
              </w:rPr>
              <w:t>Short-term vs long-term financing options</w:t>
            </w:r>
            <w:r>
              <w:rPr>
                <w:noProof/>
                <w:webHidden/>
              </w:rPr>
              <w:tab/>
            </w:r>
            <w:r>
              <w:rPr>
                <w:noProof/>
                <w:webHidden/>
              </w:rPr>
              <w:fldChar w:fldCharType="begin"/>
            </w:r>
            <w:r>
              <w:rPr>
                <w:noProof/>
                <w:webHidden/>
              </w:rPr>
              <w:instrText xml:space="preserve"> PAGEREF _Toc211978714 \h </w:instrText>
            </w:r>
            <w:r>
              <w:rPr>
                <w:noProof/>
                <w:webHidden/>
              </w:rPr>
            </w:r>
            <w:r>
              <w:rPr>
                <w:noProof/>
                <w:webHidden/>
              </w:rPr>
              <w:fldChar w:fldCharType="separate"/>
            </w:r>
            <w:r>
              <w:rPr>
                <w:noProof/>
                <w:webHidden/>
              </w:rPr>
              <w:t>13</w:t>
            </w:r>
            <w:r>
              <w:rPr>
                <w:noProof/>
                <w:webHidden/>
              </w:rPr>
              <w:fldChar w:fldCharType="end"/>
            </w:r>
          </w:hyperlink>
        </w:p>
        <w:p w14:paraId="736BFEA9" w14:textId="13CCFBBE" w:rsidR="00290BE3" w:rsidRDefault="00290BE3">
          <w:pPr>
            <w:pStyle w:val="TOC2"/>
            <w:tabs>
              <w:tab w:val="right" w:leader="dot" w:pos="9016"/>
            </w:tabs>
            <w:rPr>
              <w:rFonts w:asciiTheme="minorHAnsi" w:eastAsiaTheme="minorEastAsia" w:hAnsiTheme="minorHAnsi"/>
              <w:noProof/>
              <w:sz w:val="22"/>
              <w:lang w:val="en-US"/>
            </w:rPr>
          </w:pPr>
          <w:hyperlink w:anchor="_Toc211978715" w:history="1">
            <w:r w:rsidRPr="000A5202">
              <w:rPr>
                <w:rStyle w:val="Hyperlink"/>
                <w:noProof/>
              </w:rPr>
              <w:t>Short-term</w:t>
            </w:r>
            <w:r>
              <w:rPr>
                <w:noProof/>
                <w:webHidden/>
              </w:rPr>
              <w:tab/>
            </w:r>
            <w:r>
              <w:rPr>
                <w:noProof/>
                <w:webHidden/>
              </w:rPr>
              <w:fldChar w:fldCharType="begin"/>
            </w:r>
            <w:r>
              <w:rPr>
                <w:noProof/>
                <w:webHidden/>
              </w:rPr>
              <w:instrText xml:space="preserve"> PAGEREF _Toc211978715 \h </w:instrText>
            </w:r>
            <w:r>
              <w:rPr>
                <w:noProof/>
                <w:webHidden/>
              </w:rPr>
            </w:r>
            <w:r>
              <w:rPr>
                <w:noProof/>
                <w:webHidden/>
              </w:rPr>
              <w:fldChar w:fldCharType="separate"/>
            </w:r>
            <w:r>
              <w:rPr>
                <w:noProof/>
                <w:webHidden/>
              </w:rPr>
              <w:t>13</w:t>
            </w:r>
            <w:r>
              <w:rPr>
                <w:noProof/>
                <w:webHidden/>
              </w:rPr>
              <w:fldChar w:fldCharType="end"/>
            </w:r>
          </w:hyperlink>
        </w:p>
        <w:p w14:paraId="111598B3" w14:textId="27018644" w:rsidR="00290BE3" w:rsidRDefault="00290BE3">
          <w:pPr>
            <w:pStyle w:val="TOC2"/>
            <w:tabs>
              <w:tab w:val="right" w:leader="dot" w:pos="9016"/>
            </w:tabs>
            <w:rPr>
              <w:rFonts w:asciiTheme="minorHAnsi" w:eastAsiaTheme="minorEastAsia" w:hAnsiTheme="minorHAnsi"/>
              <w:noProof/>
              <w:sz w:val="22"/>
              <w:lang w:val="en-US"/>
            </w:rPr>
          </w:pPr>
          <w:hyperlink w:anchor="_Toc211978716" w:history="1">
            <w:r w:rsidRPr="000A5202">
              <w:rPr>
                <w:rStyle w:val="Hyperlink"/>
                <w:noProof/>
              </w:rPr>
              <w:t>Long-term</w:t>
            </w:r>
            <w:r>
              <w:rPr>
                <w:noProof/>
                <w:webHidden/>
              </w:rPr>
              <w:tab/>
            </w:r>
            <w:r>
              <w:rPr>
                <w:noProof/>
                <w:webHidden/>
              </w:rPr>
              <w:fldChar w:fldCharType="begin"/>
            </w:r>
            <w:r>
              <w:rPr>
                <w:noProof/>
                <w:webHidden/>
              </w:rPr>
              <w:instrText xml:space="preserve"> PAGEREF _Toc211978716 \h </w:instrText>
            </w:r>
            <w:r>
              <w:rPr>
                <w:noProof/>
                <w:webHidden/>
              </w:rPr>
            </w:r>
            <w:r>
              <w:rPr>
                <w:noProof/>
                <w:webHidden/>
              </w:rPr>
              <w:fldChar w:fldCharType="separate"/>
            </w:r>
            <w:r>
              <w:rPr>
                <w:noProof/>
                <w:webHidden/>
              </w:rPr>
              <w:t>14</w:t>
            </w:r>
            <w:r>
              <w:rPr>
                <w:noProof/>
                <w:webHidden/>
              </w:rPr>
              <w:fldChar w:fldCharType="end"/>
            </w:r>
          </w:hyperlink>
        </w:p>
        <w:p w14:paraId="048FD5E2" w14:textId="0DE92B92" w:rsidR="00290BE3" w:rsidRDefault="00290BE3">
          <w:pPr>
            <w:pStyle w:val="TOC1"/>
            <w:tabs>
              <w:tab w:val="right" w:leader="dot" w:pos="9016"/>
            </w:tabs>
            <w:rPr>
              <w:rFonts w:asciiTheme="minorHAnsi" w:eastAsiaTheme="minorEastAsia" w:hAnsiTheme="minorHAnsi"/>
              <w:noProof/>
              <w:sz w:val="22"/>
              <w:lang w:val="en-US"/>
            </w:rPr>
          </w:pPr>
          <w:hyperlink w:anchor="_Toc211978717" w:history="1">
            <w:r w:rsidRPr="000A5202">
              <w:rPr>
                <w:rStyle w:val="Hyperlink"/>
                <w:noProof/>
              </w:rPr>
              <w:t>Strategic Financial Restructuring Plan</w:t>
            </w:r>
            <w:r>
              <w:rPr>
                <w:noProof/>
                <w:webHidden/>
              </w:rPr>
              <w:tab/>
            </w:r>
            <w:r>
              <w:rPr>
                <w:noProof/>
                <w:webHidden/>
              </w:rPr>
              <w:fldChar w:fldCharType="begin"/>
            </w:r>
            <w:r>
              <w:rPr>
                <w:noProof/>
                <w:webHidden/>
              </w:rPr>
              <w:instrText xml:space="preserve"> PAGEREF _Toc211978717 \h </w:instrText>
            </w:r>
            <w:r>
              <w:rPr>
                <w:noProof/>
                <w:webHidden/>
              </w:rPr>
            </w:r>
            <w:r>
              <w:rPr>
                <w:noProof/>
                <w:webHidden/>
              </w:rPr>
              <w:fldChar w:fldCharType="separate"/>
            </w:r>
            <w:r>
              <w:rPr>
                <w:noProof/>
                <w:webHidden/>
              </w:rPr>
              <w:t>14</w:t>
            </w:r>
            <w:r>
              <w:rPr>
                <w:noProof/>
                <w:webHidden/>
              </w:rPr>
              <w:fldChar w:fldCharType="end"/>
            </w:r>
          </w:hyperlink>
        </w:p>
        <w:p w14:paraId="1D0D0430" w14:textId="7659D72F" w:rsidR="00290BE3" w:rsidRDefault="00290BE3">
          <w:pPr>
            <w:pStyle w:val="TOC2"/>
            <w:tabs>
              <w:tab w:val="right" w:leader="dot" w:pos="9016"/>
            </w:tabs>
            <w:rPr>
              <w:rFonts w:asciiTheme="minorHAnsi" w:eastAsiaTheme="minorEastAsia" w:hAnsiTheme="minorHAnsi"/>
              <w:noProof/>
              <w:sz w:val="22"/>
              <w:lang w:val="en-US"/>
            </w:rPr>
          </w:pPr>
          <w:hyperlink w:anchor="_Toc211978718" w:history="1">
            <w:r w:rsidRPr="000A5202">
              <w:rPr>
                <w:rStyle w:val="Hyperlink"/>
                <w:noProof/>
              </w:rPr>
              <w:t>Objectives</w:t>
            </w:r>
            <w:r>
              <w:rPr>
                <w:noProof/>
                <w:webHidden/>
              </w:rPr>
              <w:tab/>
            </w:r>
            <w:r>
              <w:rPr>
                <w:noProof/>
                <w:webHidden/>
              </w:rPr>
              <w:fldChar w:fldCharType="begin"/>
            </w:r>
            <w:r>
              <w:rPr>
                <w:noProof/>
                <w:webHidden/>
              </w:rPr>
              <w:instrText xml:space="preserve"> PAGEREF _Toc211978718 \h </w:instrText>
            </w:r>
            <w:r>
              <w:rPr>
                <w:noProof/>
                <w:webHidden/>
              </w:rPr>
            </w:r>
            <w:r>
              <w:rPr>
                <w:noProof/>
                <w:webHidden/>
              </w:rPr>
              <w:fldChar w:fldCharType="separate"/>
            </w:r>
            <w:r>
              <w:rPr>
                <w:noProof/>
                <w:webHidden/>
              </w:rPr>
              <w:t>14</w:t>
            </w:r>
            <w:r>
              <w:rPr>
                <w:noProof/>
                <w:webHidden/>
              </w:rPr>
              <w:fldChar w:fldCharType="end"/>
            </w:r>
          </w:hyperlink>
        </w:p>
        <w:p w14:paraId="17666B0C" w14:textId="03681A14" w:rsidR="00290BE3" w:rsidRDefault="00290BE3">
          <w:pPr>
            <w:pStyle w:val="TOC2"/>
            <w:tabs>
              <w:tab w:val="right" w:leader="dot" w:pos="9016"/>
            </w:tabs>
            <w:rPr>
              <w:rFonts w:asciiTheme="minorHAnsi" w:eastAsiaTheme="minorEastAsia" w:hAnsiTheme="minorHAnsi"/>
              <w:noProof/>
              <w:sz w:val="22"/>
              <w:lang w:val="en-US"/>
            </w:rPr>
          </w:pPr>
          <w:hyperlink w:anchor="_Toc211978719" w:history="1">
            <w:r w:rsidRPr="000A5202">
              <w:rPr>
                <w:rStyle w:val="Hyperlink"/>
                <w:noProof/>
              </w:rPr>
              <w:t>Portfolio actions</w:t>
            </w:r>
            <w:r>
              <w:rPr>
                <w:noProof/>
                <w:webHidden/>
              </w:rPr>
              <w:tab/>
            </w:r>
            <w:r>
              <w:rPr>
                <w:noProof/>
                <w:webHidden/>
              </w:rPr>
              <w:fldChar w:fldCharType="begin"/>
            </w:r>
            <w:r>
              <w:rPr>
                <w:noProof/>
                <w:webHidden/>
              </w:rPr>
              <w:instrText xml:space="preserve"> PAGEREF _Toc211978719 \h </w:instrText>
            </w:r>
            <w:r>
              <w:rPr>
                <w:noProof/>
                <w:webHidden/>
              </w:rPr>
            </w:r>
            <w:r>
              <w:rPr>
                <w:noProof/>
                <w:webHidden/>
              </w:rPr>
              <w:fldChar w:fldCharType="separate"/>
            </w:r>
            <w:r>
              <w:rPr>
                <w:noProof/>
                <w:webHidden/>
              </w:rPr>
              <w:t>14</w:t>
            </w:r>
            <w:r>
              <w:rPr>
                <w:noProof/>
                <w:webHidden/>
              </w:rPr>
              <w:fldChar w:fldCharType="end"/>
            </w:r>
          </w:hyperlink>
        </w:p>
        <w:p w14:paraId="4F257B62" w14:textId="030E6AD1" w:rsidR="00290BE3" w:rsidRDefault="00290BE3">
          <w:pPr>
            <w:pStyle w:val="TOC3"/>
            <w:tabs>
              <w:tab w:val="right" w:leader="dot" w:pos="9016"/>
            </w:tabs>
            <w:rPr>
              <w:rFonts w:asciiTheme="minorHAnsi" w:eastAsiaTheme="minorEastAsia" w:hAnsiTheme="minorHAnsi"/>
              <w:noProof/>
              <w:sz w:val="22"/>
              <w:lang w:val="en-US"/>
            </w:rPr>
          </w:pPr>
          <w:hyperlink w:anchor="_Toc211978720" w:history="1">
            <w:r w:rsidRPr="000A5202">
              <w:rPr>
                <w:rStyle w:val="Hyperlink"/>
                <w:noProof/>
              </w:rPr>
              <w:t>Operating Model and Cost Structure</w:t>
            </w:r>
            <w:r>
              <w:rPr>
                <w:noProof/>
                <w:webHidden/>
              </w:rPr>
              <w:tab/>
            </w:r>
            <w:r>
              <w:rPr>
                <w:noProof/>
                <w:webHidden/>
              </w:rPr>
              <w:fldChar w:fldCharType="begin"/>
            </w:r>
            <w:r>
              <w:rPr>
                <w:noProof/>
                <w:webHidden/>
              </w:rPr>
              <w:instrText xml:space="preserve"> PAGEREF _Toc211978720 \h </w:instrText>
            </w:r>
            <w:r>
              <w:rPr>
                <w:noProof/>
                <w:webHidden/>
              </w:rPr>
            </w:r>
            <w:r>
              <w:rPr>
                <w:noProof/>
                <w:webHidden/>
              </w:rPr>
              <w:fldChar w:fldCharType="separate"/>
            </w:r>
            <w:r>
              <w:rPr>
                <w:noProof/>
                <w:webHidden/>
              </w:rPr>
              <w:t>15</w:t>
            </w:r>
            <w:r>
              <w:rPr>
                <w:noProof/>
                <w:webHidden/>
              </w:rPr>
              <w:fldChar w:fldCharType="end"/>
            </w:r>
          </w:hyperlink>
        </w:p>
        <w:p w14:paraId="6BFB3823" w14:textId="6A8429D1" w:rsidR="00290BE3" w:rsidRDefault="00290BE3">
          <w:pPr>
            <w:pStyle w:val="TOC3"/>
            <w:tabs>
              <w:tab w:val="right" w:leader="dot" w:pos="9016"/>
            </w:tabs>
            <w:rPr>
              <w:rFonts w:asciiTheme="minorHAnsi" w:eastAsiaTheme="minorEastAsia" w:hAnsiTheme="minorHAnsi"/>
              <w:noProof/>
              <w:sz w:val="22"/>
              <w:lang w:val="en-US"/>
            </w:rPr>
          </w:pPr>
          <w:hyperlink w:anchor="_Toc211978721" w:history="1">
            <w:r w:rsidRPr="000A5202">
              <w:rPr>
                <w:rStyle w:val="Hyperlink"/>
                <w:noProof/>
              </w:rPr>
              <w:t>Redesigning Supply Chain</w:t>
            </w:r>
            <w:r>
              <w:rPr>
                <w:noProof/>
                <w:webHidden/>
              </w:rPr>
              <w:tab/>
            </w:r>
            <w:r>
              <w:rPr>
                <w:noProof/>
                <w:webHidden/>
              </w:rPr>
              <w:fldChar w:fldCharType="begin"/>
            </w:r>
            <w:r>
              <w:rPr>
                <w:noProof/>
                <w:webHidden/>
              </w:rPr>
              <w:instrText xml:space="preserve"> PAGEREF _Toc211978721 \h </w:instrText>
            </w:r>
            <w:r>
              <w:rPr>
                <w:noProof/>
                <w:webHidden/>
              </w:rPr>
            </w:r>
            <w:r>
              <w:rPr>
                <w:noProof/>
                <w:webHidden/>
              </w:rPr>
              <w:fldChar w:fldCharType="separate"/>
            </w:r>
            <w:r>
              <w:rPr>
                <w:noProof/>
                <w:webHidden/>
              </w:rPr>
              <w:t>15</w:t>
            </w:r>
            <w:r>
              <w:rPr>
                <w:noProof/>
                <w:webHidden/>
              </w:rPr>
              <w:fldChar w:fldCharType="end"/>
            </w:r>
          </w:hyperlink>
        </w:p>
        <w:p w14:paraId="1FA5993E" w14:textId="66192041" w:rsidR="00290BE3" w:rsidRDefault="00290BE3">
          <w:pPr>
            <w:pStyle w:val="TOC3"/>
            <w:tabs>
              <w:tab w:val="right" w:leader="dot" w:pos="9016"/>
            </w:tabs>
            <w:rPr>
              <w:rFonts w:asciiTheme="minorHAnsi" w:eastAsiaTheme="minorEastAsia" w:hAnsiTheme="minorHAnsi"/>
              <w:noProof/>
              <w:sz w:val="22"/>
              <w:lang w:val="en-US"/>
            </w:rPr>
          </w:pPr>
          <w:hyperlink w:anchor="_Toc211978722" w:history="1">
            <w:r w:rsidRPr="000A5202">
              <w:rPr>
                <w:rStyle w:val="Hyperlink"/>
                <w:noProof/>
              </w:rPr>
              <w:t>Integrated Impact</w:t>
            </w:r>
            <w:r>
              <w:rPr>
                <w:noProof/>
                <w:webHidden/>
              </w:rPr>
              <w:tab/>
            </w:r>
            <w:r>
              <w:rPr>
                <w:noProof/>
                <w:webHidden/>
              </w:rPr>
              <w:fldChar w:fldCharType="begin"/>
            </w:r>
            <w:r>
              <w:rPr>
                <w:noProof/>
                <w:webHidden/>
              </w:rPr>
              <w:instrText xml:space="preserve"> PAGEREF _Toc211978722 \h </w:instrText>
            </w:r>
            <w:r>
              <w:rPr>
                <w:noProof/>
                <w:webHidden/>
              </w:rPr>
            </w:r>
            <w:r>
              <w:rPr>
                <w:noProof/>
                <w:webHidden/>
              </w:rPr>
              <w:fldChar w:fldCharType="separate"/>
            </w:r>
            <w:r>
              <w:rPr>
                <w:noProof/>
                <w:webHidden/>
              </w:rPr>
              <w:t>16</w:t>
            </w:r>
            <w:r>
              <w:rPr>
                <w:noProof/>
                <w:webHidden/>
              </w:rPr>
              <w:fldChar w:fldCharType="end"/>
            </w:r>
          </w:hyperlink>
        </w:p>
        <w:p w14:paraId="2EF4A32F" w14:textId="75CE8E5D" w:rsidR="00290BE3" w:rsidRDefault="00290BE3">
          <w:pPr>
            <w:pStyle w:val="TOC2"/>
            <w:tabs>
              <w:tab w:val="right" w:leader="dot" w:pos="9016"/>
            </w:tabs>
            <w:rPr>
              <w:rFonts w:asciiTheme="minorHAnsi" w:eastAsiaTheme="minorEastAsia" w:hAnsiTheme="minorHAnsi"/>
              <w:noProof/>
              <w:sz w:val="22"/>
              <w:lang w:val="en-US"/>
            </w:rPr>
          </w:pPr>
          <w:hyperlink w:anchor="_Toc211978723" w:history="1">
            <w:r w:rsidRPr="000A5202">
              <w:rPr>
                <w:rStyle w:val="Hyperlink"/>
                <w:noProof/>
              </w:rPr>
              <w:t>International and ethical considerations</w:t>
            </w:r>
            <w:r>
              <w:rPr>
                <w:noProof/>
                <w:webHidden/>
              </w:rPr>
              <w:tab/>
            </w:r>
            <w:r>
              <w:rPr>
                <w:noProof/>
                <w:webHidden/>
              </w:rPr>
              <w:fldChar w:fldCharType="begin"/>
            </w:r>
            <w:r>
              <w:rPr>
                <w:noProof/>
                <w:webHidden/>
              </w:rPr>
              <w:instrText xml:space="preserve"> PAGEREF _Toc211978723 \h </w:instrText>
            </w:r>
            <w:r>
              <w:rPr>
                <w:noProof/>
                <w:webHidden/>
              </w:rPr>
            </w:r>
            <w:r>
              <w:rPr>
                <w:noProof/>
                <w:webHidden/>
              </w:rPr>
              <w:fldChar w:fldCharType="separate"/>
            </w:r>
            <w:r>
              <w:rPr>
                <w:noProof/>
                <w:webHidden/>
              </w:rPr>
              <w:t>16</w:t>
            </w:r>
            <w:r>
              <w:rPr>
                <w:noProof/>
                <w:webHidden/>
              </w:rPr>
              <w:fldChar w:fldCharType="end"/>
            </w:r>
          </w:hyperlink>
        </w:p>
        <w:p w14:paraId="7A251CBC" w14:textId="6EEB580A" w:rsidR="00290BE3" w:rsidRDefault="00290BE3">
          <w:pPr>
            <w:pStyle w:val="TOC2"/>
            <w:tabs>
              <w:tab w:val="right" w:leader="dot" w:pos="9016"/>
            </w:tabs>
            <w:rPr>
              <w:rFonts w:asciiTheme="minorHAnsi" w:eastAsiaTheme="minorEastAsia" w:hAnsiTheme="minorHAnsi"/>
              <w:noProof/>
              <w:sz w:val="22"/>
              <w:lang w:val="en-US"/>
            </w:rPr>
          </w:pPr>
          <w:hyperlink w:anchor="_Toc211978724" w:history="1">
            <w:r w:rsidRPr="000A5202">
              <w:rPr>
                <w:rStyle w:val="Hyperlink"/>
                <w:noProof/>
              </w:rPr>
              <w:t>Expected financial impact</w:t>
            </w:r>
            <w:r>
              <w:rPr>
                <w:noProof/>
                <w:webHidden/>
              </w:rPr>
              <w:tab/>
            </w:r>
            <w:r>
              <w:rPr>
                <w:noProof/>
                <w:webHidden/>
              </w:rPr>
              <w:fldChar w:fldCharType="begin"/>
            </w:r>
            <w:r>
              <w:rPr>
                <w:noProof/>
                <w:webHidden/>
              </w:rPr>
              <w:instrText xml:space="preserve"> PAGEREF _Toc211978724 \h </w:instrText>
            </w:r>
            <w:r>
              <w:rPr>
                <w:noProof/>
                <w:webHidden/>
              </w:rPr>
            </w:r>
            <w:r>
              <w:rPr>
                <w:noProof/>
                <w:webHidden/>
              </w:rPr>
              <w:fldChar w:fldCharType="separate"/>
            </w:r>
            <w:r>
              <w:rPr>
                <w:noProof/>
                <w:webHidden/>
              </w:rPr>
              <w:t>17</w:t>
            </w:r>
            <w:r>
              <w:rPr>
                <w:noProof/>
                <w:webHidden/>
              </w:rPr>
              <w:fldChar w:fldCharType="end"/>
            </w:r>
          </w:hyperlink>
        </w:p>
        <w:p w14:paraId="7CCC5041" w14:textId="4F41BA3E" w:rsidR="00290BE3" w:rsidRDefault="00290BE3">
          <w:pPr>
            <w:pStyle w:val="TOC1"/>
            <w:tabs>
              <w:tab w:val="right" w:leader="dot" w:pos="9016"/>
            </w:tabs>
            <w:rPr>
              <w:rFonts w:asciiTheme="minorHAnsi" w:eastAsiaTheme="minorEastAsia" w:hAnsiTheme="minorHAnsi"/>
              <w:noProof/>
              <w:sz w:val="22"/>
              <w:lang w:val="en-US"/>
            </w:rPr>
          </w:pPr>
          <w:hyperlink w:anchor="_Toc211978725" w:history="1">
            <w:r w:rsidRPr="000A5202">
              <w:rPr>
                <w:rStyle w:val="Hyperlink"/>
                <w:noProof/>
              </w:rPr>
              <w:t>Investment Appraisal and Capital Budgeting</w:t>
            </w:r>
            <w:r>
              <w:rPr>
                <w:noProof/>
                <w:webHidden/>
              </w:rPr>
              <w:tab/>
            </w:r>
            <w:r>
              <w:rPr>
                <w:noProof/>
                <w:webHidden/>
              </w:rPr>
              <w:fldChar w:fldCharType="begin"/>
            </w:r>
            <w:r>
              <w:rPr>
                <w:noProof/>
                <w:webHidden/>
              </w:rPr>
              <w:instrText xml:space="preserve"> PAGEREF _Toc211978725 \h </w:instrText>
            </w:r>
            <w:r>
              <w:rPr>
                <w:noProof/>
                <w:webHidden/>
              </w:rPr>
            </w:r>
            <w:r>
              <w:rPr>
                <w:noProof/>
                <w:webHidden/>
              </w:rPr>
              <w:fldChar w:fldCharType="separate"/>
            </w:r>
            <w:r>
              <w:rPr>
                <w:noProof/>
                <w:webHidden/>
              </w:rPr>
              <w:t>18</w:t>
            </w:r>
            <w:r>
              <w:rPr>
                <w:noProof/>
                <w:webHidden/>
              </w:rPr>
              <w:fldChar w:fldCharType="end"/>
            </w:r>
          </w:hyperlink>
        </w:p>
        <w:p w14:paraId="452FC679" w14:textId="26AE8CA8" w:rsidR="00290BE3" w:rsidRDefault="00290BE3">
          <w:pPr>
            <w:pStyle w:val="TOC2"/>
            <w:tabs>
              <w:tab w:val="right" w:leader="dot" w:pos="9016"/>
            </w:tabs>
            <w:rPr>
              <w:rFonts w:asciiTheme="minorHAnsi" w:eastAsiaTheme="minorEastAsia" w:hAnsiTheme="minorHAnsi"/>
              <w:noProof/>
              <w:sz w:val="22"/>
              <w:lang w:val="en-US"/>
            </w:rPr>
          </w:pPr>
          <w:hyperlink w:anchor="_Toc211978726" w:history="1">
            <w:r w:rsidRPr="000A5202">
              <w:rPr>
                <w:rStyle w:val="Hyperlink"/>
                <w:noProof/>
              </w:rPr>
              <w:t>Methods and Assumptions</w:t>
            </w:r>
            <w:r>
              <w:rPr>
                <w:noProof/>
                <w:webHidden/>
              </w:rPr>
              <w:tab/>
            </w:r>
            <w:r>
              <w:rPr>
                <w:noProof/>
                <w:webHidden/>
              </w:rPr>
              <w:fldChar w:fldCharType="begin"/>
            </w:r>
            <w:r>
              <w:rPr>
                <w:noProof/>
                <w:webHidden/>
              </w:rPr>
              <w:instrText xml:space="preserve"> PAGEREF _Toc211978726 \h </w:instrText>
            </w:r>
            <w:r>
              <w:rPr>
                <w:noProof/>
                <w:webHidden/>
              </w:rPr>
            </w:r>
            <w:r>
              <w:rPr>
                <w:noProof/>
                <w:webHidden/>
              </w:rPr>
              <w:fldChar w:fldCharType="separate"/>
            </w:r>
            <w:r>
              <w:rPr>
                <w:noProof/>
                <w:webHidden/>
              </w:rPr>
              <w:t>18</w:t>
            </w:r>
            <w:r>
              <w:rPr>
                <w:noProof/>
                <w:webHidden/>
              </w:rPr>
              <w:fldChar w:fldCharType="end"/>
            </w:r>
          </w:hyperlink>
        </w:p>
        <w:p w14:paraId="54DDE958" w14:textId="5F659405" w:rsidR="00290BE3" w:rsidRDefault="00290BE3">
          <w:pPr>
            <w:pStyle w:val="TOC2"/>
            <w:tabs>
              <w:tab w:val="right" w:leader="dot" w:pos="9016"/>
            </w:tabs>
            <w:rPr>
              <w:rFonts w:asciiTheme="minorHAnsi" w:eastAsiaTheme="minorEastAsia" w:hAnsiTheme="minorHAnsi"/>
              <w:noProof/>
              <w:sz w:val="22"/>
              <w:lang w:val="en-US"/>
            </w:rPr>
          </w:pPr>
          <w:hyperlink w:anchor="_Toc211978727" w:history="1">
            <w:r w:rsidRPr="000A5202">
              <w:rPr>
                <w:rStyle w:val="Hyperlink"/>
                <w:noProof/>
              </w:rPr>
              <w:t>Payback Period (PBP)</w:t>
            </w:r>
            <w:r>
              <w:rPr>
                <w:noProof/>
                <w:webHidden/>
              </w:rPr>
              <w:tab/>
            </w:r>
            <w:r>
              <w:rPr>
                <w:noProof/>
                <w:webHidden/>
              </w:rPr>
              <w:fldChar w:fldCharType="begin"/>
            </w:r>
            <w:r>
              <w:rPr>
                <w:noProof/>
                <w:webHidden/>
              </w:rPr>
              <w:instrText xml:space="preserve"> PAGEREF _Toc211978727 \h </w:instrText>
            </w:r>
            <w:r>
              <w:rPr>
                <w:noProof/>
                <w:webHidden/>
              </w:rPr>
            </w:r>
            <w:r>
              <w:rPr>
                <w:noProof/>
                <w:webHidden/>
              </w:rPr>
              <w:fldChar w:fldCharType="separate"/>
            </w:r>
            <w:r>
              <w:rPr>
                <w:noProof/>
                <w:webHidden/>
              </w:rPr>
              <w:t>18</w:t>
            </w:r>
            <w:r>
              <w:rPr>
                <w:noProof/>
                <w:webHidden/>
              </w:rPr>
              <w:fldChar w:fldCharType="end"/>
            </w:r>
          </w:hyperlink>
        </w:p>
        <w:p w14:paraId="604DC98E" w14:textId="19F12484" w:rsidR="00290BE3" w:rsidRDefault="00290BE3">
          <w:pPr>
            <w:pStyle w:val="TOC2"/>
            <w:tabs>
              <w:tab w:val="right" w:leader="dot" w:pos="9016"/>
            </w:tabs>
            <w:rPr>
              <w:rFonts w:asciiTheme="minorHAnsi" w:eastAsiaTheme="minorEastAsia" w:hAnsiTheme="minorHAnsi"/>
              <w:noProof/>
              <w:sz w:val="22"/>
              <w:lang w:val="en-US"/>
            </w:rPr>
          </w:pPr>
          <w:hyperlink w:anchor="_Toc211978728" w:history="1">
            <w:r w:rsidRPr="000A5202">
              <w:rPr>
                <w:rStyle w:val="Hyperlink"/>
                <w:noProof/>
              </w:rPr>
              <w:t>Accounting Rate of Return (ARR)</w:t>
            </w:r>
            <w:r>
              <w:rPr>
                <w:noProof/>
                <w:webHidden/>
              </w:rPr>
              <w:tab/>
            </w:r>
            <w:r>
              <w:rPr>
                <w:noProof/>
                <w:webHidden/>
              </w:rPr>
              <w:fldChar w:fldCharType="begin"/>
            </w:r>
            <w:r>
              <w:rPr>
                <w:noProof/>
                <w:webHidden/>
              </w:rPr>
              <w:instrText xml:space="preserve"> PAGEREF _Toc211978728 \h </w:instrText>
            </w:r>
            <w:r>
              <w:rPr>
                <w:noProof/>
                <w:webHidden/>
              </w:rPr>
            </w:r>
            <w:r>
              <w:rPr>
                <w:noProof/>
                <w:webHidden/>
              </w:rPr>
              <w:fldChar w:fldCharType="separate"/>
            </w:r>
            <w:r>
              <w:rPr>
                <w:noProof/>
                <w:webHidden/>
              </w:rPr>
              <w:t>19</w:t>
            </w:r>
            <w:r>
              <w:rPr>
                <w:noProof/>
                <w:webHidden/>
              </w:rPr>
              <w:fldChar w:fldCharType="end"/>
            </w:r>
          </w:hyperlink>
        </w:p>
        <w:p w14:paraId="233A3EB4" w14:textId="3F8FA244" w:rsidR="00290BE3" w:rsidRDefault="00290BE3">
          <w:pPr>
            <w:pStyle w:val="TOC2"/>
            <w:tabs>
              <w:tab w:val="right" w:leader="dot" w:pos="9016"/>
            </w:tabs>
            <w:rPr>
              <w:rFonts w:asciiTheme="minorHAnsi" w:eastAsiaTheme="minorEastAsia" w:hAnsiTheme="minorHAnsi"/>
              <w:noProof/>
              <w:sz w:val="22"/>
              <w:lang w:val="en-US"/>
            </w:rPr>
          </w:pPr>
          <w:hyperlink w:anchor="_Toc211978729" w:history="1">
            <w:r w:rsidRPr="000A5202">
              <w:rPr>
                <w:rStyle w:val="Hyperlink"/>
                <w:noProof/>
              </w:rPr>
              <w:t>Net Present Value (NPV)</w:t>
            </w:r>
            <w:r>
              <w:rPr>
                <w:noProof/>
                <w:webHidden/>
              </w:rPr>
              <w:tab/>
            </w:r>
            <w:r>
              <w:rPr>
                <w:noProof/>
                <w:webHidden/>
              </w:rPr>
              <w:fldChar w:fldCharType="begin"/>
            </w:r>
            <w:r>
              <w:rPr>
                <w:noProof/>
                <w:webHidden/>
              </w:rPr>
              <w:instrText xml:space="preserve"> PAGEREF _Toc211978729 \h </w:instrText>
            </w:r>
            <w:r>
              <w:rPr>
                <w:noProof/>
                <w:webHidden/>
              </w:rPr>
            </w:r>
            <w:r>
              <w:rPr>
                <w:noProof/>
                <w:webHidden/>
              </w:rPr>
              <w:fldChar w:fldCharType="separate"/>
            </w:r>
            <w:r>
              <w:rPr>
                <w:noProof/>
                <w:webHidden/>
              </w:rPr>
              <w:t>19</w:t>
            </w:r>
            <w:r>
              <w:rPr>
                <w:noProof/>
                <w:webHidden/>
              </w:rPr>
              <w:fldChar w:fldCharType="end"/>
            </w:r>
          </w:hyperlink>
        </w:p>
        <w:p w14:paraId="0C844B5F" w14:textId="4977FD4E" w:rsidR="00290BE3" w:rsidRDefault="00290BE3">
          <w:pPr>
            <w:pStyle w:val="TOC2"/>
            <w:tabs>
              <w:tab w:val="right" w:leader="dot" w:pos="9016"/>
            </w:tabs>
            <w:rPr>
              <w:rFonts w:asciiTheme="minorHAnsi" w:eastAsiaTheme="minorEastAsia" w:hAnsiTheme="minorHAnsi"/>
              <w:noProof/>
              <w:sz w:val="22"/>
              <w:lang w:val="en-US"/>
            </w:rPr>
          </w:pPr>
          <w:hyperlink w:anchor="_Toc211978730" w:history="1">
            <w:r w:rsidRPr="000A5202">
              <w:rPr>
                <w:rStyle w:val="Hyperlink"/>
                <w:noProof/>
              </w:rPr>
              <w:t>Profitability Index (PI)</w:t>
            </w:r>
            <w:r>
              <w:rPr>
                <w:noProof/>
                <w:webHidden/>
              </w:rPr>
              <w:tab/>
            </w:r>
            <w:r>
              <w:rPr>
                <w:noProof/>
                <w:webHidden/>
              </w:rPr>
              <w:fldChar w:fldCharType="begin"/>
            </w:r>
            <w:r>
              <w:rPr>
                <w:noProof/>
                <w:webHidden/>
              </w:rPr>
              <w:instrText xml:space="preserve"> PAGEREF _Toc211978730 \h </w:instrText>
            </w:r>
            <w:r>
              <w:rPr>
                <w:noProof/>
                <w:webHidden/>
              </w:rPr>
            </w:r>
            <w:r>
              <w:rPr>
                <w:noProof/>
                <w:webHidden/>
              </w:rPr>
              <w:fldChar w:fldCharType="separate"/>
            </w:r>
            <w:r>
              <w:rPr>
                <w:noProof/>
                <w:webHidden/>
              </w:rPr>
              <w:t>20</w:t>
            </w:r>
            <w:r>
              <w:rPr>
                <w:noProof/>
                <w:webHidden/>
              </w:rPr>
              <w:fldChar w:fldCharType="end"/>
            </w:r>
          </w:hyperlink>
        </w:p>
        <w:p w14:paraId="4A4C3608" w14:textId="0B2ED724" w:rsidR="00290BE3" w:rsidRDefault="00290BE3">
          <w:pPr>
            <w:pStyle w:val="TOC2"/>
            <w:tabs>
              <w:tab w:val="right" w:leader="dot" w:pos="9016"/>
            </w:tabs>
            <w:rPr>
              <w:rFonts w:asciiTheme="minorHAnsi" w:eastAsiaTheme="minorEastAsia" w:hAnsiTheme="minorHAnsi"/>
              <w:noProof/>
              <w:sz w:val="22"/>
              <w:lang w:val="en-US"/>
            </w:rPr>
          </w:pPr>
          <w:hyperlink w:anchor="_Toc211978731" w:history="1">
            <w:r w:rsidRPr="000A5202">
              <w:rPr>
                <w:rStyle w:val="Hyperlink"/>
                <w:noProof/>
              </w:rPr>
              <w:t>Internal Rate of Return (IRR)</w:t>
            </w:r>
            <w:r>
              <w:rPr>
                <w:noProof/>
                <w:webHidden/>
              </w:rPr>
              <w:tab/>
            </w:r>
            <w:r>
              <w:rPr>
                <w:noProof/>
                <w:webHidden/>
              </w:rPr>
              <w:fldChar w:fldCharType="begin"/>
            </w:r>
            <w:r>
              <w:rPr>
                <w:noProof/>
                <w:webHidden/>
              </w:rPr>
              <w:instrText xml:space="preserve"> PAGEREF _Toc211978731 \h </w:instrText>
            </w:r>
            <w:r>
              <w:rPr>
                <w:noProof/>
                <w:webHidden/>
              </w:rPr>
            </w:r>
            <w:r>
              <w:rPr>
                <w:noProof/>
                <w:webHidden/>
              </w:rPr>
              <w:fldChar w:fldCharType="separate"/>
            </w:r>
            <w:r>
              <w:rPr>
                <w:noProof/>
                <w:webHidden/>
              </w:rPr>
              <w:t>21</w:t>
            </w:r>
            <w:r>
              <w:rPr>
                <w:noProof/>
                <w:webHidden/>
              </w:rPr>
              <w:fldChar w:fldCharType="end"/>
            </w:r>
          </w:hyperlink>
        </w:p>
        <w:p w14:paraId="68C1A56C" w14:textId="6117736F" w:rsidR="00290BE3" w:rsidRDefault="00290BE3">
          <w:pPr>
            <w:pStyle w:val="TOC2"/>
            <w:tabs>
              <w:tab w:val="right" w:leader="dot" w:pos="9016"/>
            </w:tabs>
            <w:rPr>
              <w:rFonts w:asciiTheme="minorHAnsi" w:eastAsiaTheme="minorEastAsia" w:hAnsiTheme="minorHAnsi"/>
              <w:noProof/>
              <w:sz w:val="22"/>
              <w:lang w:val="en-US"/>
            </w:rPr>
          </w:pPr>
          <w:hyperlink w:anchor="_Toc211978732" w:history="1">
            <w:r w:rsidRPr="000A5202">
              <w:rPr>
                <w:rStyle w:val="Hyperlink"/>
                <w:noProof/>
              </w:rPr>
              <w:t>Capital Rationing and Strategic Considerations</w:t>
            </w:r>
            <w:r>
              <w:rPr>
                <w:noProof/>
                <w:webHidden/>
              </w:rPr>
              <w:tab/>
            </w:r>
            <w:r>
              <w:rPr>
                <w:noProof/>
                <w:webHidden/>
              </w:rPr>
              <w:fldChar w:fldCharType="begin"/>
            </w:r>
            <w:r>
              <w:rPr>
                <w:noProof/>
                <w:webHidden/>
              </w:rPr>
              <w:instrText xml:space="preserve"> PAGEREF _Toc211978732 \h </w:instrText>
            </w:r>
            <w:r>
              <w:rPr>
                <w:noProof/>
                <w:webHidden/>
              </w:rPr>
            </w:r>
            <w:r>
              <w:rPr>
                <w:noProof/>
                <w:webHidden/>
              </w:rPr>
              <w:fldChar w:fldCharType="separate"/>
            </w:r>
            <w:r>
              <w:rPr>
                <w:noProof/>
                <w:webHidden/>
              </w:rPr>
              <w:t>21</w:t>
            </w:r>
            <w:r>
              <w:rPr>
                <w:noProof/>
                <w:webHidden/>
              </w:rPr>
              <w:fldChar w:fldCharType="end"/>
            </w:r>
          </w:hyperlink>
        </w:p>
        <w:p w14:paraId="67F41C3D" w14:textId="6AE76039" w:rsidR="00290BE3" w:rsidRDefault="00290BE3">
          <w:pPr>
            <w:pStyle w:val="TOC2"/>
            <w:tabs>
              <w:tab w:val="right" w:leader="dot" w:pos="9016"/>
            </w:tabs>
            <w:rPr>
              <w:rFonts w:asciiTheme="minorHAnsi" w:eastAsiaTheme="minorEastAsia" w:hAnsiTheme="minorHAnsi"/>
              <w:noProof/>
              <w:sz w:val="22"/>
              <w:lang w:val="en-US"/>
            </w:rPr>
          </w:pPr>
          <w:hyperlink w:anchor="_Toc211978733" w:history="1">
            <w:r w:rsidRPr="000A5202">
              <w:rPr>
                <w:rStyle w:val="Hyperlink"/>
                <w:noProof/>
              </w:rPr>
              <w:t>Final Recommendation</w:t>
            </w:r>
            <w:r>
              <w:rPr>
                <w:noProof/>
                <w:webHidden/>
              </w:rPr>
              <w:tab/>
            </w:r>
            <w:r>
              <w:rPr>
                <w:noProof/>
                <w:webHidden/>
              </w:rPr>
              <w:fldChar w:fldCharType="begin"/>
            </w:r>
            <w:r>
              <w:rPr>
                <w:noProof/>
                <w:webHidden/>
              </w:rPr>
              <w:instrText xml:space="preserve"> PAGEREF _Toc211978733 \h </w:instrText>
            </w:r>
            <w:r>
              <w:rPr>
                <w:noProof/>
                <w:webHidden/>
              </w:rPr>
            </w:r>
            <w:r>
              <w:rPr>
                <w:noProof/>
                <w:webHidden/>
              </w:rPr>
              <w:fldChar w:fldCharType="separate"/>
            </w:r>
            <w:r>
              <w:rPr>
                <w:noProof/>
                <w:webHidden/>
              </w:rPr>
              <w:t>22</w:t>
            </w:r>
            <w:r>
              <w:rPr>
                <w:noProof/>
                <w:webHidden/>
              </w:rPr>
              <w:fldChar w:fldCharType="end"/>
            </w:r>
          </w:hyperlink>
        </w:p>
        <w:p w14:paraId="1AEC419B" w14:textId="77F3E234" w:rsidR="00290BE3" w:rsidRDefault="00290BE3">
          <w:pPr>
            <w:pStyle w:val="TOC1"/>
            <w:tabs>
              <w:tab w:val="right" w:leader="dot" w:pos="9016"/>
            </w:tabs>
            <w:rPr>
              <w:rFonts w:asciiTheme="minorHAnsi" w:eastAsiaTheme="minorEastAsia" w:hAnsiTheme="minorHAnsi"/>
              <w:noProof/>
              <w:sz w:val="22"/>
              <w:lang w:val="en-US"/>
            </w:rPr>
          </w:pPr>
          <w:hyperlink w:anchor="_Toc211978734" w:history="1">
            <w:r w:rsidRPr="000A5202">
              <w:rPr>
                <w:rStyle w:val="Hyperlink"/>
                <w:noProof/>
              </w:rPr>
              <w:t>Conclusion</w:t>
            </w:r>
            <w:r>
              <w:rPr>
                <w:noProof/>
                <w:webHidden/>
              </w:rPr>
              <w:tab/>
            </w:r>
            <w:r>
              <w:rPr>
                <w:noProof/>
                <w:webHidden/>
              </w:rPr>
              <w:fldChar w:fldCharType="begin"/>
            </w:r>
            <w:r>
              <w:rPr>
                <w:noProof/>
                <w:webHidden/>
              </w:rPr>
              <w:instrText xml:space="preserve"> PAGEREF _Toc211978734 \h </w:instrText>
            </w:r>
            <w:r>
              <w:rPr>
                <w:noProof/>
                <w:webHidden/>
              </w:rPr>
            </w:r>
            <w:r>
              <w:rPr>
                <w:noProof/>
                <w:webHidden/>
              </w:rPr>
              <w:fldChar w:fldCharType="separate"/>
            </w:r>
            <w:r>
              <w:rPr>
                <w:noProof/>
                <w:webHidden/>
              </w:rPr>
              <w:t>24</w:t>
            </w:r>
            <w:r>
              <w:rPr>
                <w:noProof/>
                <w:webHidden/>
              </w:rPr>
              <w:fldChar w:fldCharType="end"/>
            </w:r>
          </w:hyperlink>
        </w:p>
        <w:p w14:paraId="749D8AEE" w14:textId="35F4C4E8" w:rsidR="00290BE3" w:rsidRDefault="00290BE3">
          <w:pPr>
            <w:pStyle w:val="TOC1"/>
            <w:tabs>
              <w:tab w:val="right" w:leader="dot" w:pos="9016"/>
            </w:tabs>
            <w:rPr>
              <w:rFonts w:asciiTheme="minorHAnsi" w:eastAsiaTheme="minorEastAsia" w:hAnsiTheme="minorHAnsi"/>
              <w:noProof/>
              <w:sz w:val="22"/>
              <w:lang w:val="en-US"/>
            </w:rPr>
          </w:pPr>
          <w:hyperlink w:anchor="_Toc211978735" w:history="1">
            <w:r w:rsidRPr="000A5202">
              <w:rPr>
                <w:rStyle w:val="Hyperlink"/>
                <w:noProof/>
              </w:rPr>
              <w:t>References</w:t>
            </w:r>
            <w:r>
              <w:rPr>
                <w:noProof/>
                <w:webHidden/>
              </w:rPr>
              <w:tab/>
            </w:r>
            <w:r>
              <w:rPr>
                <w:noProof/>
                <w:webHidden/>
              </w:rPr>
              <w:fldChar w:fldCharType="begin"/>
            </w:r>
            <w:r>
              <w:rPr>
                <w:noProof/>
                <w:webHidden/>
              </w:rPr>
              <w:instrText xml:space="preserve"> PAGEREF _Toc211978735 \h </w:instrText>
            </w:r>
            <w:r>
              <w:rPr>
                <w:noProof/>
                <w:webHidden/>
              </w:rPr>
            </w:r>
            <w:r>
              <w:rPr>
                <w:noProof/>
                <w:webHidden/>
              </w:rPr>
              <w:fldChar w:fldCharType="separate"/>
            </w:r>
            <w:r>
              <w:rPr>
                <w:noProof/>
                <w:webHidden/>
              </w:rPr>
              <w:t>25</w:t>
            </w:r>
            <w:r>
              <w:rPr>
                <w:noProof/>
                <w:webHidden/>
              </w:rPr>
              <w:fldChar w:fldCharType="end"/>
            </w:r>
          </w:hyperlink>
        </w:p>
        <w:p w14:paraId="0C576948" w14:textId="5AE7D26E" w:rsidR="00DE57A2" w:rsidRPr="00064CB9" w:rsidRDefault="00DE57A2">
          <w:r w:rsidRPr="00064CB9">
            <w:rPr>
              <w:b/>
              <w:bCs/>
              <w:noProof/>
            </w:rPr>
            <w:fldChar w:fldCharType="end"/>
          </w:r>
        </w:p>
      </w:sdtContent>
    </w:sdt>
    <w:p w14:paraId="782F1727" w14:textId="77777777" w:rsidR="00586A59" w:rsidRPr="00064CB9" w:rsidRDefault="00586A59">
      <w:pPr>
        <w:rPr>
          <w:rFonts w:eastAsiaTheme="majorEastAsia" w:cstheme="majorBidi"/>
          <w:b/>
          <w:color w:val="000000" w:themeColor="text1"/>
          <w:sz w:val="32"/>
          <w:szCs w:val="32"/>
        </w:rPr>
      </w:pPr>
      <w:r w:rsidRPr="00064CB9">
        <w:br w:type="page"/>
      </w:r>
    </w:p>
    <w:p w14:paraId="0131F938" w14:textId="6759B985" w:rsidR="00A674CE" w:rsidRPr="00064CB9" w:rsidRDefault="00B30482" w:rsidP="00A674CE">
      <w:pPr>
        <w:pStyle w:val="Heading1"/>
        <w:rPr>
          <w:lang w:val="en-GB"/>
        </w:rPr>
      </w:pPr>
      <w:bookmarkStart w:id="0" w:name="_Toc211978695"/>
      <w:r w:rsidRPr="00064CB9">
        <w:rPr>
          <w:lang w:val="en-GB"/>
        </w:rPr>
        <w:lastRenderedPageBreak/>
        <w:t>Executive summary</w:t>
      </w:r>
      <w:bookmarkEnd w:id="0"/>
    </w:p>
    <w:p w14:paraId="306239AD" w14:textId="5088A453" w:rsidR="00A674CE" w:rsidRPr="00064CB9" w:rsidRDefault="006D0EFF">
      <w:pPr>
        <w:rPr>
          <w:rStyle w:val="Heading1Char"/>
          <w:lang w:val="en-GB"/>
        </w:rPr>
      </w:pPr>
      <w:r w:rsidRPr="00064CB9">
        <w:t>The revenue of General Electronics has decreased by 36 percent in the past five years, and the operating losses in 2023-2024 are expected to be enormous due to cost overruns and impairments. The liquidity is marginally sufficient (current ratio 1.5) however, the cash reserves are reduced by half compared to 2022. It has become leveraged (debt-equity ratio of 1.11), and its metrics of returns have become negative; working capital is lying in stagnant inventory and increasing accounts payable. The Altman Z-Score has shifted to the grey/moderate risk zone (2023-2024) (as compared to the safe zone (2020-2022)) which indicates a high level of risk of default. The urgent steps should involve minimizing the costs of operation, freeing up the working capital, and rebalancing the portfolio. It is suggested to have a financially viable, globally scalable and ethically sound turnaround: divest non-core assets, refocus on profit making product lines, renounce value-destructive buyback, renegotiate credit lines, and seek a focused equity injection and/or strategic partnership. With capital rationing (60m) to have Project C (50m) on NPV/IRR/PI grounds to be in line with the recovery priorities but with liquidity gates that are highly punitive.</w:t>
      </w:r>
      <w:r w:rsidR="00A674CE" w:rsidRPr="00064CB9">
        <w:rPr>
          <w:rStyle w:val="Heading1Char"/>
          <w:lang w:val="en-GB"/>
        </w:rPr>
        <w:br w:type="page"/>
      </w:r>
    </w:p>
    <w:p w14:paraId="3BF37774" w14:textId="6BF09EA9" w:rsidR="00B30482" w:rsidRPr="00064CB9" w:rsidRDefault="00B30482" w:rsidP="00B30482">
      <w:bookmarkStart w:id="1" w:name="_Toc211978696"/>
      <w:r w:rsidRPr="00064CB9">
        <w:rPr>
          <w:rStyle w:val="Heading1Char"/>
          <w:lang w:val="en-GB"/>
        </w:rPr>
        <w:lastRenderedPageBreak/>
        <w:t>Introduction</w:t>
      </w:r>
      <w:bookmarkEnd w:id="1"/>
      <w:r w:rsidRPr="00064CB9">
        <w:rPr>
          <w:rStyle w:val="Heading1Char"/>
          <w:lang w:val="en-GB"/>
        </w:rPr>
        <w:br/>
      </w:r>
      <w:r w:rsidR="004D05E9" w:rsidRPr="00064CB9">
        <w:t>The report evaluates the financial position and performance of General Electronics in the year 2020-2024 in four segments i.e., Ration Analysis, Working Capital Analysis, Going Concern Analysis, and Cash Flow Analysis. It then proposes an integrated turnaround plan, e.g. on financial redesigning and governance practices of an international consumer electronics company. Finally, it performs an a priori evaluation of three investment projects, with 10 percent cost of capital and 60m capitals constraint to the PBP, ARR, NPV, PI and IRR through establishing correlations between the decision and the risk profile and capital constraints of the firm. The nature of the analysis relies on the already available literature on finance regarding financial ratios, working capital cycles, predicting failure, restructuring, and capital budgeting</w:t>
      </w:r>
      <w:r w:rsidRPr="00064CB9">
        <w:t>.​</w:t>
      </w:r>
    </w:p>
    <w:p w14:paraId="063A7CC1" w14:textId="086E0BA7" w:rsidR="00B30482" w:rsidRPr="00064CB9" w:rsidRDefault="00B30482" w:rsidP="00D36275">
      <w:pPr>
        <w:pStyle w:val="Heading1"/>
        <w:rPr>
          <w:lang w:val="en-GB"/>
        </w:rPr>
      </w:pPr>
      <w:bookmarkStart w:id="2" w:name="_Toc211978697"/>
      <w:r w:rsidRPr="00064CB9">
        <w:rPr>
          <w:lang w:val="en-GB"/>
        </w:rPr>
        <w:t>Financial Health Check</w:t>
      </w:r>
      <w:bookmarkEnd w:id="2"/>
    </w:p>
    <w:p w14:paraId="76FABBF9" w14:textId="512BD44C" w:rsidR="006C2A1B" w:rsidRPr="00064CB9" w:rsidRDefault="00B30482" w:rsidP="00B30482">
      <w:bookmarkStart w:id="3" w:name="_Toc211978698"/>
      <w:r w:rsidRPr="00064CB9">
        <w:rPr>
          <w:rStyle w:val="Heading2Char"/>
        </w:rPr>
        <w:t>Profitability</w:t>
      </w:r>
      <w:bookmarkEnd w:id="3"/>
      <w:r w:rsidRPr="00064CB9">
        <w:rPr>
          <w:rStyle w:val="Heading2Char"/>
        </w:rPr>
        <w:br/>
      </w:r>
      <w:r w:rsidR="002A0EFA" w:rsidRPr="00064CB9">
        <w:t>The good structural point is that the gross profit margin has also been stable at approximately 28-29% (except that it has decreased to 23.2 in 2023), meaning that there is pricing power and/or solid product mix even in the face of decreasing revenues. GE began on a good footing beginning in the year 2020. Nevertheless, its profitability has sharply decreased and dropped to (20.3) and then to 3.9% in 2023 and 2024 respectively</w:t>
      </w:r>
      <w:r w:rsidR="006C2A1B" w:rsidRPr="00064CB9">
        <w:t xml:space="preserve">. </w:t>
      </w:r>
    </w:p>
    <w:p w14:paraId="048DCFD5" w14:textId="4241C1CF" w:rsidR="00FC2AA0" w:rsidRPr="00064CB9" w:rsidRDefault="008D7F19" w:rsidP="00FC2AA0">
      <w:pPr>
        <w:jc w:val="center"/>
      </w:pPr>
      <w:r w:rsidRPr="00064CB9">
        <w:rPr>
          <w:noProof/>
        </w:rPr>
        <w:drawing>
          <wp:inline distT="0" distB="0" distL="0" distR="0" wp14:anchorId="79CB72A0" wp14:editId="11173465">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6318B36" w14:textId="10EB43A3" w:rsidR="0016289E" w:rsidRPr="00064CB9" w:rsidRDefault="0016289E" w:rsidP="00B30482">
      <w:r w:rsidRPr="00064CB9">
        <w:t xml:space="preserve">These problems suggest severe structural deficiencies instead of just cyclical recession; the business model needs to be examined and redesigned. The same trend is reflected in negative net profit margins, the ROA decreasing to -27.6% in 2023 and -7.4% in 2024. ROE records </w:t>
      </w:r>
      <w:r w:rsidRPr="00064CB9">
        <w:lastRenderedPageBreak/>
        <w:t>even more dramatic decreases of 12.3% to -54.9% and -15.7% indicating that the shareholders have had an unfair share of losses and shattered equity</w:t>
      </w:r>
      <w:r w:rsidR="004E11DA">
        <w:t xml:space="preserve"> </w:t>
      </w:r>
      <w:r w:rsidR="004E11DA" w:rsidRPr="004E11DA">
        <w:t>(Corporate Finance Institute, 2023</w:t>
      </w:r>
      <w:r w:rsidR="004E11DA">
        <w:t xml:space="preserve">; </w:t>
      </w:r>
      <w:proofErr w:type="spellStart"/>
      <w:r w:rsidR="004E11DA" w:rsidRPr="004E11DA">
        <w:t>Jariah</w:t>
      </w:r>
      <w:proofErr w:type="spellEnd"/>
      <w:r w:rsidR="004E11DA" w:rsidRPr="004E11DA">
        <w:t xml:space="preserve"> &amp; </w:t>
      </w:r>
      <w:proofErr w:type="spellStart"/>
      <w:r w:rsidR="004E11DA" w:rsidRPr="004E11DA">
        <w:t>Budiwati</w:t>
      </w:r>
      <w:proofErr w:type="spellEnd"/>
      <w:r w:rsidR="004E11DA" w:rsidRPr="004E11DA">
        <w:t>, 2021)</w:t>
      </w:r>
      <w:r w:rsidR="004E11DA">
        <w:t>.</w:t>
      </w:r>
    </w:p>
    <w:p w14:paraId="6890299F" w14:textId="7B655829" w:rsidR="00B32A9F" w:rsidRPr="00064CB9" w:rsidRDefault="00B30482" w:rsidP="00B30482">
      <w:bookmarkStart w:id="4" w:name="_Toc211978699"/>
      <w:r w:rsidRPr="00064CB9">
        <w:rPr>
          <w:rStyle w:val="Heading2Char"/>
        </w:rPr>
        <w:t>Liquidity</w:t>
      </w:r>
      <w:bookmarkEnd w:id="4"/>
      <w:r w:rsidRPr="00064CB9">
        <w:rPr>
          <w:rStyle w:val="Heading2Char"/>
        </w:rPr>
        <w:br/>
      </w:r>
      <w:r w:rsidR="0016289E" w:rsidRPr="00064CB9">
        <w:t xml:space="preserve">The current ratio is the capacity to pay current commitments using current assets and has been somewhat above 1.5 throughout the time but declined between 1.82 and 1.53 in 2020 and 2024, respectively. There are similar trends of the quick ratio (without inventories) of about 1.0 to 1.15. </w:t>
      </w:r>
      <w:r w:rsidR="006612B4" w:rsidRPr="00064CB9">
        <w:t>On the other hand, cash ratio indicates</w:t>
      </w:r>
      <w:r w:rsidR="0016289E" w:rsidRPr="00064CB9">
        <w:t xml:space="preserve"> immediate liquidity</w:t>
      </w:r>
      <w:r w:rsidR="006612B4" w:rsidRPr="00064CB9">
        <w:t xml:space="preserve"> which made it a crucial aspect</w:t>
      </w:r>
      <w:r w:rsidR="0016289E" w:rsidRPr="00064CB9">
        <w:t>, as it decreased to 0.17 in 2024</w:t>
      </w:r>
      <w:r w:rsidR="006612B4" w:rsidRPr="00064CB9">
        <w:t>.</w:t>
      </w:r>
    </w:p>
    <w:p w14:paraId="0A740EC6" w14:textId="7C544C81" w:rsidR="00B32A9F" w:rsidRPr="00064CB9" w:rsidRDefault="00B32A9F" w:rsidP="00B32A9F">
      <w:pPr>
        <w:jc w:val="center"/>
      </w:pPr>
      <w:r w:rsidRPr="00064CB9">
        <w:rPr>
          <w:noProof/>
        </w:rPr>
        <w:drawing>
          <wp:inline distT="0" distB="0" distL="0" distR="0" wp14:anchorId="4907F64F" wp14:editId="61FD3470">
            <wp:extent cx="4572000" cy="2743200"/>
            <wp:effectExtent l="0" t="0" r="0" b="0"/>
            <wp:docPr id="2" name="Chart 2">
              <a:extLst xmlns:a="http://schemas.openxmlformats.org/drawingml/2006/main">
                <a:ext uri="{FF2B5EF4-FFF2-40B4-BE49-F238E27FC236}">
                  <a16:creationId xmlns:a16="http://schemas.microsoft.com/office/drawing/2014/main" id="{4D9E2BFA-41FB-48A9-9EC0-9A74A0A44C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B062088" w14:textId="49B3C722" w:rsidR="00B30482" w:rsidRPr="00064CB9" w:rsidRDefault="0016289E" w:rsidP="00B30482">
      <w:r w:rsidRPr="00064CB9">
        <w:t>According to liquidity literature, ratios of above 1.0 are low levels; weak balances in such cases are compounded by high levels of inventory and receivables, which add to the execution risk whereby the ratio becomes even higher as these continue to worsen during weak times</w:t>
      </w:r>
      <w:r w:rsidR="004E11DA">
        <w:t xml:space="preserve"> </w:t>
      </w:r>
      <w:r w:rsidR="004E11DA" w:rsidRPr="004E11DA">
        <w:t>(</w:t>
      </w:r>
      <w:proofErr w:type="spellStart"/>
      <w:r w:rsidR="004E11DA" w:rsidRPr="004E11DA">
        <w:t>HighRadius</w:t>
      </w:r>
      <w:proofErr w:type="spellEnd"/>
      <w:r w:rsidR="004E11DA" w:rsidRPr="004E11DA">
        <w:t>, 2024</w:t>
      </w:r>
      <w:r w:rsidR="004E11DA">
        <w:t xml:space="preserve">; </w:t>
      </w:r>
      <w:proofErr w:type="spellStart"/>
      <w:r w:rsidR="004E11DA" w:rsidRPr="004E11DA">
        <w:t>Hasanaj</w:t>
      </w:r>
      <w:proofErr w:type="spellEnd"/>
      <w:r w:rsidR="004E11DA" w:rsidRPr="004E11DA">
        <w:t xml:space="preserve"> &amp; </w:t>
      </w:r>
      <w:proofErr w:type="spellStart"/>
      <w:r w:rsidR="004E11DA" w:rsidRPr="004E11DA">
        <w:t>Kuqi</w:t>
      </w:r>
      <w:proofErr w:type="spellEnd"/>
      <w:r w:rsidR="004E11DA" w:rsidRPr="004E11DA">
        <w:t>, 2019))</w:t>
      </w:r>
      <w:r w:rsidR="00A546E3" w:rsidRPr="00064CB9">
        <w:t>.</w:t>
      </w:r>
      <w:r w:rsidR="00B30482" w:rsidRPr="00064CB9">
        <w:t>​</w:t>
      </w:r>
    </w:p>
    <w:p w14:paraId="30AE2CBA" w14:textId="0F8F9923" w:rsidR="001F36EB" w:rsidRPr="00064CB9" w:rsidRDefault="00B30482" w:rsidP="00B30482">
      <w:bookmarkStart w:id="5" w:name="_Toc211978700"/>
      <w:r w:rsidRPr="00064CB9">
        <w:rPr>
          <w:rStyle w:val="Heading2Char"/>
        </w:rPr>
        <w:t>Efficiency</w:t>
      </w:r>
      <w:bookmarkEnd w:id="5"/>
      <w:r w:rsidRPr="00064CB9">
        <w:rPr>
          <w:rStyle w:val="Heading2Char"/>
        </w:rPr>
        <w:br/>
      </w:r>
      <w:r w:rsidR="006E2AC3" w:rsidRPr="00064CB9">
        <w:t xml:space="preserve">The asset turnover experienced a slight change only between 1.08 and 1.22 indicating that there was a slight decrease in turnover and relatively recovered revenue per unit of asset. The level of inventory turnover was also on an improving course (3.66x 2023 to 3.54x 2024), though it is clear that there is some improvement in inventory management; the level of days of inventory on hand is high (approximately 100-131 days). There was less receivables turnover, and the days sales outstanding which had been on the rise of between 76-98 days declined to 105.5 </w:t>
      </w:r>
      <w:r w:rsidR="006E2AC3" w:rsidRPr="00064CB9">
        <w:lastRenderedPageBreak/>
        <w:t>days in 2024 which suggests a slow cash collection due to weakening customer credit policy or channel stress</w:t>
      </w:r>
      <w:r w:rsidR="00D068F2" w:rsidRPr="00064CB9">
        <w:t>.</w:t>
      </w:r>
    </w:p>
    <w:tbl>
      <w:tblPr>
        <w:tblW w:w="5000" w:type="pct"/>
        <w:tblLook w:val="04A0" w:firstRow="1" w:lastRow="0" w:firstColumn="1" w:lastColumn="0" w:noHBand="0" w:noVBand="1"/>
      </w:tblPr>
      <w:tblGrid>
        <w:gridCol w:w="980"/>
        <w:gridCol w:w="854"/>
        <w:gridCol w:w="947"/>
        <w:gridCol w:w="983"/>
        <w:gridCol w:w="764"/>
        <w:gridCol w:w="908"/>
        <w:gridCol w:w="908"/>
        <w:gridCol w:w="2662"/>
      </w:tblGrid>
      <w:tr w:rsidR="00312C2F" w:rsidRPr="00064CB9" w14:paraId="40B3B56C" w14:textId="1595F75E" w:rsidTr="006612B4">
        <w:trPr>
          <w:trHeight w:val="315"/>
        </w:trPr>
        <w:tc>
          <w:tcPr>
            <w:tcW w:w="544" w:type="pct"/>
            <w:tcBorders>
              <w:top w:val="single" w:sz="8" w:space="0" w:color="auto"/>
              <w:left w:val="single" w:sz="8" w:space="0" w:color="auto"/>
              <w:bottom w:val="single" w:sz="8" w:space="0" w:color="auto"/>
              <w:right w:val="single" w:sz="8" w:space="0" w:color="auto"/>
            </w:tcBorders>
          </w:tcPr>
          <w:p w14:paraId="57A46762" w14:textId="3A9CA3C7" w:rsidR="00312C2F" w:rsidRPr="00064CB9" w:rsidRDefault="00312C2F" w:rsidP="00312C2F">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Years</w:t>
            </w:r>
          </w:p>
        </w:tc>
        <w:tc>
          <w:tcPr>
            <w:tcW w:w="474" w:type="pct"/>
            <w:tcBorders>
              <w:top w:val="single" w:sz="8" w:space="0" w:color="auto"/>
              <w:left w:val="single" w:sz="8" w:space="0" w:color="auto"/>
              <w:bottom w:val="single" w:sz="8" w:space="0" w:color="auto"/>
              <w:right w:val="single" w:sz="8" w:space="0" w:color="auto"/>
            </w:tcBorders>
            <w:vAlign w:val="center"/>
            <w:hideMark/>
          </w:tcPr>
          <w:p w14:paraId="35ECF47B" w14:textId="12155682" w:rsidR="00312C2F" w:rsidRPr="00064CB9" w:rsidRDefault="00312C2F" w:rsidP="00312C2F">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AT x</w:t>
            </w:r>
          </w:p>
        </w:tc>
        <w:tc>
          <w:tcPr>
            <w:tcW w:w="526" w:type="pct"/>
            <w:tcBorders>
              <w:top w:val="single" w:sz="8" w:space="0" w:color="auto"/>
              <w:left w:val="nil"/>
              <w:bottom w:val="single" w:sz="8" w:space="0" w:color="auto"/>
              <w:right w:val="single" w:sz="8" w:space="0" w:color="auto"/>
            </w:tcBorders>
            <w:vAlign w:val="center"/>
            <w:hideMark/>
          </w:tcPr>
          <w:p w14:paraId="5E6BDEE2" w14:textId="77777777" w:rsidR="00312C2F" w:rsidRPr="00064CB9" w:rsidRDefault="00312C2F" w:rsidP="00312C2F">
            <w:pPr>
              <w:spacing w:before="0" w:after="0" w:line="240" w:lineRule="auto"/>
              <w:rPr>
                <w:rFonts w:eastAsia="Times New Roman" w:cs="Times New Roman"/>
                <w:b/>
                <w:bCs/>
                <w:color w:val="000000"/>
                <w:szCs w:val="24"/>
              </w:rPr>
            </w:pPr>
            <w:proofErr w:type="spellStart"/>
            <w:r w:rsidRPr="00064CB9">
              <w:rPr>
                <w:rFonts w:eastAsia="Times New Roman" w:cs="Times New Roman"/>
                <w:b/>
                <w:bCs/>
                <w:color w:val="000000"/>
                <w:szCs w:val="24"/>
              </w:rPr>
              <w:t>InvT</w:t>
            </w:r>
            <w:proofErr w:type="spellEnd"/>
            <w:r w:rsidRPr="00064CB9">
              <w:rPr>
                <w:rFonts w:eastAsia="Times New Roman" w:cs="Times New Roman"/>
                <w:b/>
                <w:bCs/>
                <w:color w:val="000000"/>
                <w:szCs w:val="24"/>
              </w:rPr>
              <w:t xml:space="preserve"> x</w:t>
            </w:r>
          </w:p>
        </w:tc>
        <w:tc>
          <w:tcPr>
            <w:tcW w:w="546" w:type="pct"/>
            <w:tcBorders>
              <w:top w:val="single" w:sz="8" w:space="0" w:color="auto"/>
              <w:left w:val="nil"/>
              <w:bottom w:val="single" w:sz="8" w:space="0" w:color="auto"/>
              <w:right w:val="single" w:sz="8" w:space="0" w:color="auto"/>
            </w:tcBorders>
            <w:vAlign w:val="center"/>
            <w:hideMark/>
          </w:tcPr>
          <w:p w14:paraId="6B5279E3" w14:textId="77777777" w:rsidR="00312C2F" w:rsidRPr="00064CB9" w:rsidRDefault="00312C2F" w:rsidP="00312C2F">
            <w:pPr>
              <w:spacing w:before="0" w:after="0" w:line="240" w:lineRule="auto"/>
              <w:rPr>
                <w:rFonts w:eastAsia="Times New Roman" w:cs="Times New Roman"/>
                <w:b/>
                <w:bCs/>
                <w:color w:val="000000"/>
                <w:szCs w:val="24"/>
              </w:rPr>
            </w:pPr>
            <w:proofErr w:type="spellStart"/>
            <w:r w:rsidRPr="00064CB9">
              <w:rPr>
                <w:rFonts w:eastAsia="Times New Roman" w:cs="Times New Roman"/>
                <w:b/>
                <w:bCs/>
                <w:color w:val="000000"/>
                <w:szCs w:val="24"/>
              </w:rPr>
              <w:t>RecT</w:t>
            </w:r>
            <w:proofErr w:type="spellEnd"/>
            <w:r w:rsidRPr="00064CB9">
              <w:rPr>
                <w:rFonts w:eastAsia="Times New Roman" w:cs="Times New Roman"/>
                <w:b/>
                <w:bCs/>
                <w:color w:val="000000"/>
                <w:szCs w:val="24"/>
              </w:rPr>
              <w:t xml:space="preserve"> x</w:t>
            </w:r>
          </w:p>
        </w:tc>
        <w:tc>
          <w:tcPr>
            <w:tcW w:w="424" w:type="pct"/>
            <w:tcBorders>
              <w:top w:val="single" w:sz="8" w:space="0" w:color="auto"/>
              <w:left w:val="nil"/>
              <w:bottom w:val="single" w:sz="8" w:space="0" w:color="auto"/>
              <w:right w:val="single" w:sz="8" w:space="0" w:color="auto"/>
            </w:tcBorders>
            <w:vAlign w:val="center"/>
            <w:hideMark/>
          </w:tcPr>
          <w:p w14:paraId="561AE7FC" w14:textId="77777777" w:rsidR="00312C2F" w:rsidRPr="00064CB9" w:rsidRDefault="00312C2F" w:rsidP="00312C2F">
            <w:pPr>
              <w:spacing w:before="0" w:after="0" w:line="240" w:lineRule="auto"/>
              <w:rPr>
                <w:rFonts w:eastAsia="Times New Roman" w:cs="Times New Roman"/>
                <w:b/>
                <w:bCs/>
                <w:color w:val="000000"/>
                <w:szCs w:val="24"/>
              </w:rPr>
            </w:pPr>
            <w:proofErr w:type="spellStart"/>
            <w:r w:rsidRPr="00064CB9">
              <w:rPr>
                <w:rFonts w:eastAsia="Times New Roman" w:cs="Times New Roman"/>
                <w:b/>
                <w:bCs/>
                <w:color w:val="000000"/>
                <w:szCs w:val="24"/>
              </w:rPr>
              <w:t>Inv</w:t>
            </w:r>
            <w:proofErr w:type="spellEnd"/>
            <w:r w:rsidRPr="00064CB9">
              <w:rPr>
                <w:rFonts w:eastAsia="Times New Roman" w:cs="Times New Roman"/>
                <w:b/>
                <w:bCs/>
                <w:color w:val="000000"/>
                <w:szCs w:val="24"/>
              </w:rPr>
              <w:t xml:space="preserve"> Days</w:t>
            </w:r>
          </w:p>
        </w:tc>
        <w:tc>
          <w:tcPr>
            <w:tcW w:w="504" w:type="pct"/>
            <w:tcBorders>
              <w:top w:val="single" w:sz="8" w:space="0" w:color="auto"/>
              <w:left w:val="nil"/>
              <w:bottom w:val="single" w:sz="8" w:space="0" w:color="auto"/>
              <w:right w:val="single" w:sz="8" w:space="0" w:color="auto"/>
            </w:tcBorders>
            <w:vAlign w:val="center"/>
            <w:hideMark/>
          </w:tcPr>
          <w:p w14:paraId="61428563" w14:textId="77777777" w:rsidR="00312C2F" w:rsidRPr="00064CB9" w:rsidRDefault="00312C2F" w:rsidP="00312C2F">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Rec Days</w:t>
            </w:r>
          </w:p>
        </w:tc>
        <w:tc>
          <w:tcPr>
            <w:tcW w:w="504" w:type="pct"/>
            <w:tcBorders>
              <w:top w:val="single" w:sz="8" w:space="0" w:color="auto"/>
              <w:left w:val="nil"/>
              <w:bottom w:val="single" w:sz="8" w:space="0" w:color="auto"/>
              <w:right w:val="single" w:sz="8" w:space="0" w:color="auto"/>
            </w:tcBorders>
            <w:vAlign w:val="center"/>
            <w:hideMark/>
          </w:tcPr>
          <w:p w14:paraId="500414CF" w14:textId="77777777" w:rsidR="00312C2F" w:rsidRPr="00064CB9" w:rsidRDefault="00312C2F" w:rsidP="00312C2F">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Pay Days</w:t>
            </w:r>
          </w:p>
        </w:tc>
        <w:tc>
          <w:tcPr>
            <w:tcW w:w="1478" w:type="pct"/>
            <w:tcBorders>
              <w:top w:val="single" w:sz="8" w:space="0" w:color="auto"/>
              <w:left w:val="nil"/>
              <w:bottom w:val="single" w:sz="8" w:space="0" w:color="auto"/>
              <w:right w:val="single" w:sz="8" w:space="0" w:color="auto"/>
            </w:tcBorders>
            <w:vAlign w:val="center"/>
            <w:hideMark/>
          </w:tcPr>
          <w:p w14:paraId="479F2DFA" w14:textId="77777777" w:rsidR="00312C2F" w:rsidRPr="00064CB9" w:rsidRDefault="00312C2F" w:rsidP="00312C2F">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COC Days</w:t>
            </w:r>
          </w:p>
        </w:tc>
      </w:tr>
      <w:tr w:rsidR="00312C2F" w:rsidRPr="00064CB9" w14:paraId="19E8FDF9" w14:textId="637BE104" w:rsidTr="006612B4">
        <w:trPr>
          <w:trHeight w:val="315"/>
        </w:trPr>
        <w:tc>
          <w:tcPr>
            <w:tcW w:w="544" w:type="pct"/>
            <w:tcBorders>
              <w:top w:val="nil"/>
              <w:left w:val="single" w:sz="8" w:space="0" w:color="auto"/>
              <w:bottom w:val="single" w:sz="8" w:space="0" w:color="auto"/>
              <w:right w:val="single" w:sz="8" w:space="0" w:color="auto"/>
            </w:tcBorders>
          </w:tcPr>
          <w:p w14:paraId="12F36BF8" w14:textId="37D46FEE"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2020</w:t>
            </w:r>
          </w:p>
        </w:tc>
        <w:tc>
          <w:tcPr>
            <w:tcW w:w="474" w:type="pct"/>
            <w:tcBorders>
              <w:top w:val="nil"/>
              <w:left w:val="single" w:sz="8" w:space="0" w:color="auto"/>
              <w:bottom w:val="single" w:sz="8" w:space="0" w:color="auto"/>
              <w:right w:val="single" w:sz="8" w:space="0" w:color="auto"/>
            </w:tcBorders>
            <w:vAlign w:val="center"/>
            <w:hideMark/>
          </w:tcPr>
          <w:p w14:paraId="4943D5C3" w14:textId="591EF03E"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1.2</w:t>
            </w:r>
          </w:p>
        </w:tc>
        <w:tc>
          <w:tcPr>
            <w:tcW w:w="526" w:type="pct"/>
            <w:tcBorders>
              <w:top w:val="nil"/>
              <w:left w:val="nil"/>
              <w:bottom w:val="single" w:sz="8" w:space="0" w:color="auto"/>
              <w:right w:val="single" w:sz="8" w:space="0" w:color="auto"/>
            </w:tcBorders>
            <w:vAlign w:val="center"/>
            <w:hideMark/>
          </w:tcPr>
          <w:p w14:paraId="4A6C7866"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3.64</w:t>
            </w:r>
          </w:p>
        </w:tc>
        <w:tc>
          <w:tcPr>
            <w:tcW w:w="546" w:type="pct"/>
            <w:tcBorders>
              <w:top w:val="nil"/>
              <w:left w:val="nil"/>
              <w:bottom w:val="single" w:sz="8" w:space="0" w:color="auto"/>
              <w:right w:val="single" w:sz="8" w:space="0" w:color="auto"/>
            </w:tcBorders>
            <w:vAlign w:val="center"/>
            <w:hideMark/>
          </w:tcPr>
          <w:p w14:paraId="3E53C3BC"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4.75</w:t>
            </w:r>
          </w:p>
        </w:tc>
        <w:tc>
          <w:tcPr>
            <w:tcW w:w="424" w:type="pct"/>
            <w:tcBorders>
              <w:top w:val="nil"/>
              <w:left w:val="nil"/>
              <w:bottom w:val="single" w:sz="8" w:space="0" w:color="auto"/>
              <w:right w:val="single" w:sz="8" w:space="0" w:color="auto"/>
            </w:tcBorders>
            <w:vAlign w:val="center"/>
            <w:hideMark/>
          </w:tcPr>
          <w:p w14:paraId="2E88E59B"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100.3</w:t>
            </w:r>
          </w:p>
        </w:tc>
        <w:tc>
          <w:tcPr>
            <w:tcW w:w="504" w:type="pct"/>
            <w:tcBorders>
              <w:top w:val="nil"/>
              <w:left w:val="nil"/>
              <w:bottom w:val="single" w:sz="8" w:space="0" w:color="auto"/>
              <w:right w:val="single" w:sz="8" w:space="0" w:color="auto"/>
            </w:tcBorders>
            <w:vAlign w:val="center"/>
            <w:hideMark/>
          </w:tcPr>
          <w:p w14:paraId="54DD2AC6"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76.9</w:t>
            </w:r>
          </w:p>
        </w:tc>
        <w:tc>
          <w:tcPr>
            <w:tcW w:w="504" w:type="pct"/>
            <w:tcBorders>
              <w:top w:val="nil"/>
              <w:left w:val="nil"/>
              <w:bottom w:val="single" w:sz="8" w:space="0" w:color="auto"/>
              <w:right w:val="single" w:sz="8" w:space="0" w:color="auto"/>
            </w:tcBorders>
            <w:vAlign w:val="center"/>
            <w:hideMark/>
          </w:tcPr>
          <w:p w14:paraId="43BEC200"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69.3</w:t>
            </w:r>
          </w:p>
        </w:tc>
        <w:tc>
          <w:tcPr>
            <w:tcW w:w="1478" w:type="pct"/>
            <w:tcBorders>
              <w:top w:val="nil"/>
              <w:left w:val="nil"/>
              <w:bottom w:val="single" w:sz="8" w:space="0" w:color="auto"/>
              <w:right w:val="single" w:sz="8" w:space="0" w:color="auto"/>
            </w:tcBorders>
            <w:vAlign w:val="center"/>
            <w:hideMark/>
          </w:tcPr>
          <w:p w14:paraId="08254C33"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107.8</w:t>
            </w:r>
          </w:p>
        </w:tc>
      </w:tr>
      <w:tr w:rsidR="00312C2F" w:rsidRPr="00064CB9" w14:paraId="6309743D" w14:textId="60DA62FB" w:rsidTr="006612B4">
        <w:trPr>
          <w:trHeight w:val="315"/>
        </w:trPr>
        <w:tc>
          <w:tcPr>
            <w:tcW w:w="544" w:type="pct"/>
            <w:tcBorders>
              <w:top w:val="nil"/>
              <w:left w:val="single" w:sz="8" w:space="0" w:color="auto"/>
              <w:bottom w:val="single" w:sz="8" w:space="0" w:color="auto"/>
              <w:right w:val="single" w:sz="8" w:space="0" w:color="auto"/>
            </w:tcBorders>
          </w:tcPr>
          <w:p w14:paraId="4F31BE74" w14:textId="16221B6B"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2021</w:t>
            </w:r>
          </w:p>
        </w:tc>
        <w:tc>
          <w:tcPr>
            <w:tcW w:w="474" w:type="pct"/>
            <w:tcBorders>
              <w:top w:val="nil"/>
              <w:left w:val="single" w:sz="8" w:space="0" w:color="auto"/>
              <w:bottom w:val="single" w:sz="8" w:space="0" w:color="auto"/>
              <w:right w:val="single" w:sz="8" w:space="0" w:color="auto"/>
            </w:tcBorders>
            <w:vAlign w:val="center"/>
            <w:hideMark/>
          </w:tcPr>
          <w:p w14:paraId="1A63EAD6" w14:textId="1F81BCB9"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1.18</w:t>
            </w:r>
          </w:p>
        </w:tc>
        <w:tc>
          <w:tcPr>
            <w:tcW w:w="526" w:type="pct"/>
            <w:tcBorders>
              <w:top w:val="nil"/>
              <w:left w:val="nil"/>
              <w:bottom w:val="single" w:sz="8" w:space="0" w:color="auto"/>
              <w:right w:val="single" w:sz="8" w:space="0" w:color="auto"/>
            </w:tcBorders>
            <w:vAlign w:val="center"/>
            <w:hideMark/>
          </w:tcPr>
          <w:p w14:paraId="0634E21F"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3.19</w:t>
            </w:r>
          </w:p>
        </w:tc>
        <w:tc>
          <w:tcPr>
            <w:tcW w:w="546" w:type="pct"/>
            <w:tcBorders>
              <w:top w:val="nil"/>
              <w:left w:val="nil"/>
              <w:bottom w:val="single" w:sz="8" w:space="0" w:color="auto"/>
              <w:right w:val="single" w:sz="8" w:space="0" w:color="auto"/>
            </w:tcBorders>
            <w:vAlign w:val="center"/>
            <w:hideMark/>
          </w:tcPr>
          <w:p w14:paraId="35D37297"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4.66</w:t>
            </w:r>
          </w:p>
        </w:tc>
        <w:tc>
          <w:tcPr>
            <w:tcW w:w="424" w:type="pct"/>
            <w:tcBorders>
              <w:top w:val="nil"/>
              <w:left w:val="nil"/>
              <w:bottom w:val="single" w:sz="8" w:space="0" w:color="auto"/>
              <w:right w:val="single" w:sz="8" w:space="0" w:color="auto"/>
            </w:tcBorders>
            <w:vAlign w:val="center"/>
            <w:hideMark/>
          </w:tcPr>
          <w:p w14:paraId="0BDFCE98"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114.5</w:t>
            </w:r>
          </w:p>
        </w:tc>
        <w:tc>
          <w:tcPr>
            <w:tcW w:w="504" w:type="pct"/>
            <w:tcBorders>
              <w:top w:val="nil"/>
              <w:left w:val="nil"/>
              <w:bottom w:val="single" w:sz="8" w:space="0" w:color="auto"/>
              <w:right w:val="single" w:sz="8" w:space="0" w:color="auto"/>
            </w:tcBorders>
            <w:vAlign w:val="center"/>
            <w:hideMark/>
          </w:tcPr>
          <w:p w14:paraId="2405587D"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78.4</w:t>
            </w:r>
          </w:p>
        </w:tc>
        <w:tc>
          <w:tcPr>
            <w:tcW w:w="504" w:type="pct"/>
            <w:tcBorders>
              <w:top w:val="nil"/>
              <w:left w:val="nil"/>
              <w:bottom w:val="single" w:sz="8" w:space="0" w:color="auto"/>
              <w:right w:val="single" w:sz="8" w:space="0" w:color="auto"/>
            </w:tcBorders>
            <w:vAlign w:val="center"/>
            <w:hideMark/>
          </w:tcPr>
          <w:p w14:paraId="7C2080E2"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79</w:t>
            </w:r>
          </w:p>
        </w:tc>
        <w:tc>
          <w:tcPr>
            <w:tcW w:w="1478" w:type="pct"/>
            <w:tcBorders>
              <w:top w:val="nil"/>
              <w:left w:val="nil"/>
              <w:bottom w:val="single" w:sz="8" w:space="0" w:color="auto"/>
              <w:right w:val="single" w:sz="8" w:space="0" w:color="auto"/>
            </w:tcBorders>
            <w:vAlign w:val="center"/>
            <w:hideMark/>
          </w:tcPr>
          <w:p w14:paraId="05FD5744"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114</w:t>
            </w:r>
          </w:p>
        </w:tc>
      </w:tr>
      <w:tr w:rsidR="00312C2F" w:rsidRPr="00064CB9" w14:paraId="5FF7EBB5" w14:textId="626170DC" w:rsidTr="006612B4">
        <w:trPr>
          <w:trHeight w:val="315"/>
        </w:trPr>
        <w:tc>
          <w:tcPr>
            <w:tcW w:w="544" w:type="pct"/>
            <w:tcBorders>
              <w:top w:val="nil"/>
              <w:left w:val="single" w:sz="8" w:space="0" w:color="auto"/>
              <w:bottom w:val="single" w:sz="8" w:space="0" w:color="auto"/>
              <w:right w:val="single" w:sz="8" w:space="0" w:color="auto"/>
            </w:tcBorders>
          </w:tcPr>
          <w:p w14:paraId="19F69ADC" w14:textId="4537CA34"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2022</w:t>
            </w:r>
          </w:p>
        </w:tc>
        <w:tc>
          <w:tcPr>
            <w:tcW w:w="474" w:type="pct"/>
            <w:tcBorders>
              <w:top w:val="nil"/>
              <w:left w:val="single" w:sz="8" w:space="0" w:color="auto"/>
              <w:bottom w:val="single" w:sz="8" w:space="0" w:color="auto"/>
              <w:right w:val="single" w:sz="8" w:space="0" w:color="auto"/>
            </w:tcBorders>
            <w:vAlign w:val="center"/>
            <w:hideMark/>
          </w:tcPr>
          <w:p w14:paraId="7CBD2C43" w14:textId="4264394A"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1.08</w:t>
            </w:r>
          </w:p>
        </w:tc>
        <w:tc>
          <w:tcPr>
            <w:tcW w:w="526" w:type="pct"/>
            <w:tcBorders>
              <w:top w:val="nil"/>
              <w:left w:val="nil"/>
              <w:bottom w:val="single" w:sz="8" w:space="0" w:color="auto"/>
              <w:right w:val="single" w:sz="8" w:space="0" w:color="auto"/>
            </w:tcBorders>
            <w:vAlign w:val="center"/>
            <w:hideMark/>
          </w:tcPr>
          <w:p w14:paraId="0057F9F5"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2.79</w:t>
            </w:r>
          </w:p>
        </w:tc>
        <w:tc>
          <w:tcPr>
            <w:tcW w:w="546" w:type="pct"/>
            <w:tcBorders>
              <w:top w:val="nil"/>
              <w:left w:val="nil"/>
              <w:bottom w:val="single" w:sz="8" w:space="0" w:color="auto"/>
              <w:right w:val="single" w:sz="8" w:space="0" w:color="auto"/>
            </w:tcBorders>
            <w:vAlign w:val="center"/>
            <w:hideMark/>
          </w:tcPr>
          <w:p w14:paraId="4A1CE9F8"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4.83</w:t>
            </w:r>
          </w:p>
        </w:tc>
        <w:tc>
          <w:tcPr>
            <w:tcW w:w="424" w:type="pct"/>
            <w:tcBorders>
              <w:top w:val="nil"/>
              <w:left w:val="nil"/>
              <w:bottom w:val="single" w:sz="8" w:space="0" w:color="auto"/>
              <w:right w:val="single" w:sz="8" w:space="0" w:color="auto"/>
            </w:tcBorders>
            <w:vAlign w:val="center"/>
            <w:hideMark/>
          </w:tcPr>
          <w:p w14:paraId="5248B140"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131</w:t>
            </w:r>
          </w:p>
        </w:tc>
        <w:tc>
          <w:tcPr>
            <w:tcW w:w="504" w:type="pct"/>
            <w:tcBorders>
              <w:top w:val="nil"/>
              <w:left w:val="nil"/>
              <w:bottom w:val="single" w:sz="8" w:space="0" w:color="auto"/>
              <w:right w:val="single" w:sz="8" w:space="0" w:color="auto"/>
            </w:tcBorders>
            <w:vAlign w:val="center"/>
            <w:hideMark/>
          </w:tcPr>
          <w:p w14:paraId="49C4CA87"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75.6</w:t>
            </w:r>
          </w:p>
        </w:tc>
        <w:tc>
          <w:tcPr>
            <w:tcW w:w="504" w:type="pct"/>
            <w:tcBorders>
              <w:top w:val="nil"/>
              <w:left w:val="nil"/>
              <w:bottom w:val="single" w:sz="8" w:space="0" w:color="auto"/>
              <w:right w:val="single" w:sz="8" w:space="0" w:color="auto"/>
            </w:tcBorders>
            <w:vAlign w:val="center"/>
            <w:hideMark/>
          </w:tcPr>
          <w:p w14:paraId="1D9A7490"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66.7</w:t>
            </w:r>
          </w:p>
        </w:tc>
        <w:tc>
          <w:tcPr>
            <w:tcW w:w="1478" w:type="pct"/>
            <w:tcBorders>
              <w:top w:val="nil"/>
              <w:left w:val="nil"/>
              <w:bottom w:val="single" w:sz="8" w:space="0" w:color="auto"/>
              <w:right w:val="single" w:sz="8" w:space="0" w:color="auto"/>
            </w:tcBorders>
            <w:vAlign w:val="center"/>
            <w:hideMark/>
          </w:tcPr>
          <w:p w14:paraId="497671C8"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139.9</w:t>
            </w:r>
          </w:p>
        </w:tc>
      </w:tr>
      <w:tr w:rsidR="00312C2F" w:rsidRPr="00064CB9" w14:paraId="04CECC58" w14:textId="0AA6323C" w:rsidTr="006612B4">
        <w:trPr>
          <w:trHeight w:val="315"/>
        </w:trPr>
        <w:tc>
          <w:tcPr>
            <w:tcW w:w="544" w:type="pct"/>
            <w:tcBorders>
              <w:top w:val="nil"/>
              <w:left w:val="single" w:sz="8" w:space="0" w:color="auto"/>
              <w:bottom w:val="single" w:sz="8" w:space="0" w:color="auto"/>
              <w:right w:val="single" w:sz="8" w:space="0" w:color="auto"/>
            </w:tcBorders>
          </w:tcPr>
          <w:p w14:paraId="1CFB45FC" w14:textId="6AF0D8D8"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2023</w:t>
            </w:r>
          </w:p>
        </w:tc>
        <w:tc>
          <w:tcPr>
            <w:tcW w:w="474" w:type="pct"/>
            <w:tcBorders>
              <w:top w:val="nil"/>
              <w:left w:val="single" w:sz="8" w:space="0" w:color="auto"/>
              <w:bottom w:val="single" w:sz="8" w:space="0" w:color="auto"/>
              <w:right w:val="single" w:sz="8" w:space="0" w:color="auto"/>
            </w:tcBorders>
            <w:vAlign w:val="center"/>
            <w:hideMark/>
          </w:tcPr>
          <w:p w14:paraId="451A67BA" w14:textId="249FAEA2"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1.18</w:t>
            </w:r>
          </w:p>
        </w:tc>
        <w:tc>
          <w:tcPr>
            <w:tcW w:w="526" w:type="pct"/>
            <w:tcBorders>
              <w:top w:val="nil"/>
              <w:left w:val="nil"/>
              <w:bottom w:val="single" w:sz="8" w:space="0" w:color="auto"/>
              <w:right w:val="single" w:sz="8" w:space="0" w:color="auto"/>
            </w:tcBorders>
            <w:vAlign w:val="center"/>
            <w:hideMark/>
          </w:tcPr>
          <w:p w14:paraId="210A36C5"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3.66</w:t>
            </w:r>
          </w:p>
        </w:tc>
        <w:tc>
          <w:tcPr>
            <w:tcW w:w="546" w:type="pct"/>
            <w:tcBorders>
              <w:top w:val="nil"/>
              <w:left w:val="nil"/>
              <w:bottom w:val="single" w:sz="8" w:space="0" w:color="auto"/>
              <w:right w:val="single" w:sz="8" w:space="0" w:color="auto"/>
            </w:tcBorders>
            <w:vAlign w:val="center"/>
            <w:hideMark/>
          </w:tcPr>
          <w:p w14:paraId="1FE3E222"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3.73</w:t>
            </w:r>
          </w:p>
        </w:tc>
        <w:tc>
          <w:tcPr>
            <w:tcW w:w="424" w:type="pct"/>
            <w:tcBorders>
              <w:top w:val="nil"/>
              <w:left w:val="nil"/>
              <w:bottom w:val="single" w:sz="8" w:space="0" w:color="auto"/>
              <w:right w:val="single" w:sz="8" w:space="0" w:color="auto"/>
            </w:tcBorders>
            <w:vAlign w:val="center"/>
            <w:hideMark/>
          </w:tcPr>
          <w:p w14:paraId="0466FF88"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99.8</w:t>
            </w:r>
          </w:p>
        </w:tc>
        <w:tc>
          <w:tcPr>
            <w:tcW w:w="504" w:type="pct"/>
            <w:tcBorders>
              <w:top w:val="nil"/>
              <w:left w:val="nil"/>
              <w:bottom w:val="single" w:sz="8" w:space="0" w:color="auto"/>
              <w:right w:val="single" w:sz="8" w:space="0" w:color="auto"/>
            </w:tcBorders>
            <w:vAlign w:val="center"/>
            <w:hideMark/>
          </w:tcPr>
          <w:p w14:paraId="7E65BB53"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97.7</w:t>
            </w:r>
          </w:p>
        </w:tc>
        <w:tc>
          <w:tcPr>
            <w:tcW w:w="504" w:type="pct"/>
            <w:tcBorders>
              <w:top w:val="nil"/>
              <w:left w:val="nil"/>
              <w:bottom w:val="single" w:sz="8" w:space="0" w:color="auto"/>
              <w:right w:val="single" w:sz="8" w:space="0" w:color="auto"/>
            </w:tcBorders>
            <w:vAlign w:val="center"/>
            <w:hideMark/>
          </w:tcPr>
          <w:p w14:paraId="1FD064D4"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64.5</w:t>
            </w:r>
          </w:p>
        </w:tc>
        <w:tc>
          <w:tcPr>
            <w:tcW w:w="1478" w:type="pct"/>
            <w:tcBorders>
              <w:top w:val="nil"/>
              <w:left w:val="nil"/>
              <w:bottom w:val="single" w:sz="8" w:space="0" w:color="auto"/>
              <w:right w:val="single" w:sz="8" w:space="0" w:color="auto"/>
            </w:tcBorders>
            <w:vAlign w:val="center"/>
            <w:hideMark/>
          </w:tcPr>
          <w:p w14:paraId="18B8CE4B"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133.1</w:t>
            </w:r>
          </w:p>
        </w:tc>
      </w:tr>
      <w:tr w:rsidR="00312C2F" w:rsidRPr="00064CB9" w14:paraId="12EDE0DA" w14:textId="06192FF4" w:rsidTr="006612B4">
        <w:trPr>
          <w:trHeight w:val="315"/>
        </w:trPr>
        <w:tc>
          <w:tcPr>
            <w:tcW w:w="544" w:type="pct"/>
            <w:tcBorders>
              <w:top w:val="nil"/>
              <w:left w:val="single" w:sz="8" w:space="0" w:color="auto"/>
              <w:bottom w:val="single" w:sz="8" w:space="0" w:color="auto"/>
              <w:right w:val="single" w:sz="8" w:space="0" w:color="auto"/>
            </w:tcBorders>
          </w:tcPr>
          <w:p w14:paraId="39E50D3B" w14:textId="5AFB3EB1" w:rsidR="00312C2F" w:rsidRPr="00064CB9" w:rsidRDefault="008E28F5"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2024</w:t>
            </w:r>
          </w:p>
        </w:tc>
        <w:tc>
          <w:tcPr>
            <w:tcW w:w="474" w:type="pct"/>
            <w:tcBorders>
              <w:top w:val="nil"/>
              <w:left w:val="single" w:sz="8" w:space="0" w:color="auto"/>
              <w:bottom w:val="single" w:sz="8" w:space="0" w:color="auto"/>
              <w:right w:val="single" w:sz="8" w:space="0" w:color="auto"/>
            </w:tcBorders>
            <w:vAlign w:val="center"/>
            <w:hideMark/>
          </w:tcPr>
          <w:p w14:paraId="0C820F2F" w14:textId="6EB892CF"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1.22</w:t>
            </w:r>
          </w:p>
        </w:tc>
        <w:tc>
          <w:tcPr>
            <w:tcW w:w="526" w:type="pct"/>
            <w:tcBorders>
              <w:top w:val="nil"/>
              <w:left w:val="nil"/>
              <w:bottom w:val="single" w:sz="8" w:space="0" w:color="auto"/>
              <w:right w:val="single" w:sz="8" w:space="0" w:color="auto"/>
            </w:tcBorders>
            <w:vAlign w:val="center"/>
            <w:hideMark/>
          </w:tcPr>
          <w:p w14:paraId="748D2EED"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3.54</w:t>
            </w:r>
          </w:p>
        </w:tc>
        <w:tc>
          <w:tcPr>
            <w:tcW w:w="546" w:type="pct"/>
            <w:tcBorders>
              <w:top w:val="nil"/>
              <w:left w:val="nil"/>
              <w:bottom w:val="single" w:sz="8" w:space="0" w:color="auto"/>
              <w:right w:val="single" w:sz="8" w:space="0" w:color="auto"/>
            </w:tcBorders>
            <w:vAlign w:val="center"/>
            <w:hideMark/>
          </w:tcPr>
          <w:p w14:paraId="674E246B"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3.46</w:t>
            </w:r>
          </w:p>
        </w:tc>
        <w:tc>
          <w:tcPr>
            <w:tcW w:w="424" w:type="pct"/>
            <w:tcBorders>
              <w:top w:val="nil"/>
              <w:left w:val="nil"/>
              <w:bottom w:val="single" w:sz="8" w:space="0" w:color="auto"/>
              <w:right w:val="single" w:sz="8" w:space="0" w:color="auto"/>
            </w:tcBorders>
            <w:vAlign w:val="center"/>
            <w:hideMark/>
          </w:tcPr>
          <w:p w14:paraId="3BD8137C"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103.1</w:t>
            </w:r>
          </w:p>
        </w:tc>
        <w:tc>
          <w:tcPr>
            <w:tcW w:w="504" w:type="pct"/>
            <w:tcBorders>
              <w:top w:val="nil"/>
              <w:left w:val="nil"/>
              <w:bottom w:val="single" w:sz="8" w:space="0" w:color="auto"/>
              <w:right w:val="single" w:sz="8" w:space="0" w:color="auto"/>
            </w:tcBorders>
            <w:vAlign w:val="center"/>
            <w:hideMark/>
          </w:tcPr>
          <w:p w14:paraId="6B704420"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105.5</w:t>
            </w:r>
          </w:p>
        </w:tc>
        <w:tc>
          <w:tcPr>
            <w:tcW w:w="504" w:type="pct"/>
            <w:tcBorders>
              <w:top w:val="nil"/>
              <w:left w:val="nil"/>
              <w:bottom w:val="single" w:sz="8" w:space="0" w:color="auto"/>
              <w:right w:val="single" w:sz="8" w:space="0" w:color="auto"/>
            </w:tcBorders>
            <w:vAlign w:val="center"/>
            <w:hideMark/>
          </w:tcPr>
          <w:p w14:paraId="4CF275C9"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93.6</w:t>
            </w:r>
          </w:p>
        </w:tc>
        <w:tc>
          <w:tcPr>
            <w:tcW w:w="1478" w:type="pct"/>
            <w:tcBorders>
              <w:top w:val="nil"/>
              <w:left w:val="nil"/>
              <w:bottom w:val="single" w:sz="8" w:space="0" w:color="auto"/>
              <w:right w:val="single" w:sz="8" w:space="0" w:color="auto"/>
            </w:tcBorders>
            <w:vAlign w:val="center"/>
            <w:hideMark/>
          </w:tcPr>
          <w:p w14:paraId="0C9D8B18" w14:textId="77777777" w:rsidR="00312C2F" w:rsidRPr="00064CB9" w:rsidRDefault="00312C2F" w:rsidP="00312C2F">
            <w:pPr>
              <w:spacing w:before="0" w:after="0" w:line="240" w:lineRule="auto"/>
              <w:rPr>
                <w:rFonts w:eastAsia="Times New Roman" w:cs="Times New Roman"/>
                <w:color w:val="000000"/>
                <w:szCs w:val="24"/>
              </w:rPr>
            </w:pPr>
            <w:r w:rsidRPr="00064CB9">
              <w:rPr>
                <w:rFonts w:eastAsia="Times New Roman" w:cs="Times New Roman"/>
                <w:color w:val="000000"/>
                <w:szCs w:val="24"/>
              </w:rPr>
              <w:t>115.1</w:t>
            </w:r>
          </w:p>
        </w:tc>
      </w:tr>
    </w:tbl>
    <w:p w14:paraId="751AC61D" w14:textId="2C8E875A" w:rsidR="00B30482" w:rsidRPr="00064CB9" w:rsidRDefault="006E2AC3" w:rsidP="00B30482">
      <w:r w:rsidRPr="00064CB9">
        <w:t>The payable days were recently lengthened to 93.6 days, which is useful in slowing out cash flow, but has the potential to cause tension between suppliers without care. The cash operating cycle has remained high (108-140 days), therefore, tying up lots of capital and compromising free cash flow generation</w:t>
      </w:r>
      <w:r w:rsidR="004E11DA">
        <w:t xml:space="preserve"> </w:t>
      </w:r>
      <w:r w:rsidR="004E11DA" w:rsidRPr="004E11DA">
        <w:t>(Corporate Finance Institute, 2025a</w:t>
      </w:r>
      <w:r w:rsidR="004E11DA">
        <w:t xml:space="preserve">; </w:t>
      </w:r>
      <w:r w:rsidR="004E11DA" w:rsidRPr="004E11DA">
        <w:t>Husna &amp; Satria, 2019)</w:t>
      </w:r>
      <w:r w:rsidRPr="00064CB9">
        <w:t>.</w:t>
      </w:r>
      <w:r w:rsidR="00B30482" w:rsidRPr="00064CB9">
        <w:t>​</w:t>
      </w:r>
    </w:p>
    <w:p w14:paraId="7BD430A5" w14:textId="77777777" w:rsidR="00D36275" w:rsidRPr="00064CB9" w:rsidRDefault="00B30482" w:rsidP="00D36275">
      <w:pPr>
        <w:pStyle w:val="Heading2"/>
      </w:pPr>
      <w:bookmarkStart w:id="6" w:name="_Toc211978701"/>
      <w:r w:rsidRPr="00064CB9">
        <w:t>Gearing and coverage</w:t>
      </w:r>
      <w:bookmarkEnd w:id="6"/>
    </w:p>
    <w:p w14:paraId="53588B88" w14:textId="0C0430D0" w:rsidR="001F36EB" w:rsidRPr="00064CB9" w:rsidRDefault="006E2AC3" w:rsidP="00B30482">
      <w:r w:rsidRPr="00064CB9">
        <w:t>The debt-to-equity increased consistently between 0.63 in 2020 and 1.11 in 2024 indicating dependence on debt financing as opposed to shareholder equity financing. Debt-to-assets also went up to 0.53, up to 0.39. Interest coverage became negative (-19.7x in 2023, -4.6x in 2024), indicating that operating losses are not covering interest receivables, and indicating the increased refinancing risk</w:t>
      </w:r>
      <w:r w:rsidR="00E01EA6" w:rsidRPr="00064CB9">
        <w:t>.</w:t>
      </w:r>
    </w:p>
    <w:p w14:paraId="6C0B7228" w14:textId="5DF461AF" w:rsidR="001F36EB" w:rsidRPr="00064CB9" w:rsidRDefault="001F36EB" w:rsidP="001F36EB">
      <w:pPr>
        <w:jc w:val="center"/>
      </w:pPr>
      <w:r w:rsidRPr="00064CB9">
        <w:rPr>
          <w:noProof/>
        </w:rPr>
        <w:drawing>
          <wp:inline distT="0" distB="0" distL="0" distR="0" wp14:anchorId="03546A7E" wp14:editId="2B33E40E">
            <wp:extent cx="4572000" cy="2743200"/>
            <wp:effectExtent l="0" t="0" r="0" b="0"/>
            <wp:docPr id="3" name="Chart 3">
              <a:extLst xmlns:a="http://schemas.openxmlformats.org/drawingml/2006/main">
                <a:ext uri="{FF2B5EF4-FFF2-40B4-BE49-F238E27FC236}">
                  <a16:creationId xmlns:a16="http://schemas.microsoft.com/office/drawing/2014/main" id="{BCA35B0A-158C-413F-A281-B2C2CEA320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F2F3608" w14:textId="0A3C269D" w:rsidR="00B30482" w:rsidRPr="00064CB9" w:rsidRDefault="006E2AC3" w:rsidP="00B30482">
      <w:r w:rsidRPr="00064CB9">
        <w:t xml:space="preserve">Although there </w:t>
      </w:r>
      <w:r w:rsidR="0085608F" w:rsidRPr="00064CB9">
        <w:t>are</w:t>
      </w:r>
      <w:r w:rsidRPr="00064CB9">
        <w:t xml:space="preserve"> no disproportionate liabilities to assets, equity cushions decrease and increasingly poor coverage ratios are some of the biggest red flags of the solvency; it is more </w:t>
      </w:r>
      <w:r w:rsidRPr="00064CB9">
        <w:lastRenderedPageBreak/>
        <w:t>likely to enter into financial distress or grief violation of restrictions</w:t>
      </w:r>
      <w:r w:rsidR="00DC3CB2" w:rsidRPr="00DC3CB2">
        <w:t>(Shopify, 2025</w:t>
      </w:r>
      <w:r w:rsidR="00DC3CB2">
        <w:t xml:space="preserve">; </w:t>
      </w:r>
      <w:r w:rsidR="00DC3CB2" w:rsidRPr="00DC3CB2">
        <w:t>Brigham &amp; Houston, 2019)</w:t>
      </w:r>
      <w:r w:rsidR="00BC4A07" w:rsidRPr="00064CB9">
        <w:t>.</w:t>
      </w:r>
    </w:p>
    <w:p w14:paraId="4A3A2317" w14:textId="77777777" w:rsidR="00D36275" w:rsidRPr="00064CB9" w:rsidRDefault="00B30482" w:rsidP="00D36275">
      <w:pPr>
        <w:pStyle w:val="Heading2"/>
      </w:pPr>
      <w:bookmarkStart w:id="7" w:name="_Toc211978702"/>
      <w:r w:rsidRPr="00064CB9">
        <w:t>Cash flow quality</w:t>
      </w:r>
      <w:bookmarkEnd w:id="7"/>
    </w:p>
    <w:p w14:paraId="79FDC698" w14:textId="0C52F311" w:rsidR="002E2155" w:rsidRPr="00064CB9" w:rsidRDefault="002E2155" w:rsidP="002E2155">
      <w:bookmarkStart w:id="8" w:name="_Hlk211812149"/>
      <w:r w:rsidRPr="00064CB9">
        <w:t>Working cash flow (OCF) is an important indicator of the liquidity and prominent cash-generating ability of a firm. OCF of General Electronics has been a positive figure since 73.4 billion in 2020 but could not maintain the positive amount of 14.8 billion in 2024. This steep fall poses questions with regards to the viability of the firm in generating internal cash to finance the firm operations, invest in growth, and cover the liability</w:t>
      </w:r>
      <w:r w:rsidR="00DC3CB2">
        <w:t xml:space="preserve"> </w:t>
      </w:r>
      <w:r w:rsidR="00DC3CB2" w:rsidRPr="00DC3CB2">
        <w:t>(HSBC Group, 2024)</w:t>
      </w:r>
      <w:r w:rsidRPr="00064CB9">
        <w:t>. Nevertheless, the 2023 increase in OCF was motivated in part by working capital adjustments that are directly in the form of a decrease in inventory and the postponement of payments to suppliers which are timing effects and not business systematic increases.</w:t>
      </w:r>
    </w:p>
    <w:p w14:paraId="17B8A95C" w14:textId="08F73DC6" w:rsidR="002E2155" w:rsidRPr="00064CB9" w:rsidRDefault="002E2155" w:rsidP="002E2155">
      <w:r w:rsidRPr="00064CB9">
        <w:t>On the investing side, cash outlays have stabilized due to the reduction of capital expenditures and spending on intangible assets compelling them to either take a strategic break or investor constrained growth initiatives and innovation projects</w:t>
      </w:r>
      <w:r w:rsidR="00DC3CB2">
        <w:t xml:space="preserve"> </w:t>
      </w:r>
      <w:r w:rsidR="00DC3CB2" w:rsidRPr="00DC3CB2">
        <w:t>(</w:t>
      </w:r>
      <w:proofErr w:type="spellStart"/>
      <w:r w:rsidR="00DC3CB2" w:rsidRPr="00DC3CB2">
        <w:t>Jariah</w:t>
      </w:r>
      <w:proofErr w:type="spellEnd"/>
      <w:r w:rsidR="00DC3CB2" w:rsidRPr="00DC3CB2">
        <w:t xml:space="preserve"> &amp; </w:t>
      </w:r>
      <w:proofErr w:type="spellStart"/>
      <w:r w:rsidR="00DC3CB2" w:rsidRPr="00DC3CB2">
        <w:t>Budiwati</w:t>
      </w:r>
      <w:proofErr w:type="spellEnd"/>
      <w:r w:rsidR="00DC3CB2" w:rsidRPr="00DC3CB2">
        <w:t>, 2021)</w:t>
      </w:r>
      <w:r w:rsidRPr="00064CB9">
        <w:t>. Although it is important to save cash during cash straining times, overtime decreases in investing undertakings may adversely affect long and future competitiveness, product innovation and capacity.</w:t>
      </w:r>
    </w:p>
    <w:p w14:paraId="71388F2B" w14:textId="1C5FFD17" w:rsidR="00B30482" w:rsidRPr="00064CB9" w:rsidRDefault="002E2155" w:rsidP="002E2155">
      <w:r w:rsidRPr="00064CB9">
        <w:t>The financing of the cash flow became negative over the last years and particularly 2023-2024 with net repayment of credit facilities which may reflect the attempts to deleverage. But at the same time, the company was on a spirited treasury stock buying spree where PS1.96 billion was deployed in 2024. This is contrary to best practices of distress management, that typically suggests ending equity repurchases when they are strained by liquidity in order to maintain cash as operating flexibility and debt service</w:t>
      </w:r>
      <w:r w:rsidR="00DC3CB2">
        <w:t xml:space="preserve"> </w:t>
      </w:r>
      <w:r w:rsidR="00DC3CB2" w:rsidRPr="00DC3CB2">
        <w:t>(</w:t>
      </w:r>
      <w:proofErr w:type="spellStart"/>
      <w:r w:rsidR="00DC3CB2" w:rsidRPr="00DC3CB2">
        <w:t>Kliestik</w:t>
      </w:r>
      <w:proofErr w:type="spellEnd"/>
      <w:r w:rsidR="00DC3CB2" w:rsidRPr="00DC3CB2">
        <w:t xml:space="preserve"> et al., 2020)</w:t>
      </w:r>
      <w:r w:rsidRPr="00064CB9">
        <w:t>. This kind of buyback when the company is in dire circumstances is likely to increase liquidity strains and limit the capacity of the company to overcome economic hardships</w:t>
      </w:r>
      <w:r w:rsidR="00B30482" w:rsidRPr="00064CB9">
        <w:t>.​</w:t>
      </w:r>
    </w:p>
    <w:p w14:paraId="2A323BA7" w14:textId="77777777" w:rsidR="00D36275" w:rsidRPr="00064CB9" w:rsidRDefault="00B30482" w:rsidP="00D36275">
      <w:pPr>
        <w:pStyle w:val="Heading2"/>
      </w:pPr>
      <w:bookmarkStart w:id="9" w:name="_Toc211978703"/>
      <w:bookmarkEnd w:id="8"/>
      <w:r w:rsidRPr="00064CB9">
        <w:t>Default risk: Altman Z-Score</w:t>
      </w:r>
      <w:bookmarkEnd w:id="9"/>
      <w:r w:rsidR="00D36275" w:rsidRPr="00064CB9">
        <w:t xml:space="preserve"> </w:t>
      </w:r>
    </w:p>
    <w:p w14:paraId="21D962A7" w14:textId="519A5F94" w:rsidR="00B30482" w:rsidRPr="00064CB9" w:rsidRDefault="00B30482" w:rsidP="00B30482">
      <w:r w:rsidRPr="00064CB9">
        <w:t>Using a manufacturing-appropriate model for public firms, the Z-score deteriorated from “safe” to “grey”:</w:t>
      </w:r>
    </w:p>
    <w:p w14:paraId="2A518211" w14:textId="5628EB21" w:rsidR="00F70430" w:rsidRPr="00064CB9" w:rsidRDefault="00F70430" w:rsidP="00F70430">
      <w:pPr>
        <w:jc w:val="center"/>
      </w:pPr>
      <w:r w:rsidRPr="00064CB9">
        <w:rPr>
          <w:noProof/>
        </w:rPr>
        <w:lastRenderedPageBreak/>
        <mc:AlternateContent>
          <mc:Choice Requires="wps">
            <w:drawing>
              <wp:anchor distT="0" distB="0" distL="114300" distR="114300" simplePos="0" relativeHeight="251658239" behindDoc="0" locked="0" layoutInCell="1" allowOverlap="1" wp14:anchorId="7AD1425A" wp14:editId="72AFCA7D">
                <wp:simplePos x="0" y="0"/>
                <wp:positionH relativeFrom="column">
                  <wp:posOffset>1076325</wp:posOffset>
                </wp:positionH>
                <wp:positionV relativeFrom="paragraph">
                  <wp:posOffset>945515</wp:posOffset>
                </wp:positionV>
                <wp:extent cx="3933825" cy="15049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3933825" cy="1504950"/>
                        </a:xfrm>
                        <a:prstGeom prst="rect">
                          <a:avLst/>
                        </a:prstGeom>
                        <a:solidFill>
                          <a:schemeClr val="accent3">
                            <a:alpha val="66000"/>
                          </a:schemeClr>
                        </a:solidFill>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0105DD9A" id="Rectangle 6" o:spid="_x0000_s1026" style="position:absolute;margin-left:84.75pt;margin-top:74.45pt;width:309.75pt;height:118.5pt;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" fillcolor="#a5a5a5 [3206]" strokecolor="#525252 [1606]" strokeweight="1pt">
                <v:fill opacity="43176f"/>
              </v:rect>
            </w:pict>
          </mc:Fallback>
        </mc:AlternateContent>
      </w:r>
      <w:r w:rsidRPr="00064CB9">
        <w:rPr>
          <w:noProof/>
        </w:rPr>
        <mc:AlternateContent>
          <mc:Choice Requires="wps">
            <w:drawing>
              <wp:anchor distT="0" distB="0" distL="114300" distR="114300" simplePos="0" relativeHeight="251659264" behindDoc="0" locked="0" layoutInCell="1" allowOverlap="1" wp14:anchorId="60858608" wp14:editId="7B3323F0">
                <wp:simplePos x="0" y="0"/>
                <wp:positionH relativeFrom="column">
                  <wp:posOffset>1066800</wp:posOffset>
                </wp:positionH>
                <wp:positionV relativeFrom="paragraph">
                  <wp:posOffset>955040</wp:posOffset>
                </wp:positionV>
                <wp:extent cx="3943350" cy="952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3943350"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065C8FAA"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4pt,75.2pt" to="394.5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" strokecolor="black [3200]" strokeweight="1.5pt">
                <v:stroke joinstyle="miter"/>
              </v:line>
            </w:pict>
          </mc:Fallback>
        </mc:AlternateContent>
      </w:r>
      <w:r w:rsidRPr="00064CB9">
        <w:rPr>
          <w:noProof/>
        </w:rPr>
        <w:drawing>
          <wp:inline distT="0" distB="0" distL="0" distR="0" wp14:anchorId="3642FC2A" wp14:editId="58FB1228">
            <wp:extent cx="4572000" cy="2743200"/>
            <wp:effectExtent l="0" t="0" r="0" b="0"/>
            <wp:docPr id="4" name="Chart 4">
              <a:extLst xmlns:a="http://schemas.openxmlformats.org/drawingml/2006/main">
                <a:ext uri="{FF2B5EF4-FFF2-40B4-BE49-F238E27FC236}">
                  <a16:creationId xmlns:a16="http://schemas.microsoft.com/office/drawing/2014/main" id="{AAD053B3-5503-434F-B18C-3258D9B7DB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B9185B" w14:textId="78297594" w:rsidR="00C61E81" w:rsidRPr="00064CB9" w:rsidRDefault="00C61E81" w:rsidP="00C61E81">
      <w:bookmarkStart w:id="10" w:name="_Hlk211812158"/>
      <w:r w:rsidRPr="00064CB9">
        <w:t>The estimated trajectory in the case of General Electronics indicates that the company has left the safe zone of Z-score above 3.0 (2020-2022) and got in the moderate default risk (Z-score 2.24 in 2023 and 2.82 in 2024). This weakness is primarily caused by negative EBIT ratios (negative changes in earnings component by reduced operating losses), and negative change in equity to liabilities which negatively impact leverage and solvency buffer as captured by the model</w:t>
      </w:r>
      <w:r w:rsidR="00DC3CB2">
        <w:t xml:space="preserve"> </w:t>
      </w:r>
      <w:r w:rsidR="00DC3CB2" w:rsidRPr="00DC3CB2">
        <w:t>(</w:t>
      </w:r>
      <w:proofErr w:type="spellStart"/>
      <w:r w:rsidR="00DC3CB2" w:rsidRPr="00DC3CB2">
        <w:t>Kliestik</w:t>
      </w:r>
      <w:proofErr w:type="spellEnd"/>
      <w:r w:rsidR="00DC3CB2" w:rsidRPr="00DC3CB2">
        <w:t xml:space="preserve"> et al., 2020)</w:t>
      </w:r>
      <w:r w:rsidRPr="00064CB9">
        <w:t>. Although the constituents of working capital and sales have not been volatile, but the profitability and equity erosion have reduced the total score, which is indicative of increased susceptibility to financial distress.</w:t>
      </w:r>
    </w:p>
    <w:p w14:paraId="44FC082E" w14:textId="6E17150D" w:rsidR="00807574" w:rsidRPr="00064CB9" w:rsidRDefault="00C61E81" w:rsidP="00C61E81">
      <w:pPr>
        <w:rPr>
          <w:b/>
        </w:rPr>
      </w:pPr>
      <w:r w:rsidRPr="00064CB9">
        <w:t>Despite some assumptions and data available in the original Altman model that was developed in the 1960s and applied later on to the operation of the private companies or the appearance of the new markets, the tool is still a powerful and extensively used early warning tool. It is strong because it combines various financial perspectives in a bid to provide a standing of the risk. Notably, the fact that it was moving into the grey zone implies that unless it was remedied through operational means and balance sheet regeneration, chances of going bankrupt or defaulting on debts rose in a most significant way</w:t>
      </w:r>
      <w:r w:rsidR="00DC3CB2">
        <w:t xml:space="preserve"> </w:t>
      </w:r>
      <w:r w:rsidR="00DC3CB2" w:rsidRPr="00DC3CB2">
        <w:t>(Soboleva et al., 2018)</w:t>
      </w:r>
      <w:r w:rsidR="00807574" w:rsidRPr="00064CB9">
        <w:t>.</w:t>
      </w:r>
    </w:p>
    <w:p w14:paraId="189594CE" w14:textId="401371A8" w:rsidR="00D36275" w:rsidRPr="00064CB9" w:rsidRDefault="00B30482" w:rsidP="00807574">
      <w:pPr>
        <w:pStyle w:val="Heading2"/>
      </w:pPr>
      <w:bookmarkStart w:id="11" w:name="_Toc211978704"/>
      <w:bookmarkEnd w:id="10"/>
      <w:r w:rsidRPr="00064CB9">
        <w:t>Trends, strengths, threats</w:t>
      </w:r>
      <w:bookmarkEnd w:id="11"/>
    </w:p>
    <w:p w14:paraId="74359BC7" w14:textId="2DF12876" w:rsidR="00F70420" w:rsidRPr="00064CB9" w:rsidRDefault="00F70420" w:rsidP="00F70420">
      <w:bookmarkStart w:id="12" w:name="_Hlk211812169"/>
      <w:r w:rsidRPr="00064CB9">
        <w:t xml:space="preserve">The existing strengths </w:t>
      </w:r>
      <w:r w:rsidR="002E537F" w:rsidRPr="00064CB9">
        <w:t>in</w:t>
      </w:r>
      <w:r w:rsidRPr="00064CB9">
        <w:t xml:space="preserve"> its current state, the company shows its capacity to have strong gross margins that do not sensitise in an adverse environment, with the exception of the 2023 setback. This implies that pricing strategies of products and the mixes of the portfolio is hold strong enough to sustain some level of pressure on sales</w:t>
      </w:r>
      <w:r w:rsidR="00DC3CB2">
        <w:t xml:space="preserve"> </w:t>
      </w:r>
      <w:r w:rsidR="00DC3CB2" w:rsidRPr="00DC3CB2">
        <w:t>(</w:t>
      </w:r>
      <w:proofErr w:type="spellStart"/>
      <w:r w:rsidR="00DC3CB2" w:rsidRPr="00DC3CB2">
        <w:t>Kamaluddin</w:t>
      </w:r>
      <w:proofErr w:type="spellEnd"/>
      <w:r w:rsidR="00DC3CB2" w:rsidRPr="00DC3CB2">
        <w:t>, Ishak &amp; Mohammed, 2019)</w:t>
      </w:r>
      <w:r w:rsidRPr="00064CB9">
        <w:t xml:space="preserve">. Also, the presence of positive operating cash flow signifies that core operations continue to </w:t>
      </w:r>
      <w:r w:rsidRPr="00064CB9">
        <w:lastRenderedPageBreak/>
        <w:t>make cash and this is one of the most important indicators of liquidity and operational wellness. Inventory turnover is better than it is in 2022, which indicates that inventory has been managed better to release cash held in inventory. The company has also taken advantage of the lengthy supplier payment terms, which gives it a little room in cash payment and has a current and quick ratio which exceeds the minimum levels of safety, reflecting moderate short-term liquidity assistance.</w:t>
      </w:r>
    </w:p>
    <w:p w14:paraId="436D3E74" w14:textId="7FB551FD" w:rsidR="00B30482" w:rsidRPr="00064CB9" w:rsidRDefault="00FD0635" w:rsidP="00F70420">
      <w:r w:rsidRPr="00064CB9">
        <w:t>The fact is though</w:t>
      </w:r>
      <w:r w:rsidR="002E537F" w:rsidRPr="00064CB9">
        <w:t>,</w:t>
      </w:r>
      <w:r w:rsidRPr="00064CB9">
        <w:t xml:space="preserve"> these strengths are neutralised by severe threats. The further narrowing of revenue is a signal of the market share or a diminished demand which endangers the size economies and profitability. The operations cost is more volatile, and the heavy impairments of the operating cost shows the presence of structural shocks which might be due to outdated stock, changes in technology, or unsuccessful projects</w:t>
      </w:r>
      <w:r w:rsidR="00DC3CB2">
        <w:t xml:space="preserve"> </w:t>
      </w:r>
      <w:r w:rsidR="00DC3CB2" w:rsidRPr="00DC3CB2">
        <w:t>(Jaafar, Hassan &amp; Ismail, 2021)</w:t>
      </w:r>
      <w:r w:rsidRPr="00064CB9">
        <w:t>. The long history of the debts in outstanding increases the chances of insufficiency of liquidity and bad debts that causes additional stresses on the liquidity. This growing leverage and negative margin ratios of interest covering indicates growing financial risk that has influenced the solvencies of the firm and ultimately, the cost of refinancing increased. The declining cash reserves also worsen such issues, as they restrict the flexibility of the operations. Beyond that, the industry is rapidly evolving as well, the pace of technology advancement is faster, sustainability and regulation demands such as right-to-repair laws, as well as, complicated supply chains are increasingly common</w:t>
      </w:r>
      <w:r w:rsidR="00DC3CB2">
        <w:t xml:space="preserve"> </w:t>
      </w:r>
      <w:r w:rsidR="00DC3CB2" w:rsidRPr="00DC3CB2">
        <w:t>(Altman et al., 2017)</w:t>
      </w:r>
      <w:r w:rsidRPr="00064CB9">
        <w:t>. This type of dynamics increases the necessity to embrace agile cost to serve model and improve the rigour of working capital to keep in competition</w:t>
      </w:r>
      <w:r w:rsidR="005E52FA" w:rsidRPr="00064CB9">
        <w:t>.</w:t>
      </w:r>
      <w:r w:rsidR="00B30482" w:rsidRPr="00064CB9">
        <w:t>​</w:t>
      </w:r>
    </w:p>
    <w:p w14:paraId="1016FFAC" w14:textId="19340AF4" w:rsidR="00F70420" w:rsidRPr="00064CB9" w:rsidRDefault="00B30482" w:rsidP="0058116E">
      <w:bookmarkStart w:id="13" w:name="_Toc211978705"/>
      <w:bookmarkEnd w:id="12"/>
      <w:r w:rsidRPr="00064CB9">
        <w:rPr>
          <w:rStyle w:val="Heading1Char"/>
          <w:lang w:val="en-GB"/>
        </w:rPr>
        <w:t>Implications</w:t>
      </w:r>
      <w:bookmarkEnd w:id="13"/>
      <w:r w:rsidRPr="00064CB9">
        <w:rPr>
          <w:rStyle w:val="Heading1Char"/>
          <w:lang w:val="en-GB"/>
        </w:rPr>
        <w:br/>
      </w:r>
      <w:r w:rsidR="00B93E3E" w:rsidRPr="00064CB9">
        <w:t>The economic consequences are generally dramatic. This trend and ratios show an organization that is more inclined to leave behind a healthy financial situation to an almost bankrupt situation. In spite of the fact that the liquidity ratios are not quite adequate, the declining tendencies mean loss of financial cushions. Solvency level problems also ring alarm of growing stress in debts and low coverage</w:t>
      </w:r>
      <w:r w:rsidR="00DC3CB2">
        <w:t xml:space="preserve"> </w:t>
      </w:r>
      <w:r w:rsidR="00DC3CB2" w:rsidRPr="00DC3CB2">
        <w:t>(</w:t>
      </w:r>
      <w:proofErr w:type="spellStart"/>
      <w:r w:rsidR="00DC3CB2" w:rsidRPr="00DC3CB2">
        <w:t>Samo</w:t>
      </w:r>
      <w:proofErr w:type="spellEnd"/>
      <w:r w:rsidR="00DC3CB2" w:rsidRPr="00DC3CB2">
        <w:t xml:space="preserve"> &amp; Murad, 2019)</w:t>
      </w:r>
      <w:r w:rsidR="00B93E3E" w:rsidRPr="00064CB9">
        <w:t>. The decrease in asset turnover denotes the unproductivity of the rightful productivity, in comparison with the diminishing base of sales, the state of decline in the deterioration of operating profitability points to the loss of the strength of core earnings. Such dynamics changes emphasize the fact that there must be a large-scale operational and financial reengineering strategy</w:t>
      </w:r>
      <w:r w:rsidR="0058116E" w:rsidRPr="00064CB9">
        <w:t xml:space="preserve">. Major areas of concern should be tight cost management to curb the cost fluctuation, portfolio </w:t>
      </w:r>
      <w:r w:rsidR="00B93E3E" w:rsidRPr="00064CB9">
        <w:t>clean-up</w:t>
      </w:r>
      <w:r w:rsidR="0058116E" w:rsidRPr="00064CB9">
        <w:t xml:space="preserve"> to eliminating non-core </w:t>
      </w:r>
      <w:r w:rsidR="0058116E" w:rsidRPr="00064CB9">
        <w:lastRenderedPageBreak/>
        <w:t>liabilities and creating better focus, and workable working capital management to hasten cash turnover and increase liquidity. In the absence of such bold measures, expansion in the growth investments or capital expenditure considerations would be a fiscal unwise move based on the risk profile at hand</w:t>
      </w:r>
      <w:r w:rsidR="00DC3CB2">
        <w:t xml:space="preserve"> </w:t>
      </w:r>
      <w:r w:rsidR="00DC3CB2" w:rsidRPr="00DC3CB2">
        <w:t>(</w:t>
      </w:r>
      <w:proofErr w:type="spellStart"/>
      <w:r w:rsidR="00DC3CB2" w:rsidRPr="00DC3CB2">
        <w:t>Kliestik</w:t>
      </w:r>
      <w:proofErr w:type="spellEnd"/>
      <w:r w:rsidR="00DC3CB2" w:rsidRPr="00DC3CB2">
        <w:t xml:space="preserve"> et al., 2020)</w:t>
      </w:r>
      <w:r w:rsidR="0058116E" w:rsidRPr="00064CB9">
        <w:t>.</w:t>
      </w:r>
    </w:p>
    <w:p w14:paraId="4CA0BEAA" w14:textId="6AE93805" w:rsidR="00B30482" w:rsidRPr="00064CB9" w:rsidRDefault="00B30482" w:rsidP="00F70420">
      <w:pPr>
        <w:pStyle w:val="Heading1"/>
        <w:rPr>
          <w:lang w:val="en-GB"/>
        </w:rPr>
      </w:pPr>
      <w:bookmarkStart w:id="14" w:name="_Toc211978706"/>
      <w:r w:rsidRPr="00064CB9">
        <w:rPr>
          <w:lang w:val="en-GB"/>
        </w:rPr>
        <w:t>Working Capital Management Analysis</w:t>
      </w:r>
      <w:bookmarkEnd w:id="14"/>
    </w:p>
    <w:p w14:paraId="5037F400" w14:textId="67442034" w:rsidR="00623C51" w:rsidRPr="00064CB9" w:rsidRDefault="00B30482" w:rsidP="00623C51">
      <w:pPr>
        <w:pStyle w:val="Heading1"/>
        <w:rPr>
          <w:lang w:val="en-GB"/>
        </w:rPr>
      </w:pPr>
      <w:bookmarkStart w:id="15" w:name="_Toc211978707"/>
      <w:r w:rsidRPr="00064CB9">
        <w:rPr>
          <w:lang w:val="en-GB"/>
        </w:rPr>
        <w:t>Cash operating cycle assessment</w:t>
      </w:r>
      <w:bookmarkEnd w:id="15"/>
    </w:p>
    <w:p w14:paraId="4DBF5ACC" w14:textId="26EC3EF5" w:rsidR="00B30482" w:rsidRPr="00064CB9" w:rsidRDefault="00B30482" w:rsidP="00B30482">
      <w:r w:rsidRPr="00064CB9">
        <w:t>COC averaged roughly 108–140 days over the period and stood near 115 days in 2024. Decomposed:</w:t>
      </w:r>
    </w:p>
    <w:p w14:paraId="410B122F" w14:textId="77777777" w:rsidR="00B30482" w:rsidRPr="00064CB9" w:rsidRDefault="00B30482" w:rsidP="00B30482">
      <w:pPr>
        <w:numPr>
          <w:ilvl w:val="0"/>
          <w:numId w:val="4"/>
        </w:numPr>
      </w:pPr>
      <w:r w:rsidRPr="00064CB9">
        <w:t>Inventory days ~100–131, suggesting SKU complexity and forecasting challenges.</w:t>
      </w:r>
    </w:p>
    <w:p w14:paraId="60C57940" w14:textId="2C8D5DFC" w:rsidR="00B30482" w:rsidRPr="00064CB9" w:rsidRDefault="00B30482" w:rsidP="00B30482">
      <w:pPr>
        <w:numPr>
          <w:ilvl w:val="0"/>
          <w:numId w:val="4"/>
        </w:numPr>
      </w:pPr>
      <w:r w:rsidRPr="00064CB9">
        <w:t>Receivables</w:t>
      </w:r>
      <w:r w:rsidR="00611B12" w:rsidRPr="00064CB9">
        <w:t>’</w:t>
      </w:r>
      <w:r w:rsidRPr="00064CB9">
        <w:t xml:space="preserve"> days rose to ~105.5 days in 2024, implying weaker credit control, channel push, or geographic collection inefficiencies.</w:t>
      </w:r>
    </w:p>
    <w:p w14:paraId="12C986D6" w14:textId="00DBBCD7" w:rsidR="00B30482" w:rsidRPr="00064CB9" w:rsidRDefault="00B30482" w:rsidP="00B30482">
      <w:pPr>
        <w:numPr>
          <w:ilvl w:val="0"/>
          <w:numId w:val="4"/>
        </w:numPr>
      </w:pPr>
      <w:r w:rsidRPr="00064CB9">
        <w:t>Payables</w:t>
      </w:r>
      <w:r w:rsidR="00611B12" w:rsidRPr="00064CB9">
        <w:t>’</w:t>
      </w:r>
      <w:r w:rsidRPr="00064CB9">
        <w:t xml:space="preserve"> days ~66–94, reflecting some leverage of supplier terms.</w:t>
      </w:r>
      <w:r w:rsidRPr="00064CB9">
        <w:br/>
        <w:t>The COC is long for a consumer electronics business with significant retail/wholesale exposure; best practice seeks to compress DIO and DSO while prudently extending DPO to relieve cash pressure.​</w:t>
      </w:r>
    </w:p>
    <w:p w14:paraId="2F88BF89" w14:textId="77777777" w:rsidR="00623C51" w:rsidRPr="00064CB9" w:rsidRDefault="00B30482" w:rsidP="00623C51">
      <w:pPr>
        <w:pStyle w:val="Heading1"/>
        <w:rPr>
          <w:lang w:val="en-GB"/>
        </w:rPr>
      </w:pPr>
      <w:bookmarkStart w:id="16" w:name="_Toc211978708"/>
      <w:r w:rsidRPr="00064CB9">
        <w:rPr>
          <w:lang w:val="en-GB"/>
        </w:rPr>
        <w:t>Root causes and benchmarks</w:t>
      </w:r>
      <w:bookmarkEnd w:id="16"/>
    </w:p>
    <w:p w14:paraId="7671A686" w14:textId="6479A214" w:rsidR="004F6C4D" w:rsidRPr="00064CB9" w:rsidRDefault="004F6C4D" w:rsidP="004F6C4D">
      <w:r w:rsidRPr="00064CB9">
        <w:t>The supply chain of</w:t>
      </w:r>
      <w:r w:rsidR="002F6218" w:rsidRPr="00064CB9">
        <w:t xml:space="preserve"> General</w:t>
      </w:r>
      <w:r w:rsidRPr="00064CB9">
        <w:t xml:space="preserve"> </w:t>
      </w:r>
      <w:r w:rsidR="002F6218" w:rsidRPr="00064CB9">
        <w:t>E</w:t>
      </w:r>
      <w:r w:rsidRPr="00064CB9">
        <w:t>lectronics is characterised with unique challenges that have a big effect on the working capital requirements. The variability of components, typically induced by changes in the supply of, and price of, vital components such as semiconductors, provides volatility to the production schedules and inventory plans. Also, multi-tiered distribution will add complexity and extend supply chain which in turn will add levels of inventory in various stages and ultimately working capital requirements will also increase</w:t>
      </w:r>
      <w:r w:rsidR="00DC3CB2">
        <w:t xml:space="preserve"> </w:t>
      </w:r>
      <w:r w:rsidR="00DC3CB2" w:rsidRPr="00DC3CB2">
        <w:t xml:space="preserve">(Kimmel, Weygandt &amp; </w:t>
      </w:r>
      <w:proofErr w:type="spellStart"/>
      <w:r w:rsidR="00DC3CB2" w:rsidRPr="00DC3CB2">
        <w:t>Kieso</w:t>
      </w:r>
      <w:proofErr w:type="spellEnd"/>
      <w:r w:rsidR="00DC3CB2" w:rsidRPr="00DC3CB2">
        <w:t>, 2020)</w:t>
      </w:r>
      <w:r w:rsidRPr="00064CB9">
        <w:t>.</w:t>
      </w:r>
    </w:p>
    <w:p w14:paraId="010E5D57" w14:textId="77777777" w:rsidR="004F6C4D" w:rsidRPr="00064CB9" w:rsidRDefault="004F6C4D" w:rsidP="004F6C4D">
      <w:r w:rsidRPr="00064CB9">
        <w:t>The promotions and marketing activities also affect the levels and demand changes in the region and may also cause overstocking in specific channels. Electronics business is no exception, as there are high product returns being caused by defective products, warranty claim, or obsolescence, and this makes the inventory management even more complex as the amount of returns containing a defect or wastage of old products grows as well as the substitutions.</w:t>
      </w:r>
    </w:p>
    <w:p w14:paraId="2F0CBD4F" w14:textId="6E3A7BC6" w:rsidR="00EE2A26" w:rsidRPr="00064CB9" w:rsidRDefault="004F6C4D" w:rsidP="004F6C4D">
      <w:pPr>
        <w:rPr>
          <w:b/>
        </w:rPr>
      </w:pPr>
      <w:r w:rsidRPr="00064CB9">
        <w:lastRenderedPageBreak/>
        <w:t>Research in academia and in the industry has pointed at lengthy operating cycles as increasing the working capital requirements due to capital long periods in raw materials, work in progress, finished goods and receivables</w:t>
      </w:r>
      <w:r w:rsidR="00DC3CB2">
        <w:t xml:space="preserve"> </w:t>
      </w:r>
      <w:r w:rsidR="00DC3CB2" w:rsidRPr="00DC3CB2">
        <w:t>(</w:t>
      </w:r>
      <w:proofErr w:type="spellStart"/>
      <w:r w:rsidR="00DC3CB2" w:rsidRPr="00DC3CB2">
        <w:t>Samo</w:t>
      </w:r>
      <w:proofErr w:type="spellEnd"/>
      <w:r w:rsidR="00DC3CB2" w:rsidRPr="00DC3CB2">
        <w:t xml:space="preserve"> &amp; Murad, 2019)</w:t>
      </w:r>
      <w:r w:rsidRPr="00064CB9">
        <w:t>. This decreases free cash flow and flexibility, and that is especially bad at slower growth or economic downturns. The reported spike in inventory and extension of receivable collection (DSO) at General Electric is consistent with these dynamics of the supply chain after 2021, which represents fluctuating demand and channel overstocks of the consumer electronics down turn</w:t>
      </w:r>
      <w:r w:rsidR="00176D5E" w:rsidRPr="00064CB9">
        <w:t>.</w:t>
      </w:r>
    </w:p>
    <w:p w14:paraId="0163BB85" w14:textId="153F0E1A" w:rsidR="00623C51" w:rsidRPr="00064CB9" w:rsidRDefault="00B30482" w:rsidP="00176D5E">
      <w:pPr>
        <w:pStyle w:val="Heading1"/>
        <w:rPr>
          <w:lang w:val="en-GB"/>
        </w:rPr>
      </w:pPr>
      <w:bookmarkStart w:id="17" w:name="_Toc211978709"/>
      <w:r w:rsidRPr="00064CB9">
        <w:rPr>
          <w:lang w:val="en-GB"/>
        </w:rPr>
        <w:t>Liquidity improvement strategies</w:t>
      </w:r>
      <w:bookmarkEnd w:id="17"/>
    </w:p>
    <w:p w14:paraId="22B07228" w14:textId="2F20337B" w:rsidR="00B30482" w:rsidRPr="00064CB9" w:rsidRDefault="00B30482" w:rsidP="00623C51">
      <w:pPr>
        <w:pStyle w:val="Heading2"/>
      </w:pPr>
      <w:bookmarkStart w:id="18" w:name="_Toc211978710"/>
      <w:r w:rsidRPr="00064CB9">
        <w:t>Collections (receivables)</w:t>
      </w:r>
      <w:bookmarkEnd w:id="18"/>
    </w:p>
    <w:p w14:paraId="65796FF5" w14:textId="54E2360B" w:rsidR="005B123B" w:rsidRPr="00064CB9" w:rsidRDefault="004F6C4D" w:rsidP="005B123B">
      <w:r w:rsidRPr="00064CB9">
        <w:t>As a way of enhancing collections, the company is advised to enhance its credit policy by establishing risk-based credit limits and reduced credit payment durations, particularly in the volatile regions. The risk of defaults can be minimized by employing the dynamic credit insurance. It is also important to speed up the cash application; it can be facilitated using digital applications such as e-invoicing, automated dispute resolving, standardized deductions workflows, and artificial intelligence in follow-ups to prompt payment. With such efforts, Days Sales Outstanding (DSO) may be cut by 10-20 days. Also, one should consider the early-payment incentive like the payment of 1-2 percent discount on the payments made by the customer within 10-15 days, but these should be offset with the expenses of offering discounts like this</w:t>
      </w:r>
      <w:r w:rsidR="00DC3CB2">
        <w:t xml:space="preserve"> </w:t>
      </w:r>
      <w:r w:rsidR="00DC3CB2" w:rsidRPr="00DC3CB2">
        <w:t>(</w:t>
      </w:r>
      <w:proofErr w:type="spellStart"/>
      <w:r w:rsidR="00DC3CB2" w:rsidRPr="00DC3CB2">
        <w:t>Osadchy</w:t>
      </w:r>
      <w:proofErr w:type="spellEnd"/>
      <w:r w:rsidR="00DC3CB2" w:rsidRPr="00DC3CB2">
        <w:t xml:space="preserve"> et al., 2018)</w:t>
      </w:r>
      <w:r w:rsidRPr="00064CB9">
        <w:t>. Receivables</w:t>
      </w:r>
      <w:r w:rsidR="000D27BC" w:rsidRPr="00064CB9">
        <w:t>’</w:t>
      </w:r>
      <w:r w:rsidRPr="00064CB9">
        <w:t xml:space="preserve"> financing sources such as factoring or securitization are available to larger and creditworthy customers to keep their business going in the seasonal cash slow periods at a cheaper rate than unsecured borrowing</w:t>
      </w:r>
      <w:r w:rsidR="005B123B" w:rsidRPr="00064CB9">
        <w:t>.</w:t>
      </w:r>
    </w:p>
    <w:p w14:paraId="6738D5D6" w14:textId="3C4606A3" w:rsidR="00B30482" w:rsidRPr="00064CB9" w:rsidRDefault="00B30482" w:rsidP="00623C51">
      <w:pPr>
        <w:pStyle w:val="Heading2"/>
      </w:pPr>
      <w:bookmarkStart w:id="19" w:name="_Toc211978711"/>
      <w:r w:rsidRPr="00064CB9">
        <w:t>Inventory</w:t>
      </w:r>
      <w:bookmarkEnd w:id="19"/>
    </w:p>
    <w:p w14:paraId="4C41980F" w14:textId="54A4CB9D" w:rsidR="00B30482" w:rsidRPr="00064CB9" w:rsidRDefault="004F6C4D" w:rsidP="006B46A3">
      <w:r w:rsidRPr="00064CB9">
        <w:t>Inventory management is extremely important. The company ought to rationalize its SKUs, dropping SKUs with low velocity and slow-moving as well as prioritize on high-margin, profitable platforms to lower Days Inventory Outstanding (DIO) and limit write-downs. Point of sale (POS) data and collaborative Sales and Operations Planning (S&amp;OP) with sophisticated forecasting methods is capable of minimizing the stock safety level and mitigating the bullwhip effect in the supply chain. Adopting the Just-in-time (JIT) inventory and near-sourcing of some of the volatile parts will boost the lead times and inventory in the pipeline and will assist in increasing the cash flow and mitigate dependency risks</w:t>
      </w:r>
      <w:r w:rsidR="00DC3CB2">
        <w:t xml:space="preserve"> </w:t>
      </w:r>
      <w:r w:rsidR="00DC3CB2" w:rsidRPr="00DC3CB2">
        <w:t>(</w:t>
      </w:r>
      <w:proofErr w:type="spellStart"/>
      <w:r w:rsidR="00DC3CB2" w:rsidRPr="00DC3CB2">
        <w:t>Samo</w:t>
      </w:r>
      <w:proofErr w:type="spellEnd"/>
      <w:r w:rsidR="00DC3CB2" w:rsidRPr="00DC3CB2">
        <w:t xml:space="preserve"> &amp; Murad, 2019)</w:t>
      </w:r>
      <w:r w:rsidRPr="00064CB9">
        <w:t xml:space="preserve">. Moreover, stricter return policies and the creation of certified channels of refurbished products will not </w:t>
      </w:r>
      <w:r w:rsidRPr="00064CB9">
        <w:lastRenderedPageBreak/>
        <w:t>only serve in utilizing returns to generate revenue; it will also fit the sustainability promises that have become key issues in the consumer electronics market</w:t>
      </w:r>
      <w:r w:rsidR="00DC3CB2">
        <w:t xml:space="preserve"> </w:t>
      </w:r>
      <w:r w:rsidR="00DC3CB2" w:rsidRPr="00DC3CB2">
        <w:t>(HSBC Group, 2024)</w:t>
      </w:r>
      <w:r w:rsidR="006B46A3" w:rsidRPr="00064CB9">
        <w:t>.</w:t>
      </w:r>
    </w:p>
    <w:p w14:paraId="0B7356E9" w14:textId="77777777" w:rsidR="00B30482" w:rsidRPr="00064CB9" w:rsidRDefault="00B30482" w:rsidP="00623C51">
      <w:pPr>
        <w:pStyle w:val="Heading2"/>
      </w:pPr>
      <w:bookmarkStart w:id="20" w:name="_Toc211978712"/>
      <w:r w:rsidRPr="00064CB9">
        <w:t>Payables</w:t>
      </w:r>
      <w:bookmarkEnd w:id="20"/>
    </w:p>
    <w:p w14:paraId="5D3A07C6" w14:textId="5A97275E" w:rsidR="00B30482" w:rsidRPr="00064CB9" w:rsidRDefault="004F6C4D" w:rsidP="00084764">
      <w:r w:rsidRPr="00064CB9">
        <w:t>On the payables front, the company ought to pursue optimal payment terms; where it has power, they ought to switch to longer terms, e.g. net 60 or net 90 days, which will enhance Days Payable Outstanding (DPO). Supply chain finance (SCF) programs will allow suppliers to receive paid up front on the quality of the buyer and enhance the health of suppliers and prolong discretion of payables</w:t>
      </w:r>
      <w:r w:rsidR="00DC3CB2">
        <w:t xml:space="preserve"> </w:t>
      </w:r>
      <w:r w:rsidR="00DC3CB2" w:rsidRPr="00DC3CB2">
        <w:t>(Brigham &amp; Houston, 2019)</w:t>
      </w:r>
      <w:r w:rsidRPr="00064CB9">
        <w:t>. Concentrating on spending is also recommended with a consolidation of the vendor to have better terms and improve supplier relationship, in case of critical components, to ensure stability in the supply chain</w:t>
      </w:r>
      <w:r w:rsidR="00084764" w:rsidRPr="00064CB9">
        <w:t>.</w:t>
      </w:r>
    </w:p>
    <w:p w14:paraId="16492141" w14:textId="77777777" w:rsidR="00B30482" w:rsidRPr="00064CB9" w:rsidRDefault="00B30482" w:rsidP="00623C51">
      <w:pPr>
        <w:pStyle w:val="Heading2"/>
      </w:pPr>
      <w:bookmarkStart w:id="21" w:name="_Toc211978713"/>
      <w:r w:rsidRPr="00064CB9">
        <w:t>Cash governance</w:t>
      </w:r>
      <w:bookmarkEnd w:id="21"/>
    </w:p>
    <w:p w14:paraId="6712287E" w14:textId="4C0FC86D" w:rsidR="00B30482" w:rsidRPr="00064CB9" w:rsidRDefault="004F6C4D" w:rsidP="0066450D">
      <w:r w:rsidRPr="00064CB9">
        <w:t>Working capital can only be handled through good cash governance. This involves rolling 13-week cash flow projections 1-a week, as well as establishing a cash war room that will combine Treasury, Accounts Payable, Accounts Receivable, Sales, and Operations so that it may monitor and actually manage its liquidity. Key performance indicators (KPIs) based on receivables (DSO), inventory (DIO), and payables (DPO) are expected to monitor performance at the business unit level where incentives should be in line with cash performance</w:t>
      </w:r>
      <w:r w:rsidR="00DC3CB2">
        <w:t xml:space="preserve"> </w:t>
      </w:r>
      <w:r w:rsidR="00DC3CB2" w:rsidRPr="00DC3CB2">
        <w:t>(</w:t>
      </w:r>
      <w:proofErr w:type="spellStart"/>
      <w:r w:rsidR="00DC3CB2" w:rsidRPr="00DC3CB2">
        <w:t>Almamy</w:t>
      </w:r>
      <w:proofErr w:type="spellEnd"/>
      <w:r w:rsidR="00DC3CB2" w:rsidRPr="00DC3CB2">
        <w:t xml:space="preserve">, Aston &amp; </w:t>
      </w:r>
      <w:proofErr w:type="spellStart"/>
      <w:r w:rsidR="00DC3CB2" w:rsidRPr="00DC3CB2">
        <w:t>Ngwa</w:t>
      </w:r>
      <w:proofErr w:type="spellEnd"/>
      <w:r w:rsidR="00DC3CB2" w:rsidRPr="00DC3CB2">
        <w:t>, 2016)</w:t>
      </w:r>
      <w:r w:rsidRPr="00064CB9">
        <w:t>. Notably, share buybacks as discretionary commitments must be deferred until cash is conserved to focus on recovery of operation cash flow and less dependence on credit lines and increase financial leeway</w:t>
      </w:r>
      <w:r w:rsidR="0066450D" w:rsidRPr="00064CB9">
        <w:t>.</w:t>
      </w:r>
    </w:p>
    <w:p w14:paraId="3A1B5E8B" w14:textId="77777777" w:rsidR="00623C51" w:rsidRPr="00064CB9" w:rsidRDefault="00B30482" w:rsidP="00623C51">
      <w:pPr>
        <w:pStyle w:val="Heading1"/>
        <w:rPr>
          <w:lang w:val="en-GB"/>
        </w:rPr>
      </w:pPr>
      <w:bookmarkStart w:id="22" w:name="_Toc211978714"/>
      <w:r w:rsidRPr="00064CB9">
        <w:rPr>
          <w:lang w:val="en-GB"/>
        </w:rPr>
        <w:t>Short-term vs long-term financing options</w:t>
      </w:r>
      <w:bookmarkEnd w:id="22"/>
    </w:p>
    <w:p w14:paraId="3EA8640F" w14:textId="395A79D1" w:rsidR="00B30482" w:rsidRPr="00064CB9" w:rsidRDefault="00B30482" w:rsidP="00623C51">
      <w:pPr>
        <w:pStyle w:val="Heading2"/>
      </w:pPr>
      <w:bookmarkStart w:id="23" w:name="_Toc211978715"/>
      <w:r w:rsidRPr="00064CB9">
        <w:t>Short-term</w:t>
      </w:r>
      <w:bookmarkEnd w:id="23"/>
    </w:p>
    <w:p w14:paraId="3A0701F2" w14:textId="5DED93FF" w:rsidR="00F35F89" w:rsidRPr="00064CB9" w:rsidRDefault="004F6C4D" w:rsidP="00F35F89">
      <w:r w:rsidRPr="00064CB9">
        <w:t>A balance in financing and inventory management is one of the options that electronics manufacturing firms should take into consideration in order to make the working capital effective. Flexible options should be used in the short-term to meet the urgent working capital needs. Quick access to liquidity is through revolving credit lines or overdrafts where the interest is paid on the amount that has been drawn. They are much sensitive but they are also vulnerable to covenant limits and interest rate changes</w:t>
      </w:r>
      <w:r w:rsidR="00DC3CB2">
        <w:t xml:space="preserve"> </w:t>
      </w:r>
      <w:r w:rsidR="00DC3CB2" w:rsidRPr="00DC3CB2">
        <w:t>(</w:t>
      </w:r>
      <w:proofErr w:type="spellStart"/>
      <w:r w:rsidR="00DC3CB2" w:rsidRPr="00DC3CB2">
        <w:t>Hasanaj</w:t>
      </w:r>
      <w:proofErr w:type="spellEnd"/>
      <w:r w:rsidR="00DC3CB2" w:rsidRPr="00DC3CB2">
        <w:t xml:space="preserve"> &amp; </w:t>
      </w:r>
      <w:proofErr w:type="spellStart"/>
      <w:r w:rsidR="00DC3CB2" w:rsidRPr="00DC3CB2">
        <w:t>Kuqi</w:t>
      </w:r>
      <w:proofErr w:type="spellEnd"/>
      <w:r w:rsidR="00DC3CB2" w:rsidRPr="00DC3CB2">
        <w:t>, 2019)</w:t>
      </w:r>
      <w:r w:rsidRPr="00064CB9">
        <w:t xml:space="preserve">. Trade credit </w:t>
      </w:r>
      <w:r w:rsidR="00DC3CB2" w:rsidRPr="00064CB9">
        <w:t>availability</w:t>
      </w:r>
      <w:r w:rsidRPr="00064CB9">
        <w:t xml:space="preserve"> is yet another alternative, and it usually carries no interest charged, but this should be managed with caution, as the supplier-company relationships are prone to suffer loss of early-pay discounts. Factoring and invoice discounting are convenient methods to increase the cash flow. </w:t>
      </w:r>
      <w:r w:rsidRPr="00064CB9">
        <w:lastRenderedPageBreak/>
        <w:t>Instead of waiting to collect the debt, companies can sell down receivables at a discount, which is very useful when they immediately need money in high seasonal periods or when there is a cash flow crunch</w:t>
      </w:r>
      <w:r w:rsidR="00F35F89" w:rsidRPr="00064CB9">
        <w:t xml:space="preserve">. </w:t>
      </w:r>
    </w:p>
    <w:p w14:paraId="2B13F3A6" w14:textId="2462E074" w:rsidR="00B30482" w:rsidRPr="00064CB9" w:rsidRDefault="00B30482" w:rsidP="00F35F89">
      <w:pPr>
        <w:pStyle w:val="Heading2"/>
      </w:pPr>
      <w:bookmarkStart w:id="24" w:name="_Toc211978716"/>
      <w:r w:rsidRPr="00064CB9">
        <w:t>Long-term</w:t>
      </w:r>
      <w:bookmarkEnd w:id="24"/>
    </w:p>
    <w:p w14:paraId="535282DC" w14:textId="61EAF071" w:rsidR="004F6C4D" w:rsidRPr="00064CB9" w:rsidRDefault="004F6C4D" w:rsidP="004F6C4D">
      <w:r w:rsidRPr="00064CB9">
        <w:t>In the long run, working capital requirements of the company are supported by the long-term stable sources of funding. Term loans, which are usually amortizing and covenant intensive, would be appropriate in structuring structural and long-lasting requirements such as expansion of the facility or upgrade technology in stable segments</w:t>
      </w:r>
      <w:r w:rsidR="002821A7">
        <w:t xml:space="preserve"> </w:t>
      </w:r>
      <w:r w:rsidR="002821A7" w:rsidRPr="002821A7">
        <w:t>(</w:t>
      </w:r>
      <w:proofErr w:type="spellStart"/>
      <w:r w:rsidR="002821A7" w:rsidRPr="002821A7">
        <w:t>Jariah</w:t>
      </w:r>
      <w:proofErr w:type="spellEnd"/>
      <w:r w:rsidR="002821A7" w:rsidRPr="002821A7">
        <w:t xml:space="preserve"> &amp; </w:t>
      </w:r>
      <w:proofErr w:type="spellStart"/>
      <w:r w:rsidR="002821A7" w:rsidRPr="002821A7">
        <w:t>Budiwati</w:t>
      </w:r>
      <w:proofErr w:type="spellEnd"/>
      <w:r w:rsidR="002821A7" w:rsidRPr="002821A7">
        <w:t>, 2021)</w:t>
      </w:r>
      <w:r w:rsidRPr="00064CB9">
        <w:t>. Asset-backed facilities, that is, using an asset like inventory and receivables as the security, enhance</w:t>
      </w:r>
      <w:r w:rsidR="007366F2" w:rsidRPr="00064CB9">
        <w:t>s</w:t>
      </w:r>
      <w:r w:rsidRPr="00064CB9">
        <w:t xml:space="preserve"> capacity and are frequently of lower rates than unsecured debt. They also fit well with the manufacturers that are heavy in assets and offer a stable financing model.</w:t>
      </w:r>
    </w:p>
    <w:p w14:paraId="447BD519" w14:textId="0CA29718" w:rsidR="00282983" w:rsidRPr="00064CB9" w:rsidRDefault="004F6C4D" w:rsidP="004F6C4D">
      <w:pPr>
        <w:rPr>
          <w:b/>
        </w:rPr>
      </w:pPr>
      <w:r w:rsidRPr="00064CB9">
        <w:t>The best practice when it comes to working capital management is the company dealing with tenure of its financing instruments as compared to its cash flow profile. Timing gaps like seasonal spikes or delayed receivables should be bridged by short term funding and stable and core activities may be supported by long term capital</w:t>
      </w:r>
      <w:r w:rsidR="00DC3CB2">
        <w:t xml:space="preserve"> </w:t>
      </w:r>
      <w:r w:rsidR="002821A7" w:rsidRPr="002821A7">
        <w:t>(</w:t>
      </w:r>
      <w:proofErr w:type="spellStart"/>
      <w:r w:rsidR="002821A7" w:rsidRPr="002821A7">
        <w:t>Hasanaj</w:t>
      </w:r>
      <w:proofErr w:type="spellEnd"/>
      <w:r w:rsidR="002821A7" w:rsidRPr="002821A7">
        <w:t xml:space="preserve"> &amp; </w:t>
      </w:r>
      <w:proofErr w:type="spellStart"/>
      <w:r w:rsidR="002821A7" w:rsidRPr="002821A7">
        <w:t>Kuqi</w:t>
      </w:r>
      <w:proofErr w:type="spellEnd"/>
      <w:r w:rsidR="002821A7" w:rsidRPr="002821A7">
        <w:t>, 2019)</w:t>
      </w:r>
      <w:r w:rsidRPr="00064CB9">
        <w:t>. Through this moderate position, the electronics firms are able to maintain liquidity, mitigate risks and manage their resources effectively to maintain their competitive advantage</w:t>
      </w:r>
      <w:r w:rsidR="00282983" w:rsidRPr="00064CB9">
        <w:t>.</w:t>
      </w:r>
    </w:p>
    <w:p w14:paraId="3BCF73F6" w14:textId="7EAD06EE" w:rsidR="00BC66A4" w:rsidRPr="00064CB9" w:rsidRDefault="00BC66A4" w:rsidP="00BC66A4">
      <w:pPr>
        <w:pStyle w:val="Heading1"/>
        <w:rPr>
          <w:lang w:val="en-GB"/>
        </w:rPr>
      </w:pPr>
      <w:bookmarkStart w:id="25" w:name="_Toc211978717"/>
      <w:r w:rsidRPr="00064CB9">
        <w:rPr>
          <w:lang w:val="en-GB"/>
        </w:rPr>
        <w:t>Strategic Financial Restructuring Plan</w:t>
      </w:r>
      <w:bookmarkEnd w:id="25"/>
    </w:p>
    <w:p w14:paraId="20A080FB" w14:textId="09479DEF" w:rsidR="00BC66A4" w:rsidRPr="00064CB9" w:rsidRDefault="00BC66A4" w:rsidP="00BC66A4">
      <w:bookmarkStart w:id="26" w:name="_Toc211978718"/>
      <w:r w:rsidRPr="00064CB9">
        <w:rPr>
          <w:rStyle w:val="Heading2Char"/>
        </w:rPr>
        <w:t>Objectives</w:t>
      </w:r>
      <w:bookmarkEnd w:id="26"/>
      <w:r w:rsidRPr="00064CB9">
        <w:rPr>
          <w:rStyle w:val="Heading2Char"/>
        </w:rPr>
        <w:br/>
      </w:r>
      <w:r w:rsidR="000D27BC" w:rsidRPr="00064CB9">
        <w:t>The financial restructuring plan is a strategic plan that is expected to resume General Electronics to sustainable profitability and positive cash flow alongside lowering balance sheet risk. It is aimed at reallocating resources to profitable and defensible product platforms with gross margin stability and scalable benefits. Some of the strategies to consider in restructuring are selling off non-core and low-margin businesses or selling off complete businesses altogether. These rationalizations of portfolio support can be justified based on evidence that the break-up transactions tend to improve share-holders value by adding to higher level of transparency, strategic focus and elimination of costly cross subsidies</w:t>
      </w:r>
      <w:r w:rsidRPr="00064CB9">
        <w:t>.​</w:t>
      </w:r>
    </w:p>
    <w:p w14:paraId="4880E424" w14:textId="77777777" w:rsidR="00BC66A4" w:rsidRPr="00064CB9" w:rsidRDefault="00BC66A4" w:rsidP="00BC66A4">
      <w:pPr>
        <w:pStyle w:val="Heading2"/>
      </w:pPr>
      <w:bookmarkStart w:id="27" w:name="_Toc211978719"/>
      <w:r w:rsidRPr="00064CB9">
        <w:t>Portfolio actions</w:t>
      </w:r>
      <w:bookmarkEnd w:id="27"/>
    </w:p>
    <w:p w14:paraId="40D92DA4" w14:textId="5202B727" w:rsidR="000D27BC" w:rsidRPr="00064CB9" w:rsidRDefault="000D27BC" w:rsidP="000D27BC">
      <w:r w:rsidRPr="00064CB9">
        <w:t xml:space="preserve">Other than divestitures, strategic partnerships or joint venture in new and high </w:t>
      </w:r>
      <w:r w:rsidR="003D7C99" w:rsidRPr="00064CB9">
        <w:t xml:space="preserve">profitable segments can highly benefit General Electronics in picking up their pace. </w:t>
      </w:r>
      <w:r w:rsidR="007C355A" w:rsidRPr="00064CB9">
        <w:t xml:space="preserve">To cover the vast cost of R&amp;D they can cooperate with technology experts, </w:t>
      </w:r>
      <w:r w:rsidR="00E60FAF" w:rsidRPr="00064CB9">
        <w:t xml:space="preserve">AI companies, sensor manufacturers, </w:t>
      </w:r>
      <w:r w:rsidR="00E60FAF" w:rsidRPr="00064CB9">
        <w:lastRenderedPageBreak/>
        <w:t>and smart home solutions manufacturers.</w:t>
      </w:r>
      <w:r w:rsidR="00014A18" w:rsidRPr="00064CB9">
        <w:t xml:space="preserve"> </w:t>
      </w:r>
      <w:r w:rsidRPr="00064CB9">
        <w:t xml:space="preserve">Indicatively, design innovators and manufacturing specialists working together </w:t>
      </w:r>
      <w:r w:rsidR="00634883" w:rsidRPr="00064CB9">
        <w:t xml:space="preserve">can </w:t>
      </w:r>
      <w:r w:rsidRPr="00064CB9">
        <w:t>be used to speed up development cycles, maximize product quality and time to market. This is because of sharing of R&amp;D and production knowledge thus ends up minimizing capital outlay on any one party so that each of the partners can focus on its areas of core competencies more efficiently</w:t>
      </w:r>
      <w:r w:rsidR="002821A7">
        <w:t xml:space="preserve"> </w:t>
      </w:r>
      <w:r w:rsidR="002821A7" w:rsidRPr="002821A7">
        <w:t>(Ko, Fujita &amp; Li, 2017)</w:t>
      </w:r>
      <w:r w:rsidRPr="00064CB9">
        <w:t>.</w:t>
      </w:r>
    </w:p>
    <w:p w14:paraId="35B59275" w14:textId="708B9322" w:rsidR="00454DC0" w:rsidRPr="00064CB9" w:rsidRDefault="000D27BC" w:rsidP="000D27BC">
      <w:pPr>
        <w:rPr>
          <w:b/>
        </w:rPr>
      </w:pPr>
      <w:r w:rsidRPr="00064CB9">
        <w:t>These partnerships are also helpful in accelerating the innovation pathways so that General Electronics can be in the forefront to future changing market and regulatory processes, including rising demand of connected and sustainable products. Strategic partnerships reduce technological and market risks by diversifying through pooling resources and knowledge, thereby increasing resilience to disruptions in supply chains and quick alterations of consumer tastes and preferences</w:t>
      </w:r>
      <w:r w:rsidR="002821A7">
        <w:t xml:space="preserve"> </w:t>
      </w:r>
      <w:r w:rsidR="002821A7" w:rsidRPr="002821A7">
        <w:t>(Altman et al., 2017)</w:t>
      </w:r>
      <w:r w:rsidRPr="00064CB9">
        <w:t>. In addition, joint ventures also give access to new markets and access to customers which would be costly or inaccessible without the venture. As a result, such alliances are becoming a well-known strategy in the industry as a means of sustainable development, competitive distinctiveness, and sustainable profitability in such a multi-dimensional and dynamic electronic environment</w:t>
      </w:r>
      <w:r w:rsidR="00454DC0" w:rsidRPr="00064CB9">
        <w:t>.</w:t>
      </w:r>
    </w:p>
    <w:p w14:paraId="2F3A3C95" w14:textId="77777777" w:rsidR="00700D80" w:rsidRPr="00064CB9" w:rsidRDefault="00700D80" w:rsidP="00E766D2">
      <w:pPr>
        <w:pStyle w:val="Heading3"/>
      </w:pPr>
      <w:bookmarkStart w:id="28" w:name="_Toc211978720"/>
      <w:r w:rsidRPr="00064CB9">
        <w:t>Operating Model and Cost Structure</w:t>
      </w:r>
      <w:bookmarkEnd w:id="28"/>
    </w:p>
    <w:p w14:paraId="6832DED7" w14:textId="2ADABB86" w:rsidR="00700D80" w:rsidRPr="00064CB9" w:rsidRDefault="000D27BC" w:rsidP="00700D80">
      <w:r w:rsidRPr="00064CB9">
        <w:t>As part of the financial restructuring, the basics of the redesign of the General Electronics operating model and cost framework is required. The company will also use zero-based budgeting (ZBB) to initiate cost discipline in selling, general and administrative (SG&amp;A) costs and research and development (R&amp;D). ZBB will force each department to defend expenses on zero basis yearly that aids in eliminating redundancy and redistributing the resources to the strategic priorities</w:t>
      </w:r>
      <w:r w:rsidR="002821A7">
        <w:t xml:space="preserve"> </w:t>
      </w:r>
      <w:r w:rsidR="002821A7" w:rsidRPr="002821A7">
        <w:t>(Husna &amp; Satria, 2019)</w:t>
      </w:r>
      <w:r w:rsidRPr="00064CB9">
        <w:t>. Within the next one year, the company intends to drop the operating expense ratio by 300 to 500 basis points through consolidation of vendors, streamlining facility footprints and through implementation of shared services in the main functions of the business such as finance, human resources and information technology</w:t>
      </w:r>
      <w:r w:rsidR="002821A7">
        <w:t xml:space="preserve"> </w:t>
      </w:r>
      <w:r w:rsidR="002821A7" w:rsidRPr="002821A7">
        <w:t>(Plutus Education, 2025)</w:t>
      </w:r>
      <w:r w:rsidR="00700D80" w:rsidRPr="00064CB9">
        <w:t>.</w:t>
      </w:r>
    </w:p>
    <w:p w14:paraId="48D9FDDF" w14:textId="6BB6A607" w:rsidR="00340B85" w:rsidRPr="00064CB9" w:rsidRDefault="00340B85" w:rsidP="002A0EFA">
      <w:pPr>
        <w:pStyle w:val="Heading3"/>
      </w:pPr>
      <w:bookmarkStart w:id="29" w:name="_Toc211978721"/>
      <w:r w:rsidRPr="00064CB9">
        <w:t>Redesigning Supply Chain</w:t>
      </w:r>
      <w:bookmarkEnd w:id="29"/>
    </w:p>
    <w:p w14:paraId="2C2F1162" w14:textId="05FE0C05" w:rsidR="000D27BC" w:rsidRPr="00064CB9" w:rsidRDefault="000D27BC" w:rsidP="000D27BC">
      <w:r w:rsidRPr="00064CB9">
        <w:t xml:space="preserve">General Electronics will near-source major assembly operations through the process of near-shoring its supply chain, thereby, cutting back on and enhancing it. The method lowers lead times and inventory, makes it more responsive to changing customer demand, and reduces carrying costs. It also eliminates geopolitical upheavals, tariffs and foreign exchange risks, and this leads to more consistent earnings and forecastable cash flow. These advantages contribute </w:t>
      </w:r>
      <w:r w:rsidRPr="00064CB9">
        <w:lastRenderedPageBreak/>
        <w:t>to improving shareholder returns by maximizing the capital efficiency and operation performance</w:t>
      </w:r>
      <w:r w:rsidR="002821A7">
        <w:t xml:space="preserve"> </w:t>
      </w:r>
      <w:r w:rsidR="002821A7" w:rsidRPr="002821A7">
        <w:t>(</w:t>
      </w:r>
      <w:proofErr w:type="spellStart"/>
      <w:r w:rsidR="002821A7" w:rsidRPr="002821A7">
        <w:t>Jariah</w:t>
      </w:r>
      <w:proofErr w:type="spellEnd"/>
      <w:r w:rsidR="002821A7" w:rsidRPr="002821A7">
        <w:t xml:space="preserve"> &amp; </w:t>
      </w:r>
      <w:proofErr w:type="spellStart"/>
      <w:r w:rsidR="002821A7" w:rsidRPr="002821A7">
        <w:t>Budiwati</w:t>
      </w:r>
      <w:proofErr w:type="spellEnd"/>
      <w:r w:rsidR="002821A7" w:rsidRPr="002821A7">
        <w:t>, 2021)</w:t>
      </w:r>
      <w:r w:rsidRPr="00064CB9">
        <w:t>.</w:t>
      </w:r>
    </w:p>
    <w:p w14:paraId="24BAB83E" w14:textId="6EF24A24" w:rsidR="000D27BC" w:rsidRPr="00064CB9" w:rsidRDefault="000D27BC" w:rsidP="000D27BC">
      <w:r w:rsidRPr="00064CB9">
        <w:t>The debt profile of the company is also improved by the supply chain redesign. Working capital efficiency will be enhanced by reducing inventory and shortening the cash conversion cycle, which will allow cash to be used to pay off debt or make strategic investments</w:t>
      </w:r>
      <w:r w:rsidR="002821A7">
        <w:t xml:space="preserve"> </w:t>
      </w:r>
      <w:r w:rsidR="002821A7" w:rsidRPr="002821A7">
        <w:t>(Shopify, 2025)</w:t>
      </w:r>
      <w:r w:rsidRPr="00064CB9">
        <w:t>. Such advances can help to enhance credit scores which might lead to a reduction in the interest rates charged by borrowers and the availability of such credit facilities.</w:t>
      </w:r>
    </w:p>
    <w:p w14:paraId="74D835FB" w14:textId="244E29D2" w:rsidR="00700D80" w:rsidRPr="00064CB9" w:rsidRDefault="000D27BC" w:rsidP="000D27BC">
      <w:r w:rsidRPr="00064CB9">
        <w:t>Operational-wise, near-shoring offers greater flexibility so that it could readily change the quantities of production and product mix when the market changes. It also helps in abiding by regulatory norms, including the right-to-repair laws. Despite the potential increase in labour expenses associated with near-shoring in comparison with offshore manufacturing, it can be compensated by an increase in productivity and automation, as well as the decreasing level of logistical complexity, which result in maintaining the margins and improving supply chain resilience</w:t>
      </w:r>
      <w:r w:rsidR="002821A7">
        <w:t xml:space="preserve"> </w:t>
      </w:r>
      <w:r w:rsidR="002821A7" w:rsidRPr="002821A7">
        <w:t>(Soboleva et al., 2018)</w:t>
      </w:r>
      <w:r w:rsidR="00700D80" w:rsidRPr="00064CB9">
        <w:t>.</w:t>
      </w:r>
    </w:p>
    <w:p w14:paraId="259BDED6" w14:textId="77777777" w:rsidR="00700D80" w:rsidRPr="00064CB9" w:rsidRDefault="00700D80" w:rsidP="00E766D2">
      <w:pPr>
        <w:pStyle w:val="Heading3"/>
      </w:pPr>
      <w:bookmarkStart w:id="30" w:name="_Toc211978722"/>
      <w:r w:rsidRPr="00064CB9">
        <w:t>Integrated Impact</w:t>
      </w:r>
      <w:bookmarkEnd w:id="30"/>
    </w:p>
    <w:p w14:paraId="5D84C987" w14:textId="52B6CEAC" w:rsidR="00700D80" w:rsidRPr="00064CB9" w:rsidRDefault="000D27BC" w:rsidP="00700D80">
      <w:r w:rsidRPr="00064CB9">
        <w:t>Zero-based budgeting, in combination with the reshaping of the supply chain, will make General Electronics leaner, more flexible, and more financially resilient. There will be material cost reduction and cash efficiency which will resume profitability and cash outflow, supply-chain enhancements will minimize operational risks and increase customer satisfaction</w:t>
      </w:r>
      <w:r w:rsidR="002821A7">
        <w:t xml:space="preserve"> </w:t>
      </w:r>
      <w:r w:rsidR="002821A7" w:rsidRPr="002821A7">
        <w:t>(</w:t>
      </w:r>
      <w:proofErr w:type="spellStart"/>
      <w:r w:rsidR="002821A7" w:rsidRPr="002821A7">
        <w:t>Samo</w:t>
      </w:r>
      <w:proofErr w:type="spellEnd"/>
      <w:r w:rsidR="002821A7" w:rsidRPr="002821A7">
        <w:t xml:space="preserve"> &amp; Murad, 2019)</w:t>
      </w:r>
      <w:r w:rsidRPr="00064CB9">
        <w:t>. Such a combined strategy should produce a significant decrease in operating costs and cash operating requirements in 12-18 months facilitating an improved balance sheet, better interest coverage and shareholder value</w:t>
      </w:r>
      <w:r w:rsidR="00700D80" w:rsidRPr="00064CB9">
        <w:t>.</w:t>
      </w:r>
    </w:p>
    <w:p w14:paraId="41091D51" w14:textId="16E4AB1A" w:rsidR="00BC66A4" w:rsidRPr="00064CB9" w:rsidRDefault="00BC66A4" w:rsidP="00E766D2">
      <w:pPr>
        <w:pStyle w:val="Heading2"/>
      </w:pPr>
      <w:bookmarkStart w:id="31" w:name="_Toc211978723"/>
      <w:r w:rsidRPr="00064CB9">
        <w:t>International and ethical considerations</w:t>
      </w:r>
      <w:bookmarkEnd w:id="31"/>
    </w:p>
    <w:p w14:paraId="0FA1D994" w14:textId="2747D8D9" w:rsidR="006B677A" w:rsidRPr="00064CB9" w:rsidRDefault="000D27BC" w:rsidP="006B677A">
      <w:r w:rsidRPr="00064CB9">
        <w:t>Globally and ethically, the reorganization plan should be keen in structuring taxes to maximize tax leakage which should follow the rules of transfer pricing in line with the OECD guidelines to avoid conflicts. Layered hedging and regionally matching sourcing and sales are the means to deal with currency risk and reduce it. The exchange rate volatility can be compensated by changing the price at geographies that are of low margins</w:t>
      </w:r>
      <w:r w:rsidR="002821A7">
        <w:t xml:space="preserve"> </w:t>
      </w:r>
      <w:r w:rsidR="002821A7" w:rsidRPr="002821A7">
        <w:t>(Brigham &amp; Houston, 2019)</w:t>
      </w:r>
      <w:r w:rsidRPr="00064CB9">
        <w:t xml:space="preserve">. Under inflation pressure, it will be wise to include clauses of future escalation in supply contacts and focus more on energy saving and logistics enhancement in its operations. Such CSR provisions like modular design, publication of repair manuals, availability of spare parts, etc. make brands trusted, which coincides with trends of sustainability, giving possible access to green financing. </w:t>
      </w:r>
      <w:r w:rsidRPr="00064CB9">
        <w:lastRenderedPageBreak/>
        <w:t>Enhancement of the governance by aligning executive compensation with cash flow, confidence ratio of invested capital (ROIC) and working capital performance indicators and more extensive auditing and transparent reporting will enhance accountability in the restructuring</w:t>
      </w:r>
      <w:r w:rsidR="006B677A" w:rsidRPr="00064CB9">
        <w:t>.</w:t>
      </w:r>
    </w:p>
    <w:p w14:paraId="754368C5" w14:textId="0092826A" w:rsidR="00BC66A4" w:rsidRPr="00064CB9" w:rsidRDefault="00BC66A4" w:rsidP="00223FCA">
      <w:pPr>
        <w:pStyle w:val="Heading2"/>
      </w:pPr>
      <w:bookmarkStart w:id="32" w:name="_Toc211978724"/>
      <w:r w:rsidRPr="00064CB9">
        <w:t>Expected financial impact</w:t>
      </w:r>
      <w:bookmarkEnd w:id="32"/>
    </w:p>
    <w:p w14:paraId="635C3151" w14:textId="7281CD53" w:rsidR="00223FCA" w:rsidRPr="00064CB9" w:rsidRDefault="001267FE" w:rsidP="00223FCA">
      <w:r w:rsidRPr="00064CB9">
        <w:t>The projected financial results involve the improvement of the operating margin of 300-500 basis points in 12 to 18 months due to the operation of SG&amp;A and cost-of-goods-sold (COGS) efficiencies, and the further beneficial effect of the portfolio refocusing and the decrease in the returns. The cash conversion cycles are to be enhanced by 20 to 40 days by enhancing the management of the receivables, inventory, and payables and supply chain financing (SCF)</w:t>
      </w:r>
      <w:r w:rsidR="002821A7">
        <w:t xml:space="preserve"> </w:t>
      </w:r>
      <w:r w:rsidR="002821A7" w:rsidRPr="002821A7">
        <w:t>(</w:t>
      </w:r>
      <w:proofErr w:type="spellStart"/>
      <w:r w:rsidR="002821A7" w:rsidRPr="002821A7">
        <w:t>Hasanaj</w:t>
      </w:r>
      <w:proofErr w:type="spellEnd"/>
      <w:r w:rsidR="002821A7" w:rsidRPr="002821A7">
        <w:t xml:space="preserve"> &amp; </w:t>
      </w:r>
      <w:proofErr w:type="spellStart"/>
      <w:r w:rsidR="002821A7" w:rsidRPr="002821A7">
        <w:t>Kuqi</w:t>
      </w:r>
      <w:proofErr w:type="spellEnd"/>
      <w:r w:rsidR="002821A7" w:rsidRPr="002821A7">
        <w:t>, 2019)</w:t>
      </w:r>
      <w:r w:rsidRPr="00064CB9">
        <w:t>. The working capital release is likely to be helpful in operating cash flow. Reduced net debt, enhanced interest coverage and return on positive EBIT and enhanced base, which comes as a consequence of retained cash and/or new equity injection will enhance financial resilience. Within two years, these changes must propel the Altman Z-Score above 3.0, which would be an indication of reduced risk of default as well as improved credit</w:t>
      </w:r>
      <w:r w:rsidR="002821A7">
        <w:t xml:space="preserve"> </w:t>
      </w:r>
      <w:r w:rsidR="002821A7" w:rsidRPr="002821A7">
        <w:t>(Corporate Finance Institute, 2023)</w:t>
      </w:r>
      <w:r w:rsidR="00223FCA" w:rsidRPr="00064CB9">
        <w:t>.</w:t>
      </w:r>
    </w:p>
    <w:p w14:paraId="32C59E44" w14:textId="77777777" w:rsidR="00993A77" w:rsidRPr="00064CB9" w:rsidRDefault="00993A77">
      <w:pPr>
        <w:rPr>
          <w:rFonts w:eastAsiaTheme="majorEastAsia" w:cstheme="majorBidi"/>
          <w:b/>
          <w:color w:val="000000" w:themeColor="text1"/>
          <w:sz w:val="32"/>
          <w:szCs w:val="32"/>
        </w:rPr>
      </w:pPr>
      <w:r w:rsidRPr="00064CB9">
        <w:br w:type="page"/>
      </w:r>
    </w:p>
    <w:p w14:paraId="02832FE0" w14:textId="11086474" w:rsidR="00B30482" w:rsidRPr="00064CB9" w:rsidRDefault="00B30482" w:rsidP="00BC66A4">
      <w:pPr>
        <w:pStyle w:val="Heading1"/>
        <w:rPr>
          <w:lang w:val="en-GB"/>
        </w:rPr>
      </w:pPr>
      <w:bookmarkStart w:id="33" w:name="_Toc211978725"/>
      <w:r w:rsidRPr="00064CB9">
        <w:rPr>
          <w:lang w:val="en-GB"/>
        </w:rPr>
        <w:lastRenderedPageBreak/>
        <w:t>Investment Appraisal and Capital Budgeting</w:t>
      </w:r>
      <w:bookmarkEnd w:id="33"/>
    </w:p>
    <w:p w14:paraId="09AA4058" w14:textId="77777777" w:rsidR="00B07732" w:rsidRPr="00064CB9" w:rsidRDefault="00B07732" w:rsidP="00610A86">
      <w:pPr>
        <w:pStyle w:val="Heading2"/>
      </w:pPr>
      <w:bookmarkStart w:id="34" w:name="_Toc211978726"/>
      <w:r w:rsidRPr="00064CB9">
        <w:t>Methods and Assumptions</w:t>
      </w:r>
      <w:bookmarkEnd w:id="34"/>
    </w:p>
    <w:p w14:paraId="63731C8D" w14:textId="74A41D5D" w:rsidR="00B07732" w:rsidRPr="00064CB9" w:rsidRDefault="001267FE" w:rsidP="00B07732">
      <w:r w:rsidRPr="00064CB9">
        <w:t>General Electronics investment projects are also examined based on five basic capital budgeting methods at the discount rate of 10% and the linear depreciation rate to zero. The approaches provide the complementary perspectives to make sound decisions. The most important metric is the Net Present Value (NPV) since it takes into account the time value of money and directly quantifies the value that is expected to be created. Internal Rate of Return (IRR) offers a convenient heuristic rate of return, but it should be used with caution when the cash flows are not normal</w:t>
      </w:r>
      <w:r w:rsidR="006B472D">
        <w:t xml:space="preserve"> </w:t>
      </w:r>
      <w:r w:rsidR="006B472D" w:rsidRPr="006B472D">
        <w:t>(</w:t>
      </w:r>
      <w:proofErr w:type="spellStart"/>
      <w:r w:rsidR="006B472D" w:rsidRPr="006B472D">
        <w:t>Nobanee</w:t>
      </w:r>
      <w:proofErr w:type="spellEnd"/>
      <w:r w:rsidR="006B472D" w:rsidRPr="006B472D">
        <w:t xml:space="preserve"> &amp; Al Hajjar, 2014)</w:t>
      </w:r>
      <w:r w:rsidRPr="00064CB9">
        <w:t>. Capital rationing considers profitability Index (PI), in which it is crucial to allocate the funds to the project yielding the most benefits based on the amount of investment. Payback Period (PBP) lays emphasis on liquidity risk because it makes one see how initial investments will be reimbursed, which is important in cash management. Accounting Rate of Return (ARR) displays profit in the accounting earnings view as a ratio of investment and is popular because of its simplicity among management</w:t>
      </w:r>
      <w:r w:rsidR="006B472D">
        <w:t xml:space="preserve"> </w:t>
      </w:r>
      <w:r w:rsidR="006B472D" w:rsidRPr="006B472D">
        <w:t>(Richards &amp; Laughlin, 1980)</w:t>
      </w:r>
      <w:r w:rsidR="00B07732" w:rsidRPr="00064CB9">
        <w:t>.</w:t>
      </w:r>
    </w:p>
    <w:p w14:paraId="5BFD394B" w14:textId="77777777" w:rsidR="002E7346" w:rsidRPr="00064CB9" w:rsidRDefault="002E7346" w:rsidP="00610A86">
      <w:pPr>
        <w:pStyle w:val="Heading2"/>
      </w:pPr>
      <w:bookmarkStart w:id="35" w:name="_Toc211978727"/>
      <w:r w:rsidRPr="00064CB9">
        <w:t>Payback Period (PBP)</w:t>
      </w:r>
      <w:bookmarkEnd w:id="35"/>
    </w:p>
    <w:p w14:paraId="22FE24AF" w14:textId="4A497617" w:rsidR="00146712" w:rsidRPr="00064CB9" w:rsidRDefault="001267FE" w:rsidP="002E7346">
      <w:r w:rsidRPr="00064CB9">
        <w:t>Project A has a payback period of 3.4 versus 3.6 years in Project C, meaning that it breaks even faster and this could be a better liquidity profile. Project B on the other hand would take 5 years, the highest of all the three, hence, great cash flow risk</w:t>
      </w:r>
      <w:r w:rsidR="002E7346" w:rsidRPr="00064CB9">
        <w:t xml:space="preserve">. </w:t>
      </w:r>
    </w:p>
    <w:p w14:paraId="38A9BCED" w14:textId="33DA8897" w:rsidR="00146712" w:rsidRPr="00064CB9" w:rsidRDefault="00146712" w:rsidP="00146712">
      <w:pPr>
        <w:jc w:val="center"/>
      </w:pPr>
      <w:r w:rsidRPr="00064CB9">
        <w:rPr>
          <w:noProof/>
        </w:rPr>
        <w:drawing>
          <wp:inline distT="0" distB="0" distL="0" distR="0" wp14:anchorId="61B6CE16" wp14:editId="3D0D1BE7">
            <wp:extent cx="4572000" cy="2743200"/>
            <wp:effectExtent l="0" t="0" r="0" b="0"/>
            <wp:docPr id="7" name="Chart 7">
              <a:extLst xmlns:a="http://schemas.openxmlformats.org/drawingml/2006/main">
                <a:ext uri="{FF2B5EF4-FFF2-40B4-BE49-F238E27FC236}">
                  <a16:creationId xmlns:a16="http://schemas.microsoft.com/office/drawing/2014/main" id="{BAB1C1D7-C2F0-4DEE-B71A-83C880B266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C8BD381" w14:textId="7B60B37A" w:rsidR="002E7346" w:rsidRPr="00064CB9" w:rsidRDefault="001267FE" w:rsidP="002E7346">
      <w:r w:rsidRPr="00064CB9">
        <w:t xml:space="preserve">Although PBP is simple to comprehend and helpful in short term liquidity management, it ignores cash flows outside payback window and discounts neither cash flows nor time risk and </w:t>
      </w:r>
      <w:r w:rsidRPr="00064CB9">
        <w:lastRenderedPageBreak/>
        <w:t>this restricts its applicability in long term value assessment. PBP is also beneficial as it is easy and concentrates on liquidity, and it also has drawbacks such as neglecting to consider the time value of money and cash lapse after the payback period</w:t>
      </w:r>
      <w:r w:rsidR="006B472D">
        <w:t xml:space="preserve"> </w:t>
      </w:r>
      <w:r w:rsidR="006B472D" w:rsidRPr="006B472D">
        <w:t>(Ko, Fujita &amp; Li, 2017)</w:t>
      </w:r>
      <w:r w:rsidR="002E7346" w:rsidRPr="00064CB9">
        <w:t>.</w:t>
      </w:r>
    </w:p>
    <w:p w14:paraId="3B3DCCDD" w14:textId="77777777" w:rsidR="002E7346" w:rsidRPr="00064CB9" w:rsidRDefault="002E7346" w:rsidP="00610A86">
      <w:pPr>
        <w:pStyle w:val="Heading2"/>
      </w:pPr>
      <w:bookmarkStart w:id="36" w:name="_Toc211978728"/>
      <w:r w:rsidRPr="00064CB9">
        <w:t>Accounting Rate of Return (ARR)</w:t>
      </w:r>
      <w:bookmarkEnd w:id="36"/>
    </w:p>
    <w:p w14:paraId="73EB85ED" w14:textId="34A9AEA7" w:rsidR="005C0D52" w:rsidRPr="00064CB9" w:rsidRDefault="001267FE" w:rsidP="002E7346">
      <w:r w:rsidRPr="00064CB9">
        <w:t>With the accounting perspective, Project C is seen to have the highest ARR of 30 percent, then Project A (27 percent) and Project B (20 percent). This measure represents the average yearly earnings in relation to investment without taking into account the timing of cash flow or the time worth of money that are crucial in the capital budgeting process. Some managers might like the simplicity of ARR although it needs to be used together and not instead of more rigorous measures of discounted cash flow</w:t>
      </w:r>
      <w:r w:rsidR="002E7346" w:rsidRPr="00064CB9">
        <w:t xml:space="preserve">. </w:t>
      </w:r>
    </w:p>
    <w:p w14:paraId="4D087857" w14:textId="42692DCF" w:rsidR="005C0D52" w:rsidRPr="00064CB9" w:rsidRDefault="005C0D52" w:rsidP="005C0D52">
      <w:pPr>
        <w:jc w:val="center"/>
      </w:pPr>
      <w:r w:rsidRPr="00064CB9">
        <w:rPr>
          <w:noProof/>
        </w:rPr>
        <w:drawing>
          <wp:inline distT="0" distB="0" distL="0" distR="0" wp14:anchorId="580F406E" wp14:editId="5C279AD2">
            <wp:extent cx="4572000" cy="2743200"/>
            <wp:effectExtent l="0" t="0" r="0" b="0"/>
            <wp:docPr id="8" name="Chart 8">
              <a:extLst xmlns:a="http://schemas.openxmlformats.org/drawingml/2006/main">
                <a:ext uri="{FF2B5EF4-FFF2-40B4-BE49-F238E27FC236}">
                  <a16:creationId xmlns:a16="http://schemas.microsoft.com/office/drawing/2014/main" id="{9F675AC4-CC19-4C75-828A-590B6E7286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E8FB53" w14:textId="1E7D8CE0" w:rsidR="002E7346" w:rsidRPr="00064CB9" w:rsidRDefault="001267FE" w:rsidP="002E7346">
      <w:r w:rsidRPr="00064CB9">
        <w:t>The main strengths of ARR are that it is simple to compute and simple to interpret with accounting information, is concerned with the profitability and comparing themselves with internal scorecards. Nevertheless, the cons of ARR are: ignoring the time value of a dollar, use of accounting profits as opposed to cash flows, sensitive to accounting policy, and non-existent time-based decision rule</w:t>
      </w:r>
      <w:r w:rsidR="006B472D">
        <w:t xml:space="preserve"> </w:t>
      </w:r>
      <w:r w:rsidR="006B472D" w:rsidRPr="006B472D">
        <w:t>(</w:t>
      </w:r>
      <w:proofErr w:type="spellStart"/>
      <w:r w:rsidR="006B472D" w:rsidRPr="006B472D">
        <w:t>Almamy</w:t>
      </w:r>
      <w:proofErr w:type="spellEnd"/>
      <w:r w:rsidR="006B472D" w:rsidRPr="006B472D">
        <w:t xml:space="preserve">, Aston &amp; </w:t>
      </w:r>
      <w:proofErr w:type="spellStart"/>
      <w:r w:rsidR="006B472D" w:rsidRPr="006B472D">
        <w:t>Ngwa</w:t>
      </w:r>
      <w:proofErr w:type="spellEnd"/>
      <w:r w:rsidR="006B472D" w:rsidRPr="006B472D">
        <w:t>, 2016)</w:t>
      </w:r>
      <w:r w:rsidR="002E7346" w:rsidRPr="00064CB9">
        <w:t>.</w:t>
      </w:r>
    </w:p>
    <w:p w14:paraId="20FE6C1B" w14:textId="77777777" w:rsidR="002E7346" w:rsidRPr="00064CB9" w:rsidRDefault="002E7346" w:rsidP="00610A86">
      <w:pPr>
        <w:pStyle w:val="Heading2"/>
      </w:pPr>
      <w:bookmarkStart w:id="37" w:name="_Toc211978729"/>
      <w:r w:rsidRPr="00064CB9">
        <w:t>Net Present Value (NPV)</w:t>
      </w:r>
      <w:bookmarkEnd w:id="37"/>
    </w:p>
    <w:p w14:paraId="5E2373C8" w14:textId="6D97FD7A" w:rsidR="005C0D52" w:rsidRPr="00064CB9" w:rsidRDefault="001267FE" w:rsidP="002E7346">
      <w:r w:rsidRPr="00064CB9">
        <w:t>NPV is a direct measurement of the value increment of a firm that can be accredited to each project, which is discounted at 10%. The most valuable-added investment is clearly identified through project C that has a positive NPV (4.23 million). Project A has also a value addition of modest value (1.32 million), whereas, Project B has NPV of negative value (-7.26 million), which is a value destruction, and therefore justifies rejection</w:t>
      </w:r>
      <w:r w:rsidR="002E7346" w:rsidRPr="00064CB9">
        <w:t xml:space="preserve">. </w:t>
      </w:r>
    </w:p>
    <w:p w14:paraId="56B00445" w14:textId="6C111297" w:rsidR="005C0D52" w:rsidRPr="00064CB9" w:rsidRDefault="005C0D52" w:rsidP="005C0D52">
      <w:pPr>
        <w:jc w:val="center"/>
      </w:pPr>
      <w:r w:rsidRPr="00064CB9">
        <w:rPr>
          <w:noProof/>
        </w:rPr>
        <w:lastRenderedPageBreak/>
        <w:drawing>
          <wp:inline distT="0" distB="0" distL="0" distR="0" wp14:anchorId="66031C38" wp14:editId="205E89CE">
            <wp:extent cx="4572000" cy="2743200"/>
            <wp:effectExtent l="0" t="0" r="0" b="0"/>
            <wp:docPr id="10" name="Chart 10">
              <a:extLst xmlns:a="http://schemas.openxmlformats.org/drawingml/2006/main">
                <a:ext uri="{FF2B5EF4-FFF2-40B4-BE49-F238E27FC236}">
                  <a16:creationId xmlns:a16="http://schemas.microsoft.com/office/drawing/2014/main" id="{C623B6B0-4D08-4D93-AC2F-E4EFABBD72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861030" w14:textId="419D3D15" w:rsidR="002E7346" w:rsidRPr="00064CB9" w:rsidRDefault="001267FE" w:rsidP="002E7346">
      <w:r w:rsidRPr="00064CB9">
        <w:t>Also, NPV provides the best measure of the decision because it integrates the risk of the decision with the discount rate and sums up all projected cash flows in the decision-making. The benefits of NPV are that the time value of money is taken into consideration, it is a direct measure of value creation and it is able to capture all cash flows. Its greatest weakness is that it may be sensitive to discount rate</w:t>
      </w:r>
      <w:r w:rsidR="006B472D">
        <w:t xml:space="preserve"> </w:t>
      </w:r>
      <w:r w:rsidR="006B472D" w:rsidRPr="006B472D">
        <w:t>(Richards &amp; Laughlin, 1980)</w:t>
      </w:r>
      <w:r w:rsidR="002E7346" w:rsidRPr="00064CB9">
        <w:t>.</w:t>
      </w:r>
    </w:p>
    <w:p w14:paraId="4127ED1C" w14:textId="77777777" w:rsidR="002E7346" w:rsidRPr="00064CB9" w:rsidRDefault="002E7346" w:rsidP="00610A86">
      <w:pPr>
        <w:pStyle w:val="Heading2"/>
      </w:pPr>
      <w:bookmarkStart w:id="38" w:name="_Toc211978730"/>
      <w:r w:rsidRPr="00064CB9">
        <w:t>Profitability Index (PI)</w:t>
      </w:r>
      <w:bookmarkEnd w:id="38"/>
    </w:p>
    <w:p w14:paraId="772AD478" w14:textId="230B69F2" w:rsidR="00682AE0" w:rsidRPr="00064CB9" w:rsidRDefault="001267FE" w:rsidP="002E7346">
      <w:r w:rsidRPr="00064CB9">
        <w:t>PI also aids in the decision-making process by capital rationing as it is an indicator of value generated per unit of investment. The PI of project C is better than the PI of project A, which is 1.033 and project B which has a poor PI of 0.758. A PI greater than 1 implies that the discounted amount of cash inflows of a project will be greater than the initial expenditure, which verifies its financial feasibility. With a capital cap of 60 million</w:t>
      </w:r>
      <w:r w:rsidR="002E7346" w:rsidRPr="00064CB9">
        <w:t xml:space="preserve">, </w:t>
      </w:r>
    </w:p>
    <w:p w14:paraId="67ED3CC9" w14:textId="317DFE52" w:rsidR="00682AE0" w:rsidRPr="00064CB9" w:rsidRDefault="00682AE0" w:rsidP="00682AE0">
      <w:pPr>
        <w:jc w:val="center"/>
      </w:pPr>
      <w:r w:rsidRPr="00064CB9">
        <w:rPr>
          <w:noProof/>
        </w:rPr>
        <w:drawing>
          <wp:inline distT="0" distB="0" distL="0" distR="0" wp14:anchorId="499250D4" wp14:editId="0D33A1F8">
            <wp:extent cx="4572000" cy="2743200"/>
            <wp:effectExtent l="0" t="0" r="0" b="0"/>
            <wp:docPr id="11" name="Chart 11">
              <a:extLst xmlns:a="http://schemas.openxmlformats.org/drawingml/2006/main">
                <a:ext uri="{FF2B5EF4-FFF2-40B4-BE49-F238E27FC236}">
                  <a16:creationId xmlns:a16="http://schemas.microsoft.com/office/drawing/2014/main" id="{DE370211-2D92-4D6F-A15F-285728A242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C025B0" w14:textId="16F62FF8" w:rsidR="002E7346" w:rsidRPr="00064CB9" w:rsidRDefault="001267FE" w:rsidP="002E7346">
      <w:r w:rsidRPr="00064CB9">
        <w:lastRenderedPageBreak/>
        <w:t>PI assists in picking up projects that have maximum value returns on limited funds. One of the benefits of PI is the fact that it can be used in cases of capital rationing to determine which project is the most efficient, however, one of the problems includes that it uses the NPV to compare project efficiency and misleading ranking of projects when they have varying lifespans</w:t>
      </w:r>
      <w:r w:rsidR="006B472D">
        <w:t xml:space="preserve"> </w:t>
      </w:r>
      <w:r w:rsidR="006B472D" w:rsidRPr="006B472D">
        <w:t>(Ko, Fujita &amp; Li, 2017)</w:t>
      </w:r>
      <w:r w:rsidR="002E7346" w:rsidRPr="00064CB9">
        <w:t>.</w:t>
      </w:r>
    </w:p>
    <w:p w14:paraId="6D729498" w14:textId="77777777" w:rsidR="002E7346" w:rsidRPr="00064CB9" w:rsidRDefault="002E7346" w:rsidP="00610A86">
      <w:pPr>
        <w:pStyle w:val="Heading2"/>
      </w:pPr>
      <w:bookmarkStart w:id="39" w:name="_Toc211978731"/>
      <w:r w:rsidRPr="00064CB9">
        <w:t>Internal Rate of Return (IRR)</w:t>
      </w:r>
      <w:bookmarkEnd w:id="39"/>
    </w:p>
    <w:p w14:paraId="0FAF7907" w14:textId="6535BFBE" w:rsidR="00682AE0" w:rsidRPr="00064CB9" w:rsidRDefault="001267FE" w:rsidP="002E7346">
      <w:r w:rsidRPr="00064CB9">
        <w:t>Project C has the largest IRR of 12.72 which is higher than the 10% hurdle rate in the company and shows that the company is using the capital effectively. The IRR of Project A is also above the threshold, 11.33% is also not as appealing. Project B is a flop with a virtually zero payback value indicating why the project should be rejected. IRR is a handy complementary tool that is deceptive in non-conventional cash flows or mutually exclusive options</w:t>
      </w:r>
      <w:r w:rsidR="002E7346" w:rsidRPr="00064CB9">
        <w:t xml:space="preserve">. </w:t>
      </w:r>
    </w:p>
    <w:p w14:paraId="1F802D37" w14:textId="6A6B9908" w:rsidR="00682AE0" w:rsidRPr="00064CB9" w:rsidRDefault="00682AE0" w:rsidP="00682AE0">
      <w:pPr>
        <w:jc w:val="center"/>
      </w:pPr>
      <w:r w:rsidRPr="00064CB9">
        <w:rPr>
          <w:noProof/>
        </w:rPr>
        <w:drawing>
          <wp:inline distT="0" distB="0" distL="0" distR="0" wp14:anchorId="3CDAB394" wp14:editId="2D280F48">
            <wp:extent cx="4572000" cy="2743200"/>
            <wp:effectExtent l="0" t="0" r="0" b="0"/>
            <wp:docPr id="12" name="Chart 12">
              <a:extLst xmlns:a="http://schemas.openxmlformats.org/drawingml/2006/main">
                <a:ext uri="{FF2B5EF4-FFF2-40B4-BE49-F238E27FC236}">
                  <a16:creationId xmlns:a16="http://schemas.microsoft.com/office/drawing/2014/main" id="{C28FA496-E975-4855-8E89-ED246D2CA2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BB8C3E" w14:textId="0BC76D57" w:rsidR="002E7346" w:rsidRPr="00064CB9" w:rsidRDefault="001267FE" w:rsidP="002E7346">
      <w:r w:rsidRPr="00064CB9">
        <w:t>These are benefits such as being able to easily communicate intuitive percentage and rates. Cons include that, it will have several IRRs of non-normal cash flows, will assume reinvestment at IRR, and may conflict with NPV in the ranking of a project</w:t>
      </w:r>
      <w:r w:rsidR="006B472D">
        <w:t xml:space="preserve"> </w:t>
      </w:r>
      <w:r w:rsidR="006B472D" w:rsidRPr="006B472D">
        <w:t>(</w:t>
      </w:r>
      <w:proofErr w:type="spellStart"/>
      <w:r w:rsidR="006B472D" w:rsidRPr="006B472D">
        <w:t>Nobanee</w:t>
      </w:r>
      <w:proofErr w:type="spellEnd"/>
      <w:r w:rsidR="006B472D" w:rsidRPr="006B472D">
        <w:t xml:space="preserve"> &amp; Al Hajjar, 2014)</w:t>
      </w:r>
      <w:r w:rsidR="002E7346" w:rsidRPr="00064CB9">
        <w:t>.</w:t>
      </w:r>
    </w:p>
    <w:p w14:paraId="0B1B1B78" w14:textId="77777777" w:rsidR="0075687E" w:rsidRPr="00064CB9" w:rsidRDefault="0075687E" w:rsidP="00610A86">
      <w:pPr>
        <w:pStyle w:val="Heading2"/>
      </w:pPr>
      <w:bookmarkStart w:id="40" w:name="_Toc211978732"/>
      <w:r w:rsidRPr="00064CB9">
        <w:t>Capital Rationing and Strategic Considerations</w:t>
      </w:r>
      <w:bookmarkEnd w:id="40"/>
    </w:p>
    <w:p w14:paraId="6C4B5C28" w14:textId="39BEE2A4" w:rsidR="00230C37" w:rsidRPr="00064CB9" w:rsidRDefault="00230C37" w:rsidP="00230C37">
      <w:r w:rsidRPr="00064CB9">
        <w:t xml:space="preserve">General Electronics will not be able to consider combinations of projects given the current capital constraint of 60 million since any pair (A+B=70m, A+C=90m, B+C=80m) would be above this constraint. As such, every project should individually be </w:t>
      </w:r>
      <w:r w:rsidR="00064CB9" w:rsidRPr="00064CB9">
        <w:t>analysed</w:t>
      </w:r>
      <w:r w:rsidRPr="00064CB9">
        <w:t xml:space="preserve"> in terms of financial payoff and strategic fit criterion to agree on the most appropriate investment in limited resources.</w:t>
      </w:r>
    </w:p>
    <w:p w14:paraId="221B5EE6" w14:textId="3C6CBF6D" w:rsidR="00230C37" w:rsidRPr="00064CB9" w:rsidRDefault="00230C37" w:rsidP="00230C37">
      <w:r w:rsidRPr="00064CB9">
        <w:lastRenderedPageBreak/>
        <w:t>Project C is the most interesting investment out of these three projects. It has the highest Net Present Value (NPV) of about 4.23 million and represents the highest incremental value it contributes to the firm when the cost of capital has been considered. It has an Internal Rate of Return of 12.72% much higher than the 10 percent minimum hurdle rate of the corporate level indicating the efficient use of capital with good profitability during the five years period. The Profitability Index (PI) of 1.085 also supports the fact that, this project results in PS1.085 of discounted cash inflows, per PS1 invested which is higher than the other alternatives, and is most economical in the utilization of the limited capital</w:t>
      </w:r>
      <w:r w:rsidR="006B472D">
        <w:t xml:space="preserve"> </w:t>
      </w:r>
      <w:r w:rsidR="006B472D" w:rsidRPr="006B472D">
        <w:t>(</w:t>
      </w:r>
      <w:proofErr w:type="spellStart"/>
      <w:r w:rsidR="006B472D" w:rsidRPr="006B472D">
        <w:t>Calcagnini</w:t>
      </w:r>
      <w:proofErr w:type="spellEnd"/>
      <w:r w:rsidR="006B472D" w:rsidRPr="006B472D">
        <w:t xml:space="preserve"> &amp; </w:t>
      </w:r>
      <w:proofErr w:type="spellStart"/>
      <w:r w:rsidR="006B472D" w:rsidRPr="006B472D">
        <w:t>Iacobucci</w:t>
      </w:r>
      <w:proofErr w:type="spellEnd"/>
      <w:r w:rsidR="006B472D" w:rsidRPr="006B472D">
        <w:t>, 1997)</w:t>
      </w:r>
      <w:r w:rsidRPr="00064CB9">
        <w:t>.</w:t>
      </w:r>
    </w:p>
    <w:p w14:paraId="0F14547B" w14:textId="03A8A8C4" w:rsidR="00230C37" w:rsidRPr="00064CB9" w:rsidRDefault="00230C37" w:rsidP="00230C37">
      <w:r w:rsidRPr="00064CB9">
        <w:t>Project C has slightly larger Payback Period (3.6 years) when compared to Project A (3.4 years), but this difference is not substantial as a statistical difference, and is clinically insignificant because Project C has better financial overall statistics. The Accounting rate of Return (A</w:t>
      </w:r>
      <w:r w:rsidR="00064CB9">
        <w:t>R</w:t>
      </w:r>
      <w:r w:rsidRPr="00064CB9">
        <w:t>R) also prefers Project C at 30% as it is more profitable in its average annual than its investment base in comparison with Projects A and B.</w:t>
      </w:r>
    </w:p>
    <w:p w14:paraId="19F9ABA2" w14:textId="29D4C3DF" w:rsidR="00230C37" w:rsidRPr="00064CB9" w:rsidRDefault="00230C37" w:rsidP="00230C37">
      <w:r w:rsidRPr="00064CB9">
        <w:t>Since the liquidity position of General Electronics was laid-out and the cash operating cycle is long, cash flow management in project implementation should be handled with a lot of care. The inflows of cash in project C are back-loaded and it will generate significant returns in three and four years old</w:t>
      </w:r>
      <w:r w:rsidR="006B472D">
        <w:t xml:space="preserve"> </w:t>
      </w:r>
      <w:r w:rsidR="006B472D" w:rsidRPr="006B472D">
        <w:t>(</w:t>
      </w:r>
      <w:proofErr w:type="spellStart"/>
      <w:r w:rsidR="006B472D" w:rsidRPr="006B472D">
        <w:t>Almamy</w:t>
      </w:r>
      <w:proofErr w:type="spellEnd"/>
      <w:r w:rsidR="006B472D" w:rsidRPr="006B472D">
        <w:t xml:space="preserve">, Aston &amp; </w:t>
      </w:r>
      <w:proofErr w:type="spellStart"/>
      <w:r w:rsidR="006B472D" w:rsidRPr="006B472D">
        <w:t>Ngwa</w:t>
      </w:r>
      <w:proofErr w:type="spellEnd"/>
      <w:r w:rsidR="006B472D" w:rsidRPr="006B472D">
        <w:t>, 2016)</w:t>
      </w:r>
      <w:r w:rsidRPr="00064CB9">
        <w:t>. This trend brings in execution and liquidity risk that has to be addressed by judicious releasing of the funds in milestones and financing of suppliers to make sure the timing of the cash flow is not difficult. This financial discipline will be maintained to address the short-term liquidity strains whilst maximizing on long-term returns.</w:t>
      </w:r>
    </w:p>
    <w:p w14:paraId="365B033E" w14:textId="787326E3" w:rsidR="0075687E" w:rsidRPr="00064CB9" w:rsidRDefault="00230C37" w:rsidP="00230C37">
      <w:r w:rsidRPr="00064CB9">
        <w:t>Tactically, Project C is very related to the restructuring and expansion needs of the firm. Its core approaches of AI-enabled devices and energy-efficient smart home solutions are in line with emerging trends in the industry and regulatory requirements, including sustainability and right-to-repair requirements</w:t>
      </w:r>
      <w:r w:rsidR="006B472D">
        <w:t xml:space="preserve"> </w:t>
      </w:r>
      <w:r w:rsidR="006B472D" w:rsidRPr="006B472D">
        <w:t>(Jaafar, Hassan &amp; Ismail, 2021)</w:t>
      </w:r>
      <w:r w:rsidRPr="00064CB9">
        <w:t>. These synergies also boost the opportunities of competitive differentiation, increase in revenue, and growth in margin of the project, and hence the financial appeal of the project on its own</w:t>
      </w:r>
      <w:r w:rsidR="0075687E" w:rsidRPr="00064CB9">
        <w:t>.</w:t>
      </w:r>
    </w:p>
    <w:p w14:paraId="5C983E0F" w14:textId="77777777" w:rsidR="0075687E" w:rsidRPr="00064CB9" w:rsidRDefault="0075687E" w:rsidP="00610A86">
      <w:pPr>
        <w:pStyle w:val="Heading2"/>
      </w:pPr>
      <w:bookmarkStart w:id="41" w:name="_Toc211978733"/>
      <w:r w:rsidRPr="00064CB9">
        <w:t>Final Recommendation</w:t>
      </w:r>
      <w:bookmarkEnd w:id="41"/>
    </w:p>
    <w:p w14:paraId="4A022EA1" w14:textId="638B8AA3" w:rsidR="00B347B9" w:rsidRPr="00064CB9" w:rsidRDefault="00230C37">
      <w:r w:rsidRPr="00064CB9">
        <w:t xml:space="preserve">Based on the capital rationing constraint, quantitative and qualitative analysis, Project C is the decision to be made to invest at PS50 million. The allocation will maximize the shareholder value, as it implements the highest NPV and crosses the IRR hurdle rate, having the most suitable profitability index. In addition, PS10 million as the liquidity buffer in managing </w:t>
      </w:r>
      <w:r w:rsidRPr="00064CB9">
        <w:lastRenderedPageBreak/>
        <w:t>working capital and contingency is sufficient to give it financial flexibility to operate towards a sustainable turnaround</w:t>
      </w:r>
      <w:r w:rsidR="0075687E" w:rsidRPr="00064CB9">
        <w:t>.</w:t>
      </w:r>
    </w:p>
    <w:p w14:paraId="5E5491F3" w14:textId="77777777" w:rsidR="00230C37" w:rsidRPr="00064CB9" w:rsidRDefault="00230C37">
      <w:pPr>
        <w:rPr>
          <w:rStyle w:val="Heading1Char"/>
          <w:lang w:val="en-GB"/>
        </w:rPr>
      </w:pPr>
      <w:r w:rsidRPr="00064CB9">
        <w:rPr>
          <w:rStyle w:val="Heading1Char"/>
          <w:lang w:val="en-GB"/>
        </w:rPr>
        <w:br w:type="page"/>
      </w:r>
    </w:p>
    <w:p w14:paraId="60187FF1" w14:textId="483C0121" w:rsidR="00B30482" w:rsidRPr="00064CB9" w:rsidRDefault="00B30482" w:rsidP="00B30482">
      <w:bookmarkStart w:id="42" w:name="_Toc211978734"/>
      <w:r w:rsidRPr="00064CB9">
        <w:rPr>
          <w:rStyle w:val="Heading1Char"/>
          <w:lang w:val="en-GB"/>
        </w:rPr>
        <w:lastRenderedPageBreak/>
        <w:t>Conclusion</w:t>
      </w:r>
      <w:bookmarkEnd w:id="42"/>
      <w:r w:rsidRPr="00064CB9">
        <w:rPr>
          <w:rStyle w:val="Heading1Char"/>
          <w:lang w:val="en-GB"/>
        </w:rPr>
        <w:br/>
      </w:r>
      <w:r w:rsidR="00230C37" w:rsidRPr="00064CB9">
        <w:t>Since 2022, General Electronics has suffered a drastic loss of earnings power, liquidity cushions, and the headroom of solvency, and 2023-2024 losses will bring Altman Z to a moderate-risk category. Although the company has strong gross margins and a good operating cash flow, its long cash operating cycle and high receivables days and declining cash balance require radical changes. It is suggested to move speedily</w:t>
      </w:r>
      <w:r w:rsidR="00340877">
        <w:t xml:space="preserve"> to</w:t>
      </w:r>
      <w:r w:rsidR="00230C37" w:rsidRPr="00064CB9">
        <w:t xml:space="preserve"> extract cash through working capital, re-orientate the portfolio by selling, re-capitalize the balance sheet by pausing buybacks and judicious equity raise, and re-engineer the supply chain to be fast and economical. Project C is preferred by capital rationing because it has the largest NPV, IRR over the hurdle and the most optimal PI which fits well with strategic recovery when stringent stage-gates and liquidity protection measures are observed. Implemented to high standards of governance and ethical investment in right-to-repair, supplier health, and open reporting, this plan is cost effective, can be global, and is responsible and sound in the current state of corporate finance practice</w:t>
      </w:r>
      <w:r w:rsidRPr="00064CB9">
        <w:t>.​</w:t>
      </w:r>
    </w:p>
    <w:p w14:paraId="0257221B" w14:textId="77777777" w:rsidR="00162883" w:rsidRDefault="00162883">
      <w:r>
        <w:br w:type="page"/>
      </w:r>
    </w:p>
    <w:p w14:paraId="47F8C6D3" w14:textId="77777777" w:rsidR="00162883" w:rsidRDefault="00162883" w:rsidP="00162883">
      <w:pPr>
        <w:pStyle w:val="Heading1"/>
      </w:pPr>
      <w:bookmarkStart w:id="43" w:name="_Toc211978735"/>
      <w:r>
        <w:lastRenderedPageBreak/>
        <w:t>References</w:t>
      </w:r>
      <w:bookmarkEnd w:id="43"/>
    </w:p>
    <w:p w14:paraId="67C85747" w14:textId="77777777" w:rsidR="00DF2A55" w:rsidRPr="00DF2A55" w:rsidRDefault="00DF2A55" w:rsidP="00DF2A55">
      <w:pPr>
        <w:ind w:left="720" w:hanging="720"/>
        <w:rPr>
          <w:lang w:val="en-US"/>
        </w:rPr>
      </w:pPr>
      <w:proofErr w:type="spellStart"/>
      <w:r w:rsidRPr="00DF2A55">
        <w:rPr>
          <w:lang w:val="en-US"/>
        </w:rPr>
        <w:t>Almamy</w:t>
      </w:r>
      <w:proofErr w:type="spellEnd"/>
      <w:r w:rsidRPr="00DF2A55">
        <w:rPr>
          <w:lang w:val="en-US"/>
        </w:rPr>
        <w:t xml:space="preserve">, J., Aston, J. and </w:t>
      </w:r>
      <w:proofErr w:type="spellStart"/>
      <w:r w:rsidRPr="00DF2A55">
        <w:rPr>
          <w:lang w:val="en-US"/>
        </w:rPr>
        <w:t>Ngwa</w:t>
      </w:r>
      <w:proofErr w:type="spellEnd"/>
      <w:r w:rsidRPr="00DF2A55">
        <w:rPr>
          <w:lang w:val="en-US"/>
        </w:rPr>
        <w:t xml:space="preserve">, L.N. (2016). An evaluation of Altman's Z-score using cash flow ratio to predict corporate failure amid the recent financial crisis: Evidence from the UK. </w:t>
      </w:r>
      <w:r w:rsidRPr="00DF2A55">
        <w:rPr>
          <w:i/>
          <w:iCs/>
          <w:lang w:val="en-US"/>
        </w:rPr>
        <w:t>Journal of Corporate Finance</w:t>
      </w:r>
      <w:r w:rsidRPr="00DF2A55">
        <w:rPr>
          <w:lang w:val="en-US"/>
        </w:rPr>
        <w:t>, 36, pp.278-285.</w:t>
      </w:r>
    </w:p>
    <w:p w14:paraId="0BC92107" w14:textId="77777777" w:rsidR="00DF2A55" w:rsidRPr="00DF2A55" w:rsidRDefault="00DF2A55" w:rsidP="00DF2A55">
      <w:pPr>
        <w:ind w:left="720" w:hanging="720"/>
        <w:rPr>
          <w:lang w:val="en-US"/>
        </w:rPr>
      </w:pPr>
      <w:r w:rsidRPr="00DF2A55">
        <w:rPr>
          <w:lang w:val="en-US"/>
        </w:rPr>
        <w:t xml:space="preserve">Altman, E.I., </w:t>
      </w:r>
      <w:proofErr w:type="spellStart"/>
      <w:r w:rsidRPr="00DF2A55">
        <w:rPr>
          <w:lang w:val="en-US"/>
        </w:rPr>
        <w:t>Iwanicz‐Drozdowska</w:t>
      </w:r>
      <w:proofErr w:type="spellEnd"/>
      <w:r w:rsidRPr="00DF2A55">
        <w:rPr>
          <w:lang w:val="en-US"/>
        </w:rPr>
        <w:t xml:space="preserve">, M., </w:t>
      </w:r>
      <w:proofErr w:type="spellStart"/>
      <w:r w:rsidRPr="00DF2A55">
        <w:rPr>
          <w:lang w:val="en-US"/>
        </w:rPr>
        <w:t>Laitinen</w:t>
      </w:r>
      <w:proofErr w:type="spellEnd"/>
      <w:r w:rsidRPr="00DF2A55">
        <w:rPr>
          <w:lang w:val="en-US"/>
        </w:rPr>
        <w:t xml:space="preserve">, E.K. and </w:t>
      </w:r>
      <w:proofErr w:type="spellStart"/>
      <w:r w:rsidRPr="00DF2A55">
        <w:rPr>
          <w:lang w:val="en-US"/>
        </w:rPr>
        <w:t>Suvas</w:t>
      </w:r>
      <w:proofErr w:type="spellEnd"/>
      <w:r w:rsidRPr="00DF2A55">
        <w:rPr>
          <w:lang w:val="en-US"/>
        </w:rPr>
        <w:t xml:space="preserve">, A. (2017). Financial distress prediction in an international context: A review and empirical analysis of Altman's Z‐score model. </w:t>
      </w:r>
      <w:r w:rsidRPr="00DF2A55">
        <w:rPr>
          <w:i/>
          <w:iCs/>
          <w:lang w:val="en-US"/>
        </w:rPr>
        <w:t>Journal of international financial management &amp; accounting</w:t>
      </w:r>
      <w:r w:rsidRPr="00DF2A55">
        <w:rPr>
          <w:lang w:val="en-US"/>
        </w:rPr>
        <w:t>, 28(2), pp.131-171.</w:t>
      </w:r>
    </w:p>
    <w:p w14:paraId="3E04C20A" w14:textId="77777777" w:rsidR="00DF2A55" w:rsidRPr="00DF2A55" w:rsidRDefault="00DF2A55" w:rsidP="00DF2A55">
      <w:pPr>
        <w:ind w:left="720" w:hanging="720"/>
        <w:rPr>
          <w:lang w:val="en-US"/>
        </w:rPr>
      </w:pPr>
      <w:r w:rsidRPr="00DF2A55">
        <w:rPr>
          <w:lang w:val="en-US"/>
        </w:rPr>
        <w:t xml:space="preserve">Brigham, E.F. and Houston, J.F. (2019). Fundamentals of Financial Management: Concise by Cengage. </w:t>
      </w:r>
      <w:r w:rsidRPr="00DF2A55">
        <w:rPr>
          <w:i/>
          <w:iCs/>
          <w:lang w:val="en-US"/>
        </w:rPr>
        <w:t>Cengage Learning</w:t>
      </w:r>
      <w:r w:rsidRPr="00DF2A55">
        <w:rPr>
          <w:lang w:val="en-US"/>
        </w:rPr>
        <w:t>.</w:t>
      </w:r>
    </w:p>
    <w:p w14:paraId="5794D1D3" w14:textId="77777777" w:rsidR="00DF2A55" w:rsidRPr="00DF2A55" w:rsidRDefault="00DF2A55" w:rsidP="00DF2A55">
      <w:pPr>
        <w:ind w:left="720" w:hanging="720"/>
        <w:rPr>
          <w:lang w:val="en-US"/>
        </w:rPr>
      </w:pPr>
      <w:proofErr w:type="spellStart"/>
      <w:r w:rsidRPr="00DF2A55">
        <w:rPr>
          <w:lang w:val="en-US"/>
        </w:rPr>
        <w:t>Calcagnini</w:t>
      </w:r>
      <w:proofErr w:type="spellEnd"/>
      <w:r w:rsidRPr="00DF2A55">
        <w:rPr>
          <w:lang w:val="en-US"/>
        </w:rPr>
        <w:t xml:space="preserve">, G. and </w:t>
      </w:r>
      <w:proofErr w:type="spellStart"/>
      <w:r w:rsidRPr="00DF2A55">
        <w:rPr>
          <w:lang w:val="en-US"/>
        </w:rPr>
        <w:t>Iacobucci</w:t>
      </w:r>
      <w:proofErr w:type="spellEnd"/>
      <w:r w:rsidRPr="00DF2A55">
        <w:rPr>
          <w:lang w:val="en-US"/>
        </w:rPr>
        <w:t xml:space="preserve">, D. (1997). Small firm investment and financing decisions: an option value approach. </w:t>
      </w:r>
      <w:r w:rsidRPr="00DF2A55">
        <w:rPr>
          <w:i/>
          <w:iCs/>
          <w:lang w:val="en-US"/>
        </w:rPr>
        <w:t>Small Business Economics</w:t>
      </w:r>
      <w:r w:rsidRPr="00DF2A55">
        <w:rPr>
          <w:lang w:val="en-US"/>
        </w:rPr>
        <w:t>, 9(6), pp.491-502.</w:t>
      </w:r>
    </w:p>
    <w:p w14:paraId="03425D7A" w14:textId="77777777" w:rsidR="00DF2A55" w:rsidRPr="00DF2A55" w:rsidRDefault="00DF2A55" w:rsidP="00DF2A55">
      <w:pPr>
        <w:ind w:left="720" w:hanging="720"/>
        <w:rPr>
          <w:lang w:val="en-US"/>
        </w:rPr>
      </w:pPr>
      <w:proofErr w:type="spellStart"/>
      <w:r w:rsidRPr="00DF2A55">
        <w:rPr>
          <w:lang w:val="en-US"/>
        </w:rPr>
        <w:t>Cassar</w:t>
      </w:r>
      <w:proofErr w:type="spellEnd"/>
      <w:r w:rsidRPr="00DF2A55">
        <w:rPr>
          <w:lang w:val="en-US"/>
        </w:rPr>
        <w:t xml:space="preserve">, G. (2004). The financing of business start-ups. </w:t>
      </w:r>
      <w:r w:rsidRPr="00DF2A55">
        <w:rPr>
          <w:i/>
          <w:iCs/>
          <w:lang w:val="en-US"/>
        </w:rPr>
        <w:t>Journal of business venturing</w:t>
      </w:r>
      <w:r w:rsidRPr="00DF2A55">
        <w:rPr>
          <w:lang w:val="en-US"/>
        </w:rPr>
        <w:t>, 19(2), pp.261-283.</w:t>
      </w:r>
    </w:p>
    <w:p w14:paraId="2408D249" w14:textId="77777777" w:rsidR="00DF2A55" w:rsidRPr="00DF2A55" w:rsidRDefault="00DF2A55" w:rsidP="00DF2A55">
      <w:pPr>
        <w:ind w:left="720" w:hanging="720"/>
        <w:rPr>
          <w:lang w:val="en-US"/>
        </w:rPr>
      </w:pPr>
      <w:r w:rsidRPr="00DF2A55">
        <w:rPr>
          <w:lang w:val="en-US"/>
        </w:rPr>
        <w:t xml:space="preserve">Celestin, P. (2024). The Impact Of Corporate Bankruptcy Laws On Financial Restructuring And Business Continuity Strategies. </w:t>
      </w:r>
      <w:proofErr w:type="spellStart"/>
      <w:r w:rsidRPr="00DF2A55">
        <w:rPr>
          <w:lang w:val="en-US"/>
        </w:rPr>
        <w:t>Mbonigaba</w:t>
      </w:r>
      <w:proofErr w:type="spellEnd"/>
      <w:r w:rsidRPr="00DF2A55">
        <w:rPr>
          <w:lang w:val="en-US"/>
        </w:rPr>
        <w:t>, The Impact Of Corporate Bankruptcy Laws On Financial Restructuring And Business Continuity Strategies (October 30, 2024).</w:t>
      </w:r>
    </w:p>
    <w:p w14:paraId="01780082" w14:textId="77777777" w:rsidR="00DF2A55" w:rsidRPr="00DF2A55" w:rsidRDefault="00DF2A55" w:rsidP="00DF2A55">
      <w:pPr>
        <w:ind w:left="720" w:hanging="720"/>
        <w:rPr>
          <w:lang w:val="en-US"/>
        </w:rPr>
      </w:pPr>
      <w:r w:rsidRPr="00DF2A55">
        <w:rPr>
          <w:lang w:val="en-US"/>
        </w:rPr>
        <w:t xml:space="preserve">Corporate Finance Institute (2023a). Altman's Z-Score Model – Overview, Formula, Interpretation. [online] Available at: </w:t>
      </w:r>
      <w:hyperlink r:id="rId18" w:history="1">
        <w:r w:rsidRPr="00DF2A55">
          <w:rPr>
            <w:rStyle w:val="Hyperlink"/>
            <w:lang w:val="en-US"/>
          </w:rPr>
          <w:t>https://corporatefinanceinstitute.com/resources/commercial-lending/altmans-z-score-model/</w:t>
        </w:r>
      </w:hyperlink>
      <w:r w:rsidRPr="00DF2A55">
        <w:rPr>
          <w:lang w:val="en-US"/>
        </w:rPr>
        <w:t xml:space="preserve"> [Accessed 21 Oct. 2025].</w:t>
      </w:r>
    </w:p>
    <w:p w14:paraId="73B8385D" w14:textId="77777777" w:rsidR="00DF2A55" w:rsidRPr="00DF2A55" w:rsidRDefault="00DF2A55" w:rsidP="00DF2A55">
      <w:pPr>
        <w:ind w:left="720" w:hanging="720"/>
        <w:rPr>
          <w:lang w:val="en-US"/>
        </w:rPr>
      </w:pPr>
      <w:r w:rsidRPr="00DF2A55">
        <w:rPr>
          <w:lang w:val="en-US"/>
        </w:rPr>
        <w:t xml:space="preserve">Corporate Finance Institute (2023b). Understanding the Working Capital Cycle. [online] Available at: </w:t>
      </w:r>
      <w:hyperlink r:id="rId19" w:history="1">
        <w:r w:rsidRPr="00DF2A55">
          <w:rPr>
            <w:rStyle w:val="Hyperlink"/>
            <w:lang w:val="en-US"/>
          </w:rPr>
          <w:t>https://corporatefinanceinstitute.com/resources/accounting/working-capital-cycle/</w:t>
        </w:r>
      </w:hyperlink>
      <w:r w:rsidRPr="00DF2A55">
        <w:rPr>
          <w:lang w:val="en-US"/>
        </w:rPr>
        <w:t xml:space="preserve"> [Accessed 21 Oct. 2025].</w:t>
      </w:r>
    </w:p>
    <w:p w14:paraId="7D575061" w14:textId="77777777" w:rsidR="00DF2A55" w:rsidRPr="00DF2A55" w:rsidRDefault="00DF2A55" w:rsidP="00DF2A55">
      <w:pPr>
        <w:ind w:left="720" w:hanging="720"/>
        <w:rPr>
          <w:lang w:val="en-US"/>
        </w:rPr>
      </w:pPr>
      <w:r w:rsidRPr="00DF2A55">
        <w:rPr>
          <w:lang w:val="en-US"/>
        </w:rPr>
        <w:t xml:space="preserve">Corporate Finance Institute (2025a). Financial Ratios: Definition, Types, and Examples. [online] Available at: </w:t>
      </w:r>
      <w:hyperlink r:id="rId20" w:history="1">
        <w:r w:rsidRPr="00DF2A55">
          <w:rPr>
            <w:rStyle w:val="Hyperlink"/>
            <w:lang w:val="en-US"/>
          </w:rPr>
          <w:t>https://corporatefinanceinstitute.com/resources/accounting/financial-ratios/</w:t>
        </w:r>
      </w:hyperlink>
      <w:r w:rsidRPr="00DF2A55">
        <w:rPr>
          <w:lang w:val="en-US"/>
        </w:rPr>
        <w:t xml:space="preserve"> [Accessed 21 Oct. 2025].</w:t>
      </w:r>
    </w:p>
    <w:p w14:paraId="19B383B7" w14:textId="77777777" w:rsidR="00DF2A55" w:rsidRPr="00DF2A55" w:rsidRDefault="00DF2A55" w:rsidP="00DF2A55">
      <w:pPr>
        <w:ind w:left="720" w:hanging="720"/>
        <w:rPr>
          <w:lang w:val="en-US"/>
        </w:rPr>
      </w:pPr>
      <w:proofErr w:type="spellStart"/>
      <w:r w:rsidRPr="00DF2A55">
        <w:rPr>
          <w:lang w:val="en-US"/>
        </w:rPr>
        <w:lastRenderedPageBreak/>
        <w:t>Dubrovski</w:t>
      </w:r>
      <w:proofErr w:type="spellEnd"/>
      <w:r w:rsidRPr="00DF2A55">
        <w:rPr>
          <w:lang w:val="en-US"/>
        </w:rPr>
        <w:t xml:space="preserve">, D. (2021). Changing Culture and Ethics as an Integral Part of a Comprehensive Restructuring of a Company. In New Approaches to CSR, Sustainability and Accountability, Volume II (pp. 77-91). </w:t>
      </w:r>
      <w:r w:rsidRPr="00DF2A55">
        <w:rPr>
          <w:i/>
          <w:iCs/>
          <w:lang w:val="en-US"/>
        </w:rPr>
        <w:t>Singapore: Springer Singapore</w:t>
      </w:r>
      <w:r w:rsidRPr="00DF2A55">
        <w:rPr>
          <w:lang w:val="en-US"/>
        </w:rPr>
        <w:t>.</w:t>
      </w:r>
    </w:p>
    <w:p w14:paraId="16D0BB4E" w14:textId="77777777" w:rsidR="00DF2A55" w:rsidRPr="00DF2A55" w:rsidRDefault="00DF2A55" w:rsidP="00DF2A55">
      <w:pPr>
        <w:ind w:left="720" w:hanging="720"/>
        <w:rPr>
          <w:lang w:val="en-US"/>
        </w:rPr>
      </w:pPr>
      <w:r w:rsidRPr="00DF2A55">
        <w:rPr>
          <w:lang w:val="en-US"/>
        </w:rPr>
        <w:t xml:space="preserve">Greenwood, R., Iverson, B. and </w:t>
      </w:r>
      <w:proofErr w:type="spellStart"/>
      <w:r w:rsidRPr="00DF2A55">
        <w:rPr>
          <w:lang w:val="en-US"/>
        </w:rPr>
        <w:t>Thesmar</w:t>
      </w:r>
      <w:proofErr w:type="spellEnd"/>
      <w:r w:rsidRPr="00DF2A55">
        <w:rPr>
          <w:lang w:val="en-US"/>
        </w:rPr>
        <w:t xml:space="preserve">, D. (2020). Sizing up corporate restructuring in the covid crisis (No. w28104). </w:t>
      </w:r>
      <w:r w:rsidRPr="00DF2A55">
        <w:rPr>
          <w:i/>
          <w:iCs/>
          <w:lang w:val="en-US"/>
        </w:rPr>
        <w:t>National Bureau of Economic Research</w:t>
      </w:r>
      <w:r w:rsidRPr="00DF2A55">
        <w:rPr>
          <w:lang w:val="en-US"/>
        </w:rPr>
        <w:t>.</w:t>
      </w:r>
    </w:p>
    <w:p w14:paraId="60AE5F2C" w14:textId="77777777" w:rsidR="00DF2A55" w:rsidRPr="00DF2A55" w:rsidRDefault="00DF2A55" w:rsidP="00DF2A55">
      <w:pPr>
        <w:ind w:left="720" w:hanging="720"/>
        <w:rPr>
          <w:lang w:val="en-US"/>
        </w:rPr>
      </w:pPr>
      <w:proofErr w:type="spellStart"/>
      <w:r w:rsidRPr="00DF2A55">
        <w:rPr>
          <w:lang w:val="en-US"/>
        </w:rPr>
        <w:t>Hasanaj</w:t>
      </w:r>
      <w:proofErr w:type="spellEnd"/>
      <w:r w:rsidRPr="00DF2A55">
        <w:rPr>
          <w:lang w:val="en-US"/>
        </w:rPr>
        <w:t xml:space="preserve">, P. and </w:t>
      </w:r>
      <w:proofErr w:type="spellStart"/>
      <w:r w:rsidRPr="00DF2A55">
        <w:rPr>
          <w:lang w:val="en-US"/>
        </w:rPr>
        <w:t>Kuqi</w:t>
      </w:r>
      <w:proofErr w:type="spellEnd"/>
      <w:r w:rsidRPr="00DF2A55">
        <w:rPr>
          <w:lang w:val="en-US"/>
        </w:rPr>
        <w:t xml:space="preserve">, B. (2019). Analysis of financial statements. </w:t>
      </w:r>
      <w:r w:rsidRPr="00DF2A55">
        <w:rPr>
          <w:i/>
          <w:iCs/>
          <w:lang w:val="en-US"/>
        </w:rPr>
        <w:t>Humanities and Social Science Research</w:t>
      </w:r>
      <w:r w:rsidRPr="00DF2A55">
        <w:rPr>
          <w:lang w:val="en-US"/>
        </w:rPr>
        <w:t>, 2(2), pp.p17-p17.</w:t>
      </w:r>
    </w:p>
    <w:p w14:paraId="1C8611E6" w14:textId="77777777" w:rsidR="00DF2A55" w:rsidRPr="00DF2A55" w:rsidRDefault="00DF2A55" w:rsidP="00DF2A55">
      <w:pPr>
        <w:ind w:left="720" w:hanging="720"/>
        <w:rPr>
          <w:lang w:val="en-US"/>
        </w:rPr>
      </w:pPr>
      <w:proofErr w:type="spellStart"/>
      <w:r w:rsidRPr="00DF2A55">
        <w:rPr>
          <w:lang w:val="en-US"/>
        </w:rPr>
        <w:t>HighRadius</w:t>
      </w:r>
      <w:proofErr w:type="spellEnd"/>
      <w:r w:rsidRPr="00DF2A55">
        <w:rPr>
          <w:lang w:val="en-US"/>
        </w:rPr>
        <w:t xml:space="preserve"> (2024). Working Capital Management for the Manufacturing Company. [online] Available at: </w:t>
      </w:r>
      <w:hyperlink r:id="rId21" w:history="1">
        <w:r w:rsidRPr="00DF2A55">
          <w:rPr>
            <w:rStyle w:val="Hyperlink"/>
            <w:lang w:val="en-US"/>
          </w:rPr>
          <w:t>https://www.highradius.com/resources/Blog/working-capital-management-for-the-manufacturing-companies/</w:t>
        </w:r>
      </w:hyperlink>
      <w:r w:rsidRPr="00DF2A55">
        <w:rPr>
          <w:lang w:val="en-US"/>
        </w:rPr>
        <w:t xml:space="preserve"> [Accessed 21 Oct. 2025].</w:t>
      </w:r>
    </w:p>
    <w:p w14:paraId="5E696225" w14:textId="77777777" w:rsidR="00DF2A55" w:rsidRPr="00DF2A55" w:rsidRDefault="00DF2A55" w:rsidP="00DF2A55">
      <w:pPr>
        <w:ind w:left="720" w:hanging="720"/>
        <w:rPr>
          <w:lang w:val="en-US"/>
        </w:rPr>
      </w:pPr>
      <w:r w:rsidRPr="00DF2A55">
        <w:rPr>
          <w:lang w:val="en-US"/>
        </w:rPr>
        <w:t xml:space="preserve">Hoang, D., </w:t>
      </w:r>
      <w:proofErr w:type="spellStart"/>
      <w:r w:rsidRPr="00DF2A55">
        <w:rPr>
          <w:lang w:val="en-US"/>
        </w:rPr>
        <w:t>Gatzer</w:t>
      </w:r>
      <w:proofErr w:type="spellEnd"/>
      <w:r w:rsidRPr="00DF2A55">
        <w:rPr>
          <w:lang w:val="en-US"/>
        </w:rPr>
        <w:t xml:space="preserve">, S. and </w:t>
      </w:r>
      <w:proofErr w:type="spellStart"/>
      <w:r w:rsidRPr="00DF2A55">
        <w:rPr>
          <w:lang w:val="en-US"/>
        </w:rPr>
        <w:t>Ruckes</w:t>
      </w:r>
      <w:proofErr w:type="spellEnd"/>
      <w:r w:rsidRPr="00DF2A55">
        <w:rPr>
          <w:lang w:val="en-US"/>
        </w:rPr>
        <w:t>, M. (2025). The economics of capital allocation in firms: Evidence from internal capital markets</w:t>
      </w:r>
      <w:r w:rsidRPr="00DF2A55">
        <w:rPr>
          <w:i/>
          <w:iCs/>
          <w:lang w:val="en-US"/>
        </w:rPr>
        <w:t>. Management Science</w:t>
      </w:r>
      <w:r w:rsidRPr="00DF2A55">
        <w:rPr>
          <w:lang w:val="en-US"/>
        </w:rPr>
        <w:t>, 71(8), pp.6392-6425.</w:t>
      </w:r>
    </w:p>
    <w:p w14:paraId="0BE70B1F" w14:textId="77777777" w:rsidR="00DF2A55" w:rsidRPr="00DF2A55" w:rsidRDefault="00DF2A55" w:rsidP="00DF2A55">
      <w:pPr>
        <w:ind w:left="720" w:hanging="720"/>
        <w:rPr>
          <w:lang w:val="en-US"/>
        </w:rPr>
      </w:pPr>
      <w:r w:rsidRPr="00DF2A55">
        <w:rPr>
          <w:lang w:val="en-US"/>
        </w:rPr>
        <w:t>Hong, T.K. (2024). Balancing Act: Navigating Ethical Dilemmas in Strategic Corporate Restructuring.</w:t>
      </w:r>
    </w:p>
    <w:p w14:paraId="39A26A65" w14:textId="77777777" w:rsidR="00DF2A55" w:rsidRPr="00DF2A55" w:rsidRDefault="00DF2A55" w:rsidP="00DF2A55">
      <w:pPr>
        <w:ind w:left="720" w:hanging="720"/>
        <w:rPr>
          <w:lang w:val="en-US"/>
        </w:rPr>
      </w:pPr>
      <w:r w:rsidRPr="00DF2A55">
        <w:rPr>
          <w:lang w:val="en-US"/>
        </w:rPr>
        <w:t xml:space="preserve">HSBC Group (2024). </w:t>
      </w:r>
      <w:proofErr w:type="spellStart"/>
      <w:r w:rsidRPr="00DF2A55">
        <w:rPr>
          <w:lang w:val="en-US"/>
        </w:rPr>
        <w:t>Optimising</w:t>
      </w:r>
      <w:proofErr w:type="spellEnd"/>
      <w:r w:rsidRPr="00DF2A55">
        <w:rPr>
          <w:lang w:val="en-US"/>
        </w:rPr>
        <w:t xml:space="preserve"> working capital: driving best practices. [online] Available at: </w:t>
      </w:r>
      <w:hyperlink r:id="rId22" w:history="1">
        <w:r w:rsidRPr="00DF2A55">
          <w:rPr>
            <w:rStyle w:val="Hyperlink"/>
            <w:lang w:val="en-US"/>
          </w:rPr>
          <w:t>https://www.business.hsbc.com/en-gb/insights/payments/optimising-working-capital-driving-best-practices</w:t>
        </w:r>
      </w:hyperlink>
      <w:r w:rsidRPr="00DF2A55">
        <w:rPr>
          <w:lang w:val="en-US"/>
        </w:rPr>
        <w:t xml:space="preserve"> [Accessed 21 Oct. 2025].</w:t>
      </w:r>
    </w:p>
    <w:p w14:paraId="26D87F22" w14:textId="77777777" w:rsidR="00DF2A55" w:rsidRPr="00DF2A55" w:rsidRDefault="00DF2A55" w:rsidP="00DF2A55">
      <w:pPr>
        <w:ind w:left="720" w:hanging="720"/>
        <w:rPr>
          <w:lang w:val="en-US"/>
        </w:rPr>
      </w:pPr>
      <w:r w:rsidRPr="00DF2A55">
        <w:rPr>
          <w:lang w:val="en-US"/>
        </w:rPr>
        <w:t xml:space="preserve">Husna, A. and Satria, I. (2019). Effects of return on asset, debt to asset ratio, current ratio, firm size, and dividend payout ratio on firm value. </w:t>
      </w:r>
      <w:r w:rsidRPr="00DF2A55">
        <w:rPr>
          <w:i/>
          <w:iCs/>
          <w:lang w:val="en-US"/>
        </w:rPr>
        <w:t>International journal of economics and financial issues</w:t>
      </w:r>
      <w:r w:rsidRPr="00DF2A55">
        <w:rPr>
          <w:lang w:val="en-US"/>
        </w:rPr>
        <w:t>, 9(5), pp.50-54.</w:t>
      </w:r>
    </w:p>
    <w:p w14:paraId="5A91F80B" w14:textId="77777777" w:rsidR="00DF2A55" w:rsidRPr="00DF2A55" w:rsidRDefault="00DF2A55" w:rsidP="00DF2A55">
      <w:pPr>
        <w:ind w:left="720" w:hanging="720"/>
        <w:rPr>
          <w:lang w:val="en-US"/>
        </w:rPr>
      </w:pPr>
      <w:r w:rsidRPr="00DF2A55">
        <w:rPr>
          <w:lang w:val="en-US"/>
        </w:rPr>
        <w:t>Jaafar, S.B., Hassan, H. and Ismail, S. (2021). Cash flow statement as a tool to predict financial distress. Available at SSRN 3838158.</w:t>
      </w:r>
    </w:p>
    <w:p w14:paraId="2CE59CC8" w14:textId="77777777" w:rsidR="00DF2A55" w:rsidRPr="00DF2A55" w:rsidRDefault="00DF2A55" w:rsidP="00DF2A55">
      <w:pPr>
        <w:ind w:left="720" w:hanging="720"/>
        <w:rPr>
          <w:lang w:val="en-US"/>
        </w:rPr>
      </w:pPr>
      <w:proofErr w:type="spellStart"/>
      <w:r w:rsidRPr="00DF2A55">
        <w:rPr>
          <w:lang w:val="en-US"/>
        </w:rPr>
        <w:t>Jariah</w:t>
      </w:r>
      <w:proofErr w:type="spellEnd"/>
      <w:r w:rsidRPr="00DF2A55">
        <w:rPr>
          <w:lang w:val="en-US"/>
        </w:rPr>
        <w:t xml:space="preserve">, A. and </w:t>
      </w:r>
      <w:proofErr w:type="spellStart"/>
      <w:r w:rsidRPr="00DF2A55">
        <w:rPr>
          <w:lang w:val="en-US"/>
        </w:rPr>
        <w:t>Budiwati</w:t>
      </w:r>
      <w:proofErr w:type="spellEnd"/>
      <w:r w:rsidRPr="00DF2A55">
        <w:rPr>
          <w:lang w:val="en-US"/>
        </w:rPr>
        <w:t xml:space="preserve">, H. (2021). Financial Management Governance Effectivity on Economic Value Added. IJEBD </w:t>
      </w:r>
      <w:r w:rsidRPr="00DF2A55">
        <w:rPr>
          <w:i/>
          <w:iCs/>
          <w:lang w:val="en-US"/>
        </w:rPr>
        <w:t>International Journal of Entrepreneurship and Business Development,</w:t>
      </w:r>
      <w:r w:rsidRPr="00DF2A55">
        <w:rPr>
          <w:lang w:val="en-US"/>
        </w:rPr>
        <w:t xml:space="preserve"> 4(4), pp.432-439.</w:t>
      </w:r>
    </w:p>
    <w:p w14:paraId="7FBC75E0" w14:textId="77777777" w:rsidR="00DF2A55" w:rsidRPr="00DF2A55" w:rsidRDefault="00DF2A55" w:rsidP="00DF2A55">
      <w:pPr>
        <w:ind w:left="720" w:hanging="720"/>
        <w:rPr>
          <w:lang w:val="en-US"/>
        </w:rPr>
      </w:pPr>
      <w:proofErr w:type="spellStart"/>
      <w:r w:rsidRPr="00DF2A55">
        <w:rPr>
          <w:lang w:val="en-US"/>
        </w:rPr>
        <w:t>Kamaluddin</w:t>
      </w:r>
      <w:proofErr w:type="spellEnd"/>
      <w:r w:rsidRPr="00DF2A55">
        <w:rPr>
          <w:lang w:val="en-US"/>
        </w:rPr>
        <w:t xml:space="preserve">, A., Ishak, N. and Mohammed, N.F. (2019). Financial distress prediction through cash flow ratios analysis. </w:t>
      </w:r>
      <w:r w:rsidRPr="00DF2A55">
        <w:rPr>
          <w:i/>
          <w:iCs/>
          <w:lang w:val="en-US"/>
        </w:rPr>
        <w:t>International Journal of Financial Research</w:t>
      </w:r>
      <w:r w:rsidRPr="00DF2A55">
        <w:rPr>
          <w:lang w:val="en-US"/>
        </w:rPr>
        <w:t>, 10(3), pp.63-76.</w:t>
      </w:r>
    </w:p>
    <w:p w14:paraId="7C030EAD" w14:textId="77777777" w:rsidR="00DF2A55" w:rsidRPr="00DF2A55" w:rsidRDefault="00DF2A55" w:rsidP="00DF2A55">
      <w:pPr>
        <w:ind w:left="720" w:hanging="720"/>
        <w:rPr>
          <w:lang w:val="en-US"/>
        </w:rPr>
      </w:pPr>
      <w:r w:rsidRPr="00DF2A55">
        <w:rPr>
          <w:lang w:val="en-US"/>
        </w:rPr>
        <w:lastRenderedPageBreak/>
        <w:t xml:space="preserve">Kimmel, P.D., Weygandt, J.J. and </w:t>
      </w:r>
      <w:proofErr w:type="spellStart"/>
      <w:r w:rsidRPr="00DF2A55">
        <w:rPr>
          <w:lang w:val="en-US"/>
        </w:rPr>
        <w:t>Kieso</w:t>
      </w:r>
      <w:proofErr w:type="spellEnd"/>
      <w:r w:rsidRPr="00DF2A55">
        <w:rPr>
          <w:lang w:val="en-US"/>
        </w:rPr>
        <w:t xml:space="preserve">, D.E. (2020). Financial accounting: tools for business decision making. </w:t>
      </w:r>
      <w:r w:rsidRPr="00DF2A55">
        <w:rPr>
          <w:i/>
          <w:iCs/>
          <w:lang w:val="en-US"/>
        </w:rPr>
        <w:t>John Wiley &amp; Sons</w:t>
      </w:r>
      <w:r w:rsidRPr="00DF2A55">
        <w:rPr>
          <w:lang w:val="en-US"/>
        </w:rPr>
        <w:t>.</w:t>
      </w:r>
    </w:p>
    <w:p w14:paraId="1C57103D" w14:textId="77777777" w:rsidR="00DF2A55" w:rsidRPr="00DF2A55" w:rsidRDefault="00DF2A55" w:rsidP="00DF2A55">
      <w:pPr>
        <w:ind w:left="720" w:hanging="720"/>
        <w:rPr>
          <w:i/>
          <w:iCs/>
          <w:lang w:val="en-US"/>
        </w:rPr>
      </w:pPr>
      <w:proofErr w:type="spellStart"/>
      <w:r w:rsidRPr="00DF2A55">
        <w:rPr>
          <w:lang w:val="en-US"/>
        </w:rPr>
        <w:t>Kliestik</w:t>
      </w:r>
      <w:proofErr w:type="spellEnd"/>
      <w:r w:rsidRPr="00DF2A55">
        <w:rPr>
          <w:lang w:val="en-US"/>
        </w:rPr>
        <w:t xml:space="preserve">, T., </w:t>
      </w:r>
      <w:proofErr w:type="spellStart"/>
      <w:r w:rsidRPr="00DF2A55">
        <w:rPr>
          <w:lang w:val="en-US"/>
        </w:rPr>
        <w:t>Valaskova</w:t>
      </w:r>
      <w:proofErr w:type="spellEnd"/>
      <w:r w:rsidRPr="00DF2A55">
        <w:rPr>
          <w:lang w:val="en-US"/>
        </w:rPr>
        <w:t xml:space="preserve">, K., </w:t>
      </w:r>
      <w:proofErr w:type="spellStart"/>
      <w:r w:rsidRPr="00DF2A55">
        <w:rPr>
          <w:lang w:val="en-US"/>
        </w:rPr>
        <w:t>Lazaroiu</w:t>
      </w:r>
      <w:proofErr w:type="spellEnd"/>
      <w:r w:rsidRPr="00DF2A55">
        <w:rPr>
          <w:lang w:val="en-US"/>
        </w:rPr>
        <w:t xml:space="preserve">, G., </w:t>
      </w:r>
      <w:proofErr w:type="spellStart"/>
      <w:r w:rsidRPr="00DF2A55">
        <w:rPr>
          <w:lang w:val="en-US"/>
        </w:rPr>
        <w:t>Kovacova</w:t>
      </w:r>
      <w:proofErr w:type="spellEnd"/>
      <w:r w:rsidRPr="00DF2A55">
        <w:rPr>
          <w:lang w:val="en-US"/>
        </w:rPr>
        <w:t xml:space="preserve">, M. and </w:t>
      </w:r>
      <w:proofErr w:type="spellStart"/>
      <w:r w:rsidRPr="00DF2A55">
        <w:rPr>
          <w:lang w:val="en-US"/>
        </w:rPr>
        <w:t>Vrbka</w:t>
      </w:r>
      <w:proofErr w:type="spellEnd"/>
      <w:r w:rsidRPr="00DF2A55">
        <w:rPr>
          <w:lang w:val="en-US"/>
        </w:rPr>
        <w:t xml:space="preserve">, J. (2020). Remaining financially healthy and competitive: The role of financial predictors. </w:t>
      </w:r>
      <w:r w:rsidRPr="00DF2A55">
        <w:rPr>
          <w:i/>
          <w:iCs/>
          <w:lang w:val="en-US"/>
        </w:rPr>
        <w:t>Journal of Competitiveness, (1).</w:t>
      </w:r>
    </w:p>
    <w:p w14:paraId="5316C4B5" w14:textId="77777777" w:rsidR="00DF2A55" w:rsidRPr="00DF2A55" w:rsidRDefault="00DF2A55" w:rsidP="00DF2A55">
      <w:pPr>
        <w:ind w:left="720" w:hanging="720"/>
        <w:rPr>
          <w:lang w:val="en-US"/>
        </w:rPr>
      </w:pPr>
      <w:r w:rsidRPr="00DF2A55">
        <w:rPr>
          <w:lang w:val="en-US"/>
        </w:rPr>
        <w:t xml:space="preserve">Kling, G. (2018). A theory of operational cash holding, endogenous financial constraints, and credit rationing. </w:t>
      </w:r>
      <w:r w:rsidRPr="00DF2A55">
        <w:rPr>
          <w:i/>
          <w:iCs/>
          <w:lang w:val="en-US"/>
        </w:rPr>
        <w:t>The European journal of finance</w:t>
      </w:r>
      <w:r w:rsidRPr="00DF2A55">
        <w:rPr>
          <w:lang w:val="en-US"/>
        </w:rPr>
        <w:t>, 24(1), pp.59-75.</w:t>
      </w:r>
    </w:p>
    <w:p w14:paraId="2B8537B6" w14:textId="77777777" w:rsidR="00DF2A55" w:rsidRPr="00DF2A55" w:rsidRDefault="00DF2A55" w:rsidP="00DF2A55">
      <w:pPr>
        <w:ind w:left="720" w:hanging="720"/>
        <w:rPr>
          <w:lang w:val="en-US"/>
        </w:rPr>
      </w:pPr>
      <w:r w:rsidRPr="00DF2A55">
        <w:rPr>
          <w:lang w:val="en-US"/>
        </w:rPr>
        <w:t xml:space="preserve">Ko, Y.C., Fujita, H. and Li, T. (2017). An evidential analysis of Altman Z-score for financial predictions: Case study on solar energy companies. </w:t>
      </w:r>
      <w:r w:rsidRPr="00DF2A55">
        <w:rPr>
          <w:i/>
          <w:iCs/>
          <w:lang w:val="en-US"/>
        </w:rPr>
        <w:t>Applied Soft Computing</w:t>
      </w:r>
      <w:r w:rsidRPr="00DF2A55">
        <w:rPr>
          <w:lang w:val="en-US"/>
        </w:rPr>
        <w:t>, 52, pp.748-759.</w:t>
      </w:r>
    </w:p>
    <w:p w14:paraId="30B7006F" w14:textId="77777777" w:rsidR="00DF2A55" w:rsidRPr="00DF2A55" w:rsidRDefault="00DF2A55" w:rsidP="00DF2A55">
      <w:pPr>
        <w:ind w:left="720" w:hanging="720"/>
        <w:rPr>
          <w:lang w:val="en-US"/>
        </w:rPr>
      </w:pPr>
      <w:proofErr w:type="spellStart"/>
      <w:r w:rsidRPr="00DF2A55">
        <w:rPr>
          <w:lang w:val="en-US"/>
        </w:rPr>
        <w:t>Mavlutova</w:t>
      </w:r>
      <w:proofErr w:type="spellEnd"/>
      <w:r w:rsidRPr="00DF2A55">
        <w:rPr>
          <w:lang w:val="en-US"/>
        </w:rPr>
        <w:t xml:space="preserve">, I., </w:t>
      </w:r>
      <w:proofErr w:type="spellStart"/>
      <w:r w:rsidRPr="00DF2A55">
        <w:rPr>
          <w:lang w:val="en-US"/>
        </w:rPr>
        <w:t>Babenko</w:t>
      </w:r>
      <w:proofErr w:type="spellEnd"/>
      <w:r w:rsidRPr="00DF2A55">
        <w:rPr>
          <w:lang w:val="en-US"/>
        </w:rPr>
        <w:t xml:space="preserve">, V., </w:t>
      </w:r>
      <w:proofErr w:type="spellStart"/>
      <w:r w:rsidRPr="00DF2A55">
        <w:rPr>
          <w:lang w:val="en-US"/>
        </w:rPr>
        <w:t>Dykan</w:t>
      </w:r>
      <w:proofErr w:type="spellEnd"/>
      <w:r w:rsidRPr="00DF2A55">
        <w:rPr>
          <w:lang w:val="en-US"/>
        </w:rPr>
        <w:t xml:space="preserve">, V., </w:t>
      </w:r>
      <w:proofErr w:type="spellStart"/>
      <w:r w:rsidRPr="00DF2A55">
        <w:rPr>
          <w:lang w:val="en-US"/>
        </w:rPr>
        <w:t>Prokopenko</w:t>
      </w:r>
      <w:proofErr w:type="spellEnd"/>
      <w:r w:rsidRPr="00DF2A55">
        <w:rPr>
          <w:lang w:val="en-US"/>
        </w:rPr>
        <w:t xml:space="preserve">, N., </w:t>
      </w:r>
      <w:proofErr w:type="spellStart"/>
      <w:r w:rsidRPr="00DF2A55">
        <w:rPr>
          <w:lang w:val="en-US"/>
        </w:rPr>
        <w:t>Kalinichenko</w:t>
      </w:r>
      <w:proofErr w:type="spellEnd"/>
      <w:r w:rsidRPr="00DF2A55">
        <w:rPr>
          <w:lang w:val="en-US"/>
        </w:rPr>
        <w:t xml:space="preserve">, S. and </w:t>
      </w:r>
      <w:proofErr w:type="spellStart"/>
      <w:r w:rsidRPr="00DF2A55">
        <w:rPr>
          <w:lang w:val="en-US"/>
        </w:rPr>
        <w:t>Tokmakova</w:t>
      </w:r>
      <w:proofErr w:type="spellEnd"/>
      <w:r w:rsidRPr="00DF2A55">
        <w:rPr>
          <w:lang w:val="en-US"/>
        </w:rPr>
        <w:t xml:space="preserve">, I. (2021). Business restructuring as a method of </w:t>
      </w:r>
      <w:proofErr w:type="spellStart"/>
      <w:r w:rsidRPr="00DF2A55">
        <w:rPr>
          <w:lang w:val="en-US"/>
        </w:rPr>
        <w:t>strengtening</w:t>
      </w:r>
      <w:proofErr w:type="spellEnd"/>
      <w:r w:rsidRPr="00DF2A55">
        <w:rPr>
          <w:lang w:val="en-US"/>
        </w:rPr>
        <w:t xml:space="preserve"> company's financial position. </w:t>
      </w:r>
      <w:r w:rsidRPr="00DF2A55">
        <w:rPr>
          <w:i/>
          <w:iCs/>
          <w:lang w:val="en-US"/>
        </w:rPr>
        <w:t>Journal of Optimization in Industrial Engineering</w:t>
      </w:r>
      <w:r w:rsidRPr="00DF2A55">
        <w:rPr>
          <w:lang w:val="en-US"/>
        </w:rPr>
        <w:t>, 14(1), pp.129-139.</w:t>
      </w:r>
    </w:p>
    <w:p w14:paraId="77986874" w14:textId="77777777" w:rsidR="00DF2A55" w:rsidRPr="00DF2A55" w:rsidRDefault="00DF2A55" w:rsidP="00DF2A55">
      <w:pPr>
        <w:ind w:left="720" w:hanging="720"/>
        <w:rPr>
          <w:lang w:val="en-US"/>
        </w:rPr>
      </w:pPr>
      <w:r w:rsidRPr="00DF2A55">
        <w:rPr>
          <w:lang w:val="en-US"/>
        </w:rPr>
        <w:t xml:space="preserve">McCormack, G. (2021). The European Restructuring Directive. </w:t>
      </w:r>
      <w:r w:rsidRPr="00DF2A55">
        <w:rPr>
          <w:i/>
          <w:iCs/>
          <w:lang w:val="en-US"/>
        </w:rPr>
        <w:t>Edward Elgar Publishing</w:t>
      </w:r>
      <w:r w:rsidRPr="00DF2A55">
        <w:rPr>
          <w:lang w:val="en-US"/>
        </w:rPr>
        <w:t>.</w:t>
      </w:r>
    </w:p>
    <w:p w14:paraId="2CEC2AF2" w14:textId="77777777" w:rsidR="00DF2A55" w:rsidRPr="00DF2A55" w:rsidRDefault="00DF2A55" w:rsidP="00DF2A55">
      <w:pPr>
        <w:ind w:left="720" w:hanging="720"/>
        <w:rPr>
          <w:lang w:val="en-US"/>
        </w:rPr>
      </w:pPr>
      <w:proofErr w:type="spellStart"/>
      <w:r w:rsidRPr="00DF2A55">
        <w:rPr>
          <w:lang w:val="en-US"/>
        </w:rPr>
        <w:t>Nobanee</w:t>
      </w:r>
      <w:proofErr w:type="spellEnd"/>
      <w:r w:rsidRPr="00DF2A55">
        <w:rPr>
          <w:lang w:val="en-US"/>
        </w:rPr>
        <w:t xml:space="preserve">, H. and Al Hajjar, M. (2014). An optimal cash conversion cycle. International </w:t>
      </w:r>
      <w:r w:rsidRPr="00DF2A55">
        <w:rPr>
          <w:i/>
          <w:iCs/>
          <w:lang w:val="en-US"/>
        </w:rPr>
        <w:t>Research Journal of Finance and Economics</w:t>
      </w:r>
      <w:r w:rsidRPr="00DF2A55">
        <w:rPr>
          <w:lang w:val="en-US"/>
        </w:rPr>
        <w:t>. March (120), pp.13-22.</w:t>
      </w:r>
    </w:p>
    <w:p w14:paraId="7B3842AD" w14:textId="77777777" w:rsidR="00DF2A55" w:rsidRPr="00DF2A55" w:rsidRDefault="00DF2A55" w:rsidP="00DF2A55">
      <w:pPr>
        <w:ind w:left="720" w:hanging="720"/>
        <w:rPr>
          <w:lang w:val="en-US"/>
        </w:rPr>
      </w:pPr>
      <w:proofErr w:type="spellStart"/>
      <w:r w:rsidRPr="00DF2A55">
        <w:rPr>
          <w:lang w:val="en-US"/>
        </w:rPr>
        <w:t>Osadchy</w:t>
      </w:r>
      <w:proofErr w:type="spellEnd"/>
      <w:r w:rsidRPr="00DF2A55">
        <w:rPr>
          <w:lang w:val="en-US"/>
        </w:rPr>
        <w:t xml:space="preserve">, E.A., </w:t>
      </w:r>
      <w:proofErr w:type="spellStart"/>
      <w:r w:rsidRPr="00DF2A55">
        <w:rPr>
          <w:lang w:val="en-US"/>
        </w:rPr>
        <w:t>Akhmetshin</w:t>
      </w:r>
      <w:proofErr w:type="spellEnd"/>
      <w:r w:rsidRPr="00DF2A55">
        <w:rPr>
          <w:lang w:val="en-US"/>
        </w:rPr>
        <w:t xml:space="preserve">, E.M., </w:t>
      </w:r>
      <w:proofErr w:type="spellStart"/>
      <w:r w:rsidRPr="00DF2A55">
        <w:rPr>
          <w:lang w:val="en-US"/>
        </w:rPr>
        <w:t>Amirova</w:t>
      </w:r>
      <w:proofErr w:type="spellEnd"/>
      <w:r w:rsidRPr="00DF2A55">
        <w:rPr>
          <w:lang w:val="en-US"/>
        </w:rPr>
        <w:t xml:space="preserve">, E.F., </w:t>
      </w:r>
      <w:proofErr w:type="spellStart"/>
      <w:r w:rsidRPr="00DF2A55">
        <w:rPr>
          <w:lang w:val="en-US"/>
        </w:rPr>
        <w:t>Bochkareva</w:t>
      </w:r>
      <w:proofErr w:type="spellEnd"/>
      <w:r w:rsidRPr="00DF2A55">
        <w:rPr>
          <w:lang w:val="en-US"/>
        </w:rPr>
        <w:t xml:space="preserve">, T.N., </w:t>
      </w:r>
      <w:proofErr w:type="spellStart"/>
      <w:r w:rsidRPr="00DF2A55">
        <w:rPr>
          <w:lang w:val="en-US"/>
        </w:rPr>
        <w:t>Gazizyanova</w:t>
      </w:r>
      <w:proofErr w:type="spellEnd"/>
      <w:r w:rsidRPr="00DF2A55">
        <w:rPr>
          <w:lang w:val="en-US"/>
        </w:rPr>
        <w:t xml:space="preserve">, Y.Y. and </w:t>
      </w:r>
      <w:proofErr w:type="spellStart"/>
      <w:r w:rsidRPr="00DF2A55">
        <w:rPr>
          <w:lang w:val="en-US"/>
        </w:rPr>
        <w:t>Yumashev</w:t>
      </w:r>
      <w:proofErr w:type="spellEnd"/>
      <w:r w:rsidRPr="00DF2A55">
        <w:rPr>
          <w:lang w:val="en-US"/>
        </w:rPr>
        <w:t>, A.V. (2018). Financial statements of a company as an information base for decision-making in a transforming economy.</w:t>
      </w:r>
    </w:p>
    <w:p w14:paraId="3862F2F7" w14:textId="77777777" w:rsidR="00DF2A55" w:rsidRPr="00DF2A55" w:rsidRDefault="00DF2A55" w:rsidP="00DF2A55">
      <w:pPr>
        <w:ind w:left="720" w:hanging="720"/>
        <w:rPr>
          <w:lang w:val="en-US"/>
        </w:rPr>
      </w:pPr>
      <w:r w:rsidRPr="00DF2A55">
        <w:rPr>
          <w:lang w:val="en-US"/>
        </w:rPr>
        <w:t xml:space="preserve">Plutus Education (2025). Investment Appraisal Techniques: NPV, IRR, Payback Period, ARR, and PI. [online] Available at: </w:t>
      </w:r>
      <w:hyperlink r:id="rId23" w:history="1">
        <w:r w:rsidRPr="00DF2A55">
          <w:rPr>
            <w:rStyle w:val="Hyperlink"/>
            <w:lang w:val="en-US"/>
          </w:rPr>
          <w:t>https://plutuseducation.com/blog/investment-appraisal-techniques/</w:t>
        </w:r>
      </w:hyperlink>
      <w:r w:rsidRPr="00DF2A55">
        <w:rPr>
          <w:lang w:val="en-US"/>
        </w:rPr>
        <w:t xml:space="preserve"> [Accessed 21 Oct. 2025].</w:t>
      </w:r>
    </w:p>
    <w:p w14:paraId="470FBAFB" w14:textId="77777777" w:rsidR="00DF2A55" w:rsidRPr="00DF2A55" w:rsidRDefault="00DF2A55" w:rsidP="00DF2A55">
      <w:pPr>
        <w:ind w:left="720" w:hanging="720"/>
        <w:rPr>
          <w:lang w:val="en-US"/>
        </w:rPr>
      </w:pPr>
      <w:r w:rsidRPr="00DF2A55">
        <w:rPr>
          <w:lang w:val="en-US"/>
        </w:rPr>
        <w:t xml:space="preserve">Richards, V.D. and Laughlin, E.J. (1980). A cash conversion cycle approach to liquidity analysis. </w:t>
      </w:r>
      <w:r w:rsidRPr="00DF2A55">
        <w:rPr>
          <w:i/>
          <w:iCs/>
          <w:lang w:val="en-US"/>
        </w:rPr>
        <w:t>Financial management,</w:t>
      </w:r>
      <w:r w:rsidRPr="00DF2A55">
        <w:rPr>
          <w:lang w:val="en-US"/>
        </w:rPr>
        <w:t xml:space="preserve"> pp.32-38.</w:t>
      </w:r>
    </w:p>
    <w:p w14:paraId="41851370" w14:textId="77777777" w:rsidR="00DF2A55" w:rsidRPr="00DF2A55" w:rsidRDefault="00DF2A55" w:rsidP="00DF2A55">
      <w:pPr>
        <w:ind w:left="720" w:hanging="720"/>
        <w:rPr>
          <w:lang w:val="en-US"/>
        </w:rPr>
      </w:pPr>
      <w:proofErr w:type="spellStart"/>
      <w:r w:rsidRPr="00DF2A55">
        <w:rPr>
          <w:lang w:val="en-US"/>
        </w:rPr>
        <w:t>Samo</w:t>
      </w:r>
      <w:proofErr w:type="spellEnd"/>
      <w:r w:rsidRPr="00DF2A55">
        <w:rPr>
          <w:lang w:val="en-US"/>
        </w:rPr>
        <w:t>, A.H. and Murad, H. (2019). Impact of liquidity and financial leverage on firm's profitability–an empirical analysis of the textile industry of Pakistan</w:t>
      </w:r>
      <w:r w:rsidRPr="00DF2A55">
        <w:rPr>
          <w:i/>
          <w:iCs/>
          <w:lang w:val="en-US"/>
        </w:rPr>
        <w:t xml:space="preserve">. Research Journal of Textile and Apparel, </w:t>
      </w:r>
      <w:r w:rsidRPr="00DF2A55">
        <w:rPr>
          <w:lang w:val="en-US"/>
        </w:rPr>
        <w:t>23(4), pp.291-305.</w:t>
      </w:r>
    </w:p>
    <w:p w14:paraId="29478AE0" w14:textId="77777777" w:rsidR="00DF2A55" w:rsidRPr="00DF2A55" w:rsidRDefault="00DF2A55" w:rsidP="00DF2A55">
      <w:pPr>
        <w:ind w:left="720" w:hanging="720"/>
        <w:rPr>
          <w:lang w:val="en-US"/>
        </w:rPr>
      </w:pPr>
      <w:r w:rsidRPr="00DF2A55">
        <w:rPr>
          <w:lang w:val="en-US"/>
        </w:rPr>
        <w:lastRenderedPageBreak/>
        <w:t xml:space="preserve">Shopify (2025). Consumer Electronics Trends 2025: Market Growth, AI &amp; DTC Playbook. [online] Available at: </w:t>
      </w:r>
      <w:hyperlink r:id="rId24" w:history="1">
        <w:r w:rsidRPr="00DF2A55">
          <w:rPr>
            <w:rStyle w:val="Hyperlink"/>
            <w:lang w:val="en-US"/>
          </w:rPr>
          <w:t>https://www.shopify.com/enterprise/blog/consumer-electronic-trends</w:t>
        </w:r>
      </w:hyperlink>
      <w:r w:rsidRPr="00DF2A55">
        <w:rPr>
          <w:lang w:val="en-US"/>
        </w:rPr>
        <w:t xml:space="preserve"> [Accessed 21 Oct. 2025].</w:t>
      </w:r>
    </w:p>
    <w:p w14:paraId="38A78F63" w14:textId="77777777" w:rsidR="00DF2A55" w:rsidRPr="00DF2A55" w:rsidRDefault="00DF2A55" w:rsidP="00DF2A55">
      <w:pPr>
        <w:ind w:left="720" w:hanging="720"/>
        <w:rPr>
          <w:lang w:val="en-US"/>
        </w:rPr>
      </w:pPr>
      <w:r w:rsidRPr="00DF2A55">
        <w:rPr>
          <w:lang w:val="en-US"/>
        </w:rPr>
        <w:t xml:space="preserve">Silva, A., </w:t>
      </w:r>
      <w:proofErr w:type="spellStart"/>
      <w:r w:rsidRPr="00DF2A55">
        <w:rPr>
          <w:lang w:val="en-US"/>
        </w:rPr>
        <w:t>Varajão</w:t>
      </w:r>
      <w:proofErr w:type="spellEnd"/>
      <w:r w:rsidRPr="00DF2A55">
        <w:rPr>
          <w:lang w:val="en-US"/>
        </w:rPr>
        <w:t>, J., Pereira, J.L. and Pinto, C.S. (2019). Performance appraisal approaches and methods for IT/IS projects: A review. Human Performance Technology: Concepts, Methodologies, Tools, and Applications, pp.1589-1603.</w:t>
      </w:r>
    </w:p>
    <w:p w14:paraId="0F34A4E8" w14:textId="77777777" w:rsidR="00DF2A55" w:rsidRPr="00DF2A55" w:rsidRDefault="00DF2A55" w:rsidP="00DF2A55">
      <w:pPr>
        <w:ind w:left="720" w:hanging="720"/>
        <w:rPr>
          <w:lang w:val="en-US"/>
        </w:rPr>
      </w:pPr>
      <w:r w:rsidRPr="00DF2A55">
        <w:rPr>
          <w:lang w:val="en-US"/>
        </w:rPr>
        <w:t xml:space="preserve">Soboleva, Y.P., </w:t>
      </w:r>
      <w:proofErr w:type="spellStart"/>
      <w:r w:rsidRPr="00DF2A55">
        <w:rPr>
          <w:lang w:val="en-US"/>
        </w:rPr>
        <w:t>Matveev</w:t>
      </w:r>
      <w:proofErr w:type="spellEnd"/>
      <w:r w:rsidRPr="00DF2A55">
        <w:rPr>
          <w:lang w:val="en-US"/>
        </w:rPr>
        <w:t xml:space="preserve">, V.V., </w:t>
      </w:r>
      <w:proofErr w:type="spellStart"/>
      <w:r w:rsidRPr="00DF2A55">
        <w:rPr>
          <w:lang w:val="en-US"/>
        </w:rPr>
        <w:t>Ilminskaya</w:t>
      </w:r>
      <w:proofErr w:type="spellEnd"/>
      <w:r w:rsidRPr="00DF2A55">
        <w:rPr>
          <w:lang w:val="en-US"/>
        </w:rPr>
        <w:t xml:space="preserve">, S.A., </w:t>
      </w:r>
      <w:proofErr w:type="spellStart"/>
      <w:r w:rsidRPr="00DF2A55">
        <w:rPr>
          <w:lang w:val="en-US"/>
        </w:rPr>
        <w:t>Efimenko</w:t>
      </w:r>
      <w:proofErr w:type="spellEnd"/>
      <w:r w:rsidRPr="00DF2A55">
        <w:rPr>
          <w:lang w:val="en-US"/>
        </w:rPr>
        <w:t xml:space="preserve">, I.S., </w:t>
      </w:r>
      <w:proofErr w:type="spellStart"/>
      <w:r w:rsidRPr="00DF2A55">
        <w:rPr>
          <w:lang w:val="en-US"/>
        </w:rPr>
        <w:t>Rezvyakova</w:t>
      </w:r>
      <w:proofErr w:type="spellEnd"/>
      <w:r w:rsidRPr="00DF2A55">
        <w:rPr>
          <w:lang w:val="en-US"/>
        </w:rPr>
        <w:t xml:space="preserve">, I.V. and Mazur, L.V. (2018). Monitoring of businesses operations with cash flow analysis. </w:t>
      </w:r>
      <w:r w:rsidRPr="00DF2A55">
        <w:rPr>
          <w:i/>
          <w:iCs/>
          <w:lang w:val="en-US"/>
        </w:rPr>
        <w:t>International Journal of Civil Engineering and Technology</w:t>
      </w:r>
      <w:r w:rsidRPr="00DF2A55">
        <w:rPr>
          <w:lang w:val="en-US"/>
        </w:rPr>
        <w:t>, 9(11), p.2034.</w:t>
      </w:r>
    </w:p>
    <w:p w14:paraId="71A706E2" w14:textId="77777777" w:rsidR="00DF2A55" w:rsidRPr="00DF2A55" w:rsidRDefault="00DF2A55" w:rsidP="00DF2A55">
      <w:pPr>
        <w:ind w:left="720" w:hanging="720"/>
        <w:rPr>
          <w:lang w:val="en-US"/>
        </w:rPr>
      </w:pPr>
      <w:proofErr w:type="spellStart"/>
      <w:r w:rsidRPr="00DF2A55">
        <w:rPr>
          <w:lang w:val="en-US"/>
        </w:rPr>
        <w:t>TechInsights</w:t>
      </w:r>
      <w:proofErr w:type="spellEnd"/>
      <w:r w:rsidRPr="00DF2A55">
        <w:rPr>
          <w:lang w:val="en-US"/>
        </w:rPr>
        <w:t xml:space="preserve"> (2025). Five Key Trends for Consumer Electronics in 2025. [online] Available at: </w:t>
      </w:r>
      <w:hyperlink r:id="rId25" w:history="1">
        <w:r w:rsidRPr="00DF2A55">
          <w:rPr>
            <w:rStyle w:val="Hyperlink"/>
            <w:lang w:val="en-US"/>
          </w:rPr>
          <w:t>https://www.techinsights.com/blog/five-key-trends-consumer-electronics-2025</w:t>
        </w:r>
      </w:hyperlink>
      <w:r w:rsidRPr="00DF2A55">
        <w:rPr>
          <w:lang w:val="en-US"/>
        </w:rPr>
        <w:t xml:space="preserve"> [Accessed 21 Oct. 2025].</w:t>
      </w:r>
    </w:p>
    <w:p w14:paraId="6412B1EC" w14:textId="6B1A8AA5" w:rsidR="00382B4A" w:rsidRPr="00064CB9" w:rsidRDefault="00290BE3" w:rsidP="00290BE3">
      <w:r>
        <w:br w:type="page"/>
      </w:r>
    </w:p>
    <w:p w14:paraId="4B5973D1" w14:textId="77777777" w:rsidR="00382B4A" w:rsidRPr="00064CB9" w:rsidRDefault="00382B4A" w:rsidP="00382B4A">
      <w:pPr>
        <w:rPr>
          <w:b/>
          <w:bCs/>
        </w:rPr>
      </w:pPr>
      <w:r w:rsidRPr="00064CB9">
        <w:rPr>
          <w:b/>
          <w:bCs/>
        </w:rPr>
        <w:lastRenderedPageBreak/>
        <w:t>Appendix A: Five-Year Financial Ratios (2020–2024)</w:t>
      </w:r>
    </w:p>
    <w:p w14:paraId="5E2FD6F8" w14:textId="68349554" w:rsidR="00382B4A" w:rsidRPr="00064CB9" w:rsidRDefault="00382B4A" w:rsidP="00382B4A">
      <w:pPr>
        <w:rPr>
          <w:i/>
          <w:iCs/>
        </w:rPr>
      </w:pPr>
      <w:r w:rsidRPr="00064CB9">
        <w:rPr>
          <w:i/>
          <w:iCs/>
        </w:rPr>
        <w:t xml:space="preserve">GPM: Gross Profit Margin; OPM: Operating Profit Margin; NPM: Net Profit Margin; AT: Asset Turnover; </w:t>
      </w:r>
      <w:proofErr w:type="spellStart"/>
      <w:r w:rsidRPr="00064CB9">
        <w:rPr>
          <w:i/>
          <w:iCs/>
        </w:rPr>
        <w:t>InvT</w:t>
      </w:r>
      <w:proofErr w:type="spellEnd"/>
      <w:r w:rsidRPr="00064CB9">
        <w:rPr>
          <w:i/>
          <w:iCs/>
        </w:rPr>
        <w:t xml:space="preserve">: Inventory Turnover; </w:t>
      </w:r>
      <w:proofErr w:type="spellStart"/>
      <w:r w:rsidRPr="00064CB9">
        <w:rPr>
          <w:i/>
          <w:iCs/>
        </w:rPr>
        <w:t>RecT</w:t>
      </w:r>
      <w:proofErr w:type="spellEnd"/>
      <w:r w:rsidRPr="00064CB9">
        <w:rPr>
          <w:i/>
          <w:iCs/>
        </w:rPr>
        <w:t xml:space="preserve">: Receivables Turnover; COC: Cash Operating Cycle; D/E: Debt-to-Equity; D/A: Debt-to-Assets; </w:t>
      </w:r>
      <w:proofErr w:type="spellStart"/>
      <w:r w:rsidRPr="00064CB9">
        <w:rPr>
          <w:i/>
          <w:iCs/>
        </w:rPr>
        <w:t>Eq</w:t>
      </w:r>
      <w:proofErr w:type="spellEnd"/>
      <w:r w:rsidRPr="00064CB9">
        <w:rPr>
          <w:i/>
          <w:iCs/>
        </w:rPr>
        <w:t xml:space="preserve"> R: Equity Ratio; </w:t>
      </w:r>
      <w:proofErr w:type="spellStart"/>
      <w:r w:rsidRPr="00064CB9">
        <w:rPr>
          <w:i/>
          <w:iCs/>
        </w:rPr>
        <w:t>IntCov</w:t>
      </w:r>
      <w:proofErr w:type="spellEnd"/>
      <w:r w:rsidRPr="00064CB9">
        <w:rPr>
          <w:i/>
          <w:iCs/>
        </w:rPr>
        <w:t>: Interest Coverage.</w:t>
      </w:r>
    </w:p>
    <w:tbl>
      <w:tblPr>
        <w:tblW w:w="5000" w:type="pct"/>
        <w:tblLook w:val="04A0" w:firstRow="1" w:lastRow="0" w:firstColumn="1" w:lastColumn="0" w:noHBand="0" w:noVBand="1"/>
      </w:tblPr>
      <w:tblGrid>
        <w:gridCol w:w="981"/>
        <w:gridCol w:w="964"/>
        <w:gridCol w:w="297"/>
        <w:gridCol w:w="859"/>
        <w:gridCol w:w="490"/>
        <w:gridCol w:w="605"/>
        <w:gridCol w:w="683"/>
        <w:gridCol w:w="421"/>
        <w:gridCol w:w="364"/>
        <w:gridCol w:w="785"/>
        <w:gridCol w:w="122"/>
        <w:gridCol w:w="663"/>
        <w:gridCol w:w="122"/>
        <w:gridCol w:w="785"/>
        <w:gridCol w:w="865"/>
      </w:tblGrid>
      <w:tr w:rsidR="003C74BB" w:rsidRPr="00064CB9" w14:paraId="677A79A5" w14:textId="77777777" w:rsidTr="003C74BB">
        <w:trPr>
          <w:trHeight w:val="315"/>
        </w:trPr>
        <w:tc>
          <w:tcPr>
            <w:tcW w:w="544" w:type="pct"/>
            <w:tcBorders>
              <w:top w:val="single" w:sz="8" w:space="0" w:color="auto"/>
              <w:left w:val="single" w:sz="8" w:space="0" w:color="auto"/>
              <w:bottom w:val="single" w:sz="8" w:space="0" w:color="auto"/>
              <w:right w:val="single" w:sz="8" w:space="0" w:color="auto"/>
            </w:tcBorders>
            <w:vAlign w:val="center"/>
            <w:hideMark/>
          </w:tcPr>
          <w:p w14:paraId="21526737"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NPM %</w:t>
            </w:r>
          </w:p>
        </w:tc>
        <w:tc>
          <w:tcPr>
            <w:tcW w:w="535" w:type="pct"/>
            <w:tcBorders>
              <w:top w:val="single" w:sz="8" w:space="0" w:color="auto"/>
              <w:left w:val="nil"/>
              <w:bottom w:val="single" w:sz="8" w:space="0" w:color="auto"/>
              <w:right w:val="single" w:sz="8" w:space="0" w:color="auto"/>
            </w:tcBorders>
            <w:vAlign w:val="center"/>
            <w:hideMark/>
          </w:tcPr>
          <w:p w14:paraId="714E5B1B"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ROA %</w:t>
            </w:r>
          </w:p>
        </w:tc>
        <w:tc>
          <w:tcPr>
            <w:tcW w:w="642" w:type="pct"/>
            <w:gridSpan w:val="2"/>
            <w:tcBorders>
              <w:top w:val="single" w:sz="8" w:space="0" w:color="auto"/>
              <w:left w:val="nil"/>
              <w:bottom w:val="single" w:sz="8" w:space="0" w:color="auto"/>
              <w:right w:val="single" w:sz="8" w:space="0" w:color="auto"/>
            </w:tcBorders>
            <w:vAlign w:val="center"/>
            <w:hideMark/>
          </w:tcPr>
          <w:p w14:paraId="660A0880"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ROE %</w:t>
            </w:r>
          </w:p>
        </w:tc>
        <w:tc>
          <w:tcPr>
            <w:tcW w:w="608" w:type="pct"/>
            <w:gridSpan w:val="2"/>
            <w:tcBorders>
              <w:top w:val="single" w:sz="8" w:space="0" w:color="auto"/>
              <w:left w:val="nil"/>
              <w:bottom w:val="single" w:sz="8" w:space="0" w:color="auto"/>
              <w:right w:val="single" w:sz="8" w:space="0" w:color="auto"/>
            </w:tcBorders>
            <w:vAlign w:val="center"/>
            <w:hideMark/>
          </w:tcPr>
          <w:p w14:paraId="29F513B5"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Curr. R</w:t>
            </w:r>
          </w:p>
        </w:tc>
        <w:tc>
          <w:tcPr>
            <w:tcW w:w="613" w:type="pct"/>
            <w:gridSpan w:val="2"/>
            <w:tcBorders>
              <w:top w:val="single" w:sz="8" w:space="0" w:color="auto"/>
              <w:left w:val="nil"/>
              <w:bottom w:val="single" w:sz="8" w:space="0" w:color="auto"/>
              <w:right w:val="single" w:sz="8" w:space="0" w:color="auto"/>
            </w:tcBorders>
            <w:vAlign w:val="center"/>
            <w:hideMark/>
          </w:tcPr>
          <w:p w14:paraId="3A01CE3C"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Quick R</w:t>
            </w:r>
          </w:p>
        </w:tc>
        <w:tc>
          <w:tcPr>
            <w:tcW w:w="706" w:type="pct"/>
            <w:gridSpan w:val="3"/>
            <w:tcBorders>
              <w:top w:val="single" w:sz="8" w:space="0" w:color="auto"/>
              <w:left w:val="nil"/>
              <w:bottom w:val="single" w:sz="8" w:space="0" w:color="auto"/>
              <w:right w:val="single" w:sz="8" w:space="0" w:color="auto"/>
            </w:tcBorders>
            <w:vAlign w:val="center"/>
            <w:hideMark/>
          </w:tcPr>
          <w:p w14:paraId="7251B893"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Cash R</w:t>
            </w:r>
          </w:p>
        </w:tc>
        <w:tc>
          <w:tcPr>
            <w:tcW w:w="436" w:type="pct"/>
            <w:gridSpan w:val="2"/>
            <w:tcBorders>
              <w:top w:val="single" w:sz="8" w:space="0" w:color="auto"/>
              <w:left w:val="nil"/>
              <w:bottom w:val="single" w:sz="8" w:space="0" w:color="auto"/>
              <w:right w:val="single" w:sz="8" w:space="0" w:color="auto"/>
            </w:tcBorders>
            <w:vAlign w:val="center"/>
            <w:hideMark/>
          </w:tcPr>
          <w:p w14:paraId="4422C501"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AT x</w:t>
            </w:r>
          </w:p>
        </w:tc>
        <w:tc>
          <w:tcPr>
            <w:tcW w:w="436" w:type="pct"/>
            <w:tcBorders>
              <w:top w:val="single" w:sz="8" w:space="0" w:color="auto"/>
              <w:left w:val="nil"/>
              <w:bottom w:val="single" w:sz="8" w:space="0" w:color="auto"/>
              <w:right w:val="single" w:sz="8" w:space="0" w:color="auto"/>
            </w:tcBorders>
            <w:vAlign w:val="center"/>
            <w:hideMark/>
          </w:tcPr>
          <w:p w14:paraId="04EC9CE5" w14:textId="77777777" w:rsidR="003C74BB" w:rsidRPr="00064CB9" w:rsidRDefault="003C74BB" w:rsidP="003C74BB">
            <w:pPr>
              <w:spacing w:before="0" w:after="0" w:line="240" w:lineRule="auto"/>
              <w:rPr>
                <w:rFonts w:eastAsia="Times New Roman" w:cs="Times New Roman"/>
                <w:b/>
                <w:bCs/>
                <w:color w:val="000000"/>
                <w:sz w:val="16"/>
                <w:szCs w:val="16"/>
              </w:rPr>
            </w:pPr>
            <w:proofErr w:type="spellStart"/>
            <w:r w:rsidRPr="00064CB9">
              <w:rPr>
                <w:rFonts w:eastAsia="Times New Roman" w:cs="Times New Roman"/>
                <w:b/>
                <w:bCs/>
                <w:color w:val="000000"/>
                <w:sz w:val="16"/>
                <w:szCs w:val="16"/>
              </w:rPr>
              <w:t>InvT</w:t>
            </w:r>
            <w:proofErr w:type="spellEnd"/>
            <w:r w:rsidRPr="00064CB9">
              <w:rPr>
                <w:rFonts w:eastAsia="Times New Roman" w:cs="Times New Roman"/>
                <w:b/>
                <w:bCs/>
                <w:color w:val="000000"/>
                <w:sz w:val="16"/>
                <w:szCs w:val="16"/>
              </w:rPr>
              <w:t xml:space="preserve"> x</w:t>
            </w:r>
          </w:p>
        </w:tc>
        <w:tc>
          <w:tcPr>
            <w:tcW w:w="480" w:type="pct"/>
            <w:tcBorders>
              <w:top w:val="single" w:sz="8" w:space="0" w:color="auto"/>
              <w:left w:val="nil"/>
              <w:bottom w:val="single" w:sz="8" w:space="0" w:color="auto"/>
              <w:right w:val="single" w:sz="8" w:space="0" w:color="auto"/>
            </w:tcBorders>
            <w:vAlign w:val="center"/>
            <w:hideMark/>
          </w:tcPr>
          <w:p w14:paraId="044BB564" w14:textId="77777777" w:rsidR="003C74BB" w:rsidRPr="00064CB9" w:rsidRDefault="003C74BB" w:rsidP="003C74BB">
            <w:pPr>
              <w:spacing w:before="0" w:after="0" w:line="240" w:lineRule="auto"/>
              <w:rPr>
                <w:rFonts w:eastAsia="Times New Roman" w:cs="Times New Roman"/>
                <w:b/>
                <w:bCs/>
                <w:color w:val="000000"/>
                <w:sz w:val="16"/>
                <w:szCs w:val="16"/>
              </w:rPr>
            </w:pPr>
            <w:proofErr w:type="spellStart"/>
            <w:r w:rsidRPr="00064CB9">
              <w:rPr>
                <w:rFonts w:eastAsia="Times New Roman" w:cs="Times New Roman"/>
                <w:b/>
                <w:bCs/>
                <w:color w:val="000000"/>
                <w:sz w:val="16"/>
                <w:szCs w:val="16"/>
              </w:rPr>
              <w:t>RecT</w:t>
            </w:r>
            <w:proofErr w:type="spellEnd"/>
            <w:r w:rsidRPr="00064CB9">
              <w:rPr>
                <w:rFonts w:eastAsia="Times New Roman" w:cs="Times New Roman"/>
                <w:b/>
                <w:bCs/>
                <w:color w:val="000000"/>
                <w:sz w:val="16"/>
                <w:szCs w:val="16"/>
              </w:rPr>
              <w:t xml:space="preserve"> x</w:t>
            </w:r>
          </w:p>
        </w:tc>
      </w:tr>
      <w:tr w:rsidR="003C74BB" w:rsidRPr="00064CB9" w14:paraId="4E5FF091"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6099913F"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6.28%</w:t>
            </w:r>
          </w:p>
        </w:tc>
        <w:tc>
          <w:tcPr>
            <w:tcW w:w="535" w:type="pct"/>
            <w:tcBorders>
              <w:top w:val="nil"/>
              <w:left w:val="nil"/>
              <w:bottom w:val="single" w:sz="8" w:space="0" w:color="auto"/>
              <w:right w:val="single" w:sz="8" w:space="0" w:color="auto"/>
            </w:tcBorders>
            <w:vAlign w:val="center"/>
            <w:hideMark/>
          </w:tcPr>
          <w:p w14:paraId="7E6603B6"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7.56%</w:t>
            </w:r>
          </w:p>
        </w:tc>
        <w:tc>
          <w:tcPr>
            <w:tcW w:w="642" w:type="pct"/>
            <w:gridSpan w:val="2"/>
            <w:tcBorders>
              <w:top w:val="nil"/>
              <w:left w:val="nil"/>
              <w:bottom w:val="single" w:sz="8" w:space="0" w:color="auto"/>
              <w:right w:val="single" w:sz="8" w:space="0" w:color="auto"/>
            </w:tcBorders>
            <w:vAlign w:val="center"/>
            <w:hideMark/>
          </w:tcPr>
          <w:p w14:paraId="2AA9578D"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12.31%</w:t>
            </w:r>
          </w:p>
        </w:tc>
        <w:tc>
          <w:tcPr>
            <w:tcW w:w="608" w:type="pct"/>
            <w:gridSpan w:val="2"/>
            <w:tcBorders>
              <w:top w:val="nil"/>
              <w:left w:val="nil"/>
              <w:bottom w:val="single" w:sz="8" w:space="0" w:color="auto"/>
              <w:right w:val="single" w:sz="8" w:space="0" w:color="auto"/>
            </w:tcBorders>
            <w:vAlign w:val="center"/>
            <w:hideMark/>
          </w:tcPr>
          <w:p w14:paraId="3D908E92"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1.82</w:t>
            </w:r>
          </w:p>
        </w:tc>
        <w:tc>
          <w:tcPr>
            <w:tcW w:w="613" w:type="pct"/>
            <w:gridSpan w:val="2"/>
            <w:tcBorders>
              <w:top w:val="nil"/>
              <w:left w:val="nil"/>
              <w:bottom w:val="single" w:sz="8" w:space="0" w:color="auto"/>
              <w:right w:val="single" w:sz="8" w:space="0" w:color="auto"/>
            </w:tcBorders>
            <w:vAlign w:val="center"/>
            <w:hideMark/>
          </w:tcPr>
          <w:p w14:paraId="6DBA426A"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1.15</w:t>
            </w:r>
          </w:p>
        </w:tc>
        <w:tc>
          <w:tcPr>
            <w:tcW w:w="706" w:type="pct"/>
            <w:gridSpan w:val="3"/>
            <w:tcBorders>
              <w:top w:val="nil"/>
              <w:left w:val="nil"/>
              <w:bottom w:val="single" w:sz="8" w:space="0" w:color="auto"/>
              <w:right w:val="single" w:sz="8" w:space="0" w:color="auto"/>
            </w:tcBorders>
            <w:vAlign w:val="center"/>
            <w:hideMark/>
          </w:tcPr>
          <w:p w14:paraId="1D92D25F"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0.32</w:t>
            </w:r>
          </w:p>
        </w:tc>
        <w:tc>
          <w:tcPr>
            <w:tcW w:w="436" w:type="pct"/>
            <w:gridSpan w:val="2"/>
            <w:tcBorders>
              <w:top w:val="nil"/>
              <w:left w:val="nil"/>
              <w:bottom w:val="single" w:sz="8" w:space="0" w:color="auto"/>
              <w:right w:val="single" w:sz="8" w:space="0" w:color="auto"/>
            </w:tcBorders>
            <w:vAlign w:val="center"/>
            <w:hideMark/>
          </w:tcPr>
          <w:p w14:paraId="249D55B7"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1.2</w:t>
            </w:r>
          </w:p>
        </w:tc>
        <w:tc>
          <w:tcPr>
            <w:tcW w:w="436" w:type="pct"/>
            <w:tcBorders>
              <w:top w:val="nil"/>
              <w:left w:val="nil"/>
              <w:bottom w:val="single" w:sz="8" w:space="0" w:color="auto"/>
              <w:right w:val="single" w:sz="8" w:space="0" w:color="auto"/>
            </w:tcBorders>
            <w:vAlign w:val="center"/>
            <w:hideMark/>
          </w:tcPr>
          <w:p w14:paraId="42EE00BB"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3.64</w:t>
            </w:r>
          </w:p>
        </w:tc>
        <w:tc>
          <w:tcPr>
            <w:tcW w:w="480" w:type="pct"/>
            <w:tcBorders>
              <w:top w:val="nil"/>
              <w:left w:val="nil"/>
              <w:bottom w:val="single" w:sz="8" w:space="0" w:color="auto"/>
              <w:right w:val="single" w:sz="8" w:space="0" w:color="auto"/>
            </w:tcBorders>
            <w:vAlign w:val="center"/>
            <w:hideMark/>
          </w:tcPr>
          <w:p w14:paraId="3F9EE910"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4.75</w:t>
            </w:r>
          </w:p>
        </w:tc>
      </w:tr>
      <w:tr w:rsidR="003C74BB" w:rsidRPr="00064CB9" w14:paraId="050EE063"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519CB7C7"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0.88%</w:t>
            </w:r>
          </w:p>
        </w:tc>
        <w:tc>
          <w:tcPr>
            <w:tcW w:w="535" w:type="pct"/>
            <w:tcBorders>
              <w:top w:val="nil"/>
              <w:left w:val="nil"/>
              <w:bottom w:val="single" w:sz="8" w:space="0" w:color="auto"/>
              <w:right w:val="single" w:sz="8" w:space="0" w:color="auto"/>
            </w:tcBorders>
            <w:vAlign w:val="center"/>
            <w:hideMark/>
          </w:tcPr>
          <w:p w14:paraId="0443239D"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1.04%</w:t>
            </w:r>
          </w:p>
        </w:tc>
        <w:tc>
          <w:tcPr>
            <w:tcW w:w="642" w:type="pct"/>
            <w:gridSpan w:val="2"/>
            <w:tcBorders>
              <w:top w:val="nil"/>
              <w:left w:val="nil"/>
              <w:bottom w:val="single" w:sz="8" w:space="0" w:color="auto"/>
              <w:right w:val="single" w:sz="8" w:space="0" w:color="auto"/>
            </w:tcBorders>
            <w:vAlign w:val="center"/>
            <w:hideMark/>
          </w:tcPr>
          <w:p w14:paraId="1EB9FB1B"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1.92%</w:t>
            </w:r>
          </w:p>
        </w:tc>
        <w:tc>
          <w:tcPr>
            <w:tcW w:w="608" w:type="pct"/>
            <w:gridSpan w:val="2"/>
            <w:tcBorders>
              <w:top w:val="nil"/>
              <w:left w:val="nil"/>
              <w:bottom w:val="single" w:sz="8" w:space="0" w:color="auto"/>
              <w:right w:val="single" w:sz="8" w:space="0" w:color="auto"/>
            </w:tcBorders>
            <w:vAlign w:val="center"/>
            <w:hideMark/>
          </w:tcPr>
          <w:p w14:paraId="5FE2EFB5"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1.56</w:t>
            </w:r>
          </w:p>
        </w:tc>
        <w:tc>
          <w:tcPr>
            <w:tcW w:w="613" w:type="pct"/>
            <w:gridSpan w:val="2"/>
            <w:tcBorders>
              <w:top w:val="nil"/>
              <w:left w:val="nil"/>
              <w:bottom w:val="single" w:sz="8" w:space="0" w:color="auto"/>
              <w:right w:val="single" w:sz="8" w:space="0" w:color="auto"/>
            </w:tcBorders>
            <w:vAlign w:val="center"/>
            <w:hideMark/>
          </w:tcPr>
          <w:p w14:paraId="2012D5BD"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0.93</w:t>
            </w:r>
          </w:p>
        </w:tc>
        <w:tc>
          <w:tcPr>
            <w:tcW w:w="706" w:type="pct"/>
            <w:gridSpan w:val="3"/>
            <w:tcBorders>
              <w:top w:val="nil"/>
              <w:left w:val="nil"/>
              <w:bottom w:val="single" w:sz="8" w:space="0" w:color="auto"/>
              <w:right w:val="single" w:sz="8" w:space="0" w:color="auto"/>
            </w:tcBorders>
            <w:vAlign w:val="center"/>
            <w:hideMark/>
          </w:tcPr>
          <w:p w14:paraId="0D9E651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0.28</w:t>
            </w:r>
          </w:p>
        </w:tc>
        <w:tc>
          <w:tcPr>
            <w:tcW w:w="436" w:type="pct"/>
            <w:gridSpan w:val="2"/>
            <w:tcBorders>
              <w:top w:val="nil"/>
              <w:left w:val="nil"/>
              <w:bottom w:val="single" w:sz="8" w:space="0" w:color="auto"/>
              <w:right w:val="single" w:sz="8" w:space="0" w:color="auto"/>
            </w:tcBorders>
            <w:vAlign w:val="center"/>
            <w:hideMark/>
          </w:tcPr>
          <w:p w14:paraId="1099DEE2"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1.18</w:t>
            </w:r>
          </w:p>
        </w:tc>
        <w:tc>
          <w:tcPr>
            <w:tcW w:w="436" w:type="pct"/>
            <w:tcBorders>
              <w:top w:val="nil"/>
              <w:left w:val="nil"/>
              <w:bottom w:val="single" w:sz="8" w:space="0" w:color="auto"/>
              <w:right w:val="single" w:sz="8" w:space="0" w:color="auto"/>
            </w:tcBorders>
            <w:vAlign w:val="center"/>
            <w:hideMark/>
          </w:tcPr>
          <w:p w14:paraId="7A08334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3.19</w:t>
            </w:r>
          </w:p>
        </w:tc>
        <w:tc>
          <w:tcPr>
            <w:tcW w:w="480" w:type="pct"/>
            <w:tcBorders>
              <w:top w:val="nil"/>
              <w:left w:val="nil"/>
              <w:bottom w:val="single" w:sz="8" w:space="0" w:color="auto"/>
              <w:right w:val="single" w:sz="8" w:space="0" w:color="auto"/>
            </w:tcBorders>
            <w:vAlign w:val="center"/>
            <w:hideMark/>
          </w:tcPr>
          <w:p w14:paraId="27A521D0"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4.66</w:t>
            </w:r>
          </w:p>
        </w:tc>
      </w:tr>
      <w:tr w:rsidR="003C74BB" w:rsidRPr="00064CB9" w14:paraId="3B7D433D"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26C2F5C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0.07%</w:t>
            </w:r>
          </w:p>
        </w:tc>
        <w:tc>
          <w:tcPr>
            <w:tcW w:w="535" w:type="pct"/>
            <w:tcBorders>
              <w:top w:val="nil"/>
              <w:left w:val="nil"/>
              <w:bottom w:val="single" w:sz="8" w:space="0" w:color="auto"/>
              <w:right w:val="single" w:sz="8" w:space="0" w:color="auto"/>
            </w:tcBorders>
            <w:vAlign w:val="center"/>
            <w:hideMark/>
          </w:tcPr>
          <w:p w14:paraId="205CB063"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0.08%</w:t>
            </w:r>
          </w:p>
        </w:tc>
        <w:tc>
          <w:tcPr>
            <w:tcW w:w="642" w:type="pct"/>
            <w:gridSpan w:val="2"/>
            <w:tcBorders>
              <w:top w:val="nil"/>
              <w:left w:val="nil"/>
              <w:bottom w:val="single" w:sz="8" w:space="0" w:color="auto"/>
              <w:right w:val="single" w:sz="8" w:space="0" w:color="auto"/>
            </w:tcBorders>
            <w:vAlign w:val="center"/>
            <w:hideMark/>
          </w:tcPr>
          <w:p w14:paraId="1EE7838F"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0.15%</w:t>
            </w:r>
          </w:p>
        </w:tc>
        <w:tc>
          <w:tcPr>
            <w:tcW w:w="608" w:type="pct"/>
            <w:gridSpan w:val="2"/>
            <w:tcBorders>
              <w:top w:val="nil"/>
              <w:left w:val="nil"/>
              <w:bottom w:val="single" w:sz="8" w:space="0" w:color="auto"/>
              <w:right w:val="single" w:sz="8" w:space="0" w:color="auto"/>
            </w:tcBorders>
            <w:vAlign w:val="center"/>
            <w:hideMark/>
          </w:tcPr>
          <w:p w14:paraId="32AEC444"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1.56</w:t>
            </w:r>
          </w:p>
        </w:tc>
        <w:tc>
          <w:tcPr>
            <w:tcW w:w="613" w:type="pct"/>
            <w:gridSpan w:val="2"/>
            <w:tcBorders>
              <w:top w:val="nil"/>
              <w:left w:val="nil"/>
              <w:bottom w:val="single" w:sz="8" w:space="0" w:color="auto"/>
              <w:right w:val="single" w:sz="8" w:space="0" w:color="auto"/>
            </w:tcBorders>
            <w:vAlign w:val="center"/>
            <w:hideMark/>
          </w:tcPr>
          <w:p w14:paraId="75AC2AD5"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0.91</w:t>
            </w:r>
          </w:p>
        </w:tc>
        <w:tc>
          <w:tcPr>
            <w:tcW w:w="706" w:type="pct"/>
            <w:gridSpan w:val="3"/>
            <w:tcBorders>
              <w:top w:val="nil"/>
              <w:left w:val="nil"/>
              <w:bottom w:val="single" w:sz="8" w:space="0" w:color="auto"/>
              <w:right w:val="single" w:sz="8" w:space="0" w:color="auto"/>
            </w:tcBorders>
            <w:vAlign w:val="center"/>
            <w:hideMark/>
          </w:tcPr>
          <w:p w14:paraId="68F42E2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0.31</w:t>
            </w:r>
          </w:p>
        </w:tc>
        <w:tc>
          <w:tcPr>
            <w:tcW w:w="436" w:type="pct"/>
            <w:gridSpan w:val="2"/>
            <w:tcBorders>
              <w:top w:val="nil"/>
              <w:left w:val="nil"/>
              <w:bottom w:val="single" w:sz="8" w:space="0" w:color="auto"/>
              <w:right w:val="single" w:sz="8" w:space="0" w:color="auto"/>
            </w:tcBorders>
            <w:vAlign w:val="center"/>
            <w:hideMark/>
          </w:tcPr>
          <w:p w14:paraId="7A9C7DD6"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1.08</w:t>
            </w:r>
          </w:p>
        </w:tc>
        <w:tc>
          <w:tcPr>
            <w:tcW w:w="436" w:type="pct"/>
            <w:tcBorders>
              <w:top w:val="nil"/>
              <w:left w:val="nil"/>
              <w:bottom w:val="single" w:sz="8" w:space="0" w:color="auto"/>
              <w:right w:val="single" w:sz="8" w:space="0" w:color="auto"/>
            </w:tcBorders>
            <w:vAlign w:val="center"/>
            <w:hideMark/>
          </w:tcPr>
          <w:p w14:paraId="609486DB"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2.79</w:t>
            </w:r>
          </w:p>
        </w:tc>
        <w:tc>
          <w:tcPr>
            <w:tcW w:w="480" w:type="pct"/>
            <w:tcBorders>
              <w:top w:val="nil"/>
              <w:left w:val="nil"/>
              <w:bottom w:val="single" w:sz="8" w:space="0" w:color="auto"/>
              <w:right w:val="single" w:sz="8" w:space="0" w:color="auto"/>
            </w:tcBorders>
            <w:vAlign w:val="center"/>
            <w:hideMark/>
          </w:tcPr>
          <w:p w14:paraId="3D06732C"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4.83</w:t>
            </w:r>
          </w:p>
        </w:tc>
      </w:tr>
      <w:tr w:rsidR="003C74BB" w:rsidRPr="00064CB9" w14:paraId="01BA0DC2"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4F895659"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-23.36%</w:t>
            </w:r>
          </w:p>
        </w:tc>
        <w:tc>
          <w:tcPr>
            <w:tcW w:w="535" w:type="pct"/>
            <w:tcBorders>
              <w:top w:val="nil"/>
              <w:left w:val="nil"/>
              <w:bottom w:val="single" w:sz="8" w:space="0" w:color="auto"/>
              <w:right w:val="single" w:sz="8" w:space="0" w:color="auto"/>
            </w:tcBorders>
            <w:vAlign w:val="center"/>
            <w:hideMark/>
          </w:tcPr>
          <w:p w14:paraId="62C27058"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-27.60%</w:t>
            </w:r>
          </w:p>
        </w:tc>
        <w:tc>
          <w:tcPr>
            <w:tcW w:w="642" w:type="pct"/>
            <w:gridSpan w:val="2"/>
            <w:tcBorders>
              <w:top w:val="nil"/>
              <w:left w:val="nil"/>
              <w:bottom w:val="single" w:sz="8" w:space="0" w:color="auto"/>
              <w:right w:val="single" w:sz="8" w:space="0" w:color="auto"/>
            </w:tcBorders>
            <w:vAlign w:val="center"/>
            <w:hideMark/>
          </w:tcPr>
          <w:p w14:paraId="585CBBE8"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-54.91%</w:t>
            </w:r>
          </w:p>
        </w:tc>
        <w:tc>
          <w:tcPr>
            <w:tcW w:w="608" w:type="pct"/>
            <w:gridSpan w:val="2"/>
            <w:tcBorders>
              <w:top w:val="nil"/>
              <w:left w:val="nil"/>
              <w:bottom w:val="single" w:sz="8" w:space="0" w:color="auto"/>
              <w:right w:val="single" w:sz="8" w:space="0" w:color="auto"/>
            </w:tcBorders>
            <w:vAlign w:val="center"/>
            <w:hideMark/>
          </w:tcPr>
          <w:p w14:paraId="78A1883F"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1.61</w:t>
            </w:r>
          </w:p>
        </w:tc>
        <w:tc>
          <w:tcPr>
            <w:tcW w:w="613" w:type="pct"/>
            <w:gridSpan w:val="2"/>
            <w:tcBorders>
              <w:top w:val="nil"/>
              <w:left w:val="nil"/>
              <w:bottom w:val="single" w:sz="8" w:space="0" w:color="auto"/>
              <w:right w:val="single" w:sz="8" w:space="0" w:color="auto"/>
            </w:tcBorders>
            <w:vAlign w:val="center"/>
            <w:hideMark/>
          </w:tcPr>
          <w:p w14:paraId="67F4D856"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1.06</w:t>
            </w:r>
          </w:p>
        </w:tc>
        <w:tc>
          <w:tcPr>
            <w:tcW w:w="706" w:type="pct"/>
            <w:gridSpan w:val="3"/>
            <w:tcBorders>
              <w:top w:val="nil"/>
              <w:left w:val="nil"/>
              <w:bottom w:val="single" w:sz="8" w:space="0" w:color="auto"/>
              <w:right w:val="single" w:sz="8" w:space="0" w:color="auto"/>
            </w:tcBorders>
            <w:vAlign w:val="center"/>
            <w:hideMark/>
          </w:tcPr>
          <w:p w14:paraId="371C5A65"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0.27</w:t>
            </w:r>
          </w:p>
        </w:tc>
        <w:tc>
          <w:tcPr>
            <w:tcW w:w="436" w:type="pct"/>
            <w:gridSpan w:val="2"/>
            <w:tcBorders>
              <w:top w:val="nil"/>
              <w:left w:val="nil"/>
              <w:bottom w:val="single" w:sz="8" w:space="0" w:color="auto"/>
              <w:right w:val="single" w:sz="8" w:space="0" w:color="auto"/>
            </w:tcBorders>
            <w:vAlign w:val="center"/>
            <w:hideMark/>
          </w:tcPr>
          <w:p w14:paraId="55C4B7E5"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1.18</w:t>
            </w:r>
          </w:p>
        </w:tc>
        <w:tc>
          <w:tcPr>
            <w:tcW w:w="436" w:type="pct"/>
            <w:tcBorders>
              <w:top w:val="nil"/>
              <w:left w:val="nil"/>
              <w:bottom w:val="single" w:sz="8" w:space="0" w:color="auto"/>
              <w:right w:val="single" w:sz="8" w:space="0" w:color="auto"/>
            </w:tcBorders>
            <w:vAlign w:val="center"/>
            <w:hideMark/>
          </w:tcPr>
          <w:p w14:paraId="76CFB8E9"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3.66</w:t>
            </w:r>
          </w:p>
        </w:tc>
        <w:tc>
          <w:tcPr>
            <w:tcW w:w="480" w:type="pct"/>
            <w:tcBorders>
              <w:top w:val="nil"/>
              <w:left w:val="nil"/>
              <w:bottom w:val="single" w:sz="8" w:space="0" w:color="auto"/>
              <w:right w:val="single" w:sz="8" w:space="0" w:color="auto"/>
            </w:tcBorders>
            <w:vAlign w:val="center"/>
            <w:hideMark/>
          </w:tcPr>
          <w:p w14:paraId="19F5B1F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3.73</w:t>
            </w:r>
          </w:p>
        </w:tc>
      </w:tr>
      <w:tr w:rsidR="003C74BB" w:rsidRPr="00064CB9" w14:paraId="33E74AA0"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59AE6C98"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-6.09%</w:t>
            </w:r>
          </w:p>
        </w:tc>
        <w:tc>
          <w:tcPr>
            <w:tcW w:w="535" w:type="pct"/>
            <w:tcBorders>
              <w:top w:val="nil"/>
              <w:left w:val="nil"/>
              <w:bottom w:val="single" w:sz="8" w:space="0" w:color="auto"/>
              <w:right w:val="single" w:sz="8" w:space="0" w:color="auto"/>
            </w:tcBorders>
            <w:vAlign w:val="center"/>
            <w:hideMark/>
          </w:tcPr>
          <w:p w14:paraId="1388E801"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-7.43%</w:t>
            </w:r>
          </w:p>
        </w:tc>
        <w:tc>
          <w:tcPr>
            <w:tcW w:w="642" w:type="pct"/>
            <w:gridSpan w:val="2"/>
            <w:tcBorders>
              <w:top w:val="nil"/>
              <w:left w:val="nil"/>
              <w:bottom w:val="single" w:sz="8" w:space="0" w:color="auto"/>
              <w:right w:val="single" w:sz="8" w:space="0" w:color="auto"/>
            </w:tcBorders>
            <w:vAlign w:val="center"/>
            <w:hideMark/>
          </w:tcPr>
          <w:p w14:paraId="06391E3F"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-15.69%</w:t>
            </w:r>
          </w:p>
        </w:tc>
        <w:tc>
          <w:tcPr>
            <w:tcW w:w="608" w:type="pct"/>
            <w:gridSpan w:val="2"/>
            <w:tcBorders>
              <w:top w:val="nil"/>
              <w:left w:val="nil"/>
              <w:bottom w:val="single" w:sz="8" w:space="0" w:color="auto"/>
              <w:right w:val="single" w:sz="8" w:space="0" w:color="auto"/>
            </w:tcBorders>
            <w:vAlign w:val="center"/>
            <w:hideMark/>
          </w:tcPr>
          <w:p w14:paraId="584A0CFC"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1.53</w:t>
            </w:r>
          </w:p>
        </w:tc>
        <w:tc>
          <w:tcPr>
            <w:tcW w:w="613" w:type="pct"/>
            <w:gridSpan w:val="2"/>
            <w:tcBorders>
              <w:top w:val="nil"/>
              <w:left w:val="nil"/>
              <w:bottom w:val="single" w:sz="8" w:space="0" w:color="auto"/>
              <w:right w:val="single" w:sz="8" w:space="0" w:color="auto"/>
            </w:tcBorders>
            <w:vAlign w:val="center"/>
            <w:hideMark/>
          </w:tcPr>
          <w:p w14:paraId="2BE0FEEF"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1.03</w:t>
            </w:r>
          </w:p>
        </w:tc>
        <w:tc>
          <w:tcPr>
            <w:tcW w:w="706" w:type="pct"/>
            <w:gridSpan w:val="3"/>
            <w:tcBorders>
              <w:top w:val="nil"/>
              <w:left w:val="nil"/>
              <w:bottom w:val="single" w:sz="8" w:space="0" w:color="auto"/>
              <w:right w:val="single" w:sz="8" w:space="0" w:color="auto"/>
            </w:tcBorders>
            <w:vAlign w:val="center"/>
            <w:hideMark/>
          </w:tcPr>
          <w:p w14:paraId="71A0D310"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0.17</w:t>
            </w:r>
          </w:p>
        </w:tc>
        <w:tc>
          <w:tcPr>
            <w:tcW w:w="436" w:type="pct"/>
            <w:gridSpan w:val="2"/>
            <w:tcBorders>
              <w:top w:val="nil"/>
              <w:left w:val="nil"/>
              <w:bottom w:val="single" w:sz="8" w:space="0" w:color="auto"/>
              <w:right w:val="single" w:sz="8" w:space="0" w:color="auto"/>
            </w:tcBorders>
            <w:vAlign w:val="center"/>
            <w:hideMark/>
          </w:tcPr>
          <w:p w14:paraId="41CE0E83"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1.22</w:t>
            </w:r>
          </w:p>
        </w:tc>
        <w:tc>
          <w:tcPr>
            <w:tcW w:w="436" w:type="pct"/>
            <w:tcBorders>
              <w:top w:val="nil"/>
              <w:left w:val="nil"/>
              <w:bottom w:val="single" w:sz="8" w:space="0" w:color="auto"/>
              <w:right w:val="single" w:sz="8" w:space="0" w:color="auto"/>
            </w:tcBorders>
            <w:vAlign w:val="center"/>
            <w:hideMark/>
          </w:tcPr>
          <w:p w14:paraId="190FA19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3.54</w:t>
            </w:r>
          </w:p>
        </w:tc>
        <w:tc>
          <w:tcPr>
            <w:tcW w:w="480" w:type="pct"/>
            <w:tcBorders>
              <w:top w:val="nil"/>
              <w:left w:val="nil"/>
              <w:bottom w:val="single" w:sz="8" w:space="0" w:color="auto"/>
              <w:right w:val="single" w:sz="8" w:space="0" w:color="auto"/>
            </w:tcBorders>
            <w:vAlign w:val="center"/>
            <w:hideMark/>
          </w:tcPr>
          <w:p w14:paraId="07B7DEB4"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3.46</w:t>
            </w:r>
          </w:p>
        </w:tc>
      </w:tr>
      <w:tr w:rsidR="003C74BB" w:rsidRPr="00064CB9" w14:paraId="3D07F3FD" w14:textId="77777777" w:rsidTr="003C74BB">
        <w:trPr>
          <w:trHeight w:val="315"/>
        </w:trPr>
        <w:tc>
          <w:tcPr>
            <w:tcW w:w="544" w:type="pct"/>
            <w:tcBorders>
              <w:top w:val="single" w:sz="8" w:space="0" w:color="auto"/>
              <w:left w:val="single" w:sz="8" w:space="0" w:color="auto"/>
              <w:bottom w:val="single" w:sz="8" w:space="0" w:color="auto"/>
              <w:right w:val="single" w:sz="8" w:space="0" w:color="auto"/>
            </w:tcBorders>
            <w:vAlign w:val="center"/>
            <w:hideMark/>
          </w:tcPr>
          <w:p w14:paraId="2710E11F" w14:textId="77777777" w:rsidR="003C74BB" w:rsidRPr="00064CB9" w:rsidRDefault="003C74BB" w:rsidP="003C74BB">
            <w:pPr>
              <w:spacing w:before="0" w:after="0" w:line="240" w:lineRule="auto"/>
              <w:rPr>
                <w:rFonts w:eastAsia="Times New Roman" w:cs="Times New Roman"/>
                <w:b/>
                <w:bCs/>
                <w:color w:val="000000"/>
                <w:sz w:val="16"/>
                <w:szCs w:val="16"/>
              </w:rPr>
            </w:pPr>
            <w:proofErr w:type="spellStart"/>
            <w:r w:rsidRPr="00064CB9">
              <w:rPr>
                <w:rFonts w:eastAsia="Times New Roman" w:cs="Times New Roman"/>
                <w:b/>
                <w:bCs/>
                <w:color w:val="000000"/>
                <w:sz w:val="16"/>
                <w:szCs w:val="16"/>
              </w:rPr>
              <w:t>Inv</w:t>
            </w:r>
            <w:proofErr w:type="spellEnd"/>
            <w:r w:rsidRPr="00064CB9">
              <w:rPr>
                <w:rFonts w:eastAsia="Times New Roman" w:cs="Times New Roman"/>
                <w:b/>
                <w:bCs/>
                <w:color w:val="000000"/>
                <w:sz w:val="16"/>
                <w:szCs w:val="16"/>
              </w:rPr>
              <w:t xml:space="preserve"> Days</w:t>
            </w:r>
          </w:p>
        </w:tc>
        <w:tc>
          <w:tcPr>
            <w:tcW w:w="700" w:type="pct"/>
            <w:gridSpan w:val="2"/>
            <w:tcBorders>
              <w:top w:val="single" w:sz="8" w:space="0" w:color="auto"/>
              <w:left w:val="nil"/>
              <w:bottom w:val="single" w:sz="8" w:space="0" w:color="auto"/>
              <w:right w:val="single" w:sz="8" w:space="0" w:color="auto"/>
            </w:tcBorders>
            <w:vAlign w:val="center"/>
            <w:hideMark/>
          </w:tcPr>
          <w:p w14:paraId="4D991896"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Rec Days</w:t>
            </w:r>
          </w:p>
        </w:tc>
        <w:tc>
          <w:tcPr>
            <w:tcW w:w="749" w:type="pct"/>
            <w:gridSpan w:val="2"/>
            <w:tcBorders>
              <w:top w:val="single" w:sz="8" w:space="0" w:color="auto"/>
              <w:left w:val="nil"/>
              <w:bottom w:val="single" w:sz="8" w:space="0" w:color="auto"/>
              <w:right w:val="single" w:sz="8" w:space="0" w:color="auto"/>
            </w:tcBorders>
            <w:vAlign w:val="center"/>
            <w:hideMark/>
          </w:tcPr>
          <w:p w14:paraId="0551006C"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Pay Days</w:t>
            </w:r>
          </w:p>
        </w:tc>
        <w:tc>
          <w:tcPr>
            <w:tcW w:w="715" w:type="pct"/>
            <w:gridSpan w:val="2"/>
            <w:tcBorders>
              <w:top w:val="single" w:sz="8" w:space="0" w:color="auto"/>
              <w:left w:val="nil"/>
              <w:bottom w:val="single" w:sz="8" w:space="0" w:color="auto"/>
              <w:right w:val="single" w:sz="8" w:space="0" w:color="auto"/>
            </w:tcBorders>
            <w:vAlign w:val="center"/>
            <w:hideMark/>
          </w:tcPr>
          <w:p w14:paraId="0F89DF1E"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COC Days</w:t>
            </w:r>
          </w:p>
        </w:tc>
        <w:tc>
          <w:tcPr>
            <w:tcW w:w="436" w:type="pct"/>
            <w:gridSpan w:val="2"/>
            <w:tcBorders>
              <w:top w:val="single" w:sz="8" w:space="0" w:color="auto"/>
              <w:left w:val="nil"/>
              <w:bottom w:val="single" w:sz="8" w:space="0" w:color="auto"/>
              <w:right w:val="single" w:sz="8" w:space="0" w:color="auto"/>
            </w:tcBorders>
            <w:vAlign w:val="center"/>
            <w:hideMark/>
          </w:tcPr>
          <w:p w14:paraId="374137FF"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D/E</w:t>
            </w:r>
          </w:p>
        </w:tc>
        <w:tc>
          <w:tcPr>
            <w:tcW w:w="436" w:type="pct"/>
            <w:tcBorders>
              <w:top w:val="single" w:sz="8" w:space="0" w:color="auto"/>
              <w:left w:val="nil"/>
              <w:bottom w:val="single" w:sz="8" w:space="0" w:color="auto"/>
              <w:right w:val="single" w:sz="8" w:space="0" w:color="auto"/>
            </w:tcBorders>
            <w:vAlign w:val="center"/>
            <w:hideMark/>
          </w:tcPr>
          <w:p w14:paraId="5C0E1105" w14:textId="77777777" w:rsidR="003C74BB" w:rsidRPr="00064CB9" w:rsidRDefault="003C74BB" w:rsidP="003C74BB">
            <w:pPr>
              <w:spacing w:before="0" w:after="0" w:line="240" w:lineRule="auto"/>
              <w:rPr>
                <w:rFonts w:eastAsia="Times New Roman" w:cs="Times New Roman"/>
                <w:b/>
                <w:bCs/>
                <w:color w:val="000000"/>
                <w:sz w:val="16"/>
                <w:szCs w:val="16"/>
              </w:rPr>
            </w:pPr>
            <w:r w:rsidRPr="00064CB9">
              <w:rPr>
                <w:rFonts w:eastAsia="Times New Roman" w:cs="Times New Roman"/>
                <w:b/>
                <w:bCs/>
                <w:color w:val="000000"/>
                <w:sz w:val="16"/>
                <w:szCs w:val="16"/>
              </w:rPr>
              <w:t>D/A</w:t>
            </w:r>
          </w:p>
        </w:tc>
        <w:tc>
          <w:tcPr>
            <w:tcW w:w="436" w:type="pct"/>
            <w:gridSpan w:val="2"/>
            <w:tcBorders>
              <w:top w:val="single" w:sz="8" w:space="0" w:color="auto"/>
              <w:left w:val="nil"/>
              <w:bottom w:val="single" w:sz="8" w:space="0" w:color="auto"/>
              <w:right w:val="single" w:sz="8" w:space="0" w:color="auto"/>
            </w:tcBorders>
            <w:vAlign w:val="center"/>
            <w:hideMark/>
          </w:tcPr>
          <w:p w14:paraId="22AFCF6D" w14:textId="77777777" w:rsidR="003C74BB" w:rsidRPr="00064CB9" w:rsidRDefault="003C74BB" w:rsidP="003C74BB">
            <w:pPr>
              <w:spacing w:before="0" w:after="0" w:line="240" w:lineRule="auto"/>
              <w:rPr>
                <w:rFonts w:eastAsia="Times New Roman" w:cs="Times New Roman"/>
                <w:b/>
                <w:bCs/>
                <w:color w:val="000000"/>
                <w:sz w:val="16"/>
                <w:szCs w:val="16"/>
              </w:rPr>
            </w:pPr>
            <w:proofErr w:type="spellStart"/>
            <w:r w:rsidRPr="00064CB9">
              <w:rPr>
                <w:rFonts w:eastAsia="Times New Roman" w:cs="Times New Roman"/>
                <w:b/>
                <w:bCs/>
                <w:color w:val="000000"/>
                <w:sz w:val="16"/>
                <w:szCs w:val="16"/>
              </w:rPr>
              <w:t>Eq</w:t>
            </w:r>
            <w:proofErr w:type="spellEnd"/>
            <w:r w:rsidRPr="00064CB9">
              <w:rPr>
                <w:rFonts w:eastAsia="Times New Roman" w:cs="Times New Roman"/>
                <w:b/>
                <w:bCs/>
                <w:color w:val="000000"/>
                <w:sz w:val="16"/>
                <w:szCs w:val="16"/>
              </w:rPr>
              <w:t xml:space="preserve"> R</w:t>
            </w:r>
          </w:p>
        </w:tc>
        <w:tc>
          <w:tcPr>
            <w:tcW w:w="984" w:type="pct"/>
            <w:gridSpan w:val="3"/>
            <w:tcBorders>
              <w:top w:val="single" w:sz="8" w:space="0" w:color="auto"/>
              <w:left w:val="nil"/>
              <w:bottom w:val="single" w:sz="8" w:space="0" w:color="auto"/>
              <w:right w:val="single" w:sz="8" w:space="0" w:color="auto"/>
            </w:tcBorders>
            <w:vAlign w:val="center"/>
            <w:hideMark/>
          </w:tcPr>
          <w:p w14:paraId="4DB53D92" w14:textId="77777777" w:rsidR="003C74BB" w:rsidRPr="00064CB9" w:rsidRDefault="003C74BB" w:rsidP="003C74BB">
            <w:pPr>
              <w:spacing w:before="0" w:after="0" w:line="240" w:lineRule="auto"/>
              <w:rPr>
                <w:rFonts w:eastAsia="Times New Roman" w:cs="Times New Roman"/>
                <w:b/>
                <w:bCs/>
                <w:color w:val="000000"/>
                <w:sz w:val="16"/>
                <w:szCs w:val="16"/>
              </w:rPr>
            </w:pPr>
            <w:proofErr w:type="spellStart"/>
            <w:r w:rsidRPr="00064CB9">
              <w:rPr>
                <w:rFonts w:eastAsia="Times New Roman" w:cs="Times New Roman"/>
                <w:b/>
                <w:bCs/>
                <w:color w:val="000000"/>
                <w:sz w:val="16"/>
                <w:szCs w:val="16"/>
              </w:rPr>
              <w:t>IntCov</w:t>
            </w:r>
            <w:proofErr w:type="spellEnd"/>
            <w:r w:rsidRPr="00064CB9">
              <w:rPr>
                <w:rFonts w:eastAsia="Times New Roman" w:cs="Times New Roman"/>
                <w:b/>
                <w:bCs/>
                <w:color w:val="000000"/>
                <w:sz w:val="16"/>
                <w:szCs w:val="16"/>
              </w:rPr>
              <w:t xml:space="preserve"> x</w:t>
            </w:r>
          </w:p>
        </w:tc>
      </w:tr>
      <w:tr w:rsidR="003C74BB" w:rsidRPr="00064CB9" w14:paraId="1449EBC1"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7528049A"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100.3</w:t>
            </w:r>
          </w:p>
        </w:tc>
        <w:tc>
          <w:tcPr>
            <w:tcW w:w="700" w:type="pct"/>
            <w:gridSpan w:val="2"/>
            <w:tcBorders>
              <w:top w:val="nil"/>
              <w:left w:val="nil"/>
              <w:bottom w:val="single" w:sz="8" w:space="0" w:color="auto"/>
              <w:right w:val="single" w:sz="8" w:space="0" w:color="auto"/>
            </w:tcBorders>
            <w:vAlign w:val="center"/>
            <w:hideMark/>
          </w:tcPr>
          <w:p w14:paraId="1B458407"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76.9</w:t>
            </w:r>
          </w:p>
        </w:tc>
        <w:tc>
          <w:tcPr>
            <w:tcW w:w="749" w:type="pct"/>
            <w:gridSpan w:val="2"/>
            <w:tcBorders>
              <w:top w:val="nil"/>
              <w:left w:val="nil"/>
              <w:bottom w:val="single" w:sz="8" w:space="0" w:color="auto"/>
              <w:right w:val="single" w:sz="8" w:space="0" w:color="auto"/>
            </w:tcBorders>
            <w:vAlign w:val="center"/>
            <w:hideMark/>
          </w:tcPr>
          <w:p w14:paraId="54E6D297"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69.3</w:t>
            </w:r>
          </w:p>
        </w:tc>
        <w:tc>
          <w:tcPr>
            <w:tcW w:w="715" w:type="pct"/>
            <w:gridSpan w:val="2"/>
            <w:tcBorders>
              <w:top w:val="nil"/>
              <w:left w:val="nil"/>
              <w:bottom w:val="single" w:sz="8" w:space="0" w:color="auto"/>
              <w:right w:val="single" w:sz="8" w:space="0" w:color="auto"/>
            </w:tcBorders>
            <w:vAlign w:val="center"/>
            <w:hideMark/>
          </w:tcPr>
          <w:p w14:paraId="3629C0B9"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107.8</w:t>
            </w:r>
          </w:p>
        </w:tc>
        <w:tc>
          <w:tcPr>
            <w:tcW w:w="436" w:type="pct"/>
            <w:gridSpan w:val="2"/>
            <w:tcBorders>
              <w:top w:val="nil"/>
              <w:left w:val="nil"/>
              <w:bottom w:val="single" w:sz="8" w:space="0" w:color="auto"/>
              <w:right w:val="single" w:sz="8" w:space="0" w:color="auto"/>
            </w:tcBorders>
            <w:vAlign w:val="center"/>
            <w:hideMark/>
          </w:tcPr>
          <w:p w14:paraId="7AD35930"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0.63</w:t>
            </w:r>
          </w:p>
        </w:tc>
        <w:tc>
          <w:tcPr>
            <w:tcW w:w="436" w:type="pct"/>
            <w:tcBorders>
              <w:top w:val="nil"/>
              <w:left w:val="nil"/>
              <w:bottom w:val="single" w:sz="8" w:space="0" w:color="auto"/>
              <w:right w:val="single" w:sz="8" w:space="0" w:color="auto"/>
            </w:tcBorders>
            <w:vAlign w:val="center"/>
            <w:hideMark/>
          </w:tcPr>
          <w:p w14:paraId="19117A6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0.39</w:t>
            </w:r>
          </w:p>
        </w:tc>
        <w:tc>
          <w:tcPr>
            <w:tcW w:w="436" w:type="pct"/>
            <w:gridSpan w:val="2"/>
            <w:tcBorders>
              <w:top w:val="nil"/>
              <w:left w:val="nil"/>
              <w:bottom w:val="single" w:sz="8" w:space="0" w:color="auto"/>
              <w:right w:val="single" w:sz="8" w:space="0" w:color="auto"/>
            </w:tcBorders>
            <w:vAlign w:val="center"/>
            <w:hideMark/>
          </w:tcPr>
          <w:p w14:paraId="4E928854"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0.61</w:t>
            </w:r>
          </w:p>
        </w:tc>
        <w:tc>
          <w:tcPr>
            <w:tcW w:w="984" w:type="pct"/>
            <w:gridSpan w:val="3"/>
            <w:tcBorders>
              <w:top w:val="nil"/>
              <w:left w:val="nil"/>
              <w:bottom w:val="single" w:sz="8" w:space="0" w:color="auto"/>
              <w:right w:val="single" w:sz="8" w:space="0" w:color="auto"/>
            </w:tcBorders>
            <w:vAlign w:val="center"/>
            <w:hideMark/>
          </w:tcPr>
          <w:p w14:paraId="6684EB76"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26.21</w:t>
            </w:r>
          </w:p>
        </w:tc>
      </w:tr>
      <w:tr w:rsidR="003C74BB" w:rsidRPr="00064CB9" w14:paraId="552714C9"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72E61570"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114.5</w:t>
            </w:r>
          </w:p>
        </w:tc>
        <w:tc>
          <w:tcPr>
            <w:tcW w:w="700" w:type="pct"/>
            <w:gridSpan w:val="2"/>
            <w:tcBorders>
              <w:top w:val="nil"/>
              <w:left w:val="nil"/>
              <w:bottom w:val="single" w:sz="8" w:space="0" w:color="auto"/>
              <w:right w:val="single" w:sz="8" w:space="0" w:color="auto"/>
            </w:tcBorders>
            <w:vAlign w:val="center"/>
            <w:hideMark/>
          </w:tcPr>
          <w:p w14:paraId="7FD17114"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78.4</w:t>
            </w:r>
          </w:p>
        </w:tc>
        <w:tc>
          <w:tcPr>
            <w:tcW w:w="749" w:type="pct"/>
            <w:gridSpan w:val="2"/>
            <w:tcBorders>
              <w:top w:val="nil"/>
              <w:left w:val="nil"/>
              <w:bottom w:val="single" w:sz="8" w:space="0" w:color="auto"/>
              <w:right w:val="single" w:sz="8" w:space="0" w:color="auto"/>
            </w:tcBorders>
            <w:vAlign w:val="center"/>
            <w:hideMark/>
          </w:tcPr>
          <w:p w14:paraId="20EC1529"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79</w:t>
            </w:r>
          </w:p>
        </w:tc>
        <w:tc>
          <w:tcPr>
            <w:tcW w:w="715" w:type="pct"/>
            <w:gridSpan w:val="2"/>
            <w:tcBorders>
              <w:top w:val="nil"/>
              <w:left w:val="nil"/>
              <w:bottom w:val="single" w:sz="8" w:space="0" w:color="auto"/>
              <w:right w:val="single" w:sz="8" w:space="0" w:color="auto"/>
            </w:tcBorders>
            <w:vAlign w:val="center"/>
            <w:hideMark/>
          </w:tcPr>
          <w:p w14:paraId="1BF49A57"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114</w:t>
            </w:r>
          </w:p>
        </w:tc>
        <w:tc>
          <w:tcPr>
            <w:tcW w:w="436" w:type="pct"/>
            <w:gridSpan w:val="2"/>
            <w:tcBorders>
              <w:top w:val="nil"/>
              <w:left w:val="nil"/>
              <w:bottom w:val="single" w:sz="8" w:space="0" w:color="auto"/>
              <w:right w:val="single" w:sz="8" w:space="0" w:color="auto"/>
            </w:tcBorders>
            <w:vAlign w:val="center"/>
            <w:hideMark/>
          </w:tcPr>
          <w:p w14:paraId="11D1CA49"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0.85</w:t>
            </w:r>
          </w:p>
        </w:tc>
        <w:tc>
          <w:tcPr>
            <w:tcW w:w="436" w:type="pct"/>
            <w:tcBorders>
              <w:top w:val="nil"/>
              <w:left w:val="nil"/>
              <w:bottom w:val="single" w:sz="8" w:space="0" w:color="auto"/>
              <w:right w:val="single" w:sz="8" w:space="0" w:color="auto"/>
            </w:tcBorders>
            <w:vAlign w:val="center"/>
            <w:hideMark/>
          </w:tcPr>
          <w:p w14:paraId="3849FB5B"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0.46</w:t>
            </w:r>
          </w:p>
        </w:tc>
        <w:tc>
          <w:tcPr>
            <w:tcW w:w="436" w:type="pct"/>
            <w:gridSpan w:val="2"/>
            <w:tcBorders>
              <w:top w:val="nil"/>
              <w:left w:val="nil"/>
              <w:bottom w:val="single" w:sz="8" w:space="0" w:color="auto"/>
              <w:right w:val="single" w:sz="8" w:space="0" w:color="auto"/>
            </w:tcBorders>
            <w:vAlign w:val="center"/>
            <w:hideMark/>
          </w:tcPr>
          <w:p w14:paraId="093CABAD"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0.54</w:t>
            </w:r>
          </w:p>
        </w:tc>
        <w:tc>
          <w:tcPr>
            <w:tcW w:w="984" w:type="pct"/>
            <w:gridSpan w:val="3"/>
            <w:tcBorders>
              <w:top w:val="nil"/>
              <w:left w:val="nil"/>
              <w:bottom w:val="single" w:sz="8" w:space="0" w:color="auto"/>
              <w:right w:val="single" w:sz="8" w:space="0" w:color="auto"/>
            </w:tcBorders>
            <w:vAlign w:val="center"/>
            <w:hideMark/>
          </w:tcPr>
          <w:p w14:paraId="7792C89D"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41.08</w:t>
            </w:r>
          </w:p>
        </w:tc>
      </w:tr>
      <w:tr w:rsidR="003C74BB" w:rsidRPr="00064CB9" w14:paraId="17B6B825"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575556A2"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131</w:t>
            </w:r>
          </w:p>
        </w:tc>
        <w:tc>
          <w:tcPr>
            <w:tcW w:w="700" w:type="pct"/>
            <w:gridSpan w:val="2"/>
            <w:tcBorders>
              <w:top w:val="nil"/>
              <w:left w:val="nil"/>
              <w:bottom w:val="single" w:sz="8" w:space="0" w:color="auto"/>
              <w:right w:val="single" w:sz="8" w:space="0" w:color="auto"/>
            </w:tcBorders>
            <w:vAlign w:val="center"/>
            <w:hideMark/>
          </w:tcPr>
          <w:p w14:paraId="7FE9691A"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75.6</w:t>
            </w:r>
          </w:p>
        </w:tc>
        <w:tc>
          <w:tcPr>
            <w:tcW w:w="749" w:type="pct"/>
            <w:gridSpan w:val="2"/>
            <w:tcBorders>
              <w:top w:val="nil"/>
              <w:left w:val="nil"/>
              <w:bottom w:val="single" w:sz="8" w:space="0" w:color="auto"/>
              <w:right w:val="single" w:sz="8" w:space="0" w:color="auto"/>
            </w:tcBorders>
            <w:vAlign w:val="center"/>
            <w:hideMark/>
          </w:tcPr>
          <w:p w14:paraId="38720BFF"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66.7</w:t>
            </w:r>
          </w:p>
        </w:tc>
        <w:tc>
          <w:tcPr>
            <w:tcW w:w="715" w:type="pct"/>
            <w:gridSpan w:val="2"/>
            <w:tcBorders>
              <w:top w:val="nil"/>
              <w:left w:val="nil"/>
              <w:bottom w:val="single" w:sz="8" w:space="0" w:color="auto"/>
              <w:right w:val="single" w:sz="8" w:space="0" w:color="auto"/>
            </w:tcBorders>
            <w:vAlign w:val="center"/>
            <w:hideMark/>
          </w:tcPr>
          <w:p w14:paraId="0A4311BA"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139.9</w:t>
            </w:r>
          </w:p>
        </w:tc>
        <w:tc>
          <w:tcPr>
            <w:tcW w:w="436" w:type="pct"/>
            <w:gridSpan w:val="2"/>
            <w:tcBorders>
              <w:top w:val="nil"/>
              <w:left w:val="nil"/>
              <w:bottom w:val="single" w:sz="8" w:space="0" w:color="auto"/>
              <w:right w:val="single" w:sz="8" w:space="0" w:color="auto"/>
            </w:tcBorders>
            <w:vAlign w:val="center"/>
            <w:hideMark/>
          </w:tcPr>
          <w:p w14:paraId="4A0BC91D"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0.88</w:t>
            </w:r>
          </w:p>
        </w:tc>
        <w:tc>
          <w:tcPr>
            <w:tcW w:w="436" w:type="pct"/>
            <w:tcBorders>
              <w:top w:val="nil"/>
              <w:left w:val="nil"/>
              <w:bottom w:val="single" w:sz="8" w:space="0" w:color="auto"/>
              <w:right w:val="single" w:sz="8" w:space="0" w:color="auto"/>
            </w:tcBorders>
            <w:vAlign w:val="center"/>
            <w:hideMark/>
          </w:tcPr>
          <w:p w14:paraId="412F2E62"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0.47</w:t>
            </w:r>
          </w:p>
        </w:tc>
        <w:tc>
          <w:tcPr>
            <w:tcW w:w="436" w:type="pct"/>
            <w:gridSpan w:val="2"/>
            <w:tcBorders>
              <w:top w:val="nil"/>
              <w:left w:val="nil"/>
              <w:bottom w:val="single" w:sz="8" w:space="0" w:color="auto"/>
              <w:right w:val="single" w:sz="8" w:space="0" w:color="auto"/>
            </w:tcBorders>
            <w:vAlign w:val="center"/>
            <w:hideMark/>
          </w:tcPr>
          <w:p w14:paraId="4A133F11"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0.53</w:t>
            </w:r>
          </w:p>
        </w:tc>
        <w:tc>
          <w:tcPr>
            <w:tcW w:w="984" w:type="pct"/>
            <w:gridSpan w:val="3"/>
            <w:tcBorders>
              <w:top w:val="nil"/>
              <w:left w:val="nil"/>
              <w:bottom w:val="single" w:sz="8" w:space="0" w:color="auto"/>
              <w:right w:val="single" w:sz="8" w:space="0" w:color="auto"/>
            </w:tcBorders>
            <w:vAlign w:val="center"/>
            <w:hideMark/>
          </w:tcPr>
          <w:p w14:paraId="5F67445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6.61</w:t>
            </w:r>
          </w:p>
        </w:tc>
      </w:tr>
      <w:tr w:rsidR="003C74BB" w:rsidRPr="00064CB9" w14:paraId="0F497552"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57C32FCB"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99.8</w:t>
            </w:r>
          </w:p>
        </w:tc>
        <w:tc>
          <w:tcPr>
            <w:tcW w:w="700" w:type="pct"/>
            <w:gridSpan w:val="2"/>
            <w:tcBorders>
              <w:top w:val="nil"/>
              <w:left w:val="nil"/>
              <w:bottom w:val="single" w:sz="8" w:space="0" w:color="auto"/>
              <w:right w:val="single" w:sz="8" w:space="0" w:color="auto"/>
            </w:tcBorders>
            <w:vAlign w:val="center"/>
            <w:hideMark/>
          </w:tcPr>
          <w:p w14:paraId="760D5C1B"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97.7</w:t>
            </w:r>
          </w:p>
        </w:tc>
        <w:tc>
          <w:tcPr>
            <w:tcW w:w="749" w:type="pct"/>
            <w:gridSpan w:val="2"/>
            <w:tcBorders>
              <w:top w:val="nil"/>
              <w:left w:val="nil"/>
              <w:bottom w:val="single" w:sz="8" w:space="0" w:color="auto"/>
              <w:right w:val="single" w:sz="8" w:space="0" w:color="auto"/>
            </w:tcBorders>
            <w:vAlign w:val="center"/>
            <w:hideMark/>
          </w:tcPr>
          <w:p w14:paraId="79935E15"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64.5</w:t>
            </w:r>
          </w:p>
        </w:tc>
        <w:tc>
          <w:tcPr>
            <w:tcW w:w="715" w:type="pct"/>
            <w:gridSpan w:val="2"/>
            <w:tcBorders>
              <w:top w:val="nil"/>
              <w:left w:val="nil"/>
              <w:bottom w:val="single" w:sz="8" w:space="0" w:color="auto"/>
              <w:right w:val="single" w:sz="8" w:space="0" w:color="auto"/>
            </w:tcBorders>
            <w:vAlign w:val="center"/>
            <w:hideMark/>
          </w:tcPr>
          <w:p w14:paraId="258D4996"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133.1</w:t>
            </w:r>
          </w:p>
        </w:tc>
        <w:tc>
          <w:tcPr>
            <w:tcW w:w="436" w:type="pct"/>
            <w:gridSpan w:val="2"/>
            <w:tcBorders>
              <w:top w:val="nil"/>
              <w:left w:val="nil"/>
              <w:bottom w:val="single" w:sz="8" w:space="0" w:color="auto"/>
              <w:right w:val="single" w:sz="8" w:space="0" w:color="auto"/>
            </w:tcBorders>
            <w:vAlign w:val="center"/>
            <w:hideMark/>
          </w:tcPr>
          <w:p w14:paraId="384CC002"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0.99</w:t>
            </w:r>
          </w:p>
        </w:tc>
        <w:tc>
          <w:tcPr>
            <w:tcW w:w="436" w:type="pct"/>
            <w:tcBorders>
              <w:top w:val="nil"/>
              <w:left w:val="nil"/>
              <w:bottom w:val="single" w:sz="8" w:space="0" w:color="auto"/>
              <w:right w:val="single" w:sz="8" w:space="0" w:color="auto"/>
            </w:tcBorders>
            <w:vAlign w:val="center"/>
            <w:hideMark/>
          </w:tcPr>
          <w:p w14:paraId="736ECF43"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0.5</w:t>
            </w:r>
          </w:p>
        </w:tc>
        <w:tc>
          <w:tcPr>
            <w:tcW w:w="436" w:type="pct"/>
            <w:gridSpan w:val="2"/>
            <w:tcBorders>
              <w:top w:val="nil"/>
              <w:left w:val="nil"/>
              <w:bottom w:val="single" w:sz="8" w:space="0" w:color="auto"/>
              <w:right w:val="single" w:sz="8" w:space="0" w:color="auto"/>
            </w:tcBorders>
            <w:vAlign w:val="center"/>
            <w:hideMark/>
          </w:tcPr>
          <w:p w14:paraId="7D122291"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0.5</w:t>
            </w:r>
          </w:p>
        </w:tc>
        <w:tc>
          <w:tcPr>
            <w:tcW w:w="984" w:type="pct"/>
            <w:gridSpan w:val="3"/>
            <w:tcBorders>
              <w:top w:val="nil"/>
              <w:left w:val="nil"/>
              <w:bottom w:val="single" w:sz="8" w:space="0" w:color="auto"/>
              <w:right w:val="single" w:sz="8" w:space="0" w:color="auto"/>
            </w:tcBorders>
            <w:vAlign w:val="center"/>
            <w:hideMark/>
          </w:tcPr>
          <w:p w14:paraId="3BC4FDCD"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–19.69</w:t>
            </w:r>
          </w:p>
        </w:tc>
      </w:tr>
      <w:tr w:rsidR="003C74BB" w:rsidRPr="00064CB9" w14:paraId="183D8E99" w14:textId="77777777" w:rsidTr="003C74BB">
        <w:trPr>
          <w:trHeight w:val="315"/>
        </w:trPr>
        <w:tc>
          <w:tcPr>
            <w:tcW w:w="544" w:type="pct"/>
            <w:tcBorders>
              <w:top w:val="nil"/>
              <w:left w:val="single" w:sz="8" w:space="0" w:color="auto"/>
              <w:bottom w:val="single" w:sz="8" w:space="0" w:color="auto"/>
              <w:right w:val="single" w:sz="8" w:space="0" w:color="auto"/>
            </w:tcBorders>
            <w:vAlign w:val="center"/>
            <w:hideMark/>
          </w:tcPr>
          <w:p w14:paraId="10268815"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103.1</w:t>
            </w:r>
          </w:p>
        </w:tc>
        <w:tc>
          <w:tcPr>
            <w:tcW w:w="700" w:type="pct"/>
            <w:gridSpan w:val="2"/>
            <w:tcBorders>
              <w:top w:val="nil"/>
              <w:left w:val="nil"/>
              <w:bottom w:val="single" w:sz="8" w:space="0" w:color="auto"/>
              <w:right w:val="single" w:sz="8" w:space="0" w:color="auto"/>
            </w:tcBorders>
            <w:vAlign w:val="center"/>
            <w:hideMark/>
          </w:tcPr>
          <w:p w14:paraId="313F576F"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105.5</w:t>
            </w:r>
          </w:p>
        </w:tc>
        <w:tc>
          <w:tcPr>
            <w:tcW w:w="749" w:type="pct"/>
            <w:gridSpan w:val="2"/>
            <w:tcBorders>
              <w:top w:val="nil"/>
              <w:left w:val="nil"/>
              <w:bottom w:val="single" w:sz="8" w:space="0" w:color="auto"/>
              <w:right w:val="single" w:sz="8" w:space="0" w:color="auto"/>
            </w:tcBorders>
            <w:vAlign w:val="center"/>
            <w:hideMark/>
          </w:tcPr>
          <w:p w14:paraId="660A13F0"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93.6</w:t>
            </w:r>
          </w:p>
        </w:tc>
        <w:tc>
          <w:tcPr>
            <w:tcW w:w="715" w:type="pct"/>
            <w:gridSpan w:val="2"/>
            <w:tcBorders>
              <w:top w:val="nil"/>
              <w:left w:val="nil"/>
              <w:bottom w:val="single" w:sz="8" w:space="0" w:color="auto"/>
              <w:right w:val="single" w:sz="8" w:space="0" w:color="auto"/>
            </w:tcBorders>
            <w:vAlign w:val="center"/>
            <w:hideMark/>
          </w:tcPr>
          <w:p w14:paraId="2BABDD7E"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115.1</w:t>
            </w:r>
          </w:p>
        </w:tc>
        <w:tc>
          <w:tcPr>
            <w:tcW w:w="436" w:type="pct"/>
            <w:gridSpan w:val="2"/>
            <w:tcBorders>
              <w:top w:val="nil"/>
              <w:left w:val="nil"/>
              <w:bottom w:val="single" w:sz="8" w:space="0" w:color="auto"/>
              <w:right w:val="single" w:sz="8" w:space="0" w:color="auto"/>
            </w:tcBorders>
            <w:vAlign w:val="center"/>
            <w:hideMark/>
          </w:tcPr>
          <w:p w14:paraId="7B5CF58C"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1.11</w:t>
            </w:r>
          </w:p>
        </w:tc>
        <w:tc>
          <w:tcPr>
            <w:tcW w:w="436" w:type="pct"/>
            <w:tcBorders>
              <w:top w:val="nil"/>
              <w:left w:val="nil"/>
              <w:bottom w:val="single" w:sz="8" w:space="0" w:color="auto"/>
              <w:right w:val="single" w:sz="8" w:space="0" w:color="auto"/>
            </w:tcBorders>
            <w:vAlign w:val="center"/>
            <w:hideMark/>
          </w:tcPr>
          <w:p w14:paraId="384506B4"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0.53</w:t>
            </w:r>
          </w:p>
        </w:tc>
        <w:tc>
          <w:tcPr>
            <w:tcW w:w="436" w:type="pct"/>
            <w:gridSpan w:val="2"/>
            <w:tcBorders>
              <w:top w:val="nil"/>
              <w:left w:val="nil"/>
              <w:bottom w:val="single" w:sz="8" w:space="0" w:color="auto"/>
              <w:right w:val="single" w:sz="8" w:space="0" w:color="auto"/>
            </w:tcBorders>
            <w:vAlign w:val="center"/>
            <w:hideMark/>
          </w:tcPr>
          <w:p w14:paraId="4B1EF132"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0.47</w:t>
            </w:r>
          </w:p>
        </w:tc>
        <w:tc>
          <w:tcPr>
            <w:tcW w:w="984" w:type="pct"/>
            <w:gridSpan w:val="3"/>
            <w:tcBorders>
              <w:top w:val="nil"/>
              <w:left w:val="nil"/>
              <w:bottom w:val="single" w:sz="8" w:space="0" w:color="auto"/>
              <w:right w:val="single" w:sz="8" w:space="0" w:color="auto"/>
            </w:tcBorders>
            <w:vAlign w:val="center"/>
            <w:hideMark/>
          </w:tcPr>
          <w:p w14:paraId="7D17E1C7" w14:textId="77777777" w:rsidR="003C74BB" w:rsidRPr="00064CB9" w:rsidRDefault="003C74BB" w:rsidP="003C74BB">
            <w:pPr>
              <w:spacing w:before="0" w:after="0" w:line="240" w:lineRule="auto"/>
              <w:rPr>
                <w:rFonts w:eastAsia="Times New Roman" w:cs="Times New Roman"/>
                <w:color w:val="000000"/>
                <w:sz w:val="16"/>
                <w:szCs w:val="16"/>
              </w:rPr>
            </w:pPr>
            <w:r w:rsidRPr="00064CB9">
              <w:rPr>
                <w:rFonts w:eastAsia="Times New Roman" w:cs="Times New Roman"/>
                <w:color w:val="000000"/>
                <w:sz w:val="16"/>
                <w:szCs w:val="16"/>
              </w:rPr>
              <w:t>–4.55</w:t>
            </w:r>
          </w:p>
        </w:tc>
      </w:tr>
    </w:tbl>
    <w:p w14:paraId="5732814E" w14:textId="77777777" w:rsidR="00382B4A" w:rsidRPr="00064CB9" w:rsidRDefault="00382B4A" w:rsidP="00382B4A">
      <w:pPr>
        <w:rPr>
          <w:b/>
          <w:bCs/>
        </w:rPr>
      </w:pPr>
      <w:r w:rsidRPr="00064CB9">
        <w:rPr>
          <w:b/>
          <w:bCs/>
        </w:rPr>
        <w:t>Appendix B: Altman Z-Score Components &amp; Results</w:t>
      </w:r>
    </w:p>
    <w:p w14:paraId="06EB1F2F" w14:textId="156F2DAF" w:rsidR="00382B4A" w:rsidRPr="00064CB9" w:rsidRDefault="00382B4A" w:rsidP="00382B4A">
      <w:pPr>
        <w:rPr>
          <w:i/>
          <w:iCs/>
        </w:rPr>
      </w:pPr>
      <w:r w:rsidRPr="00064CB9">
        <w:rPr>
          <w:i/>
          <w:iCs/>
        </w:rPr>
        <w:t>X₁: Working Capital/Total Assets; X₂: Retained Earnings/Total Assets; X₃: EBIT/Total Assets; X₄: Equity/Total Liabilities; X₅: Sales/Total Assets.</w:t>
      </w:r>
    </w:p>
    <w:tbl>
      <w:tblPr>
        <w:tblW w:w="5041" w:type="pct"/>
        <w:tblLook w:val="04A0" w:firstRow="1" w:lastRow="0" w:firstColumn="1" w:lastColumn="0" w:noHBand="0" w:noVBand="1"/>
      </w:tblPr>
      <w:tblGrid>
        <w:gridCol w:w="1283"/>
        <w:gridCol w:w="1296"/>
        <w:gridCol w:w="1110"/>
        <w:gridCol w:w="1350"/>
        <w:gridCol w:w="1057"/>
        <w:gridCol w:w="1296"/>
        <w:gridCol w:w="876"/>
        <w:gridCol w:w="812"/>
      </w:tblGrid>
      <w:tr w:rsidR="003C74BB" w:rsidRPr="00064CB9" w14:paraId="6B3EE4DB" w14:textId="77777777" w:rsidTr="009576E4">
        <w:trPr>
          <w:trHeight w:val="330"/>
        </w:trPr>
        <w:tc>
          <w:tcPr>
            <w:tcW w:w="706" w:type="pct"/>
            <w:tcBorders>
              <w:top w:val="single" w:sz="8" w:space="0" w:color="auto"/>
              <w:left w:val="single" w:sz="8" w:space="0" w:color="auto"/>
              <w:bottom w:val="single" w:sz="8" w:space="0" w:color="auto"/>
              <w:right w:val="single" w:sz="8" w:space="0" w:color="auto"/>
            </w:tcBorders>
            <w:vAlign w:val="center"/>
            <w:hideMark/>
          </w:tcPr>
          <w:p w14:paraId="56B85B6C"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Multipliers </w:t>
            </w:r>
          </w:p>
        </w:tc>
        <w:tc>
          <w:tcPr>
            <w:tcW w:w="714" w:type="pct"/>
            <w:tcBorders>
              <w:top w:val="single" w:sz="8" w:space="0" w:color="auto"/>
              <w:left w:val="nil"/>
              <w:bottom w:val="single" w:sz="8" w:space="0" w:color="auto"/>
              <w:right w:val="single" w:sz="8" w:space="0" w:color="auto"/>
            </w:tcBorders>
            <w:vAlign w:val="center"/>
            <w:hideMark/>
          </w:tcPr>
          <w:p w14:paraId="799820C3"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1.2000 </w:t>
            </w:r>
          </w:p>
        </w:tc>
        <w:tc>
          <w:tcPr>
            <w:tcW w:w="611" w:type="pct"/>
            <w:tcBorders>
              <w:top w:val="single" w:sz="8" w:space="0" w:color="auto"/>
              <w:left w:val="nil"/>
              <w:bottom w:val="single" w:sz="8" w:space="0" w:color="auto"/>
              <w:right w:val="single" w:sz="8" w:space="0" w:color="auto"/>
            </w:tcBorders>
            <w:vAlign w:val="center"/>
            <w:hideMark/>
          </w:tcPr>
          <w:p w14:paraId="5C2DD392"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1.4000 </w:t>
            </w:r>
          </w:p>
        </w:tc>
        <w:tc>
          <w:tcPr>
            <w:tcW w:w="743" w:type="pct"/>
            <w:tcBorders>
              <w:top w:val="single" w:sz="8" w:space="0" w:color="auto"/>
              <w:left w:val="nil"/>
              <w:bottom w:val="single" w:sz="8" w:space="0" w:color="auto"/>
              <w:right w:val="single" w:sz="8" w:space="0" w:color="auto"/>
            </w:tcBorders>
            <w:vAlign w:val="center"/>
            <w:hideMark/>
          </w:tcPr>
          <w:p w14:paraId="651A7642"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3.3000 </w:t>
            </w:r>
          </w:p>
        </w:tc>
        <w:tc>
          <w:tcPr>
            <w:tcW w:w="582" w:type="pct"/>
            <w:tcBorders>
              <w:top w:val="single" w:sz="8" w:space="0" w:color="auto"/>
              <w:left w:val="nil"/>
              <w:bottom w:val="single" w:sz="8" w:space="0" w:color="auto"/>
              <w:right w:val="single" w:sz="8" w:space="0" w:color="auto"/>
            </w:tcBorders>
            <w:vAlign w:val="center"/>
            <w:hideMark/>
          </w:tcPr>
          <w:p w14:paraId="4337A33C"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0.6000 </w:t>
            </w:r>
          </w:p>
        </w:tc>
        <w:tc>
          <w:tcPr>
            <w:tcW w:w="714" w:type="pct"/>
            <w:tcBorders>
              <w:top w:val="single" w:sz="8" w:space="0" w:color="auto"/>
              <w:left w:val="nil"/>
              <w:bottom w:val="single" w:sz="8" w:space="0" w:color="auto"/>
              <w:right w:val="single" w:sz="8" w:space="0" w:color="auto"/>
            </w:tcBorders>
            <w:vAlign w:val="center"/>
            <w:hideMark/>
          </w:tcPr>
          <w:p w14:paraId="487E05CB"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1.0000 </w:t>
            </w:r>
          </w:p>
        </w:tc>
        <w:tc>
          <w:tcPr>
            <w:tcW w:w="482" w:type="pct"/>
            <w:tcBorders>
              <w:top w:val="single" w:sz="8" w:space="0" w:color="auto"/>
              <w:left w:val="nil"/>
              <w:bottom w:val="single" w:sz="8" w:space="0" w:color="auto"/>
              <w:right w:val="single" w:sz="8" w:space="0" w:color="auto"/>
            </w:tcBorders>
            <w:vAlign w:val="center"/>
            <w:hideMark/>
          </w:tcPr>
          <w:p w14:paraId="25B12426"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w:t>
            </w:r>
          </w:p>
        </w:tc>
        <w:tc>
          <w:tcPr>
            <w:tcW w:w="447" w:type="pct"/>
            <w:tcBorders>
              <w:top w:val="single" w:sz="8" w:space="0" w:color="auto"/>
              <w:left w:val="nil"/>
              <w:bottom w:val="single" w:sz="8" w:space="0" w:color="auto"/>
              <w:right w:val="single" w:sz="8" w:space="0" w:color="auto"/>
            </w:tcBorders>
            <w:vAlign w:val="center"/>
            <w:hideMark/>
          </w:tcPr>
          <w:p w14:paraId="17C492C2"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w:t>
            </w:r>
          </w:p>
        </w:tc>
      </w:tr>
      <w:tr w:rsidR="003C74BB" w:rsidRPr="00064CB9" w14:paraId="698DD5D7" w14:textId="77777777" w:rsidTr="009576E4">
        <w:trPr>
          <w:trHeight w:val="645"/>
        </w:trPr>
        <w:tc>
          <w:tcPr>
            <w:tcW w:w="706" w:type="pct"/>
            <w:tcBorders>
              <w:top w:val="nil"/>
              <w:left w:val="single" w:sz="8" w:space="0" w:color="auto"/>
              <w:bottom w:val="single" w:sz="8" w:space="0" w:color="auto"/>
              <w:right w:val="single" w:sz="8" w:space="0" w:color="auto"/>
            </w:tcBorders>
            <w:vAlign w:val="center"/>
            <w:hideMark/>
          </w:tcPr>
          <w:p w14:paraId="66DE913A" w14:textId="77777777" w:rsidR="003C74BB" w:rsidRPr="00064CB9" w:rsidRDefault="003C74BB" w:rsidP="003C74BB">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Year</w:t>
            </w:r>
          </w:p>
        </w:tc>
        <w:tc>
          <w:tcPr>
            <w:tcW w:w="714" w:type="pct"/>
            <w:tcBorders>
              <w:top w:val="nil"/>
              <w:left w:val="nil"/>
              <w:bottom w:val="single" w:sz="8" w:space="0" w:color="auto"/>
              <w:right w:val="single" w:sz="8" w:space="0" w:color="auto"/>
            </w:tcBorders>
            <w:vAlign w:val="center"/>
            <w:hideMark/>
          </w:tcPr>
          <w:p w14:paraId="03765F07" w14:textId="77777777" w:rsidR="003C74BB" w:rsidRPr="00064CB9" w:rsidRDefault="003C74BB" w:rsidP="003C74BB">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X₁ (WC/TA)</w:t>
            </w:r>
          </w:p>
        </w:tc>
        <w:tc>
          <w:tcPr>
            <w:tcW w:w="611" w:type="pct"/>
            <w:tcBorders>
              <w:top w:val="nil"/>
              <w:left w:val="nil"/>
              <w:bottom w:val="single" w:sz="8" w:space="0" w:color="auto"/>
              <w:right w:val="single" w:sz="8" w:space="0" w:color="auto"/>
            </w:tcBorders>
            <w:vAlign w:val="center"/>
            <w:hideMark/>
          </w:tcPr>
          <w:p w14:paraId="6F2833CE" w14:textId="77777777" w:rsidR="003C74BB" w:rsidRPr="00064CB9" w:rsidRDefault="003C74BB" w:rsidP="003C74BB">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X₂ (RE/TA)</w:t>
            </w:r>
          </w:p>
        </w:tc>
        <w:tc>
          <w:tcPr>
            <w:tcW w:w="743" w:type="pct"/>
            <w:tcBorders>
              <w:top w:val="nil"/>
              <w:left w:val="nil"/>
              <w:bottom w:val="single" w:sz="8" w:space="0" w:color="auto"/>
              <w:right w:val="single" w:sz="8" w:space="0" w:color="auto"/>
            </w:tcBorders>
            <w:vAlign w:val="center"/>
            <w:hideMark/>
          </w:tcPr>
          <w:p w14:paraId="745862BD" w14:textId="77777777" w:rsidR="003C74BB" w:rsidRPr="00064CB9" w:rsidRDefault="003C74BB" w:rsidP="003C74BB">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X₃ (EBIT/TA)</w:t>
            </w:r>
          </w:p>
        </w:tc>
        <w:tc>
          <w:tcPr>
            <w:tcW w:w="582" w:type="pct"/>
            <w:tcBorders>
              <w:top w:val="nil"/>
              <w:left w:val="nil"/>
              <w:bottom w:val="single" w:sz="8" w:space="0" w:color="auto"/>
              <w:right w:val="single" w:sz="8" w:space="0" w:color="auto"/>
            </w:tcBorders>
            <w:vAlign w:val="center"/>
            <w:hideMark/>
          </w:tcPr>
          <w:p w14:paraId="7DD0E511" w14:textId="77777777" w:rsidR="003C74BB" w:rsidRPr="00064CB9" w:rsidRDefault="003C74BB" w:rsidP="003C74BB">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X₄ (</w:t>
            </w:r>
            <w:proofErr w:type="spellStart"/>
            <w:r w:rsidRPr="00064CB9">
              <w:rPr>
                <w:rFonts w:eastAsia="Times New Roman" w:cs="Times New Roman"/>
                <w:b/>
                <w:bCs/>
                <w:color w:val="000000"/>
                <w:szCs w:val="24"/>
              </w:rPr>
              <w:t>Eq</w:t>
            </w:r>
            <w:proofErr w:type="spellEnd"/>
            <w:r w:rsidRPr="00064CB9">
              <w:rPr>
                <w:rFonts w:eastAsia="Times New Roman" w:cs="Times New Roman"/>
                <w:b/>
                <w:bCs/>
                <w:color w:val="000000"/>
                <w:szCs w:val="24"/>
              </w:rPr>
              <w:t>/TL)</w:t>
            </w:r>
          </w:p>
        </w:tc>
        <w:tc>
          <w:tcPr>
            <w:tcW w:w="714" w:type="pct"/>
            <w:tcBorders>
              <w:top w:val="nil"/>
              <w:left w:val="nil"/>
              <w:bottom w:val="single" w:sz="8" w:space="0" w:color="auto"/>
              <w:right w:val="single" w:sz="8" w:space="0" w:color="auto"/>
            </w:tcBorders>
            <w:vAlign w:val="center"/>
            <w:hideMark/>
          </w:tcPr>
          <w:p w14:paraId="51F0B97B" w14:textId="77777777" w:rsidR="003C74BB" w:rsidRPr="00064CB9" w:rsidRDefault="003C74BB" w:rsidP="003C74BB">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X₅ (Sales/TA)</w:t>
            </w:r>
          </w:p>
        </w:tc>
        <w:tc>
          <w:tcPr>
            <w:tcW w:w="482" w:type="pct"/>
            <w:tcBorders>
              <w:top w:val="nil"/>
              <w:left w:val="nil"/>
              <w:bottom w:val="single" w:sz="8" w:space="0" w:color="auto"/>
              <w:right w:val="single" w:sz="8" w:space="0" w:color="auto"/>
            </w:tcBorders>
            <w:vAlign w:val="center"/>
            <w:hideMark/>
          </w:tcPr>
          <w:p w14:paraId="1B088AB6" w14:textId="77777777" w:rsidR="003C74BB" w:rsidRPr="00064CB9" w:rsidRDefault="003C74BB" w:rsidP="003C74BB">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Z-Score</w:t>
            </w:r>
          </w:p>
        </w:tc>
        <w:tc>
          <w:tcPr>
            <w:tcW w:w="447" w:type="pct"/>
            <w:tcBorders>
              <w:top w:val="nil"/>
              <w:left w:val="nil"/>
              <w:bottom w:val="single" w:sz="8" w:space="0" w:color="auto"/>
              <w:right w:val="single" w:sz="8" w:space="0" w:color="auto"/>
            </w:tcBorders>
            <w:vAlign w:val="center"/>
            <w:hideMark/>
          </w:tcPr>
          <w:p w14:paraId="31BE3897" w14:textId="77777777" w:rsidR="003C74BB" w:rsidRPr="00064CB9" w:rsidRDefault="003C74BB" w:rsidP="003C74BB">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Risk Zone</w:t>
            </w:r>
          </w:p>
        </w:tc>
      </w:tr>
      <w:tr w:rsidR="003C74BB" w:rsidRPr="00064CB9" w14:paraId="714EFB61" w14:textId="77777777" w:rsidTr="009576E4">
        <w:trPr>
          <w:trHeight w:val="330"/>
        </w:trPr>
        <w:tc>
          <w:tcPr>
            <w:tcW w:w="706" w:type="pct"/>
            <w:tcBorders>
              <w:top w:val="nil"/>
              <w:left w:val="single" w:sz="8" w:space="0" w:color="auto"/>
              <w:bottom w:val="single" w:sz="8" w:space="0" w:color="auto"/>
              <w:right w:val="single" w:sz="8" w:space="0" w:color="auto"/>
            </w:tcBorders>
            <w:vAlign w:val="center"/>
            <w:hideMark/>
          </w:tcPr>
          <w:p w14:paraId="015182E9"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2020</w:t>
            </w:r>
          </w:p>
        </w:tc>
        <w:tc>
          <w:tcPr>
            <w:tcW w:w="714" w:type="pct"/>
            <w:tcBorders>
              <w:top w:val="nil"/>
              <w:left w:val="nil"/>
              <w:bottom w:val="single" w:sz="8" w:space="0" w:color="auto"/>
              <w:right w:val="single" w:sz="8" w:space="0" w:color="auto"/>
            </w:tcBorders>
            <w:vAlign w:val="center"/>
            <w:hideMark/>
          </w:tcPr>
          <w:p w14:paraId="2F17C40A"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0.2887</w:t>
            </w:r>
          </w:p>
        </w:tc>
        <w:tc>
          <w:tcPr>
            <w:tcW w:w="611" w:type="pct"/>
            <w:tcBorders>
              <w:top w:val="nil"/>
              <w:left w:val="nil"/>
              <w:bottom w:val="single" w:sz="8" w:space="0" w:color="auto"/>
              <w:right w:val="single" w:sz="8" w:space="0" w:color="auto"/>
            </w:tcBorders>
            <w:vAlign w:val="center"/>
            <w:hideMark/>
          </w:tcPr>
          <w:p w14:paraId="3DC89198"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0.6369</w:t>
            </w:r>
          </w:p>
        </w:tc>
        <w:tc>
          <w:tcPr>
            <w:tcW w:w="743" w:type="pct"/>
            <w:tcBorders>
              <w:top w:val="nil"/>
              <w:left w:val="nil"/>
              <w:bottom w:val="single" w:sz="8" w:space="0" w:color="auto"/>
              <w:right w:val="single" w:sz="8" w:space="0" w:color="auto"/>
            </w:tcBorders>
            <w:vAlign w:val="center"/>
            <w:hideMark/>
          </w:tcPr>
          <w:p w14:paraId="52865104"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0.0730 </w:t>
            </w:r>
          </w:p>
        </w:tc>
        <w:tc>
          <w:tcPr>
            <w:tcW w:w="582" w:type="pct"/>
            <w:tcBorders>
              <w:top w:val="nil"/>
              <w:left w:val="nil"/>
              <w:bottom w:val="single" w:sz="8" w:space="0" w:color="auto"/>
              <w:right w:val="single" w:sz="8" w:space="0" w:color="auto"/>
            </w:tcBorders>
            <w:vAlign w:val="center"/>
            <w:hideMark/>
          </w:tcPr>
          <w:p w14:paraId="05DEF20E"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1.5904</w:t>
            </w:r>
          </w:p>
        </w:tc>
        <w:tc>
          <w:tcPr>
            <w:tcW w:w="714" w:type="pct"/>
            <w:tcBorders>
              <w:top w:val="nil"/>
              <w:left w:val="nil"/>
              <w:bottom w:val="single" w:sz="8" w:space="0" w:color="auto"/>
              <w:right w:val="single" w:sz="8" w:space="0" w:color="auto"/>
            </w:tcBorders>
            <w:vAlign w:val="center"/>
            <w:hideMark/>
          </w:tcPr>
          <w:p w14:paraId="54F8B044"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1.2046</w:t>
            </w:r>
          </w:p>
        </w:tc>
        <w:tc>
          <w:tcPr>
            <w:tcW w:w="482" w:type="pct"/>
            <w:tcBorders>
              <w:top w:val="nil"/>
              <w:left w:val="nil"/>
              <w:bottom w:val="single" w:sz="8" w:space="0" w:color="auto"/>
              <w:right w:val="single" w:sz="8" w:space="0" w:color="auto"/>
            </w:tcBorders>
            <w:vAlign w:val="center"/>
            <w:hideMark/>
          </w:tcPr>
          <w:p w14:paraId="638F0ED9"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3.6379</w:t>
            </w:r>
          </w:p>
        </w:tc>
        <w:tc>
          <w:tcPr>
            <w:tcW w:w="447" w:type="pct"/>
            <w:tcBorders>
              <w:top w:val="nil"/>
              <w:left w:val="nil"/>
              <w:bottom w:val="single" w:sz="8" w:space="0" w:color="auto"/>
              <w:right w:val="single" w:sz="8" w:space="0" w:color="auto"/>
            </w:tcBorders>
            <w:vAlign w:val="center"/>
            <w:hideMark/>
          </w:tcPr>
          <w:p w14:paraId="02397520"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Safe (Z ≥ 3.0)</w:t>
            </w:r>
          </w:p>
        </w:tc>
      </w:tr>
      <w:tr w:rsidR="003C74BB" w:rsidRPr="00064CB9" w14:paraId="74289EF7" w14:textId="77777777" w:rsidTr="009576E4">
        <w:trPr>
          <w:trHeight w:val="330"/>
        </w:trPr>
        <w:tc>
          <w:tcPr>
            <w:tcW w:w="706" w:type="pct"/>
            <w:tcBorders>
              <w:top w:val="nil"/>
              <w:left w:val="single" w:sz="8" w:space="0" w:color="auto"/>
              <w:bottom w:val="single" w:sz="8" w:space="0" w:color="auto"/>
              <w:right w:val="single" w:sz="8" w:space="0" w:color="auto"/>
            </w:tcBorders>
            <w:vAlign w:val="center"/>
            <w:hideMark/>
          </w:tcPr>
          <w:p w14:paraId="7E0E9F43"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2021</w:t>
            </w:r>
          </w:p>
        </w:tc>
        <w:tc>
          <w:tcPr>
            <w:tcW w:w="714" w:type="pct"/>
            <w:tcBorders>
              <w:top w:val="nil"/>
              <w:left w:val="nil"/>
              <w:bottom w:val="single" w:sz="8" w:space="0" w:color="auto"/>
              <w:right w:val="single" w:sz="8" w:space="0" w:color="auto"/>
            </w:tcBorders>
            <w:vAlign w:val="center"/>
            <w:hideMark/>
          </w:tcPr>
          <w:p w14:paraId="1200DB2F"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0.2358</w:t>
            </w:r>
          </w:p>
        </w:tc>
        <w:tc>
          <w:tcPr>
            <w:tcW w:w="611" w:type="pct"/>
            <w:tcBorders>
              <w:top w:val="nil"/>
              <w:left w:val="nil"/>
              <w:bottom w:val="single" w:sz="8" w:space="0" w:color="auto"/>
              <w:right w:val="single" w:sz="8" w:space="0" w:color="auto"/>
            </w:tcBorders>
            <w:vAlign w:val="center"/>
            <w:hideMark/>
          </w:tcPr>
          <w:p w14:paraId="45E547B5"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0.6472</w:t>
            </w:r>
          </w:p>
        </w:tc>
        <w:tc>
          <w:tcPr>
            <w:tcW w:w="743" w:type="pct"/>
            <w:tcBorders>
              <w:top w:val="nil"/>
              <w:left w:val="nil"/>
              <w:bottom w:val="single" w:sz="8" w:space="0" w:color="auto"/>
              <w:right w:val="single" w:sz="8" w:space="0" w:color="auto"/>
            </w:tcBorders>
            <w:vAlign w:val="center"/>
            <w:hideMark/>
          </w:tcPr>
          <w:p w14:paraId="07FCB5FC"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0.0456 </w:t>
            </w:r>
          </w:p>
        </w:tc>
        <w:tc>
          <w:tcPr>
            <w:tcW w:w="582" w:type="pct"/>
            <w:tcBorders>
              <w:top w:val="nil"/>
              <w:left w:val="nil"/>
              <w:bottom w:val="single" w:sz="8" w:space="0" w:color="auto"/>
              <w:right w:val="single" w:sz="8" w:space="0" w:color="auto"/>
            </w:tcBorders>
            <w:vAlign w:val="center"/>
            <w:hideMark/>
          </w:tcPr>
          <w:p w14:paraId="04DE461D"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1.1773</w:t>
            </w:r>
          </w:p>
        </w:tc>
        <w:tc>
          <w:tcPr>
            <w:tcW w:w="714" w:type="pct"/>
            <w:tcBorders>
              <w:top w:val="nil"/>
              <w:left w:val="nil"/>
              <w:bottom w:val="single" w:sz="8" w:space="0" w:color="auto"/>
              <w:right w:val="single" w:sz="8" w:space="0" w:color="auto"/>
            </w:tcBorders>
            <w:vAlign w:val="center"/>
            <w:hideMark/>
          </w:tcPr>
          <w:p w14:paraId="5E347789"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1.1788</w:t>
            </w:r>
          </w:p>
        </w:tc>
        <w:tc>
          <w:tcPr>
            <w:tcW w:w="482" w:type="pct"/>
            <w:tcBorders>
              <w:top w:val="nil"/>
              <w:left w:val="nil"/>
              <w:bottom w:val="single" w:sz="8" w:space="0" w:color="auto"/>
              <w:right w:val="single" w:sz="8" w:space="0" w:color="auto"/>
            </w:tcBorders>
            <w:vAlign w:val="center"/>
            <w:hideMark/>
          </w:tcPr>
          <w:p w14:paraId="1DDABB08"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3.2246</w:t>
            </w:r>
          </w:p>
        </w:tc>
        <w:tc>
          <w:tcPr>
            <w:tcW w:w="447" w:type="pct"/>
            <w:tcBorders>
              <w:top w:val="nil"/>
              <w:left w:val="nil"/>
              <w:bottom w:val="single" w:sz="8" w:space="0" w:color="auto"/>
              <w:right w:val="single" w:sz="8" w:space="0" w:color="auto"/>
            </w:tcBorders>
            <w:vAlign w:val="center"/>
            <w:hideMark/>
          </w:tcPr>
          <w:p w14:paraId="6B45E9D6"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Safe (Z ≥ 3.0)</w:t>
            </w:r>
          </w:p>
        </w:tc>
      </w:tr>
      <w:tr w:rsidR="003C74BB" w:rsidRPr="00064CB9" w14:paraId="27FED93E" w14:textId="77777777" w:rsidTr="009576E4">
        <w:trPr>
          <w:trHeight w:val="330"/>
        </w:trPr>
        <w:tc>
          <w:tcPr>
            <w:tcW w:w="706" w:type="pct"/>
            <w:tcBorders>
              <w:top w:val="nil"/>
              <w:left w:val="single" w:sz="8" w:space="0" w:color="auto"/>
              <w:bottom w:val="single" w:sz="8" w:space="0" w:color="auto"/>
              <w:right w:val="single" w:sz="8" w:space="0" w:color="auto"/>
            </w:tcBorders>
            <w:vAlign w:val="center"/>
            <w:hideMark/>
          </w:tcPr>
          <w:p w14:paraId="55675D0B"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2022</w:t>
            </w:r>
          </w:p>
        </w:tc>
        <w:tc>
          <w:tcPr>
            <w:tcW w:w="714" w:type="pct"/>
            <w:tcBorders>
              <w:top w:val="nil"/>
              <w:left w:val="nil"/>
              <w:bottom w:val="single" w:sz="8" w:space="0" w:color="auto"/>
              <w:right w:val="single" w:sz="8" w:space="0" w:color="auto"/>
            </w:tcBorders>
            <w:vAlign w:val="center"/>
            <w:hideMark/>
          </w:tcPr>
          <w:p w14:paraId="79695DD0"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0.2411</w:t>
            </w:r>
          </w:p>
        </w:tc>
        <w:tc>
          <w:tcPr>
            <w:tcW w:w="611" w:type="pct"/>
            <w:tcBorders>
              <w:top w:val="nil"/>
              <w:left w:val="nil"/>
              <w:bottom w:val="single" w:sz="8" w:space="0" w:color="auto"/>
              <w:right w:val="single" w:sz="8" w:space="0" w:color="auto"/>
            </w:tcBorders>
            <w:vAlign w:val="center"/>
            <w:hideMark/>
          </w:tcPr>
          <w:p w14:paraId="5A40E734"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0.6559</w:t>
            </w:r>
          </w:p>
        </w:tc>
        <w:tc>
          <w:tcPr>
            <w:tcW w:w="743" w:type="pct"/>
            <w:tcBorders>
              <w:top w:val="nil"/>
              <w:left w:val="nil"/>
              <w:bottom w:val="single" w:sz="8" w:space="0" w:color="auto"/>
              <w:right w:val="single" w:sz="8" w:space="0" w:color="auto"/>
            </w:tcBorders>
            <w:vAlign w:val="center"/>
            <w:hideMark/>
          </w:tcPr>
          <w:p w14:paraId="06F28C70"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0.0289 </w:t>
            </w:r>
          </w:p>
        </w:tc>
        <w:tc>
          <w:tcPr>
            <w:tcW w:w="582" w:type="pct"/>
            <w:tcBorders>
              <w:top w:val="nil"/>
              <w:left w:val="nil"/>
              <w:bottom w:val="single" w:sz="8" w:space="0" w:color="auto"/>
              <w:right w:val="single" w:sz="8" w:space="0" w:color="auto"/>
            </w:tcBorders>
            <w:vAlign w:val="center"/>
            <w:hideMark/>
          </w:tcPr>
          <w:p w14:paraId="2202504C"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1.1385</w:t>
            </w:r>
          </w:p>
        </w:tc>
        <w:tc>
          <w:tcPr>
            <w:tcW w:w="714" w:type="pct"/>
            <w:tcBorders>
              <w:top w:val="nil"/>
              <w:left w:val="nil"/>
              <w:bottom w:val="single" w:sz="8" w:space="0" w:color="auto"/>
              <w:right w:val="single" w:sz="8" w:space="0" w:color="auto"/>
            </w:tcBorders>
            <w:vAlign w:val="center"/>
            <w:hideMark/>
          </w:tcPr>
          <w:p w14:paraId="4DCF4282"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1.0765</w:t>
            </w:r>
          </w:p>
        </w:tc>
        <w:tc>
          <w:tcPr>
            <w:tcW w:w="482" w:type="pct"/>
            <w:tcBorders>
              <w:top w:val="nil"/>
              <w:left w:val="nil"/>
              <w:bottom w:val="single" w:sz="8" w:space="0" w:color="auto"/>
              <w:right w:val="single" w:sz="8" w:space="0" w:color="auto"/>
            </w:tcBorders>
            <w:vAlign w:val="center"/>
            <w:hideMark/>
          </w:tcPr>
          <w:p w14:paraId="23375955"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3.0625</w:t>
            </w:r>
          </w:p>
        </w:tc>
        <w:tc>
          <w:tcPr>
            <w:tcW w:w="447" w:type="pct"/>
            <w:tcBorders>
              <w:top w:val="nil"/>
              <w:left w:val="nil"/>
              <w:bottom w:val="single" w:sz="8" w:space="0" w:color="auto"/>
              <w:right w:val="single" w:sz="8" w:space="0" w:color="auto"/>
            </w:tcBorders>
            <w:vAlign w:val="center"/>
            <w:hideMark/>
          </w:tcPr>
          <w:p w14:paraId="1D6ADF22"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Safe (Z ≥ 3.0)</w:t>
            </w:r>
          </w:p>
        </w:tc>
      </w:tr>
      <w:tr w:rsidR="003C74BB" w:rsidRPr="00064CB9" w14:paraId="2ECB3846" w14:textId="77777777" w:rsidTr="009576E4">
        <w:trPr>
          <w:trHeight w:val="330"/>
        </w:trPr>
        <w:tc>
          <w:tcPr>
            <w:tcW w:w="706" w:type="pct"/>
            <w:tcBorders>
              <w:top w:val="nil"/>
              <w:left w:val="single" w:sz="8" w:space="0" w:color="auto"/>
              <w:bottom w:val="single" w:sz="8" w:space="0" w:color="auto"/>
              <w:right w:val="single" w:sz="8" w:space="0" w:color="auto"/>
            </w:tcBorders>
            <w:vAlign w:val="center"/>
            <w:hideMark/>
          </w:tcPr>
          <w:p w14:paraId="76E0FAB5"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2023</w:t>
            </w:r>
          </w:p>
        </w:tc>
        <w:tc>
          <w:tcPr>
            <w:tcW w:w="714" w:type="pct"/>
            <w:tcBorders>
              <w:top w:val="nil"/>
              <w:left w:val="nil"/>
              <w:bottom w:val="single" w:sz="8" w:space="0" w:color="auto"/>
              <w:right w:val="single" w:sz="8" w:space="0" w:color="auto"/>
            </w:tcBorders>
            <w:vAlign w:val="center"/>
            <w:hideMark/>
          </w:tcPr>
          <w:p w14:paraId="2FFEF421"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0.2745</w:t>
            </w:r>
          </w:p>
        </w:tc>
        <w:tc>
          <w:tcPr>
            <w:tcW w:w="611" w:type="pct"/>
            <w:tcBorders>
              <w:top w:val="nil"/>
              <w:left w:val="nil"/>
              <w:bottom w:val="single" w:sz="8" w:space="0" w:color="auto"/>
              <w:right w:val="single" w:sz="8" w:space="0" w:color="auto"/>
            </w:tcBorders>
            <w:vAlign w:val="center"/>
            <w:hideMark/>
          </w:tcPr>
          <w:p w14:paraId="62E871EC"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0.6532</w:t>
            </w:r>
          </w:p>
        </w:tc>
        <w:tc>
          <w:tcPr>
            <w:tcW w:w="743" w:type="pct"/>
            <w:tcBorders>
              <w:top w:val="nil"/>
              <w:left w:val="nil"/>
              <w:bottom w:val="single" w:sz="8" w:space="0" w:color="auto"/>
              <w:right w:val="single" w:sz="8" w:space="0" w:color="auto"/>
            </w:tcBorders>
            <w:vAlign w:val="center"/>
            <w:hideMark/>
          </w:tcPr>
          <w:p w14:paraId="0A676612"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(0.2397)</w:t>
            </w:r>
          </w:p>
        </w:tc>
        <w:tc>
          <w:tcPr>
            <w:tcW w:w="582" w:type="pct"/>
            <w:tcBorders>
              <w:top w:val="nil"/>
              <w:left w:val="nil"/>
              <w:bottom w:val="single" w:sz="8" w:space="0" w:color="auto"/>
              <w:right w:val="single" w:sz="8" w:space="0" w:color="auto"/>
            </w:tcBorders>
            <w:vAlign w:val="center"/>
            <w:hideMark/>
          </w:tcPr>
          <w:p w14:paraId="3BC37344"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1.0111</w:t>
            </w:r>
          </w:p>
        </w:tc>
        <w:tc>
          <w:tcPr>
            <w:tcW w:w="714" w:type="pct"/>
            <w:tcBorders>
              <w:top w:val="nil"/>
              <w:left w:val="nil"/>
              <w:bottom w:val="single" w:sz="8" w:space="0" w:color="auto"/>
              <w:right w:val="single" w:sz="8" w:space="0" w:color="auto"/>
            </w:tcBorders>
            <w:vAlign w:val="center"/>
            <w:hideMark/>
          </w:tcPr>
          <w:p w14:paraId="5429D06B"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1.1815</w:t>
            </w:r>
          </w:p>
        </w:tc>
        <w:tc>
          <w:tcPr>
            <w:tcW w:w="482" w:type="pct"/>
            <w:tcBorders>
              <w:top w:val="nil"/>
              <w:left w:val="nil"/>
              <w:bottom w:val="single" w:sz="8" w:space="0" w:color="auto"/>
              <w:right w:val="single" w:sz="8" w:space="0" w:color="auto"/>
            </w:tcBorders>
            <w:vAlign w:val="center"/>
            <w:hideMark/>
          </w:tcPr>
          <w:p w14:paraId="632D751B"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2.2411</w:t>
            </w:r>
          </w:p>
        </w:tc>
        <w:tc>
          <w:tcPr>
            <w:tcW w:w="447" w:type="pct"/>
            <w:tcBorders>
              <w:top w:val="nil"/>
              <w:left w:val="nil"/>
              <w:bottom w:val="single" w:sz="8" w:space="0" w:color="auto"/>
              <w:right w:val="single" w:sz="8" w:space="0" w:color="auto"/>
            </w:tcBorders>
            <w:vAlign w:val="center"/>
            <w:hideMark/>
          </w:tcPr>
          <w:p w14:paraId="61F27DA6"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Grey (1.8–3.0)</w:t>
            </w:r>
          </w:p>
        </w:tc>
      </w:tr>
      <w:tr w:rsidR="003C74BB" w:rsidRPr="00064CB9" w14:paraId="506F399F" w14:textId="77777777" w:rsidTr="009576E4">
        <w:trPr>
          <w:trHeight w:val="330"/>
        </w:trPr>
        <w:tc>
          <w:tcPr>
            <w:tcW w:w="706" w:type="pct"/>
            <w:tcBorders>
              <w:top w:val="nil"/>
              <w:left w:val="single" w:sz="8" w:space="0" w:color="auto"/>
              <w:bottom w:val="single" w:sz="8" w:space="0" w:color="auto"/>
              <w:right w:val="single" w:sz="8" w:space="0" w:color="auto"/>
            </w:tcBorders>
            <w:vAlign w:val="center"/>
            <w:hideMark/>
          </w:tcPr>
          <w:p w14:paraId="453AAFA5"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2024</w:t>
            </w:r>
          </w:p>
        </w:tc>
        <w:tc>
          <w:tcPr>
            <w:tcW w:w="714" w:type="pct"/>
            <w:tcBorders>
              <w:top w:val="nil"/>
              <w:left w:val="nil"/>
              <w:bottom w:val="single" w:sz="8" w:space="0" w:color="auto"/>
              <w:right w:val="single" w:sz="8" w:space="0" w:color="auto"/>
            </w:tcBorders>
            <w:vAlign w:val="center"/>
            <w:hideMark/>
          </w:tcPr>
          <w:p w14:paraId="77711B17"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0.2604</w:t>
            </w:r>
          </w:p>
        </w:tc>
        <w:tc>
          <w:tcPr>
            <w:tcW w:w="611" w:type="pct"/>
            <w:tcBorders>
              <w:top w:val="nil"/>
              <w:left w:val="nil"/>
              <w:bottom w:val="single" w:sz="8" w:space="0" w:color="auto"/>
              <w:right w:val="single" w:sz="8" w:space="0" w:color="auto"/>
            </w:tcBorders>
            <w:vAlign w:val="center"/>
            <w:hideMark/>
          </w:tcPr>
          <w:p w14:paraId="49292C81"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0.6446</w:t>
            </w:r>
          </w:p>
        </w:tc>
        <w:tc>
          <w:tcPr>
            <w:tcW w:w="743" w:type="pct"/>
            <w:tcBorders>
              <w:top w:val="nil"/>
              <w:left w:val="nil"/>
              <w:bottom w:val="single" w:sz="8" w:space="0" w:color="auto"/>
              <w:right w:val="single" w:sz="8" w:space="0" w:color="auto"/>
            </w:tcBorders>
            <w:vAlign w:val="center"/>
            <w:hideMark/>
          </w:tcPr>
          <w:p w14:paraId="4B9D211C"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(0.0473)</w:t>
            </w:r>
          </w:p>
        </w:tc>
        <w:tc>
          <w:tcPr>
            <w:tcW w:w="582" w:type="pct"/>
            <w:tcBorders>
              <w:top w:val="nil"/>
              <w:left w:val="nil"/>
              <w:bottom w:val="single" w:sz="8" w:space="0" w:color="auto"/>
              <w:right w:val="single" w:sz="8" w:space="0" w:color="auto"/>
            </w:tcBorders>
            <w:vAlign w:val="center"/>
            <w:hideMark/>
          </w:tcPr>
          <w:p w14:paraId="660C1D9D"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0.8993</w:t>
            </w:r>
          </w:p>
        </w:tc>
        <w:tc>
          <w:tcPr>
            <w:tcW w:w="714" w:type="pct"/>
            <w:tcBorders>
              <w:top w:val="nil"/>
              <w:left w:val="nil"/>
              <w:bottom w:val="single" w:sz="8" w:space="0" w:color="auto"/>
              <w:right w:val="single" w:sz="8" w:space="0" w:color="auto"/>
            </w:tcBorders>
            <w:vAlign w:val="center"/>
            <w:hideMark/>
          </w:tcPr>
          <w:p w14:paraId="79D90632"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1.2212</w:t>
            </w:r>
          </w:p>
        </w:tc>
        <w:tc>
          <w:tcPr>
            <w:tcW w:w="482" w:type="pct"/>
            <w:tcBorders>
              <w:top w:val="nil"/>
              <w:left w:val="nil"/>
              <w:bottom w:val="single" w:sz="8" w:space="0" w:color="auto"/>
              <w:right w:val="single" w:sz="8" w:space="0" w:color="auto"/>
            </w:tcBorders>
            <w:vAlign w:val="center"/>
            <w:hideMark/>
          </w:tcPr>
          <w:p w14:paraId="15CF972A"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2.8196</w:t>
            </w:r>
          </w:p>
        </w:tc>
        <w:tc>
          <w:tcPr>
            <w:tcW w:w="447" w:type="pct"/>
            <w:tcBorders>
              <w:top w:val="nil"/>
              <w:left w:val="nil"/>
              <w:bottom w:val="single" w:sz="8" w:space="0" w:color="auto"/>
              <w:right w:val="single" w:sz="8" w:space="0" w:color="auto"/>
            </w:tcBorders>
            <w:vAlign w:val="center"/>
            <w:hideMark/>
          </w:tcPr>
          <w:p w14:paraId="57E6E86B" w14:textId="77777777" w:rsidR="003C74BB" w:rsidRPr="00064CB9" w:rsidRDefault="003C74BB" w:rsidP="003C74BB">
            <w:pPr>
              <w:spacing w:before="0" w:after="0" w:line="240" w:lineRule="auto"/>
              <w:rPr>
                <w:rFonts w:eastAsia="Times New Roman" w:cs="Times New Roman"/>
                <w:color w:val="000000"/>
                <w:szCs w:val="24"/>
              </w:rPr>
            </w:pPr>
            <w:r w:rsidRPr="00064CB9">
              <w:rPr>
                <w:rFonts w:eastAsia="Times New Roman" w:cs="Times New Roman"/>
                <w:color w:val="000000"/>
                <w:szCs w:val="24"/>
              </w:rPr>
              <w:t>Grey (1.8–3.0)</w:t>
            </w:r>
          </w:p>
        </w:tc>
      </w:tr>
    </w:tbl>
    <w:p w14:paraId="653842E7" w14:textId="5602600D" w:rsidR="003C74BB" w:rsidRPr="00064CB9" w:rsidRDefault="003C74BB" w:rsidP="00382B4A"/>
    <w:tbl>
      <w:tblPr>
        <w:tblW w:w="5141" w:type="pct"/>
        <w:tblLook w:val="04A0" w:firstRow="1" w:lastRow="0" w:firstColumn="1" w:lastColumn="0" w:noHBand="0" w:noVBand="1"/>
      </w:tblPr>
      <w:tblGrid>
        <w:gridCol w:w="694"/>
        <w:gridCol w:w="947"/>
        <w:gridCol w:w="946"/>
        <w:gridCol w:w="948"/>
        <w:gridCol w:w="948"/>
        <w:gridCol w:w="985"/>
        <w:gridCol w:w="948"/>
        <w:gridCol w:w="948"/>
        <w:gridCol w:w="948"/>
        <w:gridCol w:w="948"/>
      </w:tblGrid>
      <w:tr w:rsidR="003C74BB" w:rsidRPr="00064CB9" w14:paraId="35D2DF75" w14:textId="77777777" w:rsidTr="003C74BB">
        <w:trPr>
          <w:trHeight w:val="336"/>
        </w:trPr>
        <w:tc>
          <w:tcPr>
            <w:tcW w:w="374" w:type="pct"/>
            <w:tcBorders>
              <w:top w:val="single" w:sz="8" w:space="0" w:color="auto"/>
              <w:left w:val="single" w:sz="8" w:space="0" w:color="auto"/>
              <w:bottom w:val="single" w:sz="8" w:space="0" w:color="auto"/>
              <w:right w:val="single" w:sz="8" w:space="0" w:color="auto"/>
            </w:tcBorders>
            <w:vAlign w:val="center"/>
            <w:hideMark/>
          </w:tcPr>
          <w:p w14:paraId="6D3C507C" w14:textId="77777777" w:rsidR="003C74BB" w:rsidRPr="00064CB9" w:rsidRDefault="003C74BB" w:rsidP="003C74BB">
            <w:pPr>
              <w:spacing w:before="0" w:after="0" w:line="240" w:lineRule="auto"/>
              <w:rPr>
                <w:rFonts w:eastAsia="Times New Roman" w:cs="Times New Roman"/>
                <w:b/>
                <w:bCs/>
                <w:color w:val="000000"/>
                <w:sz w:val="22"/>
              </w:rPr>
            </w:pPr>
            <w:r w:rsidRPr="00064CB9">
              <w:rPr>
                <w:rFonts w:eastAsia="Times New Roman" w:cs="Times New Roman"/>
                <w:b/>
                <w:bCs/>
                <w:color w:val="000000"/>
                <w:sz w:val="22"/>
              </w:rPr>
              <w:t>Year</w:t>
            </w:r>
          </w:p>
        </w:tc>
        <w:tc>
          <w:tcPr>
            <w:tcW w:w="511" w:type="pct"/>
            <w:tcBorders>
              <w:top w:val="single" w:sz="8" w:space="0" w:color="auto"/>
              <w:left w:val="nil"/>
              <w:bottom w:val="single" w:sz="8" w:space="0" w:color="auto"/>
              <w:right w:val="single" w:sz="8" w:space="0" w:color="auto"/>
            </w:tcBorders>
            <w:vAlign w:val="center"/>
            <w:hideMark/>
          </w:tcPr>
          <w:p w14:paraId="3DE89A63"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CA</w:t>
            </w:r>
          </w:p>
        </w:tc>
        <w:tc>
          <w:tcPr>
            <w:tcW w:w="511" w:type="pct"/>
            <w:tcBorders>
              <w:top w:val="single" w:sz="8" w:space="0" w:color="auto"/>
              <w:left w:val="nil"/>
              <w:bottom w:val="single" w:sz="8" w:space="0" w:color="auto"/>
              <w:right w:val="single" w:sz="8" w:space="0" w:color="auto"/>
            </w:tcBorders>
            <w:vAlign w:val="center"/>
            <w:hideMark/>
          </w:tcPr>
          <w:p w14:paraId="1F778CD4"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CL</w:t>
            </w:r>
          </w:p>
        </w:tc>
        <w:tc>
          <w:tcPr>
            <w:tcW w:w="512" w:type="pct"/>
            <w:tcBorders>
              <w:top w:val="single" w:sz="8" w:space="0" w:color="auto"/>
              <w:left w:val="nil"/>
              <w:bottom w:val="single" w:sz="8" w:space="0" w:color="auto"/>
              <w:right w:val="single" w:sz="8" w:space="0" w:color="auto"/>
            </w:tcBorders>
            <w:vAlign w:val="center"/>
            <w:hideMark/>
          </w:tcPr>
          <w:p w14:paraId="486251B8"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WC</w:t>
            </w:r>
          </w:p>
        </w:tc>
        <w:tc>
          <w:tcPr>
            <w:tcW w:w="512" w:type="pct"/>
            <w:tcBorders>
              <w:top w:val="single" w:sz="8" w:space="0" w:color="auto"/>
              <w:left w:val="nil"/>
              <w:bottom w:val="single" w:sz="8" w:space="0" w:color="auto"/>
              <w:right w:val="single" w:sz="8" w:space="0" w:color="auto"/>
            </w:tcBorders>
            <w:vAlign w:val="center"/>
            <w:hideMark/>
          </w:tcPr>
          <w:p w14:paraId="7EE5DC3A"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TA</w:t>
            </w:r>
          </w:p>
        </w:tc>
        <w:tc>
          <w:tcPr>
            <w:tcW w:w="532" w:type="pct"/>
            <w:tcBorders>
              <w:top w:val="single" w:sz="8" w:space="0" w:color="auto"/>
              <w:left w:val="nil"/>
              <w:bottom w:val="single" w:sz="8" w:space="0" w:color="auto"/>
              <w:right w:val="single" w:sz="8" w:space="0" w:color="auto"/>
            </w:tcBorders>
            <w:vAlign w:val="center"/>
            <w:hideMark/>
          </w:tcPr>
          <w:p w14:paraId="533E9BD9"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EBIT</w:t>
            </w:r>
          </w:p>
        </w:tc>
        <w:tc>
          <w:tcPr>
            <w:tcW w:w="512" w:type="pct"/>
            <w:tcBorders>
              <w:top w:val="single" w:sz="8" w:space="0" w:color="auto"/>
              <w:left w:val="nil"/>
              <w:bottom w:val="single" w:sz="8" w:space="0" w:color="auto"/>
              <w:right w:val="single" w:sz="8" w:space="0" w:color="auto"/>
            </w:tcBorders>
            <w:vAlign w:val="center"/>
            <w:hideMark/>
          </w:tcPr>
          <w:p w14:paraId="23EDBA90"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Equity</w:t>
            </w:r>
          </w:p>
        </w:tc>
        <w:tc>
          <w:tcPr>
            <w:tcW w:w="512" w:type="pct"/>
            <w:tcBorders>
              <w:top w:val="single" w:sz="8" w:space="0" w:color="auto"/>
              <w:left w:val="nil"/>
              <w:bottom w:val="single" w:sz="8" w:space="0" w:color="auto"/>
              <w:right w:val="single" w:sz="8" w:space="0" w:color="auto"/>
            </w:tcBorders>
            <w:vAlign w:val="center"/>
            <w:hideMark/>
          </w:tcPr>
          <w:p w14:paraId="721ADAE9"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TL</w:t>
            </w:r>
          </w:p>
        </w:tc>
        <w:tc>
          <w:tcPr>
            <w:tcW w:w="512" w:type="pct"/>
            <w:tcBorders>
              <w:top w:val="single" w:sz="8" w:space="0" w:color="auto"/>
              <w:left w:val="nil"/>
              <w:bottom w:val="single" w:sz="8" w:space="0" w:color="auto"/>
              <w:right w:val="single" w:sz="8" w:space="0" w:color="auto"/>
            </w:tcBorders>
            <w:vAlign w:val="center"/>
            <w:hideMark/>
          </w:tcPr>
          <w:p w14:paraId="0B4D0A1E"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Sales</w:t>
            </w:r>
          </w:p>
        </w:tc>
        <w:tc>
          <w:tcPr>
            <w:tcW w:w="512" w:type="pct"/>
            <w:tcBorders>
              <w:top w:val="single" w:sz="8" w:space="0" w:color="auto"/>
              <w:left w:val="nil"/>
              <w:bottom w:val="single" w:sz="8" w:space="0" w:color="auto"/>
              <w:right w:val="single" w:sz="8" w:space="0" w:color="auto"/>
            </w:tcBorders>
            <w:vAlign w:val="center"/>
            <w:hideMark/>
          </w:tcPr>
          <w:p w14:paraId="2589E2EA"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RE</w:t>
            </w:r>
          </w:p>
        </w:tc>
      </w:tr>
      <w:tr w:rsidR="003C74BB" w:rsidRPr="00064CB9" w14:paraId="06EAFF9E" w14:textId="77777777" w:rsidTr="003C74BB">
        <w:trPr>
          <w:trHeight w:val="336"/>
        </w:trPr>
        <w:tc>
          <w:tcPr>
            <w:tcW w:w="374" w:type="pct"/>
            <w:tcBorders>
              <w:top w:val="nil"/>
              <w:left w:val="single" w:sz="8" w:space="0" w:color="auto"/>
              <w:bottom w:val="single" w:sz="8" w:space="0" w:color="auto"/>
              <w:right w:val="single" w:sz="8" w:space="0" w:color="auto"/>
            </w:tcBorders>
            <w:vAlign w:val="center"/>
            <w:hideMark/>
          </w:tcPr>
          <w:p w14:paraId="75D36B09"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2020</w:t>
            </w:r>
          </w:p>
        </w:tc>
        <w:tc>
          <w:tcPr>
            <w:tcW w:w="511" w:type="pct"/>
            <w:tcBorders>
              <w:top w:val="nil"/>
              <w:left w:val="nil"/>
              <w:bottom w:val="single" w:sz="8" w:space="0" w:color="auto"/>
              <w:right w:val="single" w:sz="8" w:space="0" w:color="auto"/>
            </w:tcBorders>
            <w:vAlign w:val="center"/>
            <w:hideMark/>
          </w:tcPr>
          <w:p w14:paraId="4ABE28D0"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326,843 </w:t>
            </w:r>
          </w:p>
        </w:tc>
        <w:tc>
          <w:tcPr>
            <w:tcW w:w="511" w:type="pct"/>
            <w:tcBorders>
              <w:top w:val="nil"/>
              <w:left w:val="nil"/>
              <w:bottom w:val="single" w:sz="8" w:space="0" w:color="auto"/>
              <w:right w:val="single" w:sz="8" w:space="0" w:color="auto"/>
            </w:tcBorders>
            <w:vAlign w:val="center"/>
            <w:hideMark/>
          </w:tcPr>
          <w:p w14:paraId="7C3086CE"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179,510 </w:t>
            </w:r>
          </w:p>
        </w:tc>
        <w:tc>
          <w:tcPr>
            <w:tcW w:w="512" w:type="pct"/>
            <w:tcBorders>
              <w:top w:val="nil"/>
              <w:left w:val="nil"/>
              <w:bottom w:val="single" w:sz="8" w:space="0" w:color="auto"/>
              <w:right w:val="single" w:sz="8" w:space="0" w:color="auto"/>
            </w:tcBorders>
            <w:vAlign w:val="center"/>
            <w:hideMark/>
          </w:tcPr>
          <w:p w14:paraId="6CB08578"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147,333 </w:t>
            </w:r>
          </w:p>
        </w:tc>
        <w:tc>
          <w:tcPr>
            <w:tcW w:w="512" w:type="pct"/>
            <w:tcBorders>
              <w:top w:val="nil"/>
              <w:left w:val="nil"/>
              <w:bottom w:val="single" w:sz="8" w:space="0" w:color="auto"/>
              <w:right w:val="single" w:sz="8" w:space="0" w:color="auto"/>
            </w:tcBorders>
            <w:vAlign w:val="center"/>
            <w:hideMark/>
          </w:tcPr>
          <w:p w14:paraId="4AFD3784"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510,290 </w:t>
            </w:r>
          </w:p>
        </w:tc>
        <w:tc>
          <w:tcPr>
            <w:tcW w:w="532" w:type="pct"/>
            <w:tcBorders>
              <w:top w:val="nil"/>
              <w:left w:val="nil"/>
              <w:bottom w:val="single" w:sz="8" w:space="0" w:color="auto"/>
              <w:right w:val="single" w:sz="8" w:space="0" w:color="auto"/>
            </w:tcBorders>
            <w:vAlign w:val="center"/>
            <w:hideMark/>
          </w:tcPr>
          <w:p w14:paraId="6F47A495"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37,267 </w:t>
            </w:r>
          </w:p>
        </w:tc>
        <w:tc>
          <w:tcPr>
            <w:tcW w:w="512" w:type="pct"/>
            <w:tcBorders>
              <w:top w:val="nil"/>
              <w:left w:val="nil"/>
              <w:bottom w:val="single" w:sz="8" w:space="0" w:color="auto"/>
              <w:right w:val="single" w:sz="8" w:space="0" w:color="auto"/>
            </w:tcBorders>
            <w:vAlign w:val="center"/>
            <w:hideMark/>
          </w:tcPr>
          <w:p w14:paraId="2A81DBF8"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313,301 </w:t>
            </w:r>
          </w:p>
        </w:tc>
        <w:tc>
          <w:tcPr>
            <w:tcW w:w="512" w:type="pct"/>
            <w:tcBorders>
              <w:top w:val="nil"/>
              <w:left w:val="nil"/>
              <w:bottom w:val="single" w:sz="8" w:space="0" w:color="auto"/>
              <w:right w:val="single" w:sz="8" w:space="0" w:color="auto"/>
            </w:tcBorders>
            <w:vAlign w:val="center"/>
            <w:hideMark/>
          </w:tcPr>
          <w:p w14:paraId="52E08C0A"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196,989 </w:t>
            </w:r>
          </w:p>
        </w:tc>
        <w:tc>
          <w:tcPr>
            <w:tcW w:w="512" w:type="pct"/>
            <w:tcBorders>
              <w:top w:val="nil"/>
              <w:left w:val="nil"/>
              <w:bottom w:val="single" w:sz="8" w:space="0" w:color="auto"/>
              <w:right w:val="single" w:sz="8" w:space="0" w:color="auto"/>
            </w:tcBorders>
            <w:vAlign w:val="center"/>
            <w:hideMark/>
          </w:tcPr>
          <w:p w14:paraId="0B693866"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614,680 </w:t>
            </w:r>
          </w:p>
        </w:tc>
        <w:tc>
          <w:tcPr>
            <w:tcW w:w="512" w:type="pct"/>
            <w:tcBorders>
              <w:top w:val="nil"/>
              <w:left w:val="nil"/>
              <w:bottom w:val="single" w:sz="8" w:space="0" w:color="auto"/>
              <w:right w:val="single" w:sz="8" w:space="0" w:color="auto"/>
            </w:tcBorders>
            <w:vAlign w:val="center"/>
            <w:hideMark/>
          </w:tcPr>
          <w:p w14:paraId="5EA54F95"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324,990 </w:t>
            </w:r>
          </w:p>
        </w:tc>
      </w:tr>
      <w:tr w:rsidR="003C74BB" w:rsidRPr="00064CB9" w14:paraId="4201ADCC" w14:textId="77777777" w:rsidTr="003C74BB">
        <w:trPr>
          <w:trHeight w:val="336"/>
        </w:trPr>
        <w:tc>
          <w:tcPr>
            <w:tcW w:w="374" w:type="pct"/>
            <w:tcBorders>
              <w:top w:val="nil"/>
              <w:left w:val="single" w:sz="8" w:space="0" w:color="auto"/>
              <w:bottom w:val="single" w:sz="8" w:space="0" w:color="auto"/>
              <w:right w:val="single" w:sz="8" w:space="0" w:color="auto"/>
            </w:tcBorders>
            <w:vAlign w:val="center"/>
            <w:hideMark/>
          </w:tcPr>
          <w:p w14:paraId="005D06E0"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2021</w:t>
            </w:r>
          </w:p>
        </w:tc>
        <w:tc>
          <w:tcPr>
            <w:tcW w:w="511" w:type="pct"/>
            <w:tcBorders>
              <w:top w:val="nil"/>
              <w:left w:val="nil"/>
              <w:bottom w:val="single" w:sz="8" w:space="0" w:color="auto"/>
              <w:right w:val="single" w:sz="8" w:space="0" w:color="auto"/>
            </w:tcBorders>
            <w:vAlign w:val="center"/>
            <w:hideMark/>
          </w:tcPr>
          <w:p w14:paraId="0BDD74E1"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337,146 </w:t>
            </w:r>
          </w:p>
        </w:tc>
        <w:tc>
          <w:tcPr>
            <w:tcW w:w="511" w:type="pct"/>
            <w:tcBorders>
              <w:top w:val="nil"/>
              <w:left w:val="nil"/>
              <w:bottom w:val="single" w:sz="8" w:space="0" w:color="auto"/>
              <w:right w:val="single" w:sz="8" w:space="0" w:color="auto"/>
            </w:tcBorders>
            <w:vAlign w:val="center"/>
            <w:hideMark/>
          </w:tcPr>
          <w:p w14:paraId="49D98360"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216,787 </w:t>
            </w:r>
          </w:p>
        </w:tc>
        <w:tc>
          <w:tcPr>
            <w:tcW w:w="512" w:type="pct"/>
            <w:tcBorders>
              <w:top w:val="nil"/>
              <w:left w:val="nil"/>
              <w:bottom w:val="single" w:sz="8" w:space="0" w:color="auto"/>
              <w:right w:val="single" w:sz="8" w:space="0" w:color="auto"/>
            </w:tcBorders>
            <w:vAlign w:val="center"/>
            <w:hideMark/>
          </w:tcPr>
          <w:p w14:paraId="3891E577"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120,359 </w:t>
            </w:r>
          </w:p>
        </w:tc>
        <w:tc>
          <w:tcPr>
            <w:tcW w:w="512" w:type="pct"/>
            <w:tcBorders>
              <w:top w:val="nil"/>
              <w:left w:val="nil"/>
              <w:bottom w:val="single" w:sz="8" w:space="0" w:color="auto"/>
              <w:right w:val="single" w:sz="8" w:space="0" w:color="auto"/>
            </w:tcBorders>
            <w:vAlign w:val="center"/>
            <w:hideMark/>
          </w:tcPr>
          <w:p w14:paraId="501CCA7D"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510,348 </w:t>
            </w:r>
          </w:p>
        </w:tc>
        <w:tc>
          <w:tcPr>
            <w:tcW w:w="532" w:type="pct"/>
            <w:tcBorders>
              <w:top w:val="nil"/>
              <w:left w:val="nil"/>
              <w:bottom w:val="single" w:sz="8" w:space="0" w:color="auto"/>
              <w:right w:val="single" w:sz="8" w:space="0" w:color="auto"/>
            </w:tcBorders>
            <w:vAlign w:val="center"/>
            <w:hideMark/>
          </w:tcPr>
          <w:p w14:paraId="7B910974"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23,253 </w:t>
            </w:r>
          </w:p>
        </w:tc>
        <w:tc>
          <w:tcPr>
            <w:tcW w:w="512" w:type="pct"/>
            <w:tcBorders>
              <w:top w:val="nil"/>
              <w:left w:val="nil"/>
              <w:bottom w:val="single" w:sz="8" w:space="0" w:color="auto"/>
              <w:right w:val="single" w:sz="8" w:space="0" w:color="auto"/>
            </w:tcBorders>
            <w:vAlign w:val="center"/>
            <w:hideMark/>
          </w:tcPr>
          <w:p w14:paraId="0624A480"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275,949 </w:t>
            </w:r>
          </w:p>
        </w:tc>
        <w:tc>
          <w:tcPr>
            <w:tcW w:w="512" w:type="pct"/>
            <w:tcBorders>
              <w:top w:val="nil"/>
              <w:left w:val="nil"/>
              <w:bottom w:val="single" w:sz="8" w:space="0" w:color="auto"/>
              <w:right w:val="single" w:sz="8" w:space="0" w:color="auto"/>
            </w:tcBorders>
            <w:vAlign w:val="center"/>
            <w:hideMark/>
          </w:tcPr>
          <w:p w14:paraId="46C771A1"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234,399 </w:t>
            </w:r>
          </w:p>
        </w:tc>
        <w:tc>
          <w:tcPr>
            <w:tcW w:w="512" w:type="pct"/>
            <w:tcBorders>
              <w:top w:val="nil"/>
              <w:left w:val="nil"/>
              <w:bottom w:val="single" w:sz="8" w:space="0" w:color="auto"/>
              <w:right w:val="single" w:sz="8" w:space="0" w:color="auto"/>
            </w:tcBorders>
            <w:vAlign w:val="center"/>
            <w:hideMark/>
          </w:tcPr>
          <w:p w14:paraId="6C5F10FE"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601,602 </w:t>
            </w:r>
          </w:p>
        </w:tc>
        <w:tc>
          <w:tcPr>
            <w:tcW w:w="512" w:type="pct"/>
            <w:tcBorders>
              <w:top w:val="nil"/>
              <w:left w:val="nil"/>
              <w:bottom w:val="single" w:sz="8" w:space="0" w:color="auto"/>
              <w:right w:val="single" w:sz="8" w:space="0" w:color="auto"/>
            </w:tcBorders>
            <w:vAlign w:val="center"/>
            <w:hideMark/>
          </w:tcPr>
          <w:p w14:paraId="161BC282"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330,291 </w:t>
            </w:r>
          </w:p>
        </w:tc>
      </w:tr>
      <w:tr w:rsidR="003C74BB" w:rsidRPr="00064CB9" w14:paraId="3EB4EAF1" w14:textId="77777777" w:rsidTr="003C74BB">
        <w:trPr>
          <w:trHeight w:val="336"/>
        </w:trPr>
        <w:tc>
          <w:tcPr>
            <w:tcW w:w="374" w:type="pct"/>
            <w:tcBorders>
              <w:top w:val="nil"/>
              <w:left w:val="single" w:sz="8" w:space="0" w:color="auto"/>
              <w:bottom w:val="single" w:sz="8" w:space="0" w:color="auto"/>
              <w:right w:val="single" w:sz="8" w:space="0" w:color="auto"/>
            </w:tcBorders>
            <w:vAlign w:val="center"/>
            <w:hideMark/>
          </w:tcPr>
          <w:p w14:paraId="55754A44"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2022</w:t>
            </w:r>
          </w:p>
        </w:tc>
        <w:tc>
          <w:tcPr>
            <w:tcW w:w="511" w:type="pct"/>
            <w:tcBorders>
              <w:top w:val="nil"/>
              <w:left w:val="nil"/>
              <w:bottom w:val="single" w:sz="8" w:space="0" w:color="auto"/>
              <w:right w:val="single" w:sz="8" w:space="0" w:color="auto"/>
            </w:tcBorders>
            <w:vAlign w:val="center"/>
            <w:hideMark/>
          </w:tcPr>
          <w:p w14:paraId="0FAF06C5"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338,040 </w:t>
            </w:r>
          </w:p>
        </w:tc>
        <w:tc>
          <w:tcPr>
            <w:tcW w:w="511" w:type="pct"/>
            <w:tcBorders>
              <w:top w:val="nil"/>
              <w:left w:val="nil"/>
              <w:bottom w:val="single" w:sz="8" w:space="0" w:color="auto"/>
              <w:right w:val="single" w:sz="8" w:space="0" w:color="auto"/>
            </w:tcBorders>
            <w:vAlign w:val="center"/>
            <w:hideMark/>
          </w:tcPr>
          <w:p w14:paraId="48A374E7"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216,473 </w:t>
            </w:r>
          </w:p>
        </w:tc>
        <w:tc>
          <w:tcPr>
            <w:tcW w:w="512" w:type="pct"/>
            <w:tcBorders>
              <w:top w:val="nil"/>
              <w:left w:val="nil"/>
              <w:bottom w:val="single" w:sz="8" w:space="0" w:color="auto"/>
              <w:right w:val="single" w:sz="8" w:space="0" w:color="auto"/>
            </w:tcBorders>
            <w:vAlign w:val="center"/>
            <w:hideMark/>
          </w:tcPr>
          <w:p w14:paraId="41C8AABE"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121,567 </w:t>
            </w:r>
          </w:p>
        </w:tc>
        <w:tc>
          <w:tcPr>
            <w:tcW w:w="512" w:type="pct"/>
            <w:tcBorders>
              <w:top w:val="nil"/>
              <w:left w:val="nil"/>
              <w:bottom w:val="single" w:sz="8" w:space="0" w:color="auto"/>
              <w:right w:val="single" w:sz="8" w:space="0" w:color="auto"/>
            </w:tcBorders>
            <w:vAlign w:val="center"/>
            <w:hideMark/>
          </w:tcPr>
          <w:p w14:paraId="4A4B1948"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504,163 </w:t>
            </w:r>
          </w:p>
        </w:tc>
        <w:tc>
          <w:tcPr>
            <w:tcW w:w="532" w:type="pct"/>
            <w:tcBorders>
              <w:top w:val="nil"/>
              <w:left w:val="nil"/>
              <w:bottom w:val="single" w:sz="8" w:space="0" w:color="auto"/>
              <w:right w:val="single" w:sz="8" w:space="0" w:color="auto"/>
            </w:tcBorders>
            <w:vAlign w:val="center"/>
            <w:hideMark/>
          </w:tcPr>
          <w:p w14:paraId="3E15CC54"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14,548 </w:t>
            </w:r>
          </w:p>
        </w:tc>
        <w:tc>
          <w:tcPr>
            <w:tcW w:w="512" w:type="pct"/>
            <w:tcBorders>
              <w:top w:val="nil"/>
              <w:left w:val="nil"/>
              <w:bottom w:val="single" w:sz="8" w:space="0" w:color="auto"/>
              <w:right w:val="single" w:sz="8" w:space="0" w:color="auto"/>
            </w:tcBorders>
            <w:vAlign w:val="center"/>
            <w:hideMark/>
          </w:tcPr>
          <w:p w14:paraId="654C7EF1"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268,406 </w:t>
            </w:r>
          </w:p>
        </w:tc>
        <w:tc>
          <w:tcPr>
            <w:tcW w:w="512" w:type="pct"/>
            <w:tcBorders>
              <w:top w:val="nil"/>
              <w:left w:val="nil"/>
              <w:bottom w:val="single" w:sz="8" w:space="0" w:color="auto"/>
              <w:right w:val="single" w:sz="8" w:space="0" w:color="auto"/>
            </w:tcBorders>
            <w:vAlign w:val="center"/>
            <w:hideMark/>
          </w:tcPr>
          <w:p w14:paraId="42AEC7E1"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235,757 </w:t>
            </w:r>
          </w:p>
        </w:tc>
        <w:tc>
          <w:tcPr>
            <w:tcW w:w="512" w:type="pct"/>
            <w:tcBorders>
              <w:top w:val="nil"/>
              <w:left w:val="nil"/>
              <w:bottom w:val="single" w:sz="8" w:space="0" w:color="auto"/>
              <w:right w:val="single" w:sz="8" w:space="0" w:color="auto"/>
            </w:tcBorders>
            <w:vAlign w:val="center"/>
            <w:hideMark/>
          </w:tcPr>
          <w:p w14:paraId="4636E4E5"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542,751 </w:t>
            </w:r>
          </w:p>
        </w:tc>
        <w:tc>
          <w:tcPr>
            <w:tcW w:w="512" w:type="pct"/>
            <w:tcBorders>
              <w:top w:val="nil"/>
              <w:left w:val="nil"/>
              <w:bottom w:val="single" w:sz="8" w:space="0" w:color="auto"/>
              <w:right w:val="single" w:sz="8" w:space="0" w:color="auto"/>
            </w:tcBorders>
            <w:vAlign w:val="center"/>
            <w:hideMark/>
          </w:tcPr>
          <w:p w14:paraId="42F7FD15"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330,698 </w:t>
            </w:r>
          </w:p>
        </w:tc>
      </w:tr>
      <w:tr w:rsidR="003C74BB" w:rsidRPr="00064CB9" w14:paraId="4AEDF3BF" w14:textId="77777777" w:rsidTr="003C74BB">
        <w:trPr>
          <w:trHeight w:val="336"/>
        </w:trPr>
        <w:tc>
          <w:tcPr>
            <w:tcW w:w="374" w:type="pct"/>
            <w:tcBorders>
              <w:top w:val="nil"/>
              <w:left w:val="single" w:sz="8" w:space="0" w:color="auto"/>
              <w:bottom w:val="single" w:sz="8" w:space="0" w:color="auto"/>
              <w:right w:val="single" w:sz="8" w:space="0" w:color="auto"/>
            </w:tcBorders>
            <w:vAlign w:val="center"/>
            <w:hideMark/>
          </w:tcPr>
          <w:p w14:paraId="3DA5F100"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2023</w:t>
            </w:r>
          </w:p>
        </w:tc>
        <w:tc>
          <w:tcPr>
            <w:tcW w:w="511" w:type="pct"/>
            <w:tcBorders>
              <w:top w:val="nil"/>
              <w:left w:val="nil"/>
              <w:bottom w:val="single" w:sz="8" w:space="0" w:color="auto"/>
              <w:right w:val="single" w:sz="8" w:space="0" w:color="auto"/>
            </w:tcBorders>
            <w:vAlign w:val="center"/>
            <w:hideMark/>
          </w:tcPr>
          <w:p w14:paraId="221B517D"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258,851 </w:t>
            </w:r>
          </w:p>
        </w:tc>
        <w:tc>
          <w:tcPr>
            <w:tcW w:w="511" w:type="pct"/>
            <w:tcBorders>
              <w:top w:val="nil"/>
              <w:left w:val="nil"/>
              <w:bottom w:val="single" w:sz="8" w:space="0" w:color="auto"/>
              <w:right w:val="single" w:sz="8" w:space="0" w:color="auto"/>
            </w:tcBorders>
            <w:vAlign w:val="center"/>
            <w:hideMark/>
          </w:tcPr>
          <w:p w14:paraId="0D11DCA3"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161,148 </w:t>
            </w:r>
          </w:p>
        </w:tc>
        <w:tc>
          <w:tcPr>
            <w:tcW w:w="512" w:type="pct"/>
            <w:tcBorders>
              <w:top w:val="nil"/>
              <w:left w:val="nil"/>
              <w:bottom w:val="single" w:sz="8" w:space="0" w:color="auto"/>
              <w:right w:val="single" w:sz="8" w:space="0" w:color="auto"/>
            </w:tcBorders>
            <w:vAlign w:val="center"/>
            <w:hideMark/>
          </w:tcPr>
          <w:p w14:paraId="014A23D9"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97,703 </w:t>
            </w:r>
          </w:p>
        </w:tc>
        <w:tc>
          <w:tcPr>
            <w:tcW w:w="512" w:type="pct"/>
            <w:tcBorders>
              <w:top w:val="nil"/>
              <w:left w:val="nil"/>
              <w:bottom w:val="single" w:sz="8" w:space="0" w:color="auto"/>
              <w:right w:val="single" w:sz="8" w:space="0" w:color="auto"/>
            </w:tcBorders>
            <w:vAlign w:val="center"/>
            <w:hideMark/>
          </w:tcPr>
          <w:p w14:paraId="144DEC04"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355,872 </w:t>
            </w:r>
          </w:p>
        </w:tc>
        <w:tc>
          <w:tcPr>
            <w:tcW w:w="532" w:type="pct"/>
            <w:tcBorders>
              <w:top w:val="nil"/>
              <w:left w:val="nil"/>
              <w:bottom w:val="single" w:sz="8" w:space="0" w:color="auto"/>
              <w:right w:val="single" w:sz="8" w:space="0" w:color="auto"/>
            </w:tcBorders>
            <w:vAlign w:val="center"/>
            <w:hideMark/>
          </w:tcPr>
          <w:p w14:paraId="0C640111"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(85,301)</w:t>
            </w:r>
          </w:p>
        </w:tc>
        <w:tc>
          <w:tcPr>
            <w:tcW w:w="512" w:type="pct"/>
            <w:tcBorders>
              <w:top w:val="nil"/>
              <w:left w:val="nil"/>
              <w:bottom w:val="single" w:sz="8" w:space="0" w:color="auto"/>
              <w:right w:val="single" w:sz="8" w:space="0" w:color="auto"/>
            </w:tcBorders>
            <w:vAlign w:val="center"/>
            <w:hideMark/>
          </w:tcPr>
          <w:p w14:paraId="73899D36"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178,920 </w:t>
            </w:r>
          </w:p>
        </w:tc>
        <w:tc>
          <w:tcPr>
            <w:tcW w:w="512" w:type="pct"/>
            <w:tcBorders>
              <w:top w:val="nil"/>
              <w:left w:val="nil"/>
              <w:bottom w:val="single" w:sz="8" w:space="0" w:color="auto"/>
              <w:right w:val="single" w:sz="8" w:space="0" w:color="auto"/>
            </w:tcBorders>
            <w:vAlign w:val="center"/>
            <w:hideMark/>
          </w:tcPr>
          <w:p w14:paraId="01611360"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176,952 </w:t>
            </w:r>
          </w:p>
        </w:tc>
        <w:tc>
          <w:tcPr>
            <w:tcW w:w="512" w:type="pct"/>
            <w:tcBorders>
              <w:top w:val="nil"/>
              <w:left w:val="nil"/>
              <w:bottom w:val="single" w:sz="8" w:space="0" w:color="auto"/>
              <w:right w:val="single" w:sz="8" w:space="0" w:color="auto"/>
            </w:tcBorders>
            <w:vAlign w:val="center"/>
            <w:hideMark/>
          </w:tcPr>
          <w:p w14:paraId="0430F137"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420,457 </w:t>
            </w:r>
          </w:p>
        </w:tc>
        <w:tc>
          <w:tcPr>
            <w:tcW w:w="512" w:type="pct"/>
            <w:tcBorders>
              <w:top w:val="nil"/>
              <w:left w:val="nil"/>
              <w:bottom w:val="single" w:sz="8" w:space="0" w:color="auto"/>
              <w:right w:val="single" w:sz="8" w:space="0" w:color="auto"/>
            </w:tcBorders>
            <w:vAlign w:val="center"/>
            <w:hideMark/>
          </w:tcPr>
          <w:p w14:paraId="64A28C51"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232,460 </w:t>
            </w:r>
          </w:p>
        </w:tc>
      </w:tr>
      <w:tr w:rsidR="003C74BB" w:rsidRPr="00064CB9" w14:paraId="6DD593C7" w14:textId="77777777" w:rsidTr="003C74BB">
        <w:trPr>
          <w:trHeight w:val="336"/>
        </w:trPr>
        <w:tc>
          <w:tcPr>
            <w:tcW w:w="374" w:type="pct"/>
            <w:tcBorders>
              <w:top w:val="nil"/>
              <w:left w:val="single" w:sz="8" w:space="0" w:color="auto"/>
              <w:bottom w:val="single" w:sz="8" w:space="0" w:color="auto"/>
              <w:right w:val="single" w:sz="8" w:space="0" w:color="auto"/>
            </w:tcBorders>
            <w:vAlign w:val="center"/>
            <w:hideMark/>
          </w:tcPr>
          <w:p w14:paraId="25ACCBB1"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2024</w:t>
            </w:r>
          </w:p>
        </w:tc>
        <w:tc>
          <w:tcPr>
            <w:tcW w:w="511" w:type="pct"/>
            <w:tcBorders>
              <w:top w:val="nil"/>
              <w:left w:val="nil"/>
              <w:bottom w:val="single" w:sz="8" w:space="0" w:color="auto"/>
              <w:right w:val="single" w:sz="8" w:space="0" w:color="auto"/>
            </w:tcBorders>
            <w:vAlign w:val="center"/>
            <w:hideMark/>
          </w:tcPr>
          <w:p w14:paraId="710F0EF4"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242,494 </w:t>
            </w:r>
          </w:p>
        </w:tc>
        <w:tc>
          <w:tcPr>
            <w:tcW w:w="511" w:type="pct"/>
            <w:tcBorders>
              <w:top w:val="nil"/>
              <w:left w:val="nil"/>
              <w:bottom w:val="single" w:sz="8" w:space="0" w:color="auto"/>
              <w:right w:val="single" w:sz="8" w:space="0" w:color="auto"/>
            </w:tcBorders>
            <w:vAlign w:val="center"/>
            <w:hideMark/>
          </w:tcPr>
          <w:p w14:paraId="69BD95AF"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158,291 </w:t>
            </w:r>
          </w:p>
        </w:tc>
        <w:tc>
          <w:tcPr>
            <w:tcW w:w="512" w:type="pct"/>
            <w:tcBorders>
              <w:top w:val="nil"/>
              <w:left w:val="nil"/>
              <w:bottom w:val="single" w:sz="8" w:space="0" w:color="auto"/>
              <w:right w:val="single" w:sz="8" w:space="0" w:color="auto"/>
            </w:tcBorders>
            <w:vAlign w:val="center"/>
            <w:hideMark/>
          </w:tcPr>
          <w:p w14:paraId="29243BE8"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84,203 </w:t>
            </w:r>
          </w:p>
        </w:tc>
        <w:tc>
          <w:tcPr>
            <w:tcW w:w="512" w:type="pct"/>
            <w:tcBorders>
              <w:top w:val="nil"/>
              <w:left w:val="nil"/>
              <w:bottom w:val="single" w:sz="8" w:space="0" w:color="auto"/>
              <w:right w:val="single" w:sz="8" w:space="0" w:color="auto"/>
            </w:tcBorders>
            <w:vAlign w:val="center"/>
            <w:hideMark/>
          </w:tcPr>
          <w:p w14:paraId="6E1B0B3F"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323,354 </w:t>
            </w:r>
          </w:p>
        </w:tc>
        <w:tc>
          <w:tcPr>
            <w:tcW w:w="532" w:type="pct"/>
            <w:tcBorders>
              <w:top w:val="nil"/>
              <w:left w:val="nil"/>
              <w:bottom w:val="single" w:sz="8" w:space="0" w:color="auto"/>
              <w:right w:val="single" w:sz="8" w:space="0" w:color="auto"/>
            </w:tcBorders>
            <w:vAlign w:val="center"/>
            <w:hideMark/>
          </w:tcPr>
          <w:p w14:paraId="1E8B532B"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(15,297)</w:t>
            </w:r>
          </w:p>
        </w:tc>
        <w:tc>
          <w:tcPr>
            <w:tcW w:w="512" w:type="pct"/>
            <w:tcBorders>
              <w:top w:val="nil"/>
              <w:left w:val="nil"/>
              <w:bottom w:val="single" w:sz="8" w:space="0" w:color="auto"/>
              <w:right w:val="single" w:sz="8" w:space="0" w:color="auto"/>
            </w:tcBorders>
            <w:vAlign w:val="center"/>
            <w:hideMark/>
          </w:tcPr>
          <w:p w14:paraId="62026605"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153,105 </w:t>
            </w:r>
          </w:p>
        </w:tc>
        <w:tc>
          <w:tcPr>
            <w:tcW w:w="512" w:type="pct"/>
            <w:tcBorders>
              <w:top w:val="nil"/>
              <w:left w:val="nil"/>
              <w:bottom w:val="single" w:sz="8" w:space="0" w:color="auto"/>
              <w:right w:val="single" w:sz="8" w:space="0" w:color="auto"/>
            </w:tcBorders>
            <w:vAlign w:val="center"/>
            <w:hideMark/>
          </w:tcPr>
          <w:p w14:paraId="1110C003"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170,249 </w:t>
            </w:r>
          </w:p>
        </w:tc>
        <w:tc>
          <w:tcPr>
            <w:tcW w:w="512" w:type="pct"/>
            <w:tcBorders>
              <w:top w:val="nil"/>
              <w:left w:val="nil"/>
              <w:bottom w:val="single" w:sz="8" w:space="0" w:color="auto"/>
              <w:right w:val="single" w:sz="8" w:space="0" w:color="auto"/>
            </w:tcBorders>
            <w:vAlign w:val="center"/>
            <w:hideMark/>
          </w:tcPr>
          <w:p w14:paraId="4AA2DFAC"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394,879 </w:t>
            </w:r>
          </w:p>
        </w:tc>
        <w:tc>
          <w:tcPr>
            <w:tcW w:w="512" w:type="pct"/>
            <w:tcBorders>
              <w:top w:val="nil"/>
              <w:left w:val="nil"/>
              <w:bottom w:val="single" w:sz="8" w:space="0" w:color="auto"/>
              <w:right w:val="single" w:sz="8" w:space="0" w:color="auto"/>
            </w:tcBorders>
            <w:vAlign w:val="center"/>
            <w:hideMark/>
          </w:tcPr>
          <w:p w14:paraId="656BA63E" w14:textId="77777777" w:rsidR="003C74BB" w:rsidRPr="00064CB9" w:rsidRDefault="003C74BB" w:rsidP="003C74BB">
            <w:pPr>
              <w:spacing w:before="0" w:after="0" w:line="240" w:lineRule="auto"/>
              <w:rPr>
                <w:rFonts w:eastAsia="Times New Roman" w:cs="Times New Roman"/>
                <w:color w:val="000000"/>
                <w:sz w:val="22"/>
              </w:rPr>
            </w:pPr>
            <w:r w:rsidRPr="00064CB9">
              <w:rPr>
                <w:rFonts w:eastAsia="Times New Roman" w:cs="Times New Roman"/>
                <w:color w:val="000000"/>
                <w:sz w:val="22"/>
              </w:rPr>
              <w:t xml:space="preserve"> 208,431 </w:t>
            </w:r>
          </w:p>
        </w:tc>
      </w:tr>
    </w:tbl>
    <w:p w14:paraId="0351234C" w14:textId="77777777" w:rsidR="00382B4A" w:rsidRPr="00064CB9" w:rsidRDefault="00382B4A" w:rsidP="00382B4A">
      <w:pPr>
        <w:rPr>
          <w:b/>
          <w:bCs/>
        </w:rPr>
      </w:pPr>
      <w:r w:rsidRPr="00064CB9">
        <w:rPr>
          <w:b/>
          <w:bCs/>
        </w:rPr>
        <w:t>Appendix C: Investment Appraisal Summary</w:t>
      </w:r>
    </w:p>
    <w:p w14:paraId="1F7CEE72" w14:textId="77777777" w:rsidR="00382B4A" w:rsidRPr="00064CB9" w:rsidRDefault="00382B4A" w:rsidP="00382B4A">
      <w:r w:rsidRPr="00064CB9">
        <w:rPr>
          <w:b/>
          <w:bCs/>
        </w:rPr>
        <w:t>Capital Rationing (≤£60 m)</w:t>
      </w:r>
    </w:p>
    <w:p w14:paraId="1CE1AB07" w14:textId="6B79F496" w:rsidR="00382B4A" w:rsidRPr="00064CB9" w:rsidRDefault="00382B4A" w:rsidP="00382B4A">
      <w:r w:rsidRPr="00064CB9">
        <w:t>Only single-project selections are feasible. Project C is recommended: highest NPV (£4.23 m), IRR above hurdle (12.72%), strongest PI (1.085), and acceptable payback (3.6 yrs), leaving £10 m for contingencies.</w:t>
      </w:r>
    </w:p>
    <w:tbl>
      <w:tblPr>
        <w:tblW w:w="5000" w:type="pct"/>
        <w:tblLook w:val="04A0" w:firstRow="1" w:lastRow="0" w:firstColumn="1" w:lastColumn="0" w:noHBand="0" w:noVBand="1"/>
      </w:tblPr>
      <w:tblGrid>
        <w:gridCol w:w="963"/>
        <w:gridCol w:w="900"/>
        <w:gridCol w:w="21"/>
        <w:gridCol w:w="941"/>
        <w:gridCol w:w="118"/>
        <w:gridCol w:w="838"/>
        <w:gridCol w:w="118"/>
        <w:gridCol w:w="960"/>
        <w:gridCol w:w="72"/>
        <w:gridCol w:w="837"/>
        <w:gridCol w:w="56"/>
        <w:gridCol w:w="854"/>
        <w:gridCol w:w="41"/>
        <w:gridCol w:w="2287"/>
      </w:tblGrid>
      <w:tr w:rsidR="009576E4" w:rsidRPr="00064CB9" w14:paraId="143E3D31" w14:textId="77777777" w:rsidTr="009576E4">
        <w:trPr>
          <w:trHeight w:val="960"/>
        </w:trPr>
        <w:tc>
          <w:tcPr>
            <w:tcW w:w="518" w:type="pct"/>
            <w:tcBorders>
              <w:top w:val="single" w:sz="8" w:space="0" w:color="auto"/>
              <w:left w:val="single" w:sz="8" w:space="0" w:color="auto"/>
              <w:bottom w:val="single" w:sz="8" w:space="0" w:color="auto"/>
              <w:right w:val="single" w:sz="8" w:space="0" w:color="auto"/>
            </w:tcBorders>
            <w:vAlign w:val="center"/>
            <w:hideMark/>
          </w:tcPr>
          <w:p w14:paraId="2C922207" w14:textId="77777777" w:rsidR="008570E1" w:rsidRPr="00064CB9" w:rsidRDefault="008570E1" w:rsidP="008570E1">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Project</w:t>
            </w:r>
          </w:p>
        </w:tc>
        <w:tc>
          <w:tcPr>
            <w:tcW w:w="506" w:type="pct"/>
            <w:tcBorders>
              <w:top w:val="single" w:sz="8" w:space="0" w:color="auto"/>
              <w:left w:val="nil"/>
              <w:bottom w:val="single" w:sz="8" w:space="0" w:color="auto"/>
              <w:right w:val="single" w:sz="8" w:space="0" w:color="auto"/>
            </w:tcBorders>
            <w:vAlign w:val="center"/>
            <w:hideMark/>
          </w:tcPr>
          <w:p w14:paraId="7D30293A" w14:textId="77777777" w:rsidR="008570E1" w:rsidRPr="00064CB9" w:rsidRDefault="008570E1" w:rsidP="008570E1">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Inv. (£m)</w:t>
            </w:r>
          </w:p>
        </w:tc>
        <w:tc>
          <w:tcPr>
            <w:tcW w:w="581" w:type="pct"/>
            <w:gridSpan w:val="3"/>
            <w:tcBorders>
              <w:top w:val="single" w:sz="8" w:space="0" w:color="auto"/>
              <w:left w:val="nil"/>
              <w:bottom w:val="single" w:sz="8" w:space="0" w:color="auto"/>
              <w:right w:val="single" w:sz="8" w:space="0" w:color="auto"/>
            </w:tcBorders>
            <w:vAlign w:val="center"/>
            <w:hideMark/>
          </w:tcPr>
          <w:p w14:paraId="3BAA893C" w14:textId="77777777" w:rsidR="008570E1" w:rsidRPr="00064CB9" w:rsidRDefault="008570E1" w:rsidP="008570E1">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NPV (@10%) (£m)</w:t>
            </w:r>
          </w:p>
        </w:tc>
        <w:tc>
          <w:tcPr>
            <w:tcW w:w="517" w:type="pct"/>
            <w:gridSpan w:val="2"/>
            <w:tcBorders>
              <w:top w:val="single" w:sz="8" w:space="0" w:color="auto"/>
              <w:left w:val="nil"/>
              <w:bottom w:val="single" w:sz="8" w:space="0" w:color="auto"/>
              <w:right w:val="single" w:sz="8" w:space="0" w:color="auto"/>
            </w:tcBorders>
            <w:vAlign w:val="center"/>
            <w:hideMark/>
          </w:tcPr>
          <w:p w14:paraId="185FA3AF" w14:textId="77777777" w:rsidR="008570E1" w:rsidRPr="00064CB9" w:rsidRDefault="008570E1" w:rsidP="008570E1">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IRR %</w:t>
            </w:r>
          </w:p>
        </w:tc>
        <w:tc>
          <w:tcPr>
            <w:tcW w:w="585" w:type="pct"/>
            <w:gridSpan w:val="2"/>
            <w:tcBorders>
              <w:top w:val="single" w:sz="8" w:space="0" w:color="auto"/>
              <w:left w:val="nil"/>
              <w:bottom w:val="single" w:sz="8" w:space="0" w:color="auto"/>
              <w:right w:val="single" w:sz="8" w:space="0" w:color="auto"/>
            </w:tcBorders>
            <w:vAlign w:val="center"/>
            <w:hideMark/>
          </w:tcPr>
          <w:p w14:paraId="28171EBB" w14:textId="77777777" w:rsidR="008570E1" w:rsidRPr="00064CB9" w:rsidRDefault="008570E1" w:rsidP="008570E1">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PBP (yrs)</w:t>
            </w:r>
          </w:p>
        </w:tc>
        <w:tc>
          <w:tcPr>
            <w:tcW w:w="508" w:type="pct"/>
            <w:gridSpan w:val="2"/>
            <w:tcBorders>
              <w:top w:val="single" w:sz="8" w:space="0" w:color="auto"/>
              <w:left w:val="nil"/>
              <w:bottom w:val="single" w:sz="8" w:space="0" w:color="auto"/>
              <w:right w:val="single" w:sz="8" w:space="0" w:color="auto"/>
            </w:tcBorders>
            <w:vAlign w:val="center"/>
            <w:hideMark/>
          </w:tcPr>
          <w:p w14:paraId="1A02C194" w14:textId="77777777" w:rsidR="008570E1" w:rsidRPr="00064CB9" w:rsidRDefault="008570E1" w:rsidP="008570E1">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ARR %</w:t>
            </w:r>
          </w:p>
        </w:tc>
        <w:tc>
          <w:tcPr>
            <w:tcW w:w="508" w:type="pct"/>
            <w:gridSpan w:val="2"/>
            <w:tcBorders>
              <w:top w:val="single" w:sz="8" w:space="0" w:color="auto"/>
              <w:left w:val="nil"/>
              <w:bottom w:val="single" w:sz="8" w:space="0" w:color="auto"/>
              <w:right w:val="single" w:sz="8" w:space="0" w:color="auto"/>
            </w:tcBorders>
            <w:vAlign w:val="center"/>
            <w:hideMark/>
          </w:tcPr>
          <w:p w14:paraId="76C915D7" w14:textId="77777777" w:rsidR="008570E1" w:rsidRPr="00064CB9" w:rsidRDefault="008570E1" w:rsidP="008570E1">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PI</w:t>
            </w:r>
          </w:p>
        </w:tc>
        <w:tc>
          <w:tcPr>
            <w:tcW w:w="1272" w:type="pct"/>
            <w:tcBorders>
              <w:top w:val="single" w:sz="8" w:space="0" w:color="auto"/>
              <w:left w:val="nil"/>
              <w:bottom w:val="single" w:sz="8" w:space="0" w:color="auto"/>
              <w:right w:val="single" w:sz="8" w:space="0" w:color="auto"/>
            </w:tcBorders>
            <w:vAlign w:val="center"/>
            <w:hideMark/>
          </w:tcPr>
          <w:p w14:paraId="1B57D976" w14:textId="77777777" w:rsidR="008570E1" w:rsidRPr="00064CB9" w:rsidRDefault="008570E1" w:rsidP="008570E1">
            <w:pPr>
              <w:spacing w:before="0" w:after="0" w:line="240" w:lineRule="auto"/>
              <w:rPr>
                <w:rFonts w:eastAsia="Times New Roman" w:cs="Times New Roman"/>
                <w:b/>
                <w:bCs/>
                <w:color w:val="000000"/>
                <w:szCs w:val="24"/>
              </w:rPr>
            </w:pPr>
            <w:r w:rsidRPr="00064CB9">
              <w:rPr>
                <w:rFonts w:eastAsia="Times New Roman" w:cs="Times New Roman"/>
                <w:b/>
                <w:bCs/>
                <w:color w:val="000000"/>
                <w:szCs w:val="24"/>
              </w:rPr>
              <w:t>Decision (NPV/IRR/PI)</w:t>
            </w:r>
          </w:p>
        </w:tc>
      </w:tr>
      <w:tr w:rsidR="009576E4" w:rsidRPr="00064CB9" w14:paraId="691BE7B9" w14:textId="77777777" w:rsidTr="009576E4">
        <w:trPr>
          <w:trHeight w:val="645"/>
        </w:trPr>
        <w:tc>
          <w:tcPr>
            <w:tcW w:w="518" w:type="pct"/>
            <w:tcBorders>
              <w:top w:val="nil"/>
              <w:left w:val="single" w:sz="8" w:space="0" w:color="auto"/>
              <w:bottom w:val="single" w:sz="8" w:space="0" w:color="auto"/>
              <w:right w:val="single" w:sz="8" w:space="0" w:color="auto"/>
            </w:tcBorders>
            <w:vAlign w:val="center"/>
            <w:hideMark/>
          </w:tcPr>
          <w:p w14:paraId="32BE328E"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A</w:t>
            </w:r>
          </w:p>
        </w:tc>
        <w:tc>
          <w:tcPr>
            <w:tcW w:w="506" w:type="pct"/>
            <w:tcBorders>
              <w:top w:val="nil"/>
              <w:left w:val="nil"/>
              <w:bottom w:val="single" w:sz="8" w:space="0" w:color="auto"/>
              <w:right w:val="single" w:sz="8" w:space="0" w:color="auto"/>
            </w:tcBorders>
            <w:vAlign w:val="center"/>
            <w:hideMark/>
          </w:tcPr>
          <w:p w14:paraId="45A63C70"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40</w:t>
            </w:r>
          </w:p>
        </w:tc>
        <w:tc>
          <w:tcPr>
            <w:tcW w:w="581" w:type="pct"/>
            <w:gridSpan w:val="3"/>
            <w:tcBorders>
              <w:top w:val="nil"/>
              <w:left w:val="nil"/>
              <w:bottom w:val="single" w:sz="8" w:space="0" w:color="auto"/>
              <w:right w:val="single" w:sz="8" w:space="0" w:color="auto"/>
            </w:tcBorders>
            <w:vAlign w:val="center"/>
            <w:hideMark/>
          </w:tcPr>
          <w:p w14:paraId="15698023"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1.32 </w:t>
            </w:r>
          </w:p>
        </w:tc>
        <w:tc>
          <w:tcPr>
            <w:tcW w:w="517" w:type="pct"/>
            <w:gridSpan w:val="2"/>
            <w:tcBorders>
              <w:top w:val="nil"/>
              <w:left w:val="nil"/>
              <w:bottom w:val="single" w:sz="8" w:space="0" w:color="auto"/>
              <w:right w:val="single" w:sz="8" w:space="0" w:color="auto"/>
            </w:tcBorders>
            <w:vAlign w:val="center"/>
            <w:hideMark/>
          </w:tcPr>
          <w:p w14:paraId="0B658454"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11.33%</w:t>
            </w:r>
          </w:p>
        </w:tc>
        <w:tc>
          <w:tcPr>
            <w:tcW w:w="585" w:type="pct"/>
            <w:gridSpan w:val="2"/>
            <w:tcBorders>
              <w:top w:val="nil"/>
              <w:left w:val="nil"/>
              <w:bottom w:val="single" w:sz="8" w:space="0" w:color="auto"/>
              <w:right w:val="single" w:sz="8" w:space="0" w:color="auto"/>
            </w:tcBorders>
            <w:vAlign w:val="center"/>
            <w:hideMark/>
          </w:tcPr>
          <w:p w14:paraId="5092342D"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3.4 </w:t>
            </w:r>
          </w:p>
        </w:tc>
        <w:tc>
          <w:tcPr>
            <w:tcW w:w="508" w:type="pct"/>
            <w:gridSpan w:val="2"/>
            <w:tcBorders>
              <w:top w:val="nil"/>
              <w:left w:val="nil"/>
              <w:bottom w:val="single" w:sz="8" w:space="0" w:color="auto"/>
              <w:right w:val="single" w:sz="8" w:space="0" w:color="auto"/>
            </w:tcBorders>
            <w:vAlign w:val="center"/>
            <w:hideMark/>
          </w:tcPr>
          <w:p w14:paraId="13E87BE4"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27%</w:t>
            </w:r>
          </w:p>
        </w:tc>
        <w:tc>
          <w:tcPr>
            <w:tcW w:w="508" w:type="pct"/>
            <w:gridSpan w:val="2"/>
            <w:tcBorders>
              <w:top w:val="nil"/>
              <w:left w:val="nil"/>
              <w:bottom w:val="single" w:sz="8" w:space="0" w:color="auto"/>
              <w:right w:val="single" w:sz="8" w:space="0" w:color="auto"/>
            </w:tcBorders>
            <w:vAlign w:val="center"/>
            <w:hideMark/>
          </w:tcPr>
          <w:p w14:paraId="58E58FA0"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1.033</w:t>
            </w:r>
          </w:p>
        </w:tc>
        <w:tc>
          <w:tcPr>
            <w:tcW w:w="1272" w:type="pct"/>
            <w:tcBorders>
              <w:top w:val="nil"/>
              <w:left w:val="nil"/>
              <w:bottom w:val="single" w:sz="8" w:space="0" w:color="auto"/>
              <w:right w:val="single" w:sz="8" w:space="0" w:color="auto"/>
            </w:tcBorders>
            <w:vAlign w:val="center"/>
            <w:hideMark/>
          </w:tcPr>
          <w:p w14:paraId="79C3D6FF"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Accept / Accept / Accept</w:t>
            </w:r>
          </w:p>
        </w:tc>
      </w:tr>
      <w:tr w:rsidR="009576E4" w:rsidRPr="00064CB9" w14:paraId="5AF085AC" w14:textId="77777777" w:rsidTr="009576E4">
        <w:trPr>
          <w:trHeight w:val="330"/>
        </w:trPr>
        <w:tc>
          <w:tcPr>
            <w:tcW w:w="518" w:type="pct"/>
            <w:tcBorders>
              <w:top w:val="nil"/>
              <w:left w:val="single" w:sz="8" w:space="0" w:color="auto"/>
              <w:bottom w:val="single" w:sz="8" w:space="0" w:color="auto"/>
              <w:right w:val="single" w:sz="8" w:space="0" w:color="auto"/>
            </w:tcBorders>
            <w:vAlign w:val="center"/>
            <w:hideMark/>
          </w:tcPr>
          <w:p w14:paraId="6E95A468"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B</w:t>
            </w:r>
          </w:p>
        </w:tc>
        <w:tc>
          <w:tcPr>
            <w:tcW w:w="506" w:type="pct"/>
            <w:tcBorders>
              <w:top w:val="nil"/>
              <w:left w:val="nil"/>
              <w:bottom w:val="single" w:sz="8" w:space="0" w:color="auto"/>
              <w:right w:val="single" w:sz="8" w:space="0" w:color="auto"/>
            </w:tcBorders>
            <w:vAlign w:val="center"/>
            <w:hideMark/>
          </w:tcPr>
          <w:p w14:paraId="7DD121D0"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30</w:t>
            </w:r>
          </w:p>
        </w:tc>
        <w:tc>
          <w:tcPr>
            <w:tcW w:w="581" w:type="pct"/>
            <w:gridSpan w:val="3"/>
            <w:tcBorders>
              <w:top w:val="nil"/>
              <w:left w:val="nil"/>
              <w:bottom w:val="single" w:sz="8" w:space="0" w:color="auto"/>
              <w:right w:val="single" w:sz="8" w:space="0" w:color="auto"/>
            </w:tcBorders>
            <w:vAlign w:val="center"/>
            <w:hideMark/>
          </w:tcPr>
          <w:p w14:paraId="5B0B2877"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(7.26)</w:t>
            </w:r>
          </w:p>
        </w:tc>
        <w:tc>
          <w:tcPr>
            <w:tcW w:w="517" w:type="pct"/>
            <w:gridSpan w:val="2"/>
            <w:tcBorders>
              <w:top w:val="nil"/>
              <w:left w:val="nil"/>
              <w:bottom w:val="single" w:sz="8" w:space="0" w:color="auto"/>
              <w:right w:val="single" w:sz="8" w:space="0" w:color="auto"/>
            </w:tcBorders>
            <w:vAlign w:val="center"/>
            <w:hideMark/>
          </w:tcPr>
          <w:p w14:paraId="561C3977"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0.00%</w:t>
            </w:r>
          </w:p>
        </w:tc>
        <w:tc>
          <w:tcPr>
            <w:tcW w:w="585" w:type="pct"/>
            <w:gridSpan w:val="2"/>
            <w:tcBorders>
              <w:top w:val="nil"/>
              <w:left w:val="nil"/>
              <w:bottom w:val="single" w:sz="8" w:space="0" w:color="auto"/>
              <w:right w:val="single" w:sz="8" w:space="0" w:color="auto"/>
            </w:tcBorders>
            <w:vAlign w:val="center"/>
            <w:hideMark/>
          </w:tcPr>
          <w:p w14:paraId="13D57B13"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5.0 </w:t>
            </w:r>
          </w:p>
        </w:tc>
        <w:tc>
          <w:tcPr>
            <w:tcW w:w="508" w:type="pct"/>
            <w:gridSpan w:val="2"/>
            <w:tcBorders>
              <w:top w:val="nil"/>
              <w:left w:val="nil"/>
              <w:bottom w:val="single" w:sz="8" w:space="0" w:color="auto"/>
              <w:right w:val="single" w:sz="8" w:space="0" w:color="auto"/>
            </w:tcBorders>
            <w:vAlign w:val="center"/>
            <w:hideMark/>
          </w:tcPr>
          <w:p w14:paraId="7FDF5081"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20%</w:t>
            </w:r>
          </w:p>
        </w:tc>
        <w:tc>
          <w:tcPr>
            <w:tcW w:w="508" w:type="pct"/>
            <w:gridSpan w:val="2"/>
            <w:tcBorders>
              <w:top w:val="nil"/>
              <w:left w:val="nil"/>
              <w:bottom w:val="single" w:sz="8" w:space="0" w:color="auto"/>
              <w:right w:val="single" w:sz="8" w:space="0" w:color="auto"/>
            </w:tcBorders>
            <w:vAlign w:val="center"/>
            <w:hideMark/>
          </w:tcPr>
          <w:p w14:paraId="35206571"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0.758</w:t>
            </w:r>
          </w:p>
        </w:tc>
        <w:tc>
          <w:tcPr>
            <w:tcW w:w="1272" w:type="pct"/>
            <w:tcBorders>
              <w:top w:val="nil"/>
              <w:left w:val="nil"/>
              <w:bottom w:val="single" w:sz="8" w:space="0" w:color="auto"/>
              <w:right w:val="single" w:sz="8" w:space="0" w:color="auto"/>
            </w:tcBorders>
            <w:vAlign w:val="center"/>
            <w:hideMark/>
          </w:tcPr>
          <w:p w14:paraId="36E06E34"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Reject / Reject / Reject</w:t>
            </w:r>
          </w:p>
        </w:tc>
      </w:tr>
      <w:tr w:rsidR="009576E4" w:rsidRPr="00064CB9" w14:paraId="212B2532" w14:textId="77777777" w:rsidTr="009576E4">
        <w:trPr>
          <w:trHeight w:val="645"/>
        </w:trPr>
        <w:tc>
          <w:tcPr>
            <w:tcW w:w="518" w:type="pct"/>
            <w:tcBorders>
              <w:top w:val="nil"/>
              <w:left w:val="single" w:sz="8" w:space="0" w:color="auto"/>
              <w:bottom w:val="single" w:sz="8" w:space="0" w:color="auto"/>
              <w:right w:val="single" w:sz="8" w:space="0" w:color="auto"/>
            </w:tcBorders>
            <w:vAlign w:val="center"/>
            <w:hideMark/>
          </w:tcPr>
          <w:p w14:paraId="58450DF2"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C</w:t>
            </w:r>
          </w:p>
        </w:tc>
        <w:tc>
          <w:tcPr>
            <w:tcW w:w="506" w:type="pct"/>
            <w:tcBorders>
              <w:top w:val="nil"/>
              <w:left w:val="nil"/>
              <w:bottom w:val="single" w:sz="8" w:space="0" w:color="auto"/>
              <w:right w:val="single" w:sz="8" w:space="0" w:color="auto"/>
            </w:tcBorders>
            <w:vAlign w:val="center"/>
            <w:hideMark/>
          </w:tcPr>
          <w:p w14:paraId="6C34DD6B"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50</w:t>
            </w:r>
          </w:p>
        </w:tc>
        <w:tc>
          <w:tcPr>
            <w:tcW w:w="581" w:type="pct"/>
            <w:gridSpan w:val="3"/>
            <w:tcBorders>
              <w:top w:val="nil"/>
              <w:left w:val="nil"/>
              <w:bottom w:val="single" w:sz="8" w:space="0" w:color="auto"/>
              <w:right w:val="single" w:sz="8" w:space="0" w:color="auto"/>
            </w:tcBorders>
            <w:vAlign w:val="center"/>
            <w:hideMark/>
          </w:tcPr>
          <w:p w14:paraId="431F5046"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4.23 </w:t>
            </w:r>
          </w:p>
        </w:tc>
        <w:tc>
          <w:tcPr>
            <w:tcW w:w="517" w:type="pct"/>
            <w:gridSpan w:val="2"/>
            <w:tcBorders>
              <w:top w:val="nil"/>
              <w:left w:val="nil"/>
              <w:bottom w:val="single" w:sz="8" w:space="0" w:color="auto"/>
              <w:right w:val="single" w:sz="8" w:space="0" w:color="auto"/>
            </w:tcBorders>
            <w:vAlign w:val="center"/>
            <w:hideMark/>
          </w:tcPr>
          <w:p w14:paraId="235777C1"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12.72%</w:t>
            </w:r>
          </w:p>
        </w:tc>
        <w:tc>
          <w:tcPr>
            <w:tcW w:w="585" w:type="pct"/>
            <w:gridSpan w:val="2"/>
            <w:tcBorders>
              <w:top w:val="nil"/>
              <w:left w:val="nil"/>
              <w:bottom w:val="single" w:sz="8" w:space="0" w:color="auto"/>
              <w:right w:val="single" w:sz="8" w:space="0" w:color="auto"/>
            </w:tcBorders>
            <w:vAlign w:val="center"/>
            <w:hideMark/>
          </w:tcPr>
          <w:p w14:paraId="6D99F749"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 xml:space="preserve">           3.6 </w:t>
            </w:r>
          </w:p>
        </w:tc>
        <w:tc>
          <w:tcPr>
            <w:tcW w:w="508" w:type="pct"/>
            <w:gridSpan w:val="2"/>
            <w:tcBorders>
              <w:top w:val="nil"/>
              <w:left w:val="nil"/>
              <w:bottom w:val="single" w:sz="8" w:space="0" w:color="auto"/>
              <w:right w:val="single" w:sz="8" w:space="0" w:color="auto"/>
            </w:tcBorders>
            <w:vAlign w:val="center"/>
            <w:hideMark/>
          </w:tcPr>
          <w:p w14:paraId="46B092FF"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30%</w:t>
            </w:r>
          </w:p>
        </w:tc>
        <w:tc>
          <w:tcPr>
            <w:tcW w:w="508" w:type="pct"/>
            <w:gridSpan w:val="2"/>
            <w:tcBorders>
              <w:top w:val="nil"/>
              <w:left w:val="nil"/>
              <w:bottom w:val="single" w:sz="8" w:space="0" w:color="auto"/>
              <w:right w:val="single" w:sz="8" w:space="0" w:color="auto"/>
            </w:tcBorders>
            <w:vAlign w:val="center"/>
            <w:hideMark/>
          </w:tcPr>
          <w:p w14:paraId="7F0414A1"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1.085</w:t>
            </w:r>
          </w:p>
        </w:tc>
        <w:tc>
          <w:tcPr>
            <w:tcW w:w="1272" w:type="pct"/>
            <w:tcBorders>
              <w:top w:val="nil"/>
              <w:left w:val="nil"/>
              <w:bottom w:val="single" w:sz="8" w:space="0" w:color="auto"/>
              <w:right w:val="single" w:sz="8" w:space="0" w:color="auto"/>
            </w:tcBorders>
            <w:vAlign w:val="center"/>
            <w:hideMark/>
          </w:tcPr>
          <w:p w14:paraId="5A985614"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Accept / Accept / Accept</w:t>
            </w:r>
          </w:p>
        </w:tc>
      </w:tr>
      <w:tr w:rsidR="008570E1" w:rsidRPr="00064CB9" w14:paraId="7522AC44" w14:textId="77777777" w:rsidTr="009576E4">
        <w:trPr>
          <w:gridAfter w:val="2"/>
          <w:wAfter w:w="1308" w:type="pct"/>
          <w:trHeight w:val="315"/>
        </w:trPr>
        <w:tc>
          <w:tcPr>
            <w:tcW w:w="517" w:type="pct"/>
            <w:tcBorders>
              <w:top w:val="nil"/>
              <w:left w:val="nil"/>
              <w:bottom w:val="nil"/>
              <w:right w:val="nil"/>
            </w:tcBorders>
            <w:noWrap/>
            <w:vAlign w:val="bottom"/>
            <w:hideMark/>
          </w:tcPr>
          <w:p w14:paraId="27497532" w14:textId="77777777" w:rsidR="008570E1" w:rsidRPr="00064CB9" w:rsidRDefault="008570E1" w:rsidP="008570E1">
            <w:pPr>
              <w:spacing w:before="0" w:after="0" w:line="240" w:lineRule="auto"/>
              <w:jc w:val="left"/>
              <w:rPr>
                <w:rFonts w:eastAsia="Times New Roman" w:cs="Times New Roman"/>
                <w:sz w:val="20"/>
                <w:szCs w:val="24"/>
              </w:rPr>
            </w:pPr>
          </w:p>
        </w:tc>
        <w:tc>
          <w:tcPr>
            <w:tcW w:w="1023" w:type="pct"/>
            <w:gridSpan w:val="3"/>
            <w:tcBorders>
              <w:top w:val="nil"/>
              <w:left w:val="nil"/>
              <w:bottom w:val="nil"/>
              <w:right w:val="nil"/>
            </w:tcBorders>
            <w:noWrap/>
            <w:vAlign w:val="bottom"/>
            <w:hideMark/>
          </w:tcPr>
          <w:p w14:paraId="4821BD81" w14:textId="77777777" w:rsidR="008570E1" w:rsidRPr="00064CB9" w:rsidRDefault="008570E1" w:rsidP="008570E1">
            <w:pPr>
              <w:spacing w:before="0" w:after="0" w:line="240" w:lineRule="auto"/>
              <w:jc w:val="left"/>
              <w:rPr>
                <w:rFonts w:ascii="Calibri" w:eastAsia="Times New Roman" w:hAnsi="Calibri" w:cs="Calibri"/>
                <w:color w:val="000000"/>
                <w:sz w:val="22"/>
              </w:rPr>
            </w:pPr>
            <w:r w:rsidRPr="00064CB9">
              <w:rPr>
                <w:rFonts w:ascii="Calibri" w:eastAsia="Times New Roman" w:hAnsi="Calibri" w:cs="Calibri"/>
                <w:color w:val="000000"/>
                <w:sz w:val="22"/>
              </w:rPr>
              <w:t>Interest rate</w:t>
            </w:r>
          </w:p>
        </w:tc>
        <w:tc>
          <w:tcPr>
            <w:tcW w:w="517" w:type="pct"/>
            <w:gridSpan w:val="2"/>
            <w:tcBorders>
              <w:top w:val="nil"/>
              <w:left w:val="nil"/>
              <w:bottom w:val="nil"/>
              <w:right w:val="nil"/>
            </w:tcBorders>
            <w:noWrap/>
            <w:vAlign w:val="bottom"/>
            <w:hideMark/>
          </w:tcPr>
          <w:p w14:paraId="516FDC7F" w14:textId="77777777" w:rsidR="008570E1" w:rsidRPr="00064CB9" w:rsidRDefault="008570E1" w:rsidP="008570E1">
            <w:pPr>
              <w:spacing w:before="0" w:after="0" w:line="240" w:lineRule="auto"/>
              <w:jc w:val="left"/>
              <w:rPr>
                <w:rFonts w:ascii="Calibri" w:eastAsia="Times New Roman" w:hAnsi="Calibri" w:cs="Calibri"/>
                <w:color w:val="000000"/>
                <w:sz w:val="22"/>
              </w:rPr>
            </w:pPr>
          </w:p>
        </w:tc>
        <w:tc>
          <w:tcPr>
            <w:tcW w:w="603" w:type="pct"/>
            <w:gridSpan w:val="2"/>
            <w:tcBorders>
              <w:top w:val="nil"/>
              <w:left w:val="nil"/>
              <w:bottom w:val="nil"/>
              <w:right w:val="nil"/>
            </w:tcBorders>
            <w:noWrap/>
            <w:vAlign w:val="bottom"/>
            <w:hideMark/>
          </w:tcPr>
          <w:p w14:paraId="4B6ADDC9" w14:textId="77777777" w:rsidR="008570E1" w:rsidRPr="00064CB9" w:rsidRDefault="008570E1" w:rsidP="008570E1">
            <w:pPr>
              <w:spacing w:before="0" w:after="0" w:line="240" w:lineRule="auto"/>
              <w:jc w:val="left"/>
              <w:rPr>
                <w:rFonts w:eastAsia="Times New Roman" w:cs="Times New Roman"/>
                <w:sz w:val="20"/>
                <w:szCs w:val="20"/>
              </w:rPr>
            </w:pPr>
          </w:p>
        </w:tc>
        <w:tc>
          <w:tcPr>
            <w:tcW w:w="517" w:type="pct"/>
            <w:gridSpan w:val="2"/>
            <w:tcBorders>
              <w:top w:val="nil"/>
              <w:left w:val="nil"/>
              <w:bottom w:val="nil"/>
              <w:right w:val="nil"/>
            </w:tcBorders>
            <w:noWrap/>
            <w:vAlign w:val="bottom"/>
            <w:hideMark/>
          </w:tcPr>
          <w:p w14:paraId="5DCB4634" w14:textId="77777777" w:rsidR="008570E1" w:rsidRPr="00064CB9" w:rsidRDefault="008570E1" w:rsidP="008570E1">
            <w:pPr>
              <w:spacing w:before="0" w:after="0" w:line="240" w:lineRule="auto"/>
              <w:jc w:val="right"/>
              <w:rPr>
                <w:rFonts w:ascii="Calibri" w:eastAsia="Times New Roman" w:hAnsi="Calibri" w:cs="Calibri"/>
                <w:color w:val="000000"/>
                <w:sz w:val="22"/>
              </w:rPr>
            </w:pPr>
            <w:r w:rsidRPr="00064CB9">
              <w:rPr>
                <w:rFonts w:ascii="Calibri" w:eastAsia="Times New Roman" w:hAnsi="Calibri" w:cs="Calibri"/>
                <w:color w:val="000000"/>
                <w:sz w:val="22"/>
              </w:rPr>
              <w:t>10%</w:t>
            </w:r>
          </w:p>
        </w:tc>
        <w:tc>
          <w:tcPr>
            <w:tcW w:w="517" w:type="pct"/>
            <w:gridSpan w:val="2"/>
            <w:tcBorders>
              <w:top w:val="nil"/>
              <w:left w:val="nil"/>
              <w:bottom w:val="nil"/>
              <w:right w:val="nil"/>
            </w:tcBorders>
            <w:noWrap/>
            <w:vAlign w:val="bottom"/>
            <w:hideMark/>
          </w:tcPr>
          <w:p w14:paraId="5A511F17" w14:textId="77777777" w:rsidR="008570E1" w:rsidRPr="00064CB9" w:rsidRDefault="008570E1" w:rsidP="008570E1">
            <w:pPr>
              <w:spacing w:before="0" w:after="0" w:line="240" w:lineRule="auto"/>
              <w:jc w:val="right"/>
              <w:rPr>
                <w:rFonts w:ascii="Calibri" w:eastAsia="Times New Roman" w:hAnsi="Calibri" w:cs="Calibri"/>
                <w:color w:val="000000"/>
                <w:sz w:val="22"/>
              </w:rPr>
            </w:pPr>
          </w:p>
        </w:tc>
      </w:tr>
      <w:tr w:rsidR="008570E1" w:rsidRPr="00064CB9" w14:paraId="7E3D1CEF" w14:textId="77777777" w:rsidTr="009576E4">
        <w:trPr>
          <w:gridAfter w:val="2"/>
          <w:wAfter w:w="1308" w:type="pct"/>
          <w:trHeight w:val="330"/>
        </w:trPr>
        <w:tc>
          <w:tcPr>
            <w:tcW w:w="517" w:type="pct"/>
            <w:tcBorders>
              <w:top w:val="single" w:sz="8" w:space="0" w:color="auto"/>
              <w:left w:val="single" w:sz="8" w:space="0" w:color="auto"/>
              <w:bottom w:val="single" w:sz="8" w:space="0" w:color="auto"/>
              <w:right w:val="single" w:sz="8" w:space="0" w:color="auto"/>
            </w:tcBorders>
            <w:vAlign w:val="center"/>
            <w:hideMark/>
          </w:tcPr>
          <w:p w14:paraId="4E3790A8"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Years</w:t>
            </w:r>
          </w:p>
        </w:tc>
        <w:tc>
          <w:tcPr>
            <w:tcW w:w="517" w:type="pct"/>
            <w:gridSpan w:val="2"/>
            <w:tcBorders>
              <w:top w:val="single" w:sz="8" w:space="0" w:color="auto"/>
              <w:left w:val="nil"/>
              <w:bottom w:val="single" w:sz="8" w:space="0" w:color="auto"/>
              <w:right w:val="single" w:sz="8" w:space="0" w:color="auto"/>
            </w:tcBorders>
            <w:vAlign w:val="center"/>
            <w:hideMark/>
          </w:tcPr>
          <w:p w14:paraId="44B562DC"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A</w:t>
            </w:r>
          </w:p>
        </w:tc>
        <w:tc>
          <w:tcPr>
            <w:tcW w:w="506" w:type="pct"/>
            <w:tcBorders>
              <w:top w:val="single" w:sz="8" w:space="0" w:color="auto"/>
              <w:left w:val="nil"/>
              <w:bottom w:val="single" w:sz="8" w:space="0" w:color="auto"/>
              <w:right w:val="single" w:sz="8" w:space="0" w:color="auto"/>
            </w:tcBorders>
            <w:vAlign w:val="center"/>
            <w:hideMark/>
          </w:tcPr>
          <w:p w14:paraId="7D9E65FD"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Cum</w:t>
            </w:r>
          </w:p>
        </w:tc>
        <w:tc>
          <w:tcPr>
            <w:tcW w:w="517" w:type="pct"/>
            <w:gridSpan w:val="2"/>
            <w:tcBorders>
              <w:top w:val="single" w:sz="8" w:space="0" w:color="auto"/>
              <w:left w:val="nil"/>
              <w:bottom w:val="single" w:sz="8" w:space="0" w:color="auto"/>
              <w:right w:val="single" w:sz="8" w:space="0" w:color="auto"/>
            </w:tcBorders>
            <w:vAlign w:val="center"/>
            <w:hideMark/>
          </w:tcPr>
          <w:p w14:paraId="40BB9378"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B</w:t>
            </w:r>
          </w:p>
        </w:tc>
        <w:tc>
          <w:tcPr>
            <w:tcW w:w="603" w:type="pct"/>
            <w:gridSpan w:val="2"/>
            <w:tcBorders>
              <w:top w:val="single" w:sz="8" w:space="0" w:color="auto"/>
              <w:left w:val="nil"/>
              <w:bottom w:val="single" w:sz="8" w:space="0" w:color="auto"/>
              <w:right w:val="single" w:sz="8" w:space="0" w:color="auto"/>
            </w:tcBorders>
            <w:vAlign w:val="center"/>
            <w:hideMark/>
          </w:tcPr>
          <w:p w14:paraId="77154678"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Cum</w:t>
            </w:r>
          </w:p>
        </w:tc>
        <w:tc>
          <w:tcPr>
            <w:tcW w:w="517" w:type="pct"/>
            <w:gridSpan w:val="2"/>
            <w:tcBorders>
              <w:top w:val="single" w:sz="8" w:space="0" w:color="auto"/>
              <w:left w:val="nil"/>
              <w:bottom w:val="single" w:sz="8" w:space="0" w:color="auto"/>
              <w:right w:val="single" w:sz="8" w:space="0" w:color="auto"/>
            </w:tcBorders>
            <w:vAlign w:val="center"/>
            <w:hideMark/>
          </w:tcPr>
          <w:p w14:paraId="063D6EAC"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C</w:t>
            </w:r>
          </w:p>
        </w:tc>
        <w:tc>
          <w:tcPr>
            <w:tcW w:w="517" w:type="pct"/>
            <w:gridSpan w:val="2"/>
            <w:tcBorders>
              <w:top w:val="single" w:sz="8" w:space="0" w:color="auto"/>
              <w:left w:val="nil"/>
              <w:bottom w:val="single" w:sz="8" w:space="0" w:color="auto"/>
              <w:right w:val="single" w:sz="8" w:space="0" w:color="auto"/>
            </w:tcBorders>
            <w:vAlign w:val="center"/>
            <w:hideMark/>
          </w:tcPr>
          <w:p w14:paraId="7DCB605F"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Cum</w:t>
            </w:r>
          </w:p>
        </w:tc>
      </w:tr>
      <w:tr w:rsidR="008570E1" w:rsidRPr="00064CB9" w14:paraId="619E1DFC" w14:textId="77777777" w:rsidTr="009576E4">
        <w:trPr>
          <w:gridAfter w:val="2"/>
          <w:wAfter w:w="1308" w:type="pct"/>
          <w:trHeight w:val="330"/>
        </w:trPr>
        <w:tc>
          <w:tcPr>
            <w:tcW w:w="517" w:type="pct"/>
            <w:tcBorders>
              <w:top w:val="nil"/>
              <w:left w:val="single" w:sz="8" w:space="0" w:color="auto"/>
              <w:bottom w:val="single" w:sz="8" w:space="0" w:color="auto"/>
              <w:right w:val="single" w:sz="8" w:space="0" w:color="auto"/>
            </w:tcBorders>
            <w:vAlign w:val="center"/>
            <w:hideMark/>
          </w:tcPr>
          <w:p w14:paraId="098C09EB"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0</w:t>
            </w:r>
          </w:p>
        </w:tc>
        <w:tc>
          <w:tcPr>
            <w:tcW w:w="517" w:type="pct"/>
            <w:gridSpan w:val="2"/>
            <w:tcBorders>
              <w:top w:val="nil"/>
              <w:left w:val="nil"/>
              <w:bottom w:val="single" w:sz="8" w:space="0" w:color="auto"/>
              <w:right w:val="single" w:sz="8" w:space="0" w:color="auto"/>
            </w:tcBorders>
            <w:vAlign w:val="center"/>
            <w:hideMark/>
          </w:tcPr>
          <w:p w14:paraId="5C65310B"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-40</w:t>
            </w:r>
          </w:p>
        </w:tc>
        <w:tc>
          <w:tcPr>
            <w:tcW w:w="506" w:type="pct"/>
            <w:tcBorders>
              <w:top w:val="nil"/>
              <w:left w:val="nil"/>
              <w:bottom w:val="single" w:sz="8" w:space="0" w:color="auto"/>
              <w:right w:val="single" w:sz="8" w:space="0" w:color="auto"/>
            </w:tcBorders>
            <w:vAlign w:val="center"/>
            <w:hideMark/>
          </w:tcPr>
          <w:p w14:paraId="31176770"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-40</w:t>
            </w:r>
          </w:p>
        </w:tc>
        <w:tc>
          <w:tcPr>
            <w:tcW w:w="517" w:type="pct"/>
            <w:gridSpan w:val="2"/>
            <w:tcBorders>
              <w:top w:val="nil"/>
              <w:left w:val="nil"/>
              <w:bottom w:val="single" w:sz="8" w:space="0" w:color="auto"/>
              <w:right w:val="single" w:sz="8" w:space="0" w:color="auto"/>
            </w:tcBorders>
            <w:vAlign w:val="center"/>
            <w:hideMark/>
          </w:tcPr>
          <w:p w14:paraId="69E7F180"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-30</w:t>
            </w:r>
          </w:p>
        </w:tc>
        <w:tc>
          <w:tcPr>
            <w:tcW w:w="603" w:type="pct"/>
            <w:gridSpan w:val="2"/>
            <w:tcBorders>
              <w:top w:val="nil"/>
              <w:left w:val="nil"/>
              <w:bottom w:val="single" w:sz="8" w:space="0" w:color="auto"/>
              <w:right w:val="single" w:sz="8" w:space="0" w:color="auto"/>
            </w:tcBorders>
            <w:vAlign w:val="center"/>
            <w:hideMark/>
          </w:tcPr>
          <w:p w14:paraId="0228B616"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-30</w:t>
            </w:r>
          </w:p>
        </w:tc>
        <w:tc>
          <w:tcPr>
            <w:tcW w:w="517" w:type="pct"/>
            <w:gridSpan w:val="2"/>
            <w:tcBorders>
              <w:top w:val="nil"/>
              <w:left w:val="nil"/>
              <w:bottom w:val="single" w:sz="8" w:space="0" w:color="auto"/>
              <w:right w:val="single" w:sz="8" w:space="0" w:color="auto"/>
            </w:tcBorders>
            <w:vAlign w:val="center"/>
            <w:hideMark/>
          </w:tcPr>
          <w:p w14:paraId="6EDE23C2"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-50</w:t>
            </w:r>
          </w:p>
        </w:tc>
        <w:tc>
          <w:tcPr>
            <w:tcW w:w="517" w:type="pct"/>
            <w:gridSpan w:val="2"/>
            <w:tcBorders>
              <w:top w:val="nil"/>
              <w:left w:val="nil"/>
              <w:bottom w:val="single" w:sz="8" w:space="0" w:color="auto"/>
              <w:right w:val="single" w:sz="8" w:space="0" w:color="auto"/>
            </w:tcBorders>
            <w:vAlign w:val="center"/>
            <w:hideMark/>
          </w:tcPr>
          <w:p w14:paraId="5B0ECB67"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-50</w:t>
            </w:r>
          </w:p>
        </w:tc>
      </w:tr>
      <w:tr w:rsidR="008570E1" w:rsidRPr="00064CB9" w14:paraId="1F93F74E" w14:textId="77777777" w:rsidTr="009576E4">
        <w:trPr>
          <w:gridAfter w:val="2"/>
          <w:wAfter w:w="1308" w:type="pct"/>
          <w:trHeight w:val="330"/>
        </w:trPr>
        <w:tc>
          <w:tcPr>
            <w:tcW w:w="517" w:type="pct"/>
            <w:tcBorders>
              <w:top w:val="nil"/>
              <w:left w:val="single" w:sz="8" w:space="0" w:color="auto"/>
              <w:bottom w:val="single" w:sz="8" w:space="0" w:color="auto"/>
              <w:right w:val="single" w:sz="8" w:space="0" w:color="auto"/>
            </w:tcBorders>
            <w:vAlign w:val="center"/>
            <w:hideMark/>
          </w:tcPr>
          <w:p w14:paraId="09F13826"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w:t>
            </w:r>
          </w:p>
        </w:tc>
        <w:tc>
          <w:tcPr>
            <w:tcW w:w="517" w:type="pct"/>
            <w:gridSpan w:val="2"/>
            <w:tcBorders>
              <w:top w:val="nil"/>
              <w:left w:val="nil"/>
              <w:bottom w:val="single" w:sz="8" w:space="0" w:color="auto"/>
              <w:right w:val="single" w:sz="8" w:space="0" w:color="auto"/>
            </w:tcBorders>
            <w:vAlign w:val="center"/>
            <w:hideMark/>
          </w:tcPr>
          <w:p w14:paraId="0603B6FE"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10</w:t>
            </w:r>
          </w:p>
        </w:tc>
        <w:tc>
          <w:tcPr>
            <w:tcW w:w="506" w:type="pct"/>
            <w:tcBorders>
              <w:top w:val="nil"/>
              <w:left w:val="nil"/>
              <w:bottom w:val="single" w:sz="8" w:space="0" w:color="auto"/>
              <w:right w:val="single" w:sz="8" w:space="0" w:color="auto"/>
            </w:tcBorders>
            <w:vAlign w:val="center"/>
            <w:hideMark/>
          </w:tcPr>
          <w:p w14:paraId="578FCFB1"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-30</w:t>
            </w:r>
          </w:p>
        </w:tc>
        <w:tc>
          <w:tcPr>
            <w:tcW w:w="517" w:type="pct"/>
            <w:gridSpan w:val="2"/>
            <w:tcBorders>
              <w:top w:val="nil"/>
              <w:left w:val="nil"/>
              <w:bottom w:val="single" w:sz="8" w:space="0" w:color="auto"/>
              <w:right w:val="single" w:sz="8" w:space="0" w:color="auto"/>
            </w:tcBorders>
            <w:vAlign w:val="center"/>
            <w:hideMark/>
          </w:tcPr>
          <w:p w14:paraId="431F9397"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6</w:t>
            </w:r>
          </w:p>
        </w:tc>
        <w:tc>
          <w:tcPr>
            <w:tcW w:w="603" w:type="pct"/>
            <w:gridSpan w:val="2"/>
            <w:tcBorders>
              <w:top w:val="nil"/>
              <w:left w:val="nil"/>
              <w:bottom w:val="single" w:sz="8" w:space="0" w:color="auto"/>
              <w:right w:val="single" w:sz="8" w:space="0" w:color="auto"/>
            </w:tcBorders>
            <w:vAlign w:val="center"/>
            <w:hideMark/>
          </w:tcPr>
          <w:p w14:paraId="2D6DDCFA"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-24</w:t>
            </w:r>
          </w:p>
        </w:tc>
        <w:tc>
          <w:tcPr>
            <w:tcW w:w="517" w:type="pct"/>
            <w:gridSpan w:val="2"/>
            <w:tcBorders>
              <w:top w:val="nil"/>
              <w:left w:val="nil"/>
              <w:bottom w:val="single" w:sz="8" w:space="0" w:color="auto"/>
              <w:right w:val="single" w:sz="8" w:space="0" w:color="auto"/>
            </w:tcBorders>
            <w:vAlign w:val="center"/>
            <w:hideMark/>
          </w:tcPr>
          <w:p w14:paraId="6AC3237B"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5</w:t>
            </w:r>
          </w:p>
        </w:tc>
        <w:tc>
          <w:tcPr>
            <w:tcW w:w="517" w:type="pct"/>
            <w:gridSpan w:val="2"/>
            <w:tcBorders>
              <w:top w:val="nil"/>
              <w:left w:val="nil"/>
              <w:bottom w:val="single" w:sz="8" w:space="0" w:color="auto"/>
              <w:right w:val="single" w:sz="8" w:space="0" w:color="auto"/>
            </w:tcBorders>
            <w:vAlign w:val="center"/>
            <w:hideMark/>
          </w:tcPr>
          <w:p w14:paraId="5B351C85"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-45</w:t>
            </w:r>
          </w:p>
        </w:tc>
      </w:tr>
      <w:tr w:rsidR="008570E1" w:rsidRPr="00064CB9" w14:paraId="593EC517" w14:textId="77777777" w:rsidTr="009576E4">
        <w:trPr>
          <w:gridAfter w:val="2"/>
          <w:wAfter w:w="1308" w:type="pct"/>
          <w:trHeight w:val="330"/>
        </w:trPr>
        <w:tc>
          <w:tcPr>
            <w:tcW w:w="517" w:type="pct"/>
            <w:tcBorders>
              <w:top w:val="nil"/>
              <w:left w:val="single" w:sz="8" w:space="0" w:color="auto"/>
              <w:bottom w:val="single" w:sz="8" w:space="0" w:color="auto"/>
              <w:right w:val="single" w:sz="8" w:space="0" w:color="auto"/>
            </w:tcBorders>
            <w:vAlign w:val="center"/>
            <w:hideMark/>
          </w:tcPr>
          <w:p w14:paraId="0A832EC6"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2</w:t>
            </w:r>
          </w:p>
        </w:tc>
        <w:tc>
          <w:tcPr>
            <w:tcW w:w="517" w:type="pct"/>
            <w:gridSpan w:val="2"/>
            <w:tcBorders>
              <w:top w:val="nil"/>
              <w:left w:val="nil"/>
              <w:bottom w:val="single" w:sz="8" w:space="0" w:color="auto"/>
              <w:right w:val="single" w:sz="8" w:space="0" w:color="auto"/>
            </w:tcBorders>
            <w:vAlign w:val="center"/>
            <w:hideMark/>
          </w:tcPr>
          <w:p w14:paraId="65A627B0"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12</w:t>
            </w:r>
          </w:p>
        </w:tc>
        <w:tc>
          <w:tcPr>
            <w:tcW w:w="506" w:type="pct"/>
            <w:tcBorders>
              <w:top w:val="nil"/>
              <w:left w:val="nil"/>
              <w:bottom w:val="single" w:sz="8" w:space="0" w:color="auto"/>
              <w:right w:val="single" w:sz="8" w:space="0" w:color="auto"/>
            </w:tcBorders>
            <w:vAlign w:val="center"/>
            <w:hideMark/>
          </w:tcPr>
          <w:p w14:paraId="324D68E6"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-18</w:t>
            </w:r>
          </w:p>
        </w:tc>
        <w:tc>
          <w:tcPr>
            <w:tcW w:w="517" w:type="pct"/>
            <w:gridSpan w:val="2"/>
            <w:tcBorders>
              <w:top w:val="nil"/>
              <w:left w:val="nil"/>
              <w:bottom w:val="single" w:sz="8" w:space="0" w:color="auto"/>
              <w:right w:val="single" w:sz="8" w:space="0" w:color="auto"/>
            </w:tcBorders>
            <w:vAlign w:val="center"/>
            <w:hideMark/>
          </w:tcPr>
          <w:p w14:paraId="5EBE10DA"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6</w:t>
            </w:r>
          </w:p>
        </w:tc>
        <w:tc>
          <w:tcPr>
            <w:tcW w:w="603" w:type="pct"/>
            <w:gridSpan w:val="2"/>
            <w:tcBorders>
              <w:top w:val="nil"/>
              <w:left w:val="nil"/>
              <w:bottom w:val="single" w:sz="8" w:space="0" w:color="auto"/>
              <w:right w:val="single" w:sz="8" w:space="0" w:color="auto"/>
            </w:tcBorders>
            <w:vAlign w:val="center"/>
            <w:hideMark/>
          </w:tcPr>
          <w:p w14:paraId="3C99581B"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-18</w:t>
            </w:r>
          </w:p>
        </w:tc>
        <w:tc>
          <w:tcPr>
            <w:tcW w:w="517" w:type="pct"/>
            <w:gridSpan w:val="2"/>
            <w:tcBorders>
              <w:top w:val="nil"/>
              <w:left w:val="nil"/>
              <w:bottom w:val="single" w:sz="8" w:space="0" w:color="auto"/>
              <w:right w:val="single" w:sz="8" w:space="0" w:color="auto"/>
            </w:tcBorders>
            <w:vAlign w:val="center"/>
            <w:hideMark/>
          </w:tcPr>
          <w:p w14:paraId="61D5E6A3"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10</w:t>
            </w:r>
          </w:p>
        </w:tc>
        <w:tc>
          <w:tcPr>
            <w:tcW w:w="517" w:type="pct"/>
            <w:gridSpan w:val="2"/>
            <w:tcBorders>
              <w:top w:val="nil"/>
              <w:left w:val="nil"/>
              <w:bottom w:val="single" w:sz="8" w:space="0" w:color="auto"/>
              <w:right w:val="single" w:sz="8" w:space="0" w:color="auto"/>
            </w:tcBorders>
            <w:vAlign w:val="center"/>
            <w:hideMark/>
          </w:tcPr>
          <w:p w14:paraId="65FDEB75"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-35</w:t>
            </w:r>
          </w:p>
        </w:tc>
      </w:tr>
      <w:tr w:rsidR="008570E1" w:rsidRPr="00064CB9" w14:paraId="23645E9B" w14:textId="77777777" w:rsidTr="009576E4">
        <w:trPr>
          <w:gridAfter w:val="2"/>
          <w:wAfter w:w="1308" w:type="pct"/>
          <w:trHeight w:val="330"/>
        </w:trPr>
        <w:tc>
          <w:tcPr>
            <w:tcW w:w="517" w:type="pct"/>
            <w:tcBorders>
              <w:top w:val="nil"/>
              <w:left w:val="single" w:sz="8" w:space="0" w:color="auto"/>
              <w:bottom w:val="single" w:sz="8" w:space="0" w:color="auto"/>
              <w:right w:val="single" w:sz="8" w:space="0" w:color="auto"/>
            </w:tcBorders>
            <w:vAlign w:val="center"/>
            <w:hideMark/>
          </w:tcPr>
          <w:p w14:paraId="581BD82C"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3</w:t>
            </w:r>
          </w:p>
        </w:tc>
        <w:tc>
          <w:tcPr>
            <w:tcW w:w="517" w:type="pct"/>
            <w:gridSpan w:val="2"/>
            <w:tcBorders>
              <w:top w:val="nil"/>
              <w:left w:val="nil"/>
              <w:bottom w:val="single" w:sz="8" w:space="0" w:color="auto"/>
              <w:right w:val="single" w:sz="8" w:space="0" w:color="auto"/>
            </w:tcBorders>
            <w:vAlign w:val="center"/>
            <w:hideMark/>
          </w:tcPr>
          <w:p w14:paraId="3F410180"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14</w:t>
            </w:r>
          </w:p>
        </w:tc>
        <w:tc>
          <w:tcPr>
            <w:tcW w:w="506" w:type="pct"/>
            <w:tcBorders>
              <w:top w:val="nil"/>
              <w:left w:val="nil"/>
              <w:bottom w:val="single" w:sz="8" w:space="0" w:color="auto"/>
              <w:right w:val="single" w:sz="8" w:space="0" w:color="auto"/>
            </w:tcBorders>
            <w:vAlign w:val="center"/>
            <w:hideMark/>
          </w:tcPr>
          <w:p w14:paraId="3BE36C75"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-4</w:t>
            </w:r>
          </w:p>
        </w:tc>
        <w:tc>
          <w:tcPr>
            <w:tcW w:w="517" w:type="pct"/>
            <w:gridSpan w:val="2"/>
            <w:tcBorders>
              <w:top w:val="nil"/>
              <w:left w:val="nil"/>
              <w:bottom w:val="single" w:sz="8" w:space="0" w:color="auto"/>
              <w:right w:val="single" w:sz="8" w:space="0" w:color="auto"/>
            </w:tcBorders>
            <w:vAlign w:val="center"/>
            <w:hideMark/>
          </w:tcPr>
          <w:p w14:paraId="1EC49FFE"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6</w:t>
            </w:r>
          </w:p>
        </w:tc>
        <w:tc>
          <w:tcPr>
            <w:tcW w:w="603" w:type="pct"/>
            <w:gridSpan w:val="2"/>
            <w:tcBorders>
              <w:top w:val="nil"/>
              <w:left w:val="nil"/>
              <w:bottom w:val="single" w:sz="8" w:space="0" w:color="auto"/>
              <w:right w:val="single" w:sz="8" w:space="0" w:color="auto"/>
            </w:tcBorders>
            <w:vAlign w:val="center"/>
            <w:hideMark/>
          </w:tcPr>
          <w:p w14:paraId="783AA4CB"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-12</w:t>
            </w:r>
          </w:p>
        </w:tc>
        <w:tc>
          <w:tcPr>
            <w:tcW w:w="517" w:type="pct"/>
            <w:gridSpan w:val="2"/>
            <w:tcBorders>
              <w:top w:val="nil"/>
              <w:left w:val="nil"/>
              <w:bottom w:val="single" w:sz="8" w:space="0" w:color="auto"/>
              <w:right w:val="single" w:sz="8" w:space="0" w:color="auto"/>
            </w:tcBorders>
            <w:vAlign w:val="center"/>
            <w:hideMark/>
          </w:tcPr>
          <w:p w14:paraId="7CD0F18F"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20</w:t>
            </w:r>
          </w:p>
        </w:tc>
        <w:tc>
          <w:tcPr>
            <w:tcW w:w="517" w:type="pct"/>
            <w:gridSpan w:val="2"/>
            <w:tcBorders>
              <w:top w:val="nil"/>
              <w:left w:val="nil"/>
              <w:bottom w:val="single" w:sz="8" w:space="0" w:color="auto"/>
              <w:right w:val="single" w:sz="8" w:space="0" w:color="auto"/>
            </w:tcBorders>
            <w:vAlign w:val="center"/>
            <w:hideMark/>
          </w:tcPr>
          <w:p w14:paraId="76CFF7DA"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-15</w:t>
            </w:r>
          </w:p>
        </w:tc>
      </w:tr>
      <w:tr w:rsidR="008570E1" w:rsidRPr="00064CB9" w14:paraId="3F634C57" w14:textId="77777777" w:rsidTr="009576E4">
        <w:trPr>
          <w:gridAfter w:val="2"/>
          <w:wAfter w:w="1308" w:type="pct"/>
          <w:trHeight w:val="330"/>
        </w:trPr>
        <w:tc>
          <w:tcPr>
            <w:tcW w:w="517" w:type="pct"/>
            <w:tcBorders>
              <w:top w:val="nil"/>
              <w:left w:val="single" w:sz="8" w:space="0" w:color="auto"/>
              <w:bottom w:val="single" w:sz="8" w:space="0" w:color="auto"/>
              <w:right w:val="single" w:sz="8" w:space="0" w:color="auto"/>
            </w:tcBorders>
            <w:vAlign w:val="center"/>
            <w:hideMark/>
          </w:tcPr>
          <w:p w14:paraId="5C8E3640"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4</w:t>
            </w:r>
          </w:p>
        </w:tc>
        <w:tc>
          <w:tcPr>
            <w:tcW w:w="517" w:type="pct"/>
            <w:gridSpan w:val="2"/>
            <w:tcBorders>
              <w:top w:val="nil"/>
              <w:left w:val="nil"/>
              <w:bottom w:val="single" w:sz="8" w:space="0" w:color="auto"/>
              <w:right w:val="single" w:sz="8" w:space="0" w:color="auto"/>
            </w:tcBorders>
            <w:vAlign w:val="center"/>
            <w:hideMark/>
          </w:tcPr>
          <w:p w14:paraId="56C41C33"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10</w:t>
            </w:r>
          </w:p>
        </w:tc>
        <w:tc>
          <w:tcPr>
            <w:tcW w:w="506" w:type="pct"/>
            <w:tcBorders>
              <w:top w:val="nil"/>
              <w:left w:val="nil"/>
              <w:bottom w:val="single" w:sz="8" w:space="0" w:color="auto"/>
              <w:right w:val="single" w:sz="8" w:space="0" w:color="auto"/>
            </w:tcBorders>
            <w:vAlign w:val="center"/>
            <w:hideMark/>
          </w:tcPr>
          <w:p w14:paraId="3C7AC065"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6</w:t>
            </w:r>
          </w:p>
        </w:tc>
        <w:tc>
          <w:tcPr>
            <w:tcW w:w="517" w:type="pct"/>
            <w:gridSpan w:val="2"/>
            <w:tcBorders>
              <w:top w:val="nil"/>
              <w:left w:val="nil"/>
              <w:bottom w:val="single" w:sz="8" w:space="0" w:color="auto"/>
              <w:right w:val="single" w:sz="8" w:space="0" w:color="auto"/>
            </w:tcBorders>
            <w:vAlign w:val="center"/>
            <w:hideMark/>
          </w:tcPr>
          <w:p w14:paraId="4C33C3CC"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6</w:t>
            </w:r>
          </w:p>
        </w:tc>
        <w:tc>
          <w:tcPr>
            <w:tcW w:w="603" w:type="pct"/>
            <w:gridSpan w:val="2"/>
            <w:tcBorders>
              <w:top w:val="nil"/>
              <w:left w:val="nil"/>
              <w:bottom w:val="single" w:sz="8" w:space="0" w:color="auto"/>
              <w:right w:val="single" w:sz="8" w:space="0" w:color="auto"/>
            </w:tcBorders>
            <w:vAlign w:val="center"/>
            <w:hideMark/>
          </w:tcPr>
          <w:p w14:paraId="78EB5288"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-6</w:t>
            </w:r>
          </w:p>
        </w:tc>
        <w:tc>
          <w:tcPr>
            <w:tcW w:w="517" w:type="pct"/>
            <w:gridSpan w:val="2"/>
            <w:tcBorders>
              <w:top w:val="nil"/>
              <w:left w:val="nil"/>
              <w:bottom w:val="single" w:sz="8" w:space="0" w:color="auto"/>
              <w:right w:val="single" w:sz="8" w:space="0" w:color="auto"/>
            </w:tcBorders>
            <w:vAlign w:val="center"/>
            <w:hideMark/>
          </w:tcPr>
          <w:p w14:paraId="76CA1B0C"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25</w:t>
            </w:r>
          </w:p>
        </w:tc>
        <w:tc>
          <w:tcPr>
            <w:tcW w:w="517" w:type="pct"/>
            <w:gridSpan w:val="2"/>
            <w:tcBorders>
              <w:top w:val="nil"/>
              <w:left w:val="nil"/>
              <w:bottom w:val="single" w:sz="8" w:space="0" w:color="auto"/>
              <w:right w:val="single" w:sz="8" w:space="0" w:color="auto"/>
            </w:tcBorders>
            <w:vAlign w:val="center"/>
            <w:hideMark/>
          </w:tcPr>
          <w:p w14:paraId="427C8E13"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10</w:t>
            </w:r>
          </w:p>
        </w:tc>
      </w:tr>
      <w:tr w:rsidR="008570E1" w:rsidRPr="00064CB9" w14:paraId="6E54EA36" w14:textId="77777777" w:rsidTr="009576E4">
        <w:trPr>
          <w:gridAfter w:val="2"/>
          <w:wAfter w:w="1308" w:type="pct"/>
          <w:trHeight w:val="330"/>
        </w:trPr>
        <w:tc>
          <w:tcPr>
            <w:tcW w:w="517" w:type="pct"/>
            <w:tcBorders>
              <w:top w:val="nil"/>
              <w:left w:val="single" w:sz="8" w:space="0" w:color="auto"/>
              <w:bottom w:val="single" w:sz="8" w:space="0" w:color="auto"/>
              <w:right w:val="single" w:sz="8" w:space="0" w:color="auto"/>
            </w:tcBorders>
            <w:vAlign w:val="center"/>
            <w:hideMark/>
          </w:tcPr>
          <w:p w14:paraId="5F746C7C"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5</w:t>
            </w:r>
          </w:p>
        </w:tc>
        <w:tc>
          <w:tcPr>
            <w:tcW w:w="517" w:type="pct"/>
            <w:gridSpan w:val="2"/>
            <w:tcBorders>
              <w:top w:val="nil"/>
              <w:left w:val="nil"/>
              <w:bottom w:val="single" w:sz="8" w:space="0" w:color="auto"/>
              <w:right w:val="single" w:sz="8" w:space="0" w:color="auto"/>
            </w:tcBorders>
            <w:vAlign w:val="center"/>
            <w:hideMark/>
          </w:tcPr>
          <w:p w14:paraId="1072CACF"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8</w:t>
            </w:r>
          </w:p>
        </w:tc>
        <w:tc>
          <w:tcPr>
            <w:tcW w:w="506" w:type="pct"/>
            <w:tcBorders>
              <w:top w:val="nil"/>
              <w:left w:val="nil"/>
              <w:bottom w:val="single" w:sz="8" w:space="0" w:color="auto"/>
              <w:right w:val="single" w:sz="8" w:space="0" w:color="auto"/>
            </w:tcBorders>
            <w:vAlign w:val="center"/>
            <w:hideMark/>
          </w:tcPr>
          <w:p w14:paraId="1EDB210C"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14</w:t>
            </w:r>
          </w:p>
        </w:tc>
        <w:tc>
          <w:tcPr>
            <w:tcW w:w="517" w:type="pct"/>
            <w:gridSpan w:val="2"/>
            <w:tcBorders>
              <w:top w:val="nil"/>
              <w:left w:val="nil"/>
              <w:bottom w:val="single" w:sz="8" w:space="0" w:color="auto"/>
              <w:right w:val="single" w:sz="8" w:space="0" w:color="auto"/>
            </w:tcBorders>
            <w:vAlign w:val="center"/>
            <w:hideMark/>
          </w:tcPr>
          <w:p w14:paraId="578F8587"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6</w:t>
            </w:r>
          </w:p>
        </w:tc>
        <w:tc>
          <w:tcPr>
            <w:tcW w:w="603" w:type="pct"/>
            <w:gridSpan w:val="2"/>
            <w:tcBorders>
              <w:top w:val="nil"/>
              <w:left w:val="nil"/>
              <w:bottom w:val="single" w:sz="8" w:space="0" w:color="auto"/>
              <w:right w:val="single" w:sz="8" w:space="0" w:color="auto"/>
            </w:tcBorders>
            <w:vAlign w:val="center"/>
            <w:hideMark/>
          </w:tcPr>
          <w:p w14:paraId="3802606A"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0</w:t>
            </w:r>
          </w:p>
        </w:tc>
        <w:tc>
          <w:tcPr>
            <w:tcW w:w="517" w:type="pct"/>
            <w:gridSpan w:val="2"/>
            <w:tcBorders>
              <w:top w:val="nil"/>
              <w:left w:val="nil"/>
              <w:bottom w:val="single" w:sz="8" w:space="0" w:color="auto"/>
              <w:right w:val="single" w:sz="8" w:space="0" w:color="auto"/>
            </w:tcBorders>
            <w:vAlign w:val="center"/>
            <w:hideMark/>
          </w:tcPr>
          <w:p w14:paraId="4E398A37"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15</w:t>
            </w:r>
          </w:p>
        </w:tc>
        <w:tc>
          <w:tcPr>
            <w:tcW w:w="517" w:type="pct"/>
            <w:gridSpan w:val="2"/>
            <w:tcBorders>
              <w:top w:val="nil"/>
              <w:left w:val="nil"/>
              <w:bottom w:val="single" w:sz="8" w:space="0" w:color="auto"/>
              <w:right w:val="single" w:sz="8" w:space="0" w:color="auto"/>
            </w:tcBorders>
            <w:vAlign w:val="center"/>
            <w:hideMark/>
          </w:tcPr>
          <w:p w14:paraId="1078334E" w14:textId="77777777" w:rsidR="008570E1" w:rsidRPr="00064CB9" w:rsidRDefault="008570E1" w:rsidP="008570E1">
            <w:pPr>
              <w:spacing w:before="0" w:after="0" w:line="240" w:lineRule="auto"/>
              <w:rPr>
                <w:rFonts w:eastAsia="Times New Roman" w:cs="Times New Roman"/>
                <w:color w:val="000000"/>
                <w:szCs w:val="24"/>
              </w:rPr>
            </w:pPr>
            <w:r w:rsidRPr="00064CB9">
              <w:rPr>
                <w:rFonts w:eastAsia="Times New Roman" w:cs="Times New Roman"/>
                <w:color w:val="000000"/>
                <w:szCs w:val="24"/>
              </w:rPr>
              <w:t>25</w:t>
            </w:r>
          </w:p>
        </w:tc>
      </w:tr>
    </w:tbl>
    <w:p w14:paraId="70936384" w14:textId="77777777" w:rsidR="008570E1" w:rsidRPr="00064CB9" w:rsidRDefault="008570E1"/>
    <w:sectPr w:rsidR="008570E1" w:rsidRPr="00064CB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C179E" w14:textId="77777777" w:rsidR="005A1714" w:rsidRDefault="005A1714" w:rsidP="00423184">
      <w:pPr>
        <w:spacing w:before="0" w:after="0" w:line="240" w:lineRule="auto"/>
      </w:pPr>
      <w:r>
        <w:separator/>
      </w:r>
    </w:p>
  </w:endnote>
  <w:endnote w:type="continuationSeparator" w:id="0">
    <w:p w14:paraId="0D56CA67" w14:textId="77777777" w:rsidR="005A1714" w:rsidRDefault="005A1714" w:rsidP="0042318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346D2" w14:textId="77777777" w:rsidR="005A1714" w:rsidRDefault="005A1714" w:rsidP="00423184">
      <w:pPr>
        <w:spacing w:before="0" w:after="0" w:line="240" w:lineRule="auto"/>
      </w:pPr>
      <w:r>
        <w:separator/>
      </w:r>
    </w:p>
  </w:footnote>
  <w:footnote w:type="continuationSeparator" w:id="0">
    <w:p w14:paraId="07AC0A55" w14:textId="77777777" w:rsidR="005A1714" w:rsidRDefault="005A1714" w:rsidP="0042318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121A"/>
    <w:multiLevelType w:val="multilevel"/>
    <w:tmpl w:val="431E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26FCD"/>
    <w:multiLevelType w:val="multilevel"/>
    <w:tmpl w:val="A6C4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4E2B05"/>
    <w:multiLevelType w:val="multilevel"/>
    <w:tmpl w:val="3BA2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A73221"/>
    <w:multiLevelType w:val="multilevel"/>
    <w:tmpl w:val="D3FA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2C0406"/>
    <w:multiLevelType w:val="multilevel"/>
    <w:tmpl w:val="101685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7C5983"/>
    <w:multiLevelType w:val="multilevel"/>
    <w:tmpl w:val="A2AA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244E4D"/>
    <w:multiLevelType w:val="multilevel"/>
    <w:tmpl w:val="41585D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7864F6"/>
    <w:multiLevelType w:val="multilevel"/>
    <w:tmpl w:val="DB06F4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BA30048"/>
    <w:multiLevelType w:val="multilevel"/>
    <w:tmpl w:val="E0C0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5C78A2"/>
    <w:multiLevelType w:val="multilevel"/>
    <w:tmpl w:val="4AD2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466F0F"/>
    <w:multiLevelType w:val="multilevel"/>
    <w:tmpl w:val="BDDA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E524BC"/>
    <w:multiLevelType w:val="multilevel"/>
    <w:tmpl w:val="F574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2403C6"/>
    <w:multiLevelType w:val="multilevel"/>
    <w:tmpl w:val="C51E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8923DA"/>
    <w:multiLevelType w:val="multilevel"/>
    <w:tmpl w:val="499A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853CEB"/>
    <w:multiLevelType w:val="multilevel"/>
    <w:tmpl w:val="8A36D4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13ABE"/>
    <w:multiLevelType w:val="multilevel"/>
    <w:tmpl w:val="B42E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31267D"/>
    <w:multiLevelType w:val="multilevel"/>
    <w:tmpl w:val="8CBA44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515A331D"/>
    <w:multiLevelType w:val="multilevel"/>
    <w:tmpl w:val="34FA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1A3181"/>
    <w:multiLevelType w:val="multilevel"/>
    <w:tmpl w:val="A542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660852"/>
    <w:multiLevelType w:val="multilevel"/>
    <w:tmpl w:val="C844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7E3A6C"/>
    <w:multiLevelType w:val="multilevel"/>
    <w:tmpl w:val="ED68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B54A3E"/>
    <w:multiLevelType w:val="multilevel"/>
    <w:tmpl w:val="BFA8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0471799"/>
    <w:multiLevelType w:val="multilevel"/>
    <w:tmpl w:val="FCC6E8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934166"/>
    <w:multiLevelType w:val="multilevel"/>
    <w:tmpl w:val="74E4F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D75369D"/>
    <w:multiLevelType w:val="multilevel"/>
    <w:tmpl w:val="ABA8D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
  </w:num>
  <w:num w:numId="3">
    <w:abstractNumId w:val="6"/>
  </w:num>
  <w:num w:numId="4">
    <w:abstractNumId w:val="16"/>
  </w:num>
  <w:num w:numId="5">
    <w:abstractNumId w:val="20"/>
  </w:num>
  <w:num w:numId="6">
    <w:abstractNumId w:val="12"/>
  </w:num>
  <w:num w:numId="7">
    <w:abstractNumId w:val="23"/>
  </w:num>
  <w:num w:numId="8">
    <w:abstractNumId w:val="21"/>
  </w:num>
  <w:num w:numId="9">
    <w:abstractNumId w:val="5"/>
  </w:num>
  <w:num w:numId="10">
    <w:abstractNumId w:val="15"/>
  </w:num>
  <w:num w:numId="11">
    <w:abstractNumId w:val="4"/>
  </w:num>
  <w:num w:numId="12">
    <w:abstractNumId w:val="9"/>
  </w:num>
  <w:num w:numId="13">
    <w:abstractNumId w:val="2"/>
  </w:num>
  <w:num w:numId="14">
    <w:abstractNumId w:val="13"/>
  </w:num>
  <w:num w:numId="15">
    <w:abstractNumId w:val="19"/>
  </w:num>
  <w:num w:numId="16">
    <w:abstractNumId w:val="10"/>
  </w:num>
  <w:num w:numId="17">
    <w:abstractNumId w:val="22"/>
  </w:num>
  <w:num w:numId="18">
    <w:abstractNumId w:val="8"/>
  </w:num>
  <w:num w:numId="19">
    <w:abstractNumId w:val="18"/>
  </w:num>
  <w:num w:numId="20">
    <w:abstractNumId w:val="0"/>
  </w:num>
  <w:num w:numId="21">
    <w:abstractNumId w:val="14"/>
  </w:num>
  <w:num w:numId="22">
    <w:abstractNumId w:val="17"/>
  </w:num>
  <w:num w:numId="23">
    <w:abstractNumId w:val="3"/>
  </w:num>
  <w:num w:numId="24">
    <w:abstractNumId w:val="24"/>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482"/>
    <w:rsid w:val="00014A18"/>
    <w:rsid w:val="00064CB9"/>
    <w:rsid w:val="00084764"/>
    <w:rsid w:val="000D27BC"/>
    <w:rsid w:val="000E725B"/>
    <w:rsid w:val="001148FA"/>
    <w:rsid w:val="001267FE"/>
    <w:rsid w:val="00146712"/>
    <w:rsid w:val="00155C12"/>
    <w:rsid w:val="00162883"/>
    <w:rsid w:val="0016289E"/>
    <w:rsid w:val="00176D5E"/>
    <w:rsid w:val="00197074"/>
    <w:rsid w:val="001A7CFC"/>
    <w:rsid w:val="001C692B"/>
    <w:rsid w:val="001F36EB"/>
    <w:rsid w:val="00223FCA"/>
    <w:rsid w:val="00230C37"/>
    <w:rsid w:val="00256033"/>
    <w:rsid w:val="00265AC2"/>
    <w:rsid w:val="002821A7"/>
    <w:rsid w:val="00282983"/>
    <w:rsid w:val="002853C2"/>
    <w:rsid w:val="00290BE3"/>
    <w:rsid w:val="002A0EFA"/>
    <w:rsid w:val="002E2155"/>
    <w:rsid w:val="002E537F"/>
    <w:rsid w:val="002E7346"/>
    <w:rsid w:val="002F15A2"/>
    <w:rsid w:val="002F6218"/>
    <w:rsid w:val="00312C2F"/>
    <w:rsid w:val="00340877"/>
    <w:rsid w:val="00340B85"/>
    <w:rsid w:val="00357F7B"/>
    <w:rsid w:val="00382B4A"/>
    <w:rsid w:val="003B330B"/>
    <w:rsid w:val="003C74BB"/>
    <w:rsid w:val="003D4060"/>
    <w:rsid w:val="003D7C99"/>
    <w:rsid w:val="00423184"/>
    <w:rsid w:val="00454DC0"/>
    <w:rsid w:val="004B0666"/>
    <w:rsid w:val="004D05E9"/>
    <w:rsid w:val="004D0C1D"/>
    <w:rsid w:val="004E11DA"/>
    <w:rsid w:val="004E43FD"/>
    <w:rsid w:val="004F0B69"/>
    <w:rsid w:val="004F18C3"/>
    <w:rsid w:val="004F6C4D"/>
    <w:rsid w:val="0054448D"/>
    <w:rsid w:val="0058116E"/>
    <w:rsid w:val="00586A59"/>
    <w:rsid w:val="00586EF5"/>
    <w:rsid w:val="00587E21"/>
    <w:rsid w:val="005A1714"/>
    <w:rsid w:val="005B021F"/>
    <w:rsid w:val="005B123B"/>
    <w:rsid w:val="005C0D52"/>
    <w:rsid w:val="005E52FA"/>
    <w:rsid w:val="005E57C6"/>
    <w:rsid w:val="005F6FC5"/>
    <w:rsid w:val="00605EA7"/>
    <w:rsid w:val="00610A86"/>
    <w:rsid w:val="00611B12"/>
    <w:rsid w:val="00623C51"/>
    <w:rsid w:val="00633C33"/>
    <w:rsid w:val="00634883"/>
    <w:rsid w:val="00642CCD"/>
    <w:rsid w:val="006612B4"/>
    <w:rsid w:val="0066450D"/>
    <w:rsid w:val="00682AE0"/>
    <w:rsid w:val="00687926"/>
    <w:rsid w:val="006B46A3"/>
    <w:rsid w:val="006B472D"/>
    <w:rsid w:val="006B677A"/>
    <w:rsid w:val="006C2A1B"/>
    <w:rsid w:val="006C5494"/>
    <w:rsid w:val="006D0EFF"/>
    <w:rsid w:val="006E2AC3"/>
    <w:rsid w:val="006E3D93"/>
    <w:rsid w:val="00700D80"/>
    <w:rsid w:val="007366CF"/>
    <w:rsid w:val="007366F2"/>
    <w:rsid w:val="0075687E"/>
    <w:rsid w:val="007C355A"/>
    <w:rsid w:val="007D2A92"/>
    <w:rsid w:val="00807574"/>
    <w:rsid w:val="0085608F"/>
    <w:rsid w:val="008570E1"/>
    <w:rsid w:val="00886D41"/>
    <w:rsid w:val="008D582D"/>
    <w:rsid w:val="008D7F19"/>
    <w:rsid w:val="008E28F5"/>
    <w:rsid w:val="00930EAE"/>
    <w:rsid w:val="009576E4"/>
    <w:rsid w:val="0097571E"/>
    <w:rsid w:val="00981851"/>
    <w:rsid w:val="00993A77"/>
    <w:rsid w:val="009D4104"/>
    <w:rsid w:val="009F773D"/>
    <w:rsid w:val="00A546E3"/>
    <w:rsid w:val="00A674CE"/>
    <w:rsid w:val="00AC27C4"/>
    <w:rsid w:val="00AF6414"/>
    <w:rsid w:val="00B07732"/>
    <w:rsid w:val="00B144F5"/>
    <w:rsid w:val="00B27DCC"/>
    <w:rsid w:val="00B30482"/>
    <w:rsid w:val="00B32A9F"/>
    <w:rsid w:val="00B347B9"/>
    <w:rsid w:val="00B93E3E"/>
    <w:rsid w:val="00BA127B"/>
    <w:rsid w:val="00BA3A52"/>
    <w:rsid w:val="00BC1BC3"/>
    <w:rsid w:val="00BC4A07"/>
    <w:rsid w:val="00BC66A4"/>
    <w:rsid w:val="00BC7A36"/>
    <w:rsid w:val="00C432F5"/>
    <w:rsid w:val="00C478DD"/>
    <w:rsid w:val="00C558B5"/>
    <w:rsid w:val="00C61E81"/>
    <w:rsid w:val="00C736A1"/>
    <w:rsid w:val="00C773F2"/>
    <w:rsid w:val="00C82E73"/>
    <w:rsid w:val="00C9353A"/>
    <w:rsid w:val="00CA7AF7"/>
    <w:rsid w:val="00CC2797"/>
    <w:rsid w:val="00CC31DF"/>
    <w:rsid w:val="00CE12B9"/>
    <w:rsid w:val="00CE23F8"/>
    <w:rsid w:val="00D068F2"/>
    <w:rsid w:val="00D16B75"/>
    <w:rsid w:val="00D1749B"/>
    <w:rsid w:val="00D2040B"/>
    <w:rsid w:val="00D30303"/>
    <w:rsid w:val="00D36275"/>
    <w:rsid w:val="00D645DE"/>
    <w:rsid w:val="00DB38A8"/>
    <w:rsid w:val="00DC342B"/>
    <w:rsid w:val="00DC3CB2"/>
    <w:rsid w:val="00DE57A2"/>
    <w:rsid w:val="00DF2A55"/>
    <w:rsid w:val="00DF54CD"/>
    <w:rsid w:val="00E01EA6"/>
    <w:rsid w:val="00E12B67"/>
    <w:rsid w:val="00E37B5E"/>
    <w:rsid w:val="00E60FAF"/>
    <w:rsid w:val="00E766D2"/>
    <w:rsid w:val="00E96005"/>
    <w:rsid w:val="00EA42EF"/>
    <w:rsid w:val="00ED7F54"/>
    <w:rsid w:val="00EE2A26"/>
    <w:rsid w:val="00EF0171"/>
    <w:rsid w:val="00F17031"/>
    <w:rsid w:val="00F25649"/>
    <w:rsid w:val="00F35F89"/>
    <w:rsid w:val="00F4642B"/>
    <w:rsid w:val="00F70420"/>
    <w:rsid w:val="00F70430"/>
    <w:rsid w:val="00FC2AA0"/>
    <w:rsid w:val="00FD0635"/>
    <w:rsid w:val="00FD1209"/>
    <w:rsid w:val="00FF2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CFF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73D"/>
    <w:rPr>
      <w:rFonts w:ascii="Times New Roman" w:hAnsi="Times New Roman"/>
      <w:sz w:val="24"/>
    </w:rPr>
  </w:style>
  <w:style w:type="paragraph" w:styleId="Heading1">
    <w:name w:val="heading 1"/>
    <w:basedOn w:val="Normal"/>
    <w:next w:val="Normal"/>
    <w:link w:val="Heading1Char"/>
    <w:autoRedefine/>
    <w:uiPriority w:val="9"/>
    <w:qFormat/>
    <w:rsid w:val="00BA127B"/>
    <w:pPr>
      <w:keepNext/>
      <w:keepLines/>
      <w:spacing w:before="240" w:after="0"/>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5F6FC5"/>
    <w:pPr>
      <w:keepNext/>
      <w:keepLines/>
      <w:spacing w:before="160" w:after="80" w:line="278" w:lineRule="auto"/>
      <w:jc w:val="left"/>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C558B5"/>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F6FC5"/>
    <w:rPr>
      <w:rFonts w:ascii="Times New Roman" w:eastAsiaTheme="majorEastAsia" w:hAnsi="Times New Roman" w:cstheme="majorBidi"/>
      <w:b/>
      <w:sz w:val="28"/>
      <w:szCs w:val="32"/>
    </w:rPr>
  </w:style>
  <w:style w:type="character" w:customStyle="1" w:styleId="Heading1Char">
    <w:name w:val="Heading 1 Char"/>
    <w:basedOn w:val="DefaultParagraphFont"/>
    <w:link w:val="Heading1"/>
    <w:uiPriority w:val="9"/>
    <w:rsid w:val="00BA127B"/>
    <w:rPr>
      <w:rFonts w:ascii="Times New Roman" w:eastAsiaTheme="majorEastAsia" w:hAnsi="Times New Roman" w:cstheme="majorBidi"/>
      <w:b/>
      <w:color w:val="000000" w:themeColor="text1"/>
      <w:sz w:val="32"/>
      <w:szCs w:val="32"/>
      <w:lang w:val="en-US"/>
    </w:rPr>
  </w:style>
  <w:style w:type="character" w:customStyle="1" w:styleId="Heading3Char">
    <w:name w:val="Heading 3 Char"/>
    <w:basedOn w:val="DefaultParagraphFont"/>
    <w:link w:val="Heading3"/>
    <w:uiPriority w:val="9"/>
    <w:rsid w:val="00C558B5"/>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DE57A2"/>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E57A2"/>
    <w:pPr>
      <w:spacing w:after="100"/>
    </w:pPr>
  </w:style>
  <w:style w:type="paragraph" w:styleId="TOC2">
    <w:name w:val="toc 2"/>
    <w:basedOn w:val="Normal"/>
    <w:next w:val="Normal"/>
    <w:autoRedefine/>
    <w:uiPriority w:val="39"/>
    <w:unhideWhenUsed/>
    <w:rsid w:val="00DE57A2"/>
    <w:pPr>
      <w:spacing w:after="100"/>
      <w:ind w:left="240"/>
    </w:pPr>
  </w:style>
  <w:style w:type="character" w:styleId="Hyperlink">
    <w:name w:val="Hyperlink"/>
    <w:basedOn w:val="DefaultParagraphFont"/>
    <w:uiPriority w:val="99"/>
    <w:unhideWhenUsed/>
    <w:rsid w:val="00DE57A2"/>
    <w:rPr>
      <w:color w:val="0563C1" w:themeColor="hyperlink"/>
      <w:u w:val="single"/>
    </w:rPr>
  </w:style>
  <w:style w:type="paragraph" w:styleId="TOC3">
    <w:name w:val="toc 3"/>
    <w:basedOn w:val="Normal"/>
    <w:next w:val="Normal"/>
    <w:autoRedefine/>
    <w:uiPriority w:val="39"/>
    <w:unhideWhenUsed/>
    <w:rsid w:val="00E766D2"/>
    <w:pPr>
      <w:spacing w:after="100"/>
      <w:ind w:left="480"/>
    </w:pPr>
  </w:style>
  <w:style w:type="character" w:styleId="UnresolvedMention">
    <w:name w:val="Unresolved Mention"/>
    <w:basedOn w:val="DefaultParagraphFont"/>
    <w:uiPriority w:val="99"/>
    <w:semiHidden/>
    <w:unhideWhenUsed/>
    <w:rsid w:val="00162883"/>
    <w:rPr>
      <w:color w:val="605E5C"/>
      <w:shd w:val="clear" w:color="auto" w:fill="E1DFDD"/>
    </w:rPr>
  </w:style>
  <w:style w:type="paragraph" w:customStyle="1" w:styleId="whitespace-normal">
    <w:name w:val="whitespace-normal"/>
    <w:basedOn w:val="Normal"/>
    <w:rsid w:val="00B27DCC"/>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42318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23184"/>
    <w:rPr>
      <w:rFonts w:ascii="Times New Roman" w:hAnsi="Times New Roman"/>
      <w:sz w:val="24"/>
    </w:rPr>
  </w:style>
  <w:style w:type="paragraph" w:styleId="Footer">
    <w:name w:val="footer"/>
    <w:basedOn w:val="Normal"/>
    <w:link w:val="FooterChar"/>
    <w:uiPriority w:val="99"/>
    <w:unhideWhenUsed/>
    <w:rsid w:val="0042318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23184"/>
    <w:rPr>
      <w:rFonts w:ascii="Times New Roman" w:hAnsi="Times New Roman"/>
      <w:sz w:val="24"/>
    </w:rPr>
  </w:style>
  <w:style w:type="table" w:styleId="TableGrid">
    <w:name w:val="Table Grid"/>
    <w:basedOn w:val="TableNormal"/>
    <w:uiPriority w:val="39"/>
    <w:rsid w:val="001C692B"/>
    <w:pPr>
      <w:spacing w:before="0" w:after="0" w:line="240" w:lineRule="auto"/>
      <w:jc w:val="left"/>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6755">
      <w:bodyDiv w:val="1"/>
      <w:marLeft w:val="0"/>
      <w:marRight w:val="0"/>
      <w:marTop w:val="0"/>
      <w:marBottom w:val="0"/>
      <w:divBdr>
        <w:top w:val="none" w:sz="0" w:space="0" w:color="auto"/>
        <w:left w:val="none" w:sz="0" w:space="0" w:color="auto"/>
        <w:bottom w:val="none" w:sz="0" w:space="0" w:color="auto"/>
        <w:right w:val="none" w:sz="0" w:space="0" w:color="auto"/>
      </w:divBdr>
    </w:div>
    <w:div w:id="67315430">
      <w:bodyDiv w:val="1"/>
      <w:marLeft w:val="0"/>
      <w:marRight w:val="0"/>
      <w:marTop w:val="0"/>
      <w:marBottom w:val="0"/>
      <w:divBdr>
        <w:top w:val="none" w:sz="0" w:space="0" w:color="auto"/>
        <w:left w:val="none" w:sz="0" w:space="0" w:color="auto"/>
        <w:bottom w:val="none" w:sz="0" w:space="0" w:color="auto"/>
        <w:right w:val="none" w:sz="0" w:space="0" w:color="auto"/>
      </w:divBdr>
    </w:div>
    <w:div w:id="86311174">
      <w:bodyDiv w:val="1"/>
      <w:marLeft w:val="0"/>
      <w:marRight w:val="0"/>
      <w:marTop w:val="0"/>
      <w:marBottom w:val="0"/>
      <w:divBdr>
        <w:top w:val="none" w:sz="0" w:space="0" w:color="auto"/>
        <w:left w:val="none" w:sz="0" w:space="0" w:color="auto"/>
        <w:bottom w:val="none" w:sz="0" w:space="0" w:color="auto"/>
        <w:right w:val="none" w:sz="0" w:space="0" w:color="auto"/>
      </w:divBdr>
    </w:div>
    <w:div w:id="90854795">
      <w:bodyDiv w:val="1"/>
      <w:marLeft w:val="0"/>
      <w:marRight w:val="0"/>
      <w:marTop w:val="0"/>
      <w:marBottom w:val="0"/>
      <w:divBdr>
        <w:top w:val="none" w:sz="0" w:space="0" w:color="auto"/>
        <w:left w:val="none" w:sz="0" w:space="0" w:color="auto"/>
        <w:bottom w:val="none" w:sz="0" w:space="0" w:color="auto"/>
        <w:right w:val="none" w:sz="0" w:space="0" w:color="auto"/>
      </w:divBdr>
    </w:div>
    <w:div w:id="90901293">
      <w:bodyDiv w:val="1"/>
      <w:marLeft w:val="0"/>
      <w:marRight w:val="0"/>
      <w:marTop w:val="0"/>
      <w:marBottom w:val="0"/>
      <w:divBdr>
        <w:top w:val="none" w:sz="0" w:space="0" w:color="auto"/>
        <w:left w:val="none" w:sz="0" w:space="0" w:color="auto"/>
        <w:bottom w:val="none" w:sz="0" w:space="0" w:color="auto"/>
        <w:right w:val="none" w:sz="0" w:space="0" w:color="auto"/>
      </w:divBdr>
    </w:div>
    <w:div w:id="95835647">
      <w:bodyDiv w:val="1"/>
      <w:marLeft w:val="0"/>
      <w:marRight w:val="0"/>
      <w:marTop w:val="0"/>
      <w:marBottom w:val="0"/>
      <w:divBdr>
        <w:top w:val="none" w:sz="0" w:space="0" w:color="auto"/>
        <w:left w:val="none" w:sz="0" w:space="0" w:color="auto"/>
        <w:bottom w:val="none" w:sz="0" w:space="0" w:color="auto"/>
        <w:right w:val="none" w:sz="0" w:space="0" w:color="auto"/>
      </w:divBdr>
    </w:div>
    <w:div w:id="126364125">
      <w:bodyDiv w:val="1"/>
      <w:marLeft w:val="0"/>
      <w:marRight w:val="0"/>
      <w:marTop w:val="0"/>
      <w:marBottom w:val="0"/>
      <w:divBdr>
        <w:top w:val="none" w:sz="0" w:space="0" w:color="auto"/>
        <w:left w:val="none" w:sz="0" w:space="0" w:color="auto"/>
        <w:bottom w:val="none" w:sz="0" w:space="0" w:color="auto"/>
        <w:right w:val="none" w:sz="0" w:space="0" w:color="auto"/>
      </w:divBdr>
    </w:div>
    <w:div w:id="134613205">
      <w:bodyDiv w:val="1"/>
      <w:marLeft w:val="0"/>
      <w:marRight w:val="0"/>
      <w:marTop w:val="0"/>
      <w:marBottom w:val="0"/>
      <w:divBdr>
        <w:top w:val="none" w:sz="0" w:space="0" w:color="auto"/>
        <w:left w:val="none" w:sz="0" w:space="0" w:color="auto"/>
        <w:bottom w:val="none" w:sz="0" w:space="0" w:color="auto"/>
        <w:right w:val="none" w:sz="0" w:space="0" w:color="auto"/>
      </w:divBdr>
    </w:div>
    <w:div w:id="148787940">
      <w:bodyDiv w:val="1"/>
      <w:marLeft w:val="0"/>
      <w:marRight w:val="0"/>
      <w:marTop w:val="0"/>
      <w:marBottom w:val="0"/>
      <w:divBdr>
        <w:top w:val="none" w:sz="0" w:space="0" w:color="auto"/>
        <w:left w:val="none" w:sz="0" w:space="0" w:color="auto"/>
        <w:bottom w:val="none" w:sz="0" w:space="0" w:color="auto"/>
        <w:right w:val="none" w:sz="0" w:space="0" w:color="auto"/>
      </w:divBdr>
    </w:div>
    <w:div w:id="166988925">
      <w:bodyDiv w:val="1"/>
      <w:marLeft w:val="0"/>
      <w:marRight w:val="0"/>
      <w:marTop w:val="0"/>
      <w:marBottom w:val="0"/>
      <w:divBdr>
        <w:top w:val="none" w:sz="0" w:space="0" w:color="auto"/>
        <w:left w:val="none" w:sz="0" w:space="0" w:color="auto"/>
        <w:bottom w:val="none" w:sz="0" w:space="0" w:color="auto"/>
        <w:right w:val="none" w:sz="0" w:space="0" w:color="auto"/>
      </w:divBdr>
    </w:div>
    <w:div w:id="241306247">
      <w:bodyDiv w:val="1"/>
      <w:marLeft w:val="0"/>
      <w:marRight w:val="0"/>
      <w:marTop w:val="0"/>
      <w:marBottom w:val="0"/>
      <w:divBdr>
        <w:top w:val="none" w:sz="0" w:space="0" w:color="auto"/>
        <w:left w:val="none" w:sz="0" w:space="0" w:color="auto"/>
        <w:bottom w:val="none" w:sz="0" w:space="0" w:color="auto"/>
        <w:right w:val="none" w:sz="0" w:space="0" w:color="auto"/>
      </w:divBdr>
    </w:div>
    <w:div w:id="266232727">
      <w:bodyDiv w:val="1"/>
      <w:marLeft w:val="0"/>
      <w:marRight w:val="0"/>
      <w:marTop w:val="0"/>
      <w:marBottom w:val="0"/>
      <w:divBdr>
        <w:top w:val="none" w:sz="0" w:space="0" w:color="auto"/>
        <w:left w:val="none" w:sz="0" w:space="0" w:color="auto"/>
        <w:bottom w:val="none" w:sz="0" w:space="0" w:color="auto"/>
        <w:right w:val="none" w:sz="0" w:space="0" w:color="auto"/>
      </w:divBdr>
    </w:div>
    <w:div w:id="352192820">
      <w:bodyDiv w:val="1"/>
      <w:marLeft w:val="0"/>
      <w:marRight w:val="0"/>
      <w:marTop w:val="0"/>
      <w:marBottom w:val="0"/>
      <w:divBdr>
        <w:top w:val="none" w:sz="0" w:space="0" w:color="auto"/>
        <w:left w:val="none" w:sz="0" w:space="0" w:color="auto"/>
        <w:bottom w:val="none" w:sz="0" w:space="0" w:color="auto"/>
        <w:right w:val="none" w:sz="0" w:space="0" w:color="auto"/>
      </w:divBdr>
    </w:div>
    <w:div w:id="381250565">
      <w:bodyDiv w:val="1"/>
      <w:marLeft w:val="0"/>
      <w:marRight w:val="0"/>
      <w:marTop w:val="0"/>
      <w:marBottom w:val="0"/>
      <w:divBdr>
        <w:top w:val="none" w:sz="0" w:space="0" w:color="auto"/>
        <w:left w:val="none" w:sz="0" w:space="0" w:color="auto"/>
        <w:bottom w:val="none" w:sz="0" w:space="0" w:color="auto"/>
        <w:right w:val="none" w:sz="0" w:space="0" w:color="auto"/>
      </w:divBdr>
      <w:divsChild>
        <w:div w:id="2053114411">
          <w:marLeft w:val="0"/>
          <w:marRight w:val="0"/>
          <w:marTop w:val="0"/>
          <w:marBottom w:val="0"/>
          <w:divBdr>
            <w:top w:val="single" w:sz="2" w:space="0" w:color="auto"/>
            <w:left w:val="single" w:sz="2" w:space="0" w:color="auto"/>
            <w:bottom w:val="single" w:sz="2" w:space="0" w:color="auto"/>
            <w:right w:val="single" w:sz="2" w:space="0" w:color="auto"/>
          </w:divBdr>
          <w:divsChild>
            <w:div w:id="1718166210">
              <w:marLeft w:val="0"/>
              <w:marRight w:val="0"/>
              <w:marTop w:val="0"/>
              <w:marBottom w:val="0"/>
              <w:divBdr>
                <w:top w:val="single" w:sz="2" w:space="0" w:color="auto"/>
                <w:left w:val="single" w:sz="2" w:space="0" w:color="auto"/>
                <w:bottom w:val="single" w:sz="2" w:space="0" w:color="auto"/>
                <w:right w:val="single" w:sz="2" w:space="0" w:color="auto"/>
              </w:divBdr>
              <w:divsChild>
                <w:div w:id="13382661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65593358">
          <w:marLeft w:val="0"/>
          <w:marRight w:val="0"/>
          <w:marTop w:val="0"/>
          <w:marBottom w:val="0"/>
          <w:divBdr>
            <w:top w:val="single" w:sz="2" w:space="0" w:color="auto"/>
            <w:left w:val="single" w:sz="2" w:space="0" w:color="auto"/>
            <w:bottom w:val="single" w:sz="2" w:space="0" w:color="auto"/>
            <w:right w:val="single" w:sz="2" w:space="0" w:color="auto"/>
          </w:divBdr>
          <w:divsChild>
            <w:div w:id="336663551">
              <w:marLeft w:val="0"/>
              <w:marRight w:val="0"/>
              <w:marTop w:val="0"/>
              <w:marBottom w:val="0"/>
              <w:divBdr>
                <w:top w:val="single" w:sz="2" w:space="0" w:color="auto"/>
                <w:left w:val="single" w:sz="2" w:space="0" w:color="auto"/>
                <w:bottom w:val="single" w:sz="2" w:space="0" w:color="auto"/>
                <w:right w:val="single" w:sz="2" w:space="0" w:color="auto"/>
              </w:divBdr>
              <w:divsChild>
                <w:div w:id="8111708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01706872">
          <w:marLeft w:val="0"/>
          <w:marRight w:val="0"/>
          <w:marTop w:val="0"/>
          <w:marBottom w:val="0"/>
          <w:divBdr>
            <w:top w:val="single" w:sz="2" w:space="0" w:color="auto"/>
            <w:left w:val="single" w:sz="2" w:space="0" w:color="auto"/>
            <w:bottom w:val="single" w:sz="2" w:space="0" w:color="auto"/>
            <w:right w:val="single" w:sz="2" w:space="0" w:color="auto"/>
          </w:divBdr>
          <w:divsChild>
            <w:div w:id="52125714">
              <w:marLeft w:val="0"/>
              <w:marRight w:val="0"/>
              <w:marTop w:val="0"/>
              <w:marBottom w:val="0"/>
              <w:divBdr>
                <w:top w:val="single" w:sz="2" w:space="6" w:color="auto"/>
                <w:left w:val="single" w:sz="2" w:space="0" w:color="auto"/>
                <w:bottom w:val="single" w:sz="2" w:space="0" w:color="auto"/>
                <w:right w:val="single" w:sz="2" w:space="0" w:color="auto"/>
              </w:divBdr>
            </w:div>
          </w:divsChild>
        </w:div>
        <w:div w:id="992485857">
          <w:marLeft w:val="0"/>
          <w:marRight w:val="0"/>
          <w:marTop w:val="0"/>
          <w:marBottom w:val="0"/>
          <w:divBdr>
            <w:top w:val="single" w:sz="2" w:space="0" w:color="auto"/>
            <w:left w:val="single" w:sz="2" w:space="0" w:color="auto"/>
            <w:bottom w:val="single" w:sz="2" w:space="0" w:color="auto"/>
            <w:right w:val="single" w:sz="2" w:space="0" w:color="auto"/>
          </w:divBdr>
          <w:divsChild>
            <w:div w:id="1940868443">
              <w:marLeft w:val="0"/>
              <w:marRight w:val="0"/>
              <w:marTop w:val="0"/>
              <w:marBottom w:val="0"/>
              <w:divBdr>
                <w:top w:val="single" w:sz="2" w:space="0" w:color="auto"/>
                <w:left w:val="single" w:sz="2" w:space="0" w:color="auto"/>
                <w:bottom w:val="single" w:sz="2" w:space="0" w:color="auto"/>
                <w:right w:val="single" w:sz="2" w:space="0" w:color="auto"/>
              </w:divBdr>
              <w:divsChild>
                <w:div w:id="12762515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786880">
          <w:marLeft w:val="0"/>
          <w:marRight w:val="0"/>
          <w:marTop w:val="0"/>
          <w:marBottom w:val="0"/>
          <w:divBdr>
            <w:top w:val="single" w:sz="2" w:space="0" w:color="auto"/>
            <w:left w:val="single" w:sz="2" w:space="0" w:color="auto"/>
            <w:bottom w:val="single" w:sz="2" w:space="0" w:color="auto"/>
            <w:right w:val="single" w:sz="2" w:space="0" w:color="auto"/>
          </w:divBdr>
          <w:divsChild>
            <w:div w:id="916207967">
              <w:marLeft w:val="0"/>
              <w:marRight w:val="0"/>
              <w:marTop w:val="0"/>
              <w:marBottom w:val="0"/>
              <w:divBdr>
                <w:top w:val="single" w:sz="2" w:space="6" w:color="auto"/>
                <w:left w:val="single" w:sz="2" w:space="0" w:color="auto"/>
                <w:bottom w:val="single" w:sz="2" w:space="0" w:color="auto"/>
                <w:right w:val="single" w:sz="2" w:space="0" w:color="auto"/>
              </w:divBdr>
            </w:div>
          </w:divsChild>
        </w:div>
        <w:div w:id="686250998">
          <w:marLeft w:val="0"/>
          <w:marRight w:val="0"/>
          <w:marTop w:val="0"/>
          <w:marBottom w:val="0"/>
          <w:divBdr>
            <w:top w:val="single" w:sz="2" w:space="0" w:color="auto"/>
            <w:left w:val="single" w:sz="2" w:space="0" w:color="auto"/>
            <w:bottom w:val="single" w:sz="2" w:space="0" w:color="auto"/>
            <w:right w:val="single" w:sz="2" w:space="0" w:color="auto"/>
          </w:divBdr>
          <w:divsChild>
            <w:div w:id="1175263378">
              <w:marLeft w:val="0"/>
              <w:marRight w:val="0"/>
              <w:marTop w:val="0"/>
              <w:marBottom w:val="0"/>
              <w:divBdr>
                <w:top w:val="single" w:sz="2" w:space="0" w:color="auto"/>
                <w:left w:val="single" w:sz="2" w:space="0" w:color="auto"/>
                <w:bottom w:val="single" w:sz="2" w:space="0" w:color="auto"/>
                <w:right w:val="single" w:sz="2" w:space="0" w:color="auto"/>
              </w:divBdr>
              <w:divsChild>
                <w:div w:id="3756687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87806913">
      <w:bodyDiv w:val="1"/>
      <w:marLeft w:val="0"/>
      <w:marRight w:val="0"/>
      <w:marTop w:val="0"/>
      <w:marBottom w:val="0"/>
      <w:divBdr>
        <w:top w:val="none" w:sz="0" w:space="0" w:color="auto"/>
        <w:left w:val="none" w:sz="0" w:space="0" w:color="auto"/>
        <w:bottom w:val="none" w:sz="0" w:space="0" w:color="auto"/>
        <w:right w:val="none" w:sz="0" w:space="0" w:color="auto"/>
      </w:divBdr>
    </w:div>
    <w:div w:id="390153499">
      <w:bodyDiv w:val="1"/>
      <w:marLeft w:val="0"/>
      <w:marRight w:val="0"/>
      <w:marTop w:val="0"/>
      <w:marBottom w:val="0"/>
      <w:divBdr>
        <w:top w:val="none" w:sz="0" w:space="0" w:color="auto"/>
        <w:left w:val="none" w:sz="0" w:space="0" w:color="auto"/>
        <w:bottom w:val="none" w:sz="0" w:space="0" w:color="auto"/>
        <w:right w:val="none" w:sz="0" w:space="0" w:color="auto"/>
      </w:divBdr>
    </w:div>
    <w:div w:id="421411681">
      <w:bodyDiv w:val="1"/>
      <w:marLeft w:val="0"/>
      <w:marRight w:val="0"/>
      <w:marTop w:val="0"/>
      <w:marBottom w:val="0"/>
      <w:divBdr>
        <w:top w:val="none" w:sz="0" w:space="0" w:color="auto"/>
        <w:left w:val="none" w:sz="0" w:space="0" w:color="auto"/>
        <w:bottom w:val="none" w:sz="0" w:space="0" w:color="auto"/>
        <w:right w:val="none" w:sz="0" w:space="0" w:color="auto"/>
      </w:divBdr>
    </w:div>
    <w:div w:id="422067146">
      <w:bodyDiv w:val="1"/>
      <w:marLeft w:val="0"/>
      <w:marRight w:val="0"/>
      <w:marTop w:val="0"/>
      <w:marBottom w:val="0"/>
      <w:divBdr>
        <w:top w:val="none" w:sz="0" w:space="0" w:color="auto"/>
        <w:left w:val="none" w:sz="0" w:space="0" w:color="auto"/>
        <w:bottom w:val="none" w:sz="0" w:space="0" w:color="auto"/>
        <w:right w:val="none" w:sz="0" w:space="0" w:color="auto"/>
      </w:divBdr>
    </w:div>
    <w:div w:id="433331958">
      <w:bodyDiv w:val="1"/>
      <w:marLeft w:val="0"/>
      <w:marRight w:val="0"/>
      <w:marTop w:val="0"/>
      <w:marBottom w:val="0"/>
      <w:divBdr>
        <w:top w:val="none" w:sz="0" w:space="0" w:color="auto"/>
        <w:left w:val="none" w:sz="0" w:space="0" w:color="auto"/>
        <w:bottom w:val="none" w:sz="0" w:space="0" w:color="auto"/>
        <w:right w:val="none" w:sz="0" w:space="0" w:color="auto"/>
      </w:divBdr>
    </w:div>
    <w:div w:id="448209565">
      <w:bodyDiv w:val="1"/>
      <w:marLeft w:val="0"/>
      <w:marRight w:val="0"/>
      <w:marTop w:val="0"/>
      <w:marBottom w:val="0"/>
      <w:divBdr>
        <w:top w:val="none" w:sz="0" w:space="0" w:color="auto"/>
        <w:left w:val="none" w:sz="0" w:space="0" w:color="auto"/>
        <w:bottom w:val="none" w:sz="0" w:space="0" w:color="auto"/>
        <w:right w:val="none" w:sz="0" w:space="0" w:color="auto"/>
      </w:divBdr>
    </w:div>
    <w:div w:id="450709485">
      <w:bodyDiv w:val="1"/>
      <w:marLeft w:val="0"/>
      <w:marRight w:val="0"/>
      <w:marTop w:val="0"/>
      <w:marBottom w:val="0"/>
      <w:divBdr>
        <w:top w:val="none" w:sz="0" w:space="0" w:color="auto"/>
        <w:left w:val="none" w:sz="0" w:space="0" w:color="auto"/>
        <w:bottom w:val="none" w:sz="0" w:space="0" w:color="auto"/>
        <w:right w:val="none" w:sz="0" w:space="0" w:color="auto"/>
      </w:divBdr>
    </w:div>
    <w:div w:id="463429462">
      <w:bodyDiv w:val="1"/>
      <w:marLeft w:val="0"/>
      <w:marRight w:val="0"/>
      <w:marTop w:val="0"/>
      <w:marBottom w:val="0"/>
      <w:divBdr>
        <w:top w:val="none" w:sz="0" w:space="0" w:color="auto"/>
        <w:left w:val="none" w:sz="0" w:space="0" w:color="auto"/>
        <w:bottom w:val="none" w:sz="0" w:space="0" w:color="auto"/>
        <w:right w:val="none" w:sz="0" w:space="0" w:color="auto"/>
      </w:divBdr>
    </w:div>
    <w:div w:id="469370763">
      <w:bodyDiv w:val="1"/>
      <w:marLeft w:val="0"/>
      <w:marRight w:val="0"/>
      <w:marTop w:val="0"/>
      <w:marBottom w:val="0"/>
      <w:divBdr>
        <w:top w:val="none" w:sz="0" w:space="0" w:color="auto"/>
        <w:left w:val="none" w:sz="0" w:space="0" w:color="auto"/>
        <w:bottom w:val="none" w:sz="0" w:space="0" w:color="auto"/>
        <w:right w:val="none" w:sz="0" w:space="0" w:color="auto"/>
      </w:divBdr>
    </w:div>
    <w:div w:id="480386746">
      <w:bodyDiv w:val="1"/>
      <w:marLeft w:val="0"/>
      <w:marRight w:val="0"/>
      <w:marTop w:val="0"/>
      <w:marBottom w:val="0"/>
      <w:divBdr>
        <w:top w:val="none" w:sz="0" w:space="0" w:color="auto"/>
        <w:left w:val="none" w:sz="0" w:space="0" w:color="auto"/>
        <w:bottom w:val="none" w:sz="0" w:space="0" w:color="auto"/>
        <w:right w:val="none" w:sz="0" w:space="0" w:color="auto"/>
      </w:divBdr>
    </w:div>
    <w:div w:id="491337797">
      <w:bodyDiv w:val="1"/>
      <w:marLeft w:val="0"/>
      <w:marRight w:val="0"/>
      <w:marTop w:val="0"/>
      <w:marBottom w:val="0"/>
      <w:divBdr>
        <w:top w:val="none" w:sz="0" w:space="0" w:color="auto"/>
        <w:left w:val="none" w:sz="0" w:space="0" w:color="auto"/>
        <w:bottom w:val="none" w:sz="0" w:space="0" w:color="auto"/>
        <w:right w:val="none" w:sz="0" w:space="0" w:color="auto"/>
      </w:divBdr>
    </w:div>
    <w:div w:id="510030924">
      <w:bodyDiv w:val="1"/>
      <w:marLeft w:val="0"/>
      <w:marRight w:val="0"/>
      <w:marTop w:val="0"/>
      <w:marBottom w:val="0"/>
      <w:divBdr>
        <w:top w:val="none" w:sz="0" w:space="0" w:color="auto"/>
        <w:left w:val="none" w:sz="0" w:space="0" w:color="auto"/>
        <w:bottom w:val="none" w:sz="0" w:space="0" w:color="auto"/>
        <w:right w:val="none" w:sz="0" w:space="0" w:color="auto"/>
      </w:divBdr>
    </w:div>
    <w:div w:id="526262816">
      <w:bodyDiv w:val="1"/>
      <w:marLeft w:val="0"/>
      <w:marRight w:val="0"/>
      <w:marTop w:val="0"/>
      <w:marBottom w:val="0"/>
      <w:divBdr>
        <w:top w:val="none" w:sz="0" w:space="0" w:color="auto"/>
        <w:left w:val="none" w:sz="0" w:space="0" w:color="auto"/>
        <w:bottom w:val="none" w:sz="0" w:space="0" w:color="auto"/>
        <w:right w:val="none" w:sz="0" w:space="0" w:color="auto"/>
      </w:divBdr>
    </w:div>
    <w:div w:id="541402333">
      <w:bodyDiv w:val="1"/>
      <w:marLeft w:val="0"/>
      <w:marRight w:val="0"/>
      <w:marTop w:val="0"/>
      <w:marBottom w:val="0"/>
      <w:divBdr>
        <w:top w:val="none" w:sz="0" w:space="0" w:color="auto"/>
        <w:left w:val="none" w:sz="0" w:space="0" w:color="auto"/>
        <w:bottom w:val="none" w:sz="0" w:space="0" w:color="auto"/>
        <w:right w:val="none" w:sz="0" w:space="0" w:color="auto"/>
      </w:divBdr>
    </w:div>
    <w:div w:id="563756277">
      <w:bodyDiv w:val="1"/>
      <w:marLeft w:val="0"/>
      <w:marRight w:val="0"/>
      <w:marTop w:val="0"/>
      <w:marBottom w:val="0"/>
      <w:divBdr>
        <w:top w:val="none" w:sz="0" w:space="0" w:color="auto"/>
        <w:left w:val="none" w:sz="0" w:space="0" w:color="auto"/>
        <w:bottom w:val="none" w:sz="0" w:space="0" w:color="auto"/>
        <w:right w:val="none" w:sz="0" w:space="0" w:color="auto"/>
      </w:divBdr>
    </w:div>
    <w:div w:id="571889745">
      <w:bodyDiv w:val="1"/>
      <w:marLeft w:val="0"/>
      <w:marRight w:val="0"/>
      <w:marTop w:val="0"/>
      <w:marBottom w:val="0"/>
      <w:divBdr>
        <w:top w:val="none" w:sz="0" w:space="0" w:color="auto"/>
        <w:left w:val="none" w:sz="0" w:space="0" w:color="auto"/>
        <w:bottom w:val="none" w:sz="0" w:space="0" w:color="auto"/>
        <w:right w:val="none" w:sz="0" w:space="0" w:color="auto"/>
      </w:divBdr>
    </w:div>
    <w:div w:id="584732188">
      <w:bodyDiv w:val="1"/>
      <w:marLeft w:val="0"/>
      <w:marRight w:val="0"/>
      <w:marTop w:val="0"/>
      <w:marBottom w:val="0"/>
      <w:divBdr>
        <w:top w:val="none" w:sz="0" w:space="0" w:color="auto"/>
        <w:left w:val="none" w:sz="0" w:space="0" w:color="auto"/>
        <w:bottom w:val="none" w:sz="0" w:space="0" w:color="auto"/>
        <w:right w:val="none" w:sz="0" w:space="0" w:color="auto"/>
      </w:divBdr>
    </w:div>
    <w:div w:id="605119901">
      <w:bodyDiv w:val="1"/>
      <w:marLeft w:val="0"/>
      <w:marRight w:val="0"/>
      <w:marTop w:val="0"/>
      <w:marBottom w:val="0"/>
      <w:divBdr>
        <w:top w:val="none" w:sz="0" w:space="0" w:color="auto"/>
        <w:left w:val="none" w:sz="0" w:space="0" w:color="auto"/>
        <w:bottom w:val="none" w:sz="0" w:space="0" w:color="auto"/>
        <w:right w:val="none" w:sz="0" w:space="0" w:color="auto"/>
      </w:divBdr>
    </w:div>
    <w:div w:id="628517812">
      <w:bodyDiv w:val="1"/>
      <w:marLeft w:val="0"/>
      <w:marRight w:val="0"/>
      <w:marTop w:val="0"/>
      <w:marBottom w:val="0"/>
      <w:divBdr>
        <w:top w:val="none" w:sz="0" w:space="0" w:color="auto"/>
        <w:left w:val="none" w:sz="0" w:space="0" w:color="auto"/>
        <w:bottom w:val="none" w:sz="0" w:space="0" w:color="auto"/>
        <w:right w:val="none" w:sz="0" w:space="0" w:color="auto"/>
      </w:divBdr>
    </w:div>
    <w:div w:id="637803695">
      <w:bodyDiv w:val="1"/>
      <w:marLeft w:val="0"/>
      <w:marRight w:val="0"/>
      <w:marTop w:val="0"/>
      <w:marBottom w:val="0"/>
      <w:divBdr>
        <w:top w:val="none" w:sz="0" w:space="0" w:color="auto"/>
        <w:left w:val="none" w:sz="0" w:space="0" w:color="auto"/>
        <w:bottom w:val="none" w:sz="0" w:space="0" w:color="auto"/>
        <w:right w:val="none" w:sz="0" w:space="0" w:color="auto"/>
      </w:divBdr>
    </w:div>
    <w:div w:id="661005882">
      <w:bodyDiv w:val="1"/>
      <w:marLeft w:val="0"/>
      <w:marRight w:val="0"/>
      <w:marTop w:val="0"/>
      <w:marBottom w:val="0"/>
      <w:divBdr>
        <w:top w:val="none" w:sz="0" w:space="0" w:color="auto"/>
        <w:left w:val="none" w:sz="0" w:space="0" w:color="auto"/>
        <w:bottom w:val="none" w:sz="0" w:space="0" w:color="auto"/>
        <w:right w:val="none" w:sz="0" w:space="0" w:color="auto"/>
      </w:divBdr>
    </w:div>
    <w:div w:id="663899909">
      <w:bodyDiv w:val="1"/>
      <w:marLeft w:val="0"/>
      <w:marRight w:val="0"/>
      <w:marTop w:val="0"/>
      <w:marBottom w:val="0"/>
      <w:divBdr>
        <w:top w:val="none" w:sz="0" w:space="0" w:color="auto"/>
        <w:left w:val="none" w:sz="0" w:space="0" w:color="auto"/>
        <w:bottom w:val="none" w:sz="0" w:space="0" w:color="auto"/>
        <w:right w:val="none" w:sz="0" w:space="0" w:color="auto"/>
      </w:divBdr>
    </w:div>
    <w:div w:id="695934023">
      <w:bodyDiv w:val="1"/>
      <w:marLeft w:val="0"/>
      <w:marRight w:val="0"/>
      <w:marTop w:val="0"/>
      <w:marBottom w:val="0"/>
      <w:divBdr>
        <w:top w:val="none" w:sz="0" w:space="0" w:color="auto"/>
        <w:left w:val="none" w:sz="0" w:space="0" w:color="auto"/>
        <w:bottom w:val="none" w:sz="0" w:space="0" w:color="auto"/>
        <w:right w:val="none" w:sz="0" w:space="0" w:color="auto"/>
      </w:divBdr>
    </w:div>
    <w:div w:id="796491341">
      <w:bodyDiv w:val="1"/>
      <w:marLeft w:val="0"/>
      <w:marRight w:val="0"/>
      <w:marTop w:val="0"/>
      <w:marBottom w:val="0"/>
      <w:divBdr>
        <w:top w:val="none" w:sz="0" w:space="0" w:color="auto"/>
        <w:left w:val="none" w:sz="0" w:space="0" w:color="auto"/>
        <w:bottom w:val="none" w:sz="0" w:space="0" w:color="auto"/>
        <w:right w:val="none" w:sz="0" w:space="0" w:color="auto"/>
      </w:divBdr>
    </w:div>
    <w:div w:id="815610402">
      <w:bodyDiv w:val="1"/>
      <w:marLeft w:val="0"/>
      <w:marRight w:val="0"/>
      <w:marTop w:val="0"/>
      <w:marBottom w:val="0"/>
      <w:divBdr>
        <w:top w:val="none" w:sz="0" w:space="0" w:color="auto"/>
        <w:left w:val="none" w:sz="0" w:space="0" w:color="auto"/>
        <w:bottom w:val="none" w:sz="0" w:space="0" w:color="auto"/>
        <w:right w:val="none" w:sz="0" w:space="0" w:color="auto"/>
      </w:divBdr>
    </w:div>
    <w:div w:id="819269417">
      <w:bodyDiv w:val="1"/>
      <w:marLeft w:val="0"/>
      <w:marRight w:val="0"/>
      <w:marTop w:val="0"/>
      <w:marBottom w:val="0"/>
      <w:divBdr>
        <w:top w:val="none" w:sz="0" w:space="0" w:color="auto"/>
        <w:left w:val="none" w:sz="0" w:space="0" w:color="auto"/>
        <w:bottom w:val="none" w:sz="0" w:space="0" w:color="auto"/>
        <w:right w:val="none" w:sz="0" w:space="0" w:color="auto"/>
      </w:divBdr>
    </w:div>
    <w:div w:id="822089147">
      <w:bodyDiv w:val="1"/>
      <w:marLeft w:val="0"/>
      <w:marRight w:val="0"/>
      <w:marTop w:val="0"/>
      <w:marBottom w:val="0"/>
      <w:divBdr>
        <w:top w:val="none" w:sz="0" w:space="0" w:color="auto"/>
        <w:left w:val="none" w:sz="0" w:space="0" w:color="auto"/>
        <w:bottom w:val="none" w:sz="0" w:space="0" w:color="auto"/>
        <w:right w:val="none" w:sz="0" w:space="0" w:color="auto"/>
      </w:divBdr>
      <w:divsChild>
        <w:div w:id="1105466833">
          <w:marLeft w:val="0"/>
          <w:marRight w:val="0"/>
          <w:marTop w:val="0"/>
          <w:marBottom w:val="0"/>
          <w:divBdr>
            <w:top w:val="single" w:sz="2" w:space="0" w:color="auto"/>
            <w:left w:val="single" w:sz="2" w:space="0" w:color="auto"/>
            <w:bottom w:val="single" w:sz="2" w:space="0" w:color="auto"/>
            <w:right w:val="single" w:sz="2" w:space="0" w:color="auto"/>
          </w:divBdr>
          <w:divsChild>
            <w:div w:id="371077092">
              <w:marLeft w:val="0"/>
              <w:marRight w:val="0"/>
              <w:marTop w:val="0"/>
              <w:marBottom w:val="0"/>
              <w:divBdr>
                <w:top w:val="single" w:sz="2" w:space="0" w:color="auto"/>
                <w:left w:val="single" w:sz="2" w:space="0" w:color="auto"/>
                <w:bottom w:val="single" w:sz="2" w:space="0" w:color="auto"/>
                <w:right w:val="single" w:sz="2" w:space="0" w:color="auto"/>
              </w:divBdr>
            </w:div>
          </w:divsChild>
        </w:div>
        <w:div w:id="1759907574">
          <w:marLeft w:val="0"/>
          <w:marRight w:val="0"/>
          <w:marTop w:val="0"/>
          <w:marBottom w:val="0"/>
          <w:divBdr>
            <w:top w:val="single" w:sz="2" w:space="0" w:color="auto"/>
            <w:left w:val="single" w:sz="2" w:space="0" w:color="auto"/>
            <w:bottom w:val="single" w:sz="2" w:space="0" w:color="auto"/>
            <w:right w:val="single" w:sz="2" w:space="0" w:color="auto"/>
          </w:divBdr>
          <w:divsChild>
            <w:div w:id="1646352626">
              <w:marLeft w:val="0"/>
              <w:marRight w:val="0"/>
              <w:marTop w:val="0"/>
              <w:marBottom w:val="0"/>
              <w:divBdr>
                <w:top w:val="single" w:sz="2" w:space="0" w:color="auto"/>
                <w:left w:val="single" w:sz="2" w:space="0" w:color="auto"/>
                <w:bottom w:val="single" w:sz="2" w:space="0" w:color="auto"/>
                <w:right w:val="single" w:sz="2" w:space="0" w:color="auto"/>
              </w:divBdr>
            </w:div>
          </w:divsChild>
        </w:div>
        <w:div w:id="2003777301">
          <w:marLeft w:val="0"/>
          <w:marRight w:val="0"/>
          <w:marTop w:val="0"/>
          <w:marBottom w:val="0"/>
          <w:divBdr>
            <w:top w:val="single" w:sz="2" w:space="0" w:color="auto"/>
            <w:left w:val="single" w:sz="2" w:space="0" w:color="auto"/>
            <w:bottom w:val="single" w:sz="2" w:space="0" w:color="auto"/>
            <w:right w:val="single" w:sz="2" w:space="0" w:color="auto"/>
          </w:divBdr>
          <w:divsChild>
            <w:div w:id="11443491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39930523">
      <w:bodyDiv w:val="1"/>
      <w:marLeft w:val="0"/>
      <w:marRight w:val="0"/>
      <w:marTop w:val="0"/>
      <w:marBottom w:val="0"/>
      <w:divBdr>
        <w:top w:val="none" w:sz="0" w:space="0" w:color="auto"/>
        <w:left w:val="none" w:sz="0" w:space="0" w:color="auto"/>
        <w:bottom w:val="none" w:sz="0" w:space="0" w:color="auto"/>
        <w:right w:val="none" w:sz="0" w:space="0" w:color="auto"/>
      </w:divBdr>
    </w:div>
    <w:div w:id="855928259">
      <w:bodyDiv w:val="1"/>
      <w:marLeft w:val="0"/>
      <w:marRight w:val="0"/>
      <w:marTop w:val="0"/>
      <w:marBottom w:val="0"/>
      <w:divBdr>
        <w:top w:val="none" w:sz="0" w:space="0" w:color="auto"/>
        <w:left w:val="none" w:sz="0" w:space="0" w:color="auto"/>
        <w:bottom w:val="none" w:sz="0" w:space="0" w:color="auto"/>
        <w:right w:val="none" w:sz="0" w:space="0" w:color="auto"/>
      </w:divBdr>
    </w:div>
    <w:div w:id="888105883">
      <w:bodyDiv w:val="1"/>
      <w:marLeft w:val="0"/>
      <w:marRight w:val="0"/>
      <w:marTop w:val="0"/>
      <w:marBottom w:val="0"/>
      <w:divBdr>
        <w:top w:val="none" w:sz="0" w:space="0" w:color="auto"/>
        <w:left w:val="none" w:sz="0" w:space="0" w:color="auto"/>
        <w:bottom w:val="none" w:sz="0" w:space="0" w:color="auto"/>
        <w:right w:val="none" w:sz="0" w:space="0" w:color="auto"/>
      </w:divBdr>
    </w:div>
    <w:div w:id="892696880">
      <w:bodyDiv w:val="1"/>
      <w:marLeft w:val="0"/>
      <w:marRight w:val="0"/>
      <w:marTop w:val="0"/>
      <w:marBottom w:val="0"/>
      <w:divBdr>
        <w:top w:val="none" w:sz="0" w:space="0" w:color="auto"/>
        <w:left w:val="none" w:sz="0" w:space="0" w:color="auto"/>
        <w:bottom w:val="none" w:sz="0" w:space="0" w:color="auto"/>
        <w:right w:val="none" w:sz="0" w:space="0" w:color="auto"/>
      </w:divBdr>
    </w:div>
    <w:div w:id="935139043">
      <w:bodyDiv w:val="1"/>
      <w:marLeft w:val="0"/>
      <w:marRight w:val="0"/>
      <w:marTop w:val="0"/>
      <w:marBottom w:val="0"/>
      <w:divBdr>
        <w:top w:val="none" w:sz="0" w:space="0" w:color="auto"/>
        <w:left w:val="none" w:sz="0" w:space="0" w:color="auto"/>
        <w:bottom w:val="none" w:sz="0" w:space="0" w:color="auto"/>
        <w:right w:val="none" w:sz="0" w:space="0" w:color="auto"/>
      </w:divBdr>
    </w:div>
    <w:div w:id="990018940">
      <w:bodyDiv w:val="1"/>
      <w:marLeft w:val="0"/>
      <w:marRight w:val="0"/>
      <w:marTop w:val="0"/>
      <w:marBottom w:val="0"/>
      <w:divBdr>
        <w:top w:val="none" w:sz="0" w:space="0" w:color="auto"/>
        <w:left w:val="none" w:sz="0" w:space="0" w:color="auto"/>
        <w:bottom w:val="none" w:sz="0" w:space="0" w:color="auto"/>
        <w:right w:val="none" w:sz="0" w:space="0" w:color="auto"/>
      </w:divBdr>
    </w:div>
    <w:div w:id="1070007766">
      <w:bodyDiv w:val="1"/>
      <w:marLeft w:val="0"/>
      <w:marRight w:val="0"/>
      <w:marTop w:val="0"/>
      <w:marBottom w:val="0"/>
      <w:divBdr>
        <w:top w:val="none" w:sz="0" w:space="0" w:color="auto"/>
        <w:left w:val="none" w:sz="0" w:space="0" w:color="auto"/>
        <w:bottom w:val="none" w:sz="0" w:space="0" w:color="auto"/>
        <w:right w:val="none" w:sz="0" w:space="0" w:color="auto"/>
      </w:divBdr>
    </w:div>
    <w:div w:id="1077676275">
      <w:bodyDiv w:val="1"/>
      <w:marLeft w:val="0"/>
      <w:marRight w:val="0"/>
      <w:marTop w:val="0"/>
      <w:marBottom w:val="0"/>
      <w:divBdr>
        <w:top w:val="none" w:sz="0" w:space="0" w:color="auto"/>
        <w:left w:val="none" w:sz="0" w:space="0" w:color="auto"/>
        <w:bottom w:val="none" w:sz="0" w:space="0" w:color="auto"/>
        <w:right w:val="none" w:sz="0" w:space="0" w:color="auto"/>
      </w:divBdr>
    </w:div>
    <w:div w:id="1077943155">
      <w:bodyDiv w:val="1"/>
      <w:marLeft w:val="0"/>
      <w:marRight w:val="0"/>
      <w:marTop w:val="0"/>
      <w:marBottom w:val="0"/>
      <w:divBdr>
        <w:top w:val="none" w:sz="0" w:space="0" w:color="auto"/>
        <w:left w:val="none" w:sz="0" w:space="0" w:color="auto"/>
        <w:bottom w:val="none" w:sz="0" w:space="0" w:color="auto"/>
        <w:right w:val="none" w:sz="0" w:space="0" w:color="auto"/>
      </w:divBdr>
    </w:div>
    <w:div w:id="1082145629">
      <w:bodyDiv w:val="1"/>
      <w:marLeft w:val="0"/>
      <w:marRight w:val="0"/>
      <w:marTop w:val="0"/>
      <w:marBottom w:val="0"/>
      <w:divBdr>
        <w:top w:val="none" w:sz="0" w:space="0" w:color="auto"/>
        <w:left w:val="none" w:sz="0" w:space="0" w:color="auto"/>
        <w:bottom w:val="none" w:sz="0" w:space="0" w:color="auto"/>
        <w:right w:val="none" w:sz="0" w:space="0" w:color="auto"/>
      </w:divBdr>
    </w:div>
    <w:div w:id="1097822982">
      <w:bodyDiv w:val="1"/>
      <w:marLeft w:val="0"/>
      <w:marRight w:val="0"/>
      <w:marTop w:val="0"/>
      <w:marBottom w:val="0"/>
      <w:divBdr>
        <w:top w:val="none" w:sz="0" w:space="0" w:color="auto"/>
        <w:left w:val="none" w:sz="0" w:space="0" w:color="auto"/>
        <w:bottom w:val="none" w:sz="0" w:space="0" w:color="auto"/>
        <w:right w:val="none" w:sz="0" w:space="0" w:color="auto"/>
      </w:divBdr>
    </w:div>
    <w:div w:id="1101609504">
      <w:bodyDiv w:val="1"/>
      <w:marLeft w:val="0"/>
      <w:marRight w:val="0"/>
      <w:marTop w:val="0"/>
      <w:marBottom w:val="0"/>
      <w:divBdr>
        <w:top w:val="none" w:sz="0" w:space="0" w:color="auto"/>
        <w:left w:val="none" w:sz="0" w:space="0" w:color="auto"/>
        <w:bottom w:val="none" w:sz="0" w:space="0" w:color="auto"/>
        <w:right w:val="none" w:sz="0" w:space="0" w:color="auto"/>
      </w:divBdr>
    </w:div>
    <w:div w:id="1106733775">
      <w:bodyDiv w:val="1"/>
      <w:marLeft w:val="0"/>
      <w:marRight w:val="0"/>
      <w:marTop w:val="0"/>
      <w:marBottom w:val="0"/>
      <w:divBdr>
        <w:top w:val="none" w:sz="0" w:space="0" w:color="auto"/>
        <w:left w:val="none" w:sz="0" w:space="0" w:color="auto"/>
        <w:bottom w:val="none" w:sz="0" w:space="0" w:color="auto"/>
        <w:right w:val="none" w:sz="0" w:space="0" w:color="auto"/>
      </w:divBdr>
    </w:div>
    <w:div w:id="1120761539">
      <w:bodyDiv w:val="1"/>
      <w:marLeft w:val="0"/>
      <w:marRight w:val="0"/>
      <w:marTop w:val="0"/>
      <w:marBottom w:val="0"/>
      <w:divBdr>
        <w:top w:val="none" w:sz="0" w:space="0" w:color="auto"/>
        <w:left w:val="none" w:sz="0" w:space="0" w:color="auto"/>
        <w:bottom w:val="none" w:sz="0" w:space="0" w:color="auto"/>
        <w:right w:val="none" w:sz="0" w:space="0" w:color="auto"/>
      </w:divBdr>
    </w:div>
    <w:div w:id="1193156621">
      <w:bodyDiv w:val="1"/>
      <w:marLeft w:val="0"/>
      <w:marRight w:val="0"/>
      <w:marTop w:val="0"/>
      <w:marBottom w:val="0"/>
      <w:divBdr>
        <w:top w:val="none" w:sz="0" w:space="0" w:color="auto"/>
        <w:left w:val="none" w:sz="0" w:space="0" w:color="auto"/>
        <w:bottom w:val="none" w:sz="0" w:space="0" w:color="auto"/>
        <w:right w:val="none" w:sz="0" w:space="0" w:color="auto"/>
      </w:divBdr>
    </w:div>
    <w:div w:id="1196043551">
      <w:bodyDiv w:val="1"/>
      <w:marLeft w:val="0"/>
      <w:marRight w:val="0"/>
      <w:marTop w:val="0"/>
      <w:marBottom w:val="0"/>
      <w:divBdr>
        <w:top w:val="none" w:sz="0" w:space="0" w:color="auto"/>
        <w:left w:val="none" w:sz="0" w:space="0" w:color="auto"/>
        <w:bottom w:val="none" w:sz="0" w:space="0" w:color="auto"/>
        <w:right w:val="none" w:sz="0" w:space="0" w:color="auto"/>
      </w:divBdr>
    </w:div>
    <w:div w:id="1220046546">
      <w:bodyDiv w:val="1"/>
      <w:marLeft w:val="0"/>
      <w:marRight w:val="0"/>
      <w:marTop w:val="0"/>
      <w:marBottom w:val="0"/>
      <w:divBdr>
        <w:top w:val="none" w:sz="0" w:space="0" w:color="auto"/>
        <w:left w:val="none" w:sz="0" w:space="0" w:color="auto"/>
        <w:bottom w:val="none" w:sz="0" w:space="0" w:color="auto"/>
        <w:right w:val="none" w:sz="0" w:space="0" w:color="auto"/>
      </w:divBdr>
    </w:div>
    <w:div w:id="1281298471">
      <w:bodyDiv w:val="1"/>
      <w:marLeft w:val="0"/>
      <w:marRight w:val="0"/>
      <w:marTop w:val="0"/>
      <w:marBottom w:val="0"/>
      <w:divBdr>
        <w:top w:val="none" w:sz="0" w:space="0" w:color="auto"/>
        <w:left w:val="none" w:sz="0" w:space="0" w:color="auto"/>
        <w:bottom w:val="none" w:sz="0" w:space="0" w:color="auto"/>
        <w:right w:val="none" w:sz="0" w:space="0" w:color="auto"/>
      </w:divBdr>
    </w:div>
    <w:div w:id="1283347458">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313288909">
      <w:bodyDiv w:val="1"/>
      <w:marLeft w:val="0"/>
      <w:marRight w:val="0"/>
      <w:marTop w:val="0"/>
      <w:marBottom w:val="0"/>
      <w:divBdr>
        <w:top w:val="none" w:sz="0" w:space="0" w:color="auto"/>
        <w:left w:val="none" w:sz="0" w:space="0" w:color="auto"/>
        <w:bottom w:val="none" w:sz="0" w:space="0" w:color="auto"/>
        <w:right w:val="none" w:sz="0" w:space="0" w:color="auto"/>
      </w:divBdr>
    </w:div>
    <w:div w:id="1316689593">
      <w:bodyDiv w:val="1"/>
      <w:marLeft w:val="0"/>
      <w:marRight w:val="0"/>
      <w:marTop w:val="0"/>
      <w:marBottom w:val="0"/>
      <w:divBdr>
        <w:top w:val="none" w:sz="0" w:space="0" w:color="auto"/>
        <w:left w:val="none" w:sz="0" w:space="0" w:color="auto"/>
        <w:bottom w:val="none" w:sz="0" w:space="0" w:color="auto"/>
        <w:right w:val="none" w:sz="0" w:space="0" w:color="auto"/>
      </w:divBdr>
    </w:div>
    <w:div w:id="1334725203">
      <w:bodyDiv w:val="1"/>
      <w:marLeft w:val="0"/>
      <w:marRight w:val="0"/>
      <w:marTop w:val="0"/>
      <w:marBottom w:val="0"/>
      <w:divBdr>
        <w:top w:val="none" w:sz="0" w:space="0" w:color="auto"/>
        <w:left w:val="none" w:sz="0" w:space="0" w:color="auto"/>
        <w:bottom w:val="none" w:sz="0" w:space="0" w:color="auto"/>
        <w:right w:val="none" w:sz="0" w:space="0" w:color="auto"/>
      </w:divBdr>
    </w:div>
    <w:div w:id="1356929671">
      <w:bodyDiv w:val="1"/>
      <w:marLeft w:val="0"/>
      <w:marRight w:val="0"/>
      <w:marTop w:val="0"/>
      <w:marBottom w:val="0"/>
      <w:divBdr>
        <w:top w:val="none" w:sz="0" w:space="0" w:color="auto"/>
        <w:left w:val="none" w:sz="0" w:space="0" w:color="auto"/>
        <w:bottom w:val="none" w:sz="0" w:space="0" w:color="auto"/>
        <w:right w:val="none" w:sz="0" w:space="0" w:color="auto"/>
      </w:divBdr>
    </w:div>
    <w:div w:id="1371106582">
      <w:bodyDiv w:val="1"/>
      <w:marLeft w:val="0"/>
      <w:marRight w:val="0"/>
      <w:marTop w:val="0"/>
      <w:marBottom w:val="0"/>
      <w:divBdr>
        <w:top w:val="none" w:sz="0" w:space="0" w:color="auto"/>
        <w:left w:val="none" w:sz="0" w:space="0" w:color="auto"/>
        <w:bottom w:val="none" w:sz="0" w:space="0" w:color="auto"/>
        <w:right w:val="none" w:sz="0" w:space="0" w:color="auto"/>
      </w:divBdr>
      <w:divsChild>
        <w:div w:id="1393507791">
          <w:marLeft w:val="0"/>
          <w:marRight w:val="0"/>
          <w:marTop w:val="0"/>
          <w:marBottom w:val="0"/>
          <w:divBdr>
            <w:top w:val="single" w:sz="2" w:space="0" w:color="auto"/>
            <w:left w:val="single" w:sz="2" w:space="0" w:color="auto"/>
            <w:bottom w:val="single" w:sz="2" w:space="0" w:color="auto"/>
            <w:right w:val="single" w:sz="2" w:space="0" w:color="auto"/>
          </w:divBdr>
          <w:divsChild>
            <w:div w:id="1408653807">
              <w:marLeft w:val="0"/>
              <w:marRight w:val="0"/>
              <w:marTop w:val="0"/>
              <w:marBottom w:val="0"/>
              <w:divBdr>
                <w:top w:val="single" w:sz="2" w:space="0" w:color="auto"/>
                <w:left w:val="single" w:sz="2" w:space="0" w:color="auto"/>
                <w:bottom w:val="single" w:sz="2" w:space="0" w:color="auto"/>
                <w:right w:val="single" w:sz="2" w:space="0" w:color="auto"/>
              </w:divBdr>
            </w:div>
          </w:divsChild>
        </w:div>
        <w:div w:id="1393655297">
          <w:marLeft w:val="0"/>
          <w:marRight w:val="0"/>
          <w:marTop w:val="0"/>
          <w:marBottom w:val="0"/>
          <w:divBdr>
            <w:top w:val="single" w:sz="2" w:space="0" w:color="auto"/>
            <w:left w:val="single" w:sz="2" w:space="0" w:color="auto"/>
            <w:bottom w:val="single" w:sz="2" w:space="0" w:color="auto"/>
            <w:right w:val="single" w:sz="2" w:space="0" w:color="auto"/>
          </w:divBdr>
          <w:divsChild>
            <w:div w:id="591813400">
              <w:marLeft w:val="0"/>
              <w:marRight w:val="0"/>
              <w:marTop w:val="0"/>
              <w:marBottom w:val="0"/>
              <w:divBdr>
                <w:top w:val="single" w:sz="2" w:space="0" w:color="auto"/>
                <w:left w:val="single" w:sz="2" w:space="0" w:color="auto"/>
                <w:bottom w:val="single" w:sz="2" w:space="0" w:color="auto"/>
                <w:right w:val="single" w:sz="2" w:space="0" w:color="auto"/>
              </w:divBdr>
            </w:div>
          </w:divsChild>
        </w:div>
        <w:div w:id="1185024820">
          <w:marLeft w:val="0"/>
          <w:marRight w:val="0"/>
          <w:marTop w:val="0"/>
          <w:marBottom w:val="0"/>
          <w:divBdr>
            <w:top w:val="single" w:sz="2" w:space="0" w:color="auto"/>
            <w:left w:val="single" w:sz="2" w:space="0" w:color="auto"/>
            <w:bottom w:val="single" w:sz="2" w:space="0" w:color="auto"/>
            <w:right w:val="single" w:sz="2" w:space="0" w:color="auto"/>
          </w:divBdr>
          <w:divsChild>
            <w:div w:id="13794342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91033042">
      <w:bodyDiv w:val="1"/>
      <w:marLeft w:val="0"/>
      <w:marRight w:val="0"/>
      <w:marTop w:val="0"/>
      <w:marBottom w:val="0"/>
      <w:divBdr>
        <w:top w:val="none" w:sz="0" w:space="0" w:color="auto"/>
        <w:left w:val="none" w:sz="0" w:space="0" w:color="auto"/>
        <w:bottom w:val="none" w:sz="0" w:space="0" w:color="auto"/>
        <w:right w:val="none" w:sz="0" w:space="0" w:color="auto"/>
      </w:divBdr>
    </w:div>
    <w:div w:id="1474636105">
      <w:bodyDiv w:val="1"/>
      <w:marLeft w:val="0"/>
      <w:marRight w:val="0"/>
      <w:marTop w:val="0"/>
      <w:marBottom w:val="0"/>
      <w:divBdr>
        <w:top w:val="none" w:sz="0" w:space="0" w:color="auto"/>
        <w:left w:val="none" w:sz="0" w:space="0" w:color="auto"/>
        <w:bottom w:val="none" w:sz="0" w:space="0" w:color="auto"/>
        <w:right w:val="none" w:sz="0" w:space="0" w:color="auto"/>
      </w:divBdr>
    </w:div>
    <w:div w:id="1527983709">
      <w:bodyDiv w:val="1"/>
      <w:marLeft w:val="0"/>
      <w:marRight w:val="0"/>
      <w:marTop w:val="0"/>
      <w:marBottom w:val="0"/>
      <w:divBdr>
        <w:top w:val="none" w:sz="0" w:space="0" w:color="auto"/>
        <w:left w:val="none" w:sz="0" w:space="0" w:color="auto"/>
        <w:bottom w:val="none" w:sz="0" w:space="0" w:color="auto"/>
        <w:right w:val="none" w:sz="0" w:space="0" w:color="auto"/>
      </w:divBdr>
    </w:div>
    <w:div w:id="1529217888">
      <w:bodyDiv w:val="1"/>
      <w:marLeft w:val="0"/>
      <w:marRight w:val="0"/>
      <w:marTop w:val="0"/>
      <w:marBottom w:val="0"/>
      <w:divBdr>
        <w:top w:val="none" w:sz="0" w:space="0" w:color="auto"/>
        <w:left w:val="none" w:sz="0" w:space="0" w:color="auto"/>
        <w:bottom w:val="none" w:sz="0" w:space="0" w:color="auto"/>
        <w:right w:val="none" w:sz="0" w:space="0" w:color="auto"/>
      </w:divBdr>
    </w:div>
    <w:div w:id="1551651209">
      <w:bodyDiv w:val="1"/>
      <w:marLeft w:val="0"/>
      <w:marRight w:val="0"/>
      <w:marTop w:val="0"/>
      <w:marBottom w:val="0"/>
      <w:divBdr>
        <w:top w:val="none" w:sz="0" w:space="0" w:color="auto"/>
        <w:left w:val="none" w:sz="0" w:space="0" w:color="auto"/>
        <w:bottom w:val="none" w:sz="0" w:space="0" w:color="auto"/>
        <w:right w:val="none" w:sz="0" w:space="0" w:color="auto"/>
      </w:divBdr>
    </w:div>
    <w:div w:id="1557233510">
      <w:bodyDiv w:val="1"/>
      <w:marLeft w:val="0"/>
      <w:marRight w:val="0"/>
      <w:marTop w:val="0"/>
      <w:marBottom w:val="0"/>
      <w:divBdr>
        <w:top w:val="none" w:sz="0" w:space="0" w:color="auto"/>
        <w:left w:val="none" w:sz="0" w:space="0" w:color="auto"/>
        <w:bottom w:val="none" w:sz="0" w:space="0" w:color="auto"/>
        <w:right w:val="none" w:sz="0" w:space="0" w:color="auto"/>
      </w:divBdr>
    </w:div>
    <w:div w:id="1559975176">
      <w:bodyDiv w:val="1"/>
      <w:marLeft w:val="0"/>
      <w:marRight w:val="0"/>
      <w:marTop w:val="0"/>
      <w:marBottom w:val="0"/>
      <w:divBdr>
        <w:top w:val="none" w:sz="0" w:space="0" w:color="auto"/>
        <w:left w:val="none" w:sz="0" w:space="0" w:color="auto"/>
        <w:bottom w:val="none" w:sz="0" w:space="0" w:color="auto"/>
        <w:right w:val="none" w:sz="0" w:space="0" w:color="auto"/>
      </w:divBdr>
    </w:div>
    <w:div w:id="1576209732">
      <w:bodyDiv w:val="1"/>
      <w:marLeft w:val="0"/>
      <w:marRight w:val="0"/>
      <w:marTop w:val="0"/>
      <w:marBottom w:val="0"/>
      <w:divBdr>
        <w:top w:val="none" w:sz="0" w:space="0" w:color="auto"/>
        <w:left w:val="none" w:sz="0" w:space="0" w:color="auto"/>
        <w:bottom w:val="none" w:sz="0" w:space="0" w:color="auto"/>
        <w:right w:val="none" w:sz="0" w:space="0" w:color="auto"/>
      </w:divBdr>
    </w:div>
    <w:div w:id="1610089577">
      <w:bodyDiv w:val="1"/>
      <w:marLeft w:val="0"/>
      <w:marRight w:val="0"/>
      <w:marTop w:val="0"/>
      <w:marBottom w:val="0"/>
      <w:divBdr>
        <w:top w:val="none" w:sz="0" w:space="0" w:color="auto"/>
        <w:left w:val="none" w:sz="0" w:space="0" w:color="auto"/>
        <w:bottom w:val="none" w:sz="0" w:space="0" w:color="auto"/>
        <w:right w:val="none" w:sz="0" w:space="0" w:color="auto"/>
      </w:divBdr>
    </w:div>
    <w:div w:id="1665814808">
      <w:bodyDiv w:val="1"/>
      <w:marLeft w:val="0"/>
      <w:marRight w:val="0"/>
      <w:marTop w:val="0"/>
      <w:marBottom w:val="0"/>
      <w:divBdr>
        <w:top w:val="none" w:sz="0" w:space="0" w:color="auto"/>
        <w:left w:val="none" w:sz="0" w:space="0" w:color="auto"/>
        <w:bottom w:val="none" w:sz="0" w:space="0" w:color="auto"/>
        <w:right w:val="none" w:sz="0" w:space="0" w:color="auto"/>
      </w:divBdr>
    </w:div>
    <w:div w:id="1676221643">
      <w:bodyDiv w:val="1"/>
      <w:marLeft w:val="0"/>
      <w:marRight w:val="0"/>
      <w:marTop w:val="0"/>
      <w:marBottom w:val="0"/>
      <w:divBdr>
        <w:top w:val="none" w:sz="0" w:space="0" w:color="auto"/>
        <w:left w:val="none" w:sz="0" w:space="0" w:color="auto"/>
        <w:bottom w:val="none" w:sz="0" w:space="0" w:color="auto"/>
        <w:right w:val="none" w:sz="0" w:space="0" w:color="auto"/>
      </w:divBdr>
    </w:div>
    <w:div w:id="1679770589">
      <w:bodyDiv w:val="1"/>
      <w:marLeft w:val="0"/>
      <w:marRight w:val="0"/>
      <w:marTop w:val="0"/>
      <w:marBottom w:val="0"/>
      <w:divBdr>
        <w:top w:val="none" w:sz="0" w:space="0" w:color="auto"/>
        <w:left w:val="none" w:sz="0" w:space="0" w:color="auto"/>
        <w:bottom w:val="none" w:sz="0" w:space="0" w:color="auto"/>
        <w:right w:val="none" w:sz="0" w:space="0" w:color="auto"/>
      </w:divBdr>
    </w:div>
    <w:div w:id="1692489329">
      <w:bodyDiv w:val="1"/>
      <w:marLeft w:val="0"/>
      <w:marRight w:val="0"/>
      <w:marTop w:val="0"/>
      <w:marBottom w:val="0"/>
      <w:divBdr>
        <w:top w:val="none" w:sz="0" w:space="0" w:color="auto"/>
        <w:left w:val="none" w:sz="0" w:space="0" w:color="auto"/>
        <w:bottom w:val="none" w:sz="0" w:space="0" w:color="auto"/>
        <w:right w:val="none" w:sz="0" w:space="0" w:color="auto"/>
      </w:divBdr>
      <w:divsChild>
        <w:div w:id="965312080">
          <w:marLeft w:val="0"/>
          <w:marRight w:val="0"/>
          <w:marTop w:val="0"/>
          <w:marBottom w:val="0"/>
          <w:divBdr>
            <w:top w:val="single" w:sz="2" w:space="0" w:color="auto"/>
            <w:left w:val="single" w:sz="2" w:space="0" w:color="auto"/>
            <w:bottom w:val="single" w:sz="2" w:space="0" w:color="auto"/>
            <w:right w:val="single" w:sz="2" w:space="0" w:color="auto"/>
          </w:divBdr>
          <w:divsChild>
            <w:div w:id="1446117801">
              <w:marLeft w:val="0"/>
              <w:marRight w:val="0"/>
              <w:marTop w:val="0"/>
              <w:marBottom w:val="0"/>
              <w:divBdr>
                <w:top w:val="single" w:sz="2" w:space="0" w:color="auto"/>
                <w:left w:val="single" w:sz="2" w:space="0" w:color="auto"/>
                <w:bottom w:val="single" w:sz="2" w:space="0" w:color="auto"/>
                <w:right w:val="single" w:sz="2" w:space="0" w:color="auto"/>
              </w:divBdr>
            </w:div>
          </w:divsChild>
        </w:div>
        <w:div w:id="2037726896">
          <w:marLeft w:val="0"/>
          <w:marRight w:val="0"/>
          <w:marTop w:val="0"/>
          <w:marBottom w:val="0"/>
          <w:divBdr>
            <w:top w:val="single" w:sz="2" w:space="0" w:color="auto"/>
            <w:left w:val="single" w:sz="2" w:space="0" w:color="auto"/>
            <w:bottom w:val="single" w:sz="2" w:space="0" w:color="auto"/>
            <w:right w:val="single" w:sz="2" w:space="0" w:color="auto"/>
          </w:divBdr>
          <w:divsChild>
            <w:div w:id="502404678">
              <w:marLeft w:val="0"/>
              <w:marRight w:val="0"/>
              <w:marTop w:val="0"/>
              <w:marBottom w:val="0"/>
              <w:divBdr>
                <w:top w:val="single" w:sz="2" w:space="0" w:color="auto"/>
                <w:left w:val="single" w:sz="2" w:space="0" w:color="auto"/>
                <w:bottom w:val="single" w:sz="2" w:space="0" w:color="auto"/>
                <w:right w:val="single" w:sz="2" w:space="0" w:color="auto"/>
              </w:divBdr>
            </w:div>
          </w:divsChild>
        </w:div>
        <w:div w:id="492181568">
          <w:marLeft w:val="0"/>
          <w:marRight w:val="0"/>
          <w:marTop w:val="0"/>
          <w:marBottom w:val="0"/>
          <w:divBdr>
            <w:top w:val="single" w:sz="2" w:space="0" w:color="auto"/>
            <w:left w:val="single" w:sz="2" w:space="0" w:color="auto"/>
            <w:bottom w:val="single" w:sz="2" w:space="0" w:color="auto"/>
            <w:right w:val="single" w:sz="2" w:space="0" w:color="auto"/>
          </w:divBdr>
          <w:divsChild>
            <w:div w:id="15609365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95423475">
      <w:bodyDiv w:val="1"/>
      <w:marLeft w:val="0"/>
      <w:marRight w:val="0"/>
      <w:marTop w:val="0"/>
      <w:marBottom w:val="0"/>
      <w:divBdr>
        <w:top w:val="none" w:sz="0" w:space="0" w:color="auto"/>
        <w:left w:val="none" w:sz="0" w:space="0" w:color="auto"/>
        <w:bottom w:val="none" w:sz="0" w:space="0" w:color="auto"/>
        <w:right w:val="none" w:sz="0" w:space="0" w:color="auto"/>
      </w:divBdr>
    </w:div>
    <w:div w:id="1705058066">
      <w:bodyDiv w:val="1"/>
      <w:marLeft w:val="0"/>
      <w:marRight w:val="0"/>
      <w:marTop w:val="0"/>
      <w:marBottom w:val="0"/>
      <w:divBdr>
        <w:top w:val="none" w:sz="0" w:space="0" w:color="auto"/>
        <w:left w:val="none" w:sz="0" w:space="0" w:color="auto"/>
        <w:bottom w:val="none" w:sz="0" w:space="0" w:color="auto"/>
        <w:right w:val="none" w:sz="0" w:space="0" w:color="auto"/>
      </w:divBdr>
    </w:div>
    <w:div w:id="1711999825">
      <w:bodyDiv w:val="1"/>
      <w:marLeft w:val="0"/>
      <w:marRight w:val="0"/>
      <w:marTop w:val="0"/>
      <w:marBottom w:val="0"/>
      <w:divBdr>
        <w:top w:val="none" w:sz="0" w:space="0" w:color="auto"/>
        <w:left w:val="none" w:sz="0" w:space="0" w:color="auto"/>
        <w:bottom w:val="none" w:sz="0" w:space="0" w:color="auto"/>
        <w:right w:val="none" w:sz="0" w:space="0" w:color="auto"/>
      </w:divBdr>
    </w:div>
    <w:div w:id="1736394694">
      <w:bodyDiv w:val="1"/>
      <w:marLeft w:val="0"/>
      <w:marRight w:val="0"/>
      <w:marTop w:val="0"/>
      <w:marBottom w:val="0"/>
      <w:divBdr>
        <w:top w:val="none" w:sz="0" w:space="0" w:color="auto"/>
        <w:left w:val="none" w:sz="0" w:space="0" w:color="auto"/>
        <w:bottom w:val="none" w:sz="0" w:space="0" w:color="auto"/>
        <w:right w:val="none" w:sz="0" w:space="0" w:color="auto"/>
      </w:divBdr>
    </w:div>
    <w:div w:id="1737239975">
      <w:bodyDiv w:val="1"/>
      <w:marLeft w:val="0"/>
      <w:marRight w:val="0"/>
      <w:marTop w:val="0"/>
      <w:marBottom w:val="0"/>
      <w:divBdr>
        <w:top w:val="none" w:sz="0" w:space="0" w:color="auto"/>
        <w:left w:val="none" w:sz="0" w:space="0" w:color="auto"/>
        <w:bottom w:val="none" w:sz="0" w:space="0" w:color="auto"/>
        <w:right w:val="none" w:sz="0" w:space="0" w:color="auto"/>
      </w:divBdr>
    </w:div>
    <w:div w:id="1741440604">
      <w:bodyDiv w:val="1"/>
      <w:marLeft w:val="0"/>
      <w:marRight w:val="0"/>
      <w:marTop w:val="0"/>
      <w:marBottom w:val="0"/>
      <w:divBdr>
        <w:top w:val="none" w:sz="0" w:space="0" w:color="auto"/>
        <w:left w:val="none" w:sz="0" w:space="0" w:color="auto"/>
        <w:bottom w:val="none" w:sz="0" w:space="0" w:color="auto"/>
        <w:right w:val="none" w:sz="0" w:space="0" w:color="auto"/>
      </w:divBdr>
    </w:div>
    <w:div w:id="1762333213">
      <w:bodyDiv w:val="1"/>
      <w:marLeft w:val="0"/>
      <w:marRight w:val="0"/>
      <w:marTop w:val="0"/>
      <w:marBottom w:val="0"/>
      <w:divBdr>
        <w:top w:val="none" w:sz="0" w:space="0" w:color="auto"/>
        <w:left w:val="none" w:sz="0" w:space="0" w:color="auto"/>
        <w:bottom w:val="none" w:sz="0" w:space="0" w:color="auto"/>
        <w:right w:val="none" w:sz="0" w:space="0" w:color="auto"/>
      </w:divBdr>
    </w:div>
    <w:div w:id="1793597405">
      <w:bodyDiv w:val="1"/>
      <w:marLeft w:val="0"/>
      <w:marRight w:val="0"/>
      <w:marTop w:val="0"/>
      <w:marBottom w:val="0"/>
      <w:divBdr>
        <w:top w:val="none" w:sz="0" w:space="0" w:color="auto"/>
        <w:left w:val="none" w:sz="0" w:space="0" w:color="auto"/>
        <w:bottom w:val="none" w:sz="0" w:space="0" w:color="auto"/>
        <w:right w:val="none" w:sz="0" w:space="0" w:color="auto"/>
      </w:divBdr>
    </w:div>
    <w:div w:id="1807116786">
      <w:bodyDiv w:val="1"/>
      <w:marLeft w:val="0"/>
      <w:marRight w:val="0"/>
      <w:marTop w:val="0"/>
      <w:marBottom w:val="0"/>
      <w:divBdr>
        <w:top w:val="none" w:sz="0" w:space="0" w:color="auto"/>
        <w:left w:val="none" w:sz="0" w:space="0" w:color="auto"/>
        <w:bottom w:val="none" w:sz="0" w:space="0" w:color="auto"/>
        <w:right w:val="none" w:sz="0" w:space="0" w:color="auto"/>
      </w:divBdr>
      <w:divsChild>
        <w:div w:id="2118520811">
          <w:marLeft w:val="0"/>
          <w:marRight w:val="0"/>
          <w:marTop w:val="0"/>
          <w:marBottom w:val="0"/>
          <w:divBdr>
            <w:top w:val="single" w:sz="2" w:space="0" w:color="auto"/>
            <w:left w:val="single" w:sz="2" w:space="0" w:color="auto"/>
            <w:bottom w:val="single" w:sz="2" w:space="0" w:color="auto"/>
            <w:right w:val="single" w:sz="2" w:space="0" w:color="auto"/>
          </w:divBdr>
          <w:divsChild>
            <w:div w:id="1686011155">
              <w:marLeft w:val="0"/>
              <w:marRight w:val="0"/>
              <w:marTop w:val="0"/>
              <w:marBottom w:val="0"/>
              <w:divBdr>
                <w:top w:val="single" w:sz="2" w:space="0" w:color="auto"/>
                <w:left w:val="single" w:sz="2" w:space="0" w:color="auto"/>
                <w:bottom w:val="single" w:sz="2" w:space="0" w:color="auto"/>
                <w:right w:val="single" w:sz="2" w:space="0" w:color="auto"/>
              </w:divBdr>
            </w:div>
          </w:divsChild>
        </w:div>
        <w:div w:id="1377782086">
          <w:marLeft w:val="0"/>
          <w:marRight w:val="0"/>
          <w:marTop w:val="0"/>
          <w:marBottom w:val="0"/>
          <w:divBdr>
            <w:top w:val="single" w:sz="2" w:space="0" w:color="auto"/>
            <w:left w:val="single" w:sz="2" w:space="0" w:color="auto"/>
            <w:bottom w:val="single" w:sz="2" w:space="0" w:color="auto"/>
            <w:right w:val="single" w:sz="2" w:space="0" w:color="auto"/>
          </w:divBdr>
          <w:divsChild>
            <w:div w:id="692920267">
              <w:marLeft w:val="0"/>
              <w:marRight w:val="0"/>
              <w:marTop w:val="0"/>
              <w:marBottom w:val="0"/>
              <w:divBdr>
                <w:top w:val="single" w:sz="2" w:space="0" w:color="auto"/>
                <w:left w:val="single" w:sz="2" w:space="0" w:color="auto"/>
                <w:bottom w:val="single" w:sz="2" w:space="0" w:color="auto"/>
                <w:right w:val="single" w:sz="2" w:space="0" w:color="auto"/>
              </w:divBdr>
            </w:div>
          </w:divsChild>
        </w:div>
        <w:div w:id="1906334802">
          <w:marLeft w:val="0"/>
          <w:marRight w:val="0"/>
          <w:marTop w:val="0"/>
          <w:marBottom w:val="0"/>
          <w:divBdr>
            <w:top w:val="single" w:sz="2" w:space="0" w:color="auto"/>
            <w:left w:val="single" w:sz="2" w:space="0" w:color="auto"/>
            <w:bottom w:val="single" w:sz="2" w:space="0" w:color="auto"/>
            <w:right w:val="single" w:sz="2" w:space="0" w:color="auto"/>
          </w:divBdr>
          <w:divsChild>
            <w:div w:id="6098943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15247267">
      <w:bodyDiv w:val="1"/>
      <w:marLeft w:val="0"/>
      <w:marRight w:val="0"/>
      <w:marTop w:val="0"/>
      <w:marBottom w:val="0"/>
      <w:divBdr>
        <w:top w:val="none" w:sz="0" w:space="0" w:color="auto"/>
        <w:left w:val="none" w:sz="0" w:space="0" w:color="auto"/>
        <w:bottom w:val="none" w:sz="0" w:space="0" w:color="auto"/>
        <w:right w:val="none" w:sz="0" w:space="0" w:color="auto"/>
      </w:divBdr>
    </w:div>
    <w:div w:id="1815872849">
      <w:bodyDiv w:val="1"/>
      <w:marLeft w:val="0"/>
      <w:marRight w:val="0"/>
      <w:marTop w:val="0"/>
      <w:marBottom w:val="0"/>
      <w:divBdr>
        <w:top w:val="none" w:sz="0" w:space="0" w:color="auto"/>
        <w:left w:val="none" w:sz="0" w:space="0" w:color="auto"/>
        <w:bottom w:val="none" w:sz="0" w:space="0" w:color="auto"/>
        <w:right w:val="none" w:sz="0" w:space="0" w:color="auto"/>
      </w:divBdr>
    </w:div>
    <w:div w:id="1847132189">
      <w:bodyDiv w:val="1"/>
      <w:marLeft w:val="0"/>
      <w:marRight w:val="0"/>
      <w:marTop w:val="0"/>
      <w:marBottom w:val="0"/>
      <w:divBdr>
        <w:top w:val="none" w:sz="0" w:space="0" w:color="auto"/>
        <w:left w:val="none" w:sz="0" w:space="0" w:color="auto"/>
        <w:bottom w:val="none" w:sz="0" w:space="0" w:color="auto"/>
        <w:right w:val="none" w:sz="0" w:space="0" w:color="auto"/>
      </w:divBdr>
    </w:div>
    <w:div w:id="1850827757">
      <w:bodyDiv w:val="1"/>
      <w:marLeft w:val="0"/>
      <w:marRight w:val="0"/>
      <w:marTop w:val="0"/>
      <w:marBottom w:val="0"/>
      <w:divBdr>
        <w:top w:val="none" w:sz="0" w:space="0" w:color="auto"/>
        <w:left w:val="none" w:sz="0" w:space="0" w:color="auto"/>
        <w:bottom w:val="none" w:sz="0" w:space="0" w:color="auto"/>
        <w:right w:val="none" w:sz="0" w:space="0" w:color="auto"/>
      </w:divBdr>
    </w:div>
    <w:div w:id="1860199934">
      <w:bodyDiv w:val="1"/>
      <w:marLeft w:val="0"/>
      <w:marRight w:val="0"/>
      <w:marTop w:val="0"/>
      <w:marBottom w:val="0"/>
      <w:divBdr>
        <w:top w:val="none" w:sz="0" w:space="0" w:color="auto"/>
        <w:left w:val="none" w:sz="0" w:space="0" w:color="auto"/>
        <w:bottom w:val="none" w:sz="0" w:space="0" w:color="auto"/>
        <w:right w:val="none" w:sz="0" w:space="0" w:color="auto"/>
      </w:divBdr>
    </w:div>
    <w:div w:id="1896161030">
      <w:bodyDiv w:val="1"/>
      <w:marLeft w:val="0"/>
      <w:marRight w:val="0"/>
      <w:marTop w:val="0"/>
      <w:marBottom w:val="0"/>
      <w:divBdr>
        <w:top w:val="none" w:sz="0" w:space="0" w:color="auto"/>
        <w:left w:val="none" w:sz="0" w:space="0" w:color="auto"/>
        <w:bottom w:val="none" w:sz="0" w:space="0" w:color="auto"/>
        <w:right w:val="none" w:sz="0" w:space="0" w:color="auto"/>
      </w:divBdr>
    </w:div>
    <w:div w:id="1931428407">
      <w:bodyDiv w:val="1"/>
      <w:marLeft w:val="0"/>
      <w:marRight w:val="0"/>
      <w:marTop w:val="0"/>
      <w:marBottom w:val="0"/>
      <w:divBdr>
        <w:top w:val="none" w:sz="0" w:space="0" w:color="auto"/>
        <w:left w:val="none" w:sz="0" w:space="0" w:color="auto"/>
        <w:bottom w:val="none" w:sz="0" w:space="0" w:color="auto"/>
        <w:right w:val="none" w:sz="0" w:space="0" w:color="auto"/>
      </w:divBdr>
    </w:div>
    <w:div w:id="2002654202">
      <w:bodyDiv w:val="1"/>
      <w:marLeft w:val="0"/>
      <w:marRight w:val="0"/>
      <w:marTop w:val="0"/>
      <w:marBottom w:val="0"/>
      <w:divBdr>
        <w:top w:val="none" w:sz="0" w:space="0" w:color="auto"/>
        <w:left w:val="none" w:sz="0" w:space="0" w:color="auto"/>
        <w:bottom w:val="none" w:sz="0" w:space="0" w:color="auto"/>
        <w:right w:val="none" w:sz="0" w:space="0" w:color="auto"/>
      </w:divBdr>
    </w:div>
    <w:div w:id="2008359971">
      <w:bodyDiv w:val="1"/>
      <w:marLeft w:val="0"/>
      <w:marRight w:val="0"/>
      <w:marTop w:val="0"/>
      <w:marBottom w:val="0"/>
      <w:divBdr>
        <w:top w:val="none" w:sz="0" w:space="0" w:color="auto"/>
        <w:left w:val="none" w:sz="0" w:space="0" w:color="auto"/>
        <w:bottom w:val="none" w:sz="0" w:space="0" w:color="auto"/>
        <w:right w:val="none" w:sz="0" w:space="0" w:color="auto"/>
      </w:divBdr>
    </w:div>
    <w:div w:id="2019195135">
      <w:bodyDiv w:val="1"/>
      <w:marLeft w:val="0"/>
      <w:marRight w:val="0"/>
      <w:marTop w:val="0"/>
      <w:marBottom w:val="0"/>
      <w:divBdr>
        <w:top w:val="none" w:sz="0" w:space="0" w:color="auto"/>
        <w:left w:val="none" w:sz="0" w:space="0" w:color="auto"/>
        <w:bottom w:val="none" w:sz="0" w:space="0" w:color="auto"/>
        <w:right w:val="none" w:sz="0" w:space="0" w:color="auto"/>
      </w:divBdr>
    </w:div>
    <w:div w:id="2028099906">
      <w:bodyDiv w:val="1"/>
      <w:marLeft w:val="0"/>
      <w:marRight w:val="0"/>
      <w:marTop w:val="0"/>
      <w:marBottom w:val="0"/>
      <w:divBdr>
        <w:top w:val="none" w:sz="0" w:space="0" w:color="auto"/>
        <w:left w:val="none" w:sz="0" w:space="0" w:color="auto"/>
        <w:bottom w:val="none" w:sz="0" w:space="0" w:color="auto"/>
        <w:right w:val="none" w:sz="0" w:space="0" w:color="auto"/>
      </w:divBdr>
    </w:div>
    <w:div w:id="2039772556">
      <w:bodyDiv w:val="1"/>
      <w:marLeft w:val="0"/>
      <w:marRight w:val="0"/>
      <w:marTop w:val="0"/>
      <w:marBottom w:val="0"/>
      <w:divBdr>
        <w:top w:val="none" w:sz="0" w:space="0" w:color="auto"/>
        <w:left w:val="none" w:sz="0" w:space="0" w:color="auto"/>
        <w:bottom w:val="none" w:sz="0" w:space="0" w:color="auto"/>
        <w:right w:val="none" w:sz="0" w:space="0" w:color="auto"/>
      </w:divBdr>
      <w:divsChild>
        <w:div w:id="1154250422">
          <w:marLeft w:val="0"/>
          <w:marRight w:val="0"/>
          <w:marTop w:val="0"/>
          <w:marBottom w:val="0"/>
          <w:divBdr>
            <w:top w:val="single" w:sz="2" w:space="0" w:color="auto"/>
            <w:left w:val="single" w:sz="2" w:space="0" w:color="auto"/>
            <w:bottom w:val="single" w:sz="2" w:space="0" w:color="auto"/>
            <w:right w:val="single" w:sz="2" w:space="0" w:color="auto"/>
          </w:divBdr>
          <w:divsChild>
            <w:div w:id="1815684908">
              <w:marLeft w:val="0"/>
              <w:marRight w:val="0"/>
              <w:marTop w:val="0"/>
              <w:marBottom w:val="0"/>
              <w:divBdr>
                <w:top w:val="single" w:sz="2" w:space="0" w:color="auto"/>
                <w:left w:val="single" w:sz="2" w:space="0" w:color="auto"/>
                <w:bottom w:val="single" w:sz="2" w:space="0" w:color="auto"/>
                <w:right w:val="single" w:sz="2" w:space="0" w:color="auto"/>
              </w:divBdr>
              <w:divsChild>
                <w:div w:id="1062093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1780560">
          <w:marLeft w:val="0"/>
          <w:marRight w:val="0"/>
          <w:marTop w:val="0"/>
          <w:marBottom w:val="0"/>
          <w:divBdr>
            <w:top w:val="single" w:sz="2" w:space="0" w:color="auto"/>
            <w:left w:val="single" w:sz="2" w:space="0" w:color="auto"/>
            <w:bottom w:val="single" w:sz="2" w:space="0" w:color="auto"/>
            <w:right w:val="single" w:sz="2" w:space="0" w:color="auto"/>
          </w:divBdr>
          <w:divsChild>
            <w:div w:id="1527400603">
              <w:marLeft w:val="0"/>
              <w:marRight w:val="0"/>
              <w:marTop w:val="0"/>
              <w:marBottom w:val="0"/>
              <w:divBdr>
                <w:top w:val="single" w:sz="2" w:space="0" w:color="auto"/>
                <w:left w:val="single" w:sz="2" w:space="0" w:color="auto"/>
                <w:bottom w:val="single" w:sz="2" w:space="0" w:color="auto"/>
                <w:right w:val="single" w:sz="2" w:space="0" w:color="auto"/>
              </w:divBdr>
              <w:divsChild>
                <w:div w:id="14130444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52612383">
          <w:marLeft w:val="0"/>
          <w:marRight w:val="0"/>
          <w:marTop w:val="0"/>
          <w:marBottom w:val="0"/>
          <w:divBdr>
            <w:top w:val="single" w:sz="2" w:space="0" w:color="auto"/>
            <w:left w:val="single" w:sz="2" w:space="0" w:color="auto"/>
            <w:bottom w:val="single" w:sz="2" w:space="0" w:color="auto"/>
            <w:right w:val="single" w:sz="2" w:space="0" w:color="auto"/>
          </w:divBdr>
          <w:divsChild>
            <w:div w:id="1702434146">
              <w:marLeft w:val="0"/>
              <w:marRight w:val="0"/>
              <w:marTop w:val="0"/>
              <w:marBottom w:val="0"/>
              <w:divBdr>
                <w:top w:val="single" w:sz="2" w:space="6" w:color="auto"/>
                <w:left w:val="single" w:sz="2" w:space="0" w:color="auto"/>
                <w:bottom w:val="single" w:sz="2" w:space="0" w:color="auto"/>
                <w:right w:val="single" w:sz="2" w:space="0" w:color="auto"/>
              </w:divBdr>
            </w:div>
          </w:divsChild>
        </w:div>
        <w:div w:id="1471750983">
          <w:marLeft w:val="0"/>
          <w:marRight w:val="0"/>
          <w:marTop w:val="0"/>
          <w:marBottom w:val="0"/>
          <w:divBdr>
            <w:top w:val="single" w:sz="2" w:space="0" w:color="auto"/>
            <w:left w:val="single" w:sz="2" w:space="0" w:color="auto"/>
            <w:bottom w:val="single" w:sz="2" w:space="0" w:color="auto"/>
            <w:right w:val="single" w:sz="2" w:space="0" w:color="auto"/>
          </w:divBdr>
          <w:divsChild>
            <w:div w:id="718941776">
              <w:marLeft w:val="0"/>
              <w:marRight w:val="0"/>
              <w:marTop w:val="0"/>
              <w:marBottom w:val="0"/>
              <w:divBdr>
                <w:top w:val="single" w:sz="2" w:space="0" w:color="auto"/>
                <w:left w:val="single" w:sz="2" w:space="0" w:color="auto"/>
                <w:bottom w:val="single" w:sz="2" w:space="0" w:color="auto"/>
                <w:right w:val="single" w:sz="2" w:space="0" w:color="auto"/>
              </w:divBdr>
              <w:divsChild>
                <w:div w:id="15142215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13310986">
          <w:marLeft w:val="0"/>
          <w:marRight w:val="0"/>
          <w:marTop w:val="0"/>
          <w:marBottom w:val="0"/>
          <w:divBdr>
            <w:top w:val="single" w:sz="2" w:space="0" w:color="auto"/>
            <w:left w:val="single" w:sz="2" w:space="0" w:color="auto"/>
            <w:bottom w:val="single" w:sz="2" w:space="0" w:color="auto"/>
            <w:right w:val="single" w:sz="2" w:space="0" w:color="auto"/>
          </w:divBdr>
          <w:divsChild>
            <w:div w:id="1944220866">
              <w:marLeft w:val="0"/>
              <w:marRight w:val="0"/>
              <w:marTop w:val="0"/>
              <w:marBottom w:val="0"/>
              <w:divBdr>
                <w:top w:val="single" w:sz="2" w:space="6" w:color="auto"/>
                <w:left w:val="single" w:sz="2" w:space="0" w:color="auto"/>
                <w:bottom w:val="single" w:sz="2" w:space="0" w:color="auto"/>
                <w:right w:val="single" w:sz="2" w:space="0" w:color="auto"/>
              </w:divBdr>
            </w:div>
          </w:divsChild>
        </w:div>
        <w:div w:id="1971980402">
          <w:marLeft w:val="0"/>
          <w:marRight w:val="0"/>
          <w:marTop w:val="0"/>
          <w:marBottom w:val="0"/>
          <w:divBdr>
            <w:top w:val="single" w:sz="2" w:space="0" w:color="auto"/>
            <w:left w:val="single" w:sz="2" w:space="0" w:color="auto"/>
            <w:bottom w:val="single" w:sz="2" w:space="0" w:color="auto"/>
            <w:right w:val="single" w:sz="2" w:space="0" w:color="auto"/>
          </w:divBdr>
          <w:divsChild>
            <w:div w:id="1046872621">
              <w:marLeft w:val="0"/>
              <w:marRight w:val="0"/>
              <w:marTop w:val="0"/>
              <w:marBottom w:val="0"/>
              <w:divBdr>
                <w:top w:val="single" w:sz="2" w:space="0" w:color="auto"/>
                <w:left w:val="single" w:sz="2" w:space="0" w:color="auto"/>
                <w:bottom w:val="single" w:sz="2" w:space="0" w:color="auto"/>
                <w:right w:val="single" w:sz="2" w:space="0" w:color="auto"/>
              </w:divBdr>
              <w:divsChild>
                <w:div w:id="5638760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67949544">
      <w:bodyDiv w:val="1"/>
      <w:marLeft w:val="0"/>
      <w:marRight w:val="0"/>
      <w:marTop w:val="0"/>
      <w:marBottom w:val="0"/>
      <w:divBdr>
        <w:top w:val="none" w:sz="0" w:space="0" w:color="auto"/>
        <w:left w:val="none" w:sz="0" w:space="0" w:color="auto"/>
        <w:bottom w:val="none" w:sz="0" w:space="0" w:color="auto"/>
        <w:right w:val="none" w:sz="0" w:space="0" w:color="auto"/>
      </w:divBdr>
    </w:div>
    <w:div w:id="2071034933">
      <w:bodyDiv w:val="1"/>
      <w:marLeft w:val="0"/>
      <w:marRight w:val="0"/>
      <w:marTop w:val="0"/>
      <w:marBottom w:val="0"/>
      <w:divBdr>
        <w:top w:val="none" w:sz="0" w:space="0" w:color="auto"/>
        <w:left w:val="none" w:sz="0" w:space="0" w:color="auto"/>
        <w:bottom w:val="none" w:sz="0" w:space="0" w:color="auto"/>
        <w:right w:val="none" w:sz="0" w:space="0" w:color="auto"/>
      </w:divBdr>
    </w:div>
    <w:div w:id="2103986596">
      <w:bodyDiv w:val="1"/>
      <w:marLeft w:val="0"/>
      <w:marRight w:val="0"/>
      <w:marTop w:val="0"/>
      <w:marBottom w:val="0"/>
      <w:divBdr>
        <w:top w:val="none" w:sz="0" w:space="0" w:color="auto"/>
        <w:left w:val="none" w:sz="0" w:space="0" w:color="auto"/>
        <w:bottom w:val="none" w:sz="0" w:space="0" w:color="auto"/>
        <w:right w:val="none" w:sz="0" w:space="0" w:color="auto"/>
      </w:divBdr>
    </w:div>
    <w:div w:id="2104371911">
      <w:bodyDiv w:val="1"/>
      <w:marLeft w:val="0"/>
      <w:marRight w:val="0"/>
      <w:marTop w:val="0"/>
      <w:marBottom w:val="0"/>
      <w:divBdr>
        <w:top w:val="none" w:sz="0" w:space="0" w:color="auto"/>
        <w:left w:val="none" w:sz="0" w:space="0" w:color="auto"/>
        <w:bottom w:val="none" w:sz="0" w:space="0" w:color="auto"/>
        <w:right w:val="none" w:sz="0" w:space="0" w:color="auto"/>
      </w:divBdr>
    </w:div>
    <w:div w:id="211131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corporatefinanceinstitute.com/resources/commercial-lending/altmans-z-score-mode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ighradius.com/resources/Blog/working-capital-management-for-the-manufacturing-companies/"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techinsights.com/blog/five-key-trends-consumer-electronics-2025"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corporatefinanceinstitute.com/resources/accounting/financial-rati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shopify.com/enterprise/blog/consumer-electronic-trends"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plutuseducation.com/blog/investment-appraisal-techniques/" TargetMode="External"/><Relationship Id="rId10" Type="http://schemas.openxmlformats.org/officeDocument/2006/relationships/chart" Target="charts/chart1.xml"/><Relationship Id="rId19" Type="http://schemas.openxmlformats.org/officeDocument/2006/relationships/hyperlink" Target="https://corporatefinanceinstitute.com/resources/accounting/working-capital-cy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www.business.hsbc.com/en-gb/insights/payments/optimising-working-capital-driving-best-practices"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arha\OneDrive\Desktop\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arha\OneDrive\Desktop\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arha\OneDrive\Desktop\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farha\OneDrive\Desktop\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farha\OneDrive\Desktop\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farha\OneDrive\Desktop\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farha\OneDrive\Desktop\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farha\OneDrive\Desktop\Book1.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Sheet1!$G$1</c:f>
              <c:strCache>
                <c:ptCount val="1"/>
                <c:pt idx="0">
                  <c:v>Curr. R</c:v>
                </c:pt>
              </c:strCache>
            </c:strRef>
          </c:tx>
          <c:spPr>
            <a:solidFill>
              <a:schemeClr val="accent1"/>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Sheet1!$G$2:$G$6</c:f>
              <c:numCache>
                <c:formatCode>0.00</c:formatCode>
                <c:ptCount val="5"/>
                <c:pt idx="0">
                  <c:v>1.8207509330956493</c:v>
                </c:pt>
                <c:pt idx="1">
                  <c:v>1.5551947303113194</c:v>
                </c:pt>
                <c:pt idx="2">
                  <c:v>1.5615804280441441</c:v>
                </c:pt>
                <c:pt idx="3">
                  <c:v>1.6062935934668752</c:v>
                </c:pt>
                <c:pt idx="4">
                  <c:v>1.5319506478574272</c:v>
                </c:pt>
              </c:numCache>
            </c:numRef>
          </c:val>
          <c:extLst>
            <c:ext xmlns:c16="http://schemas.microsoft.com/office/drawing/2014/chart" uri="{C3380CC4-5D6E-409C-BE32-E72D297353CC}">
              <c16:uniqueId val="{00000000-DEDE-4EAB-8C78-689AF2DFD2A8}"/>
            </c:ext>
          </c:extLst>
        </c:ser>
        <c:ser>
          <c:idx val="1"/>
          <c:order val="1"/>
          <c:tx>
            <c:strRef>
              <c:f>Sheet1!$G$1</c:f>
              <c:strCache>
                <c:ptCount val="1"/>
                <c:pt idx="0">
                  <c:v>Curr. R</c:v>
                </c:pt>
              </c:strCache>
            </c:strRef>
          </c:tx>
          <c:spPr>
            <a:solidFill>
              <a:schemeClr val="accent2"/>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Sheet1!$G$2:$G$6</c:f>
              <c:numCache>
                <c:formatCode>0.00</c:formatCode>
                <c:ptCount val="5"/>
                <c:pt idx="0">
                  <c:v>1.8207509330956493</c:v>
                </c:pt>
                <c:pt idx="1">
                  <c:v>1.5551947303113194</c:v>
                </c:pt>
                <c:pt idx="2">
                  <c:v>1.5615804280441441</c:v>
                </c:pt>
                <c:pt idx="3">
                  <c:v>1.6062935934668752</c:v>
                </c:pt>
                <c:pt idx="4">
                  <c:v>1.5319506478574272</c:v>
                </c:pt>
              </c:numCache>
            </c:numRef>
          </c:val>
          <c:extLst>
            <c:ext xmlns:c16="http://schemas.microsoft.com/office/drawing/2014/chart" uri="{C3380CC4-5D6E-409C-BE32-E72D297353CC}">
              <c16:uniqueId val="{00000001-DEDE-4EAB-8C78-689AF2DFD2A8}"/>
            </c:ext>
          </c:extLst>
        </c:ser>
        <c:ser>
          <c:idx val="2"/>
          <c:order val="2"/>
          <c:tx>
            <c:strRef>
              <c:f>Sheet1!$H$1</c:f>
              <c:strCache>
                <c:ptCount val="1"/>
                <c:pt idx="0">
                  <c:v>Quick R</c:v>
                </c:pt>
              </c:strCache>
            </c:strRef>
          </c:tx>
          <c:spPr>
            <a:solidFill>
              <a:schemeClr val="accent3"/>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Sheet1!$H$2:$H$6</c:f>
              <c:numCache>
                <c:formatCode>General</c:formatCode>
                <c:ptCount val="5"/>
                <c:pt idx="0">
                  <c:v>1.1499999999999999</c:v>
                </c:pt>
                <c:pt idx="1">
                  <c:v>0.93</c:v>
                </c:pt>
                <c:pt idx="2">
                  <c:v>0.91</c:v>
                </c:pt>
                <c:pt idx="3">
                  <c:v>1.06</c:v>
                </c:pt>
                <c:pt idx="4">
                  <c:v>1.03</c:v>
                </c:pt>
              </c:numCache>
            </c:numRef>
          </c:val>
          <c:extLst>
            <c:ext xmlns:c16="http://schemas.microsoft.com/office/drawing/2014/chart" uri="{C3380CC4-5D6E-409C-BE32-E72D297353CC}">
              <c16:uniqueId val="{00000002-DEDE-4EAB-8C78-689AF2DFD2A8}"/>
            </c:ext>
          </c:extLst>
        </c:ser>
        <c:ser>
          <c:idx val="3"/>
          <c:order val="3"/>
          <c:tx>
            <c:strRef>
              <c:f>Sheet1!$I$1</c:f>
              <c:strCache>
                <c:ptCount val="1"/>
                <c:pt idx="0">
                  <c:v>Cash R</c:v>
                </c:pt>
              </c:strCache>
            </c:strRef>
          </c:tx>
          <c:spPr>
            <a:solidFill>
              <a:schemeClr val="accent4"/>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Sheet1!$I$2:$I$6</c:f>
              <c:numCache>
                <c:formatCode>General</c:formatCode>
                <c:ptCount val="5"/>
                <c:pt idx="0">
                  <c:v>0.32</c:v>
                </c:pt>
                <c:pt idx="1">
                  <c:v>0.28000000000000003</c:v>
                </c:pt>
                <c:pt idx="2">
                  <c:v>0.31</c:v>
                </c:pt>
                <c:pt idx="3">
                  <c:v>0.27</c:v>
                </c:pt>
                <c:pt idx="4">
                  <c:v>0.17</c:v>
                </c:pt>
              </c:numCache>
            </c:numRef>
          </c:val>
          <c:extLst>
            <c:ext xmlns:c16="http://schemas.microsoft.com/office/drawing/2014/chart" uri="{C3380CC4-5D6E-409C-BE32-E72D297353CC}">
              <c16:uniqueId val="{00000003-DEDE-4EAB-8C78-689AF2DFD2A8}"/>
            </c:ext>
          </c:extLst>
        </c:ser>
        <c:dLbls>
          <c:showLegendKey val="0"/>
          <c:showVal val="0"/>
          <c:showCatName val="0"/>
          <c:showSerName val="0"/>
          <c:showPercent val="0"/>
          <c:showBubbleSize val="0"/>
        </c:dLbls>
        <c:gapWidth val="219"/>
        <c:overlap val="-27"/>
        <c:axId val="1828698431"/>
        <c:axId val="1828700095"/>
      </c:barChart>
      <c:catAx>
        <c:axId val="1828698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828700095"/>
        <c:crosses val="autoZero"/>
        <c:auto val="1"/>
        <c:lblAlgn val="ctr"/>
        <c:lblOffset val="100"/>
        <c:noMultiLvlLbl val="0"/>
      </c:catAx>
      <c:valAx>
        <c:axId val="182870009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82869843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Sheet1!$Q$1</c:f>
              <c:strCache>
                <c:ptCount val="1"/>
                <c:pt idx="0">
                  <c:v>D/E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2020</c:v>
                </c:pt>
                <c:pt idx="1">
                  <c:v>2021</c:v>
                </c:pt>
                <c:pt idx="2">
                  <c:v>2022</c:v>
                </c:pt>
                <c:pt idx="3">
                  <c:v>2023</c:v>
                </c:pt>
                <c:pt idx="4">
                  <c:v>2024</c:v>
                </c:pt>
              </c:numCache>
            </c:numRef>
          </c:cat>
          <c:val>
            <c:numRef>
              <c:f>Sheet1!$Q$2:$Q$6</c:f>
              <c:numCache>
                <c:formatCode>General</c:formatCode>
                <c:ptCount val="5"/>
                <c:pt idx="0">
                  <c:v>0.63</c:v>
                </c:pt>
                <c:pt idx="1">
                  <c:v>0.85</c:v>
                </c:pt>
                <c:pt idx="2">
                  <c:v>0.88</c:v>
                </c:pt>
                <c:pt idx="3">
                  <c:v>0.99</c:v>
                </c:pt>
                <c:pt idx="4">
                  <c:v>1.1100000000000001</c:v>
                </c:pt>
              </c:numCache>
            </c:numRef>
          </c:val>
          <c:smooth val="0"/>
          <c:extLst>
            <c:ext xmlns:c16="http://schemas.microsoft.com/office/drawing/2014/chart" uri="{C3380CC4-5D6E-409C-BE32-E72D297353CC}">
              <c16:uniqueId val="{00000000-02C8-4EB2-90C3-A3B895612745}"/>
            </c:ext>
          </c:extLst>
        </c:ser>
        <c:ser>
          <c:idx val="1"/>
          <c:order val="1"/>
          <c:tx>
            <c:strRef>
              <c:f>Sheet1!$R$1</c:f>
              <c:strCache>
                <c:ptCount val="1"/>
                <c:pt idx="0">
                  <c:v>D/A</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2020</c:v>
                </c:pt>
                <c:pt idx="1">
                  <c:v>2021</c:v>
                </c:pt>
                <c:pt idx="2">
                  <c:v>2022</c:v>
                </c:pt>
                <c:pt idx="3">
                  <c:v>2023</c:v>
                </c:pt>
                <c:pt idx="4">
                  <c:v>2024</c:v>
                </c:pt>
              </c:numCache>
            </c:numRef>
          </c:cat>
          <c:val>
            <c:numRef>
              <c:f>Sheet1!$R$2:$R$6</c:f>
              <c:numCache>
                <c:formatCode>General</c:formatCode>
                <c:ptCount val="5"/>
                <c:pt idx="0">
                  <c:v>0.39</c:v>
                </c:pt>
                <c:pt idx="1">
                  <c:v>0.46</c:v>
                </c:pt>
                <c:pt idx="2">
                  <c:v>0.47</c:v>
                </c:pt>
                <c:pt idx="3">
                  <c:v>0.5</c:v>
                </c:pt>
                <c:pt idx="4">
                  <c:v>0.53</c:v>
                </c:pt>
              </c:numCache>
            </c:numRef>
          </c:val>
          <c:smooth val="0"/>
          <c:extLst>
            <c:ext xmlns:c16="http://schemas.microsoft.com/office/drawing/2014/chart" uri="{C3380CC4-5D6E-409C-BE32-E72D297353CC}">
              <c16:uniqueId val="{00000001-02C8-4EB2-90C3-A3B895612745}"/>
            </c:ext>
          </c:extLst>
        </c:ser>
        <c:ser>
          <c:idx val="2"/>
          <c:order val="2"/>
          <c:tx>
            <c:strRef>
              <c:f>Sheet1!$S$1</c:f>
              <c:strCache>
                <c:ptCount val="1"/>
                <c:pt idx="0">
                  <c:v>Eq R</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2020</c:v>
                </c:pt>
                <c:pt idx="1">
                  <c:v>2021</c:v>
                </c:pt>
                <c:pt idx="2">
                  <c:v>2022</c:v>
                </c:pt>
                <c:pt idx="3">
                  <c:v>2023</c:v>
                </c:pt>
                <c:pt idx="4">
                  <c:v>2024</c:v>
                </c:pt>
              </c:numCache>
            </c:numRef>
          </c:cat>
          <c:val>
            <c:numRef>
              <c:f>Sheet1!$S$2:$S$6</c:f>
              <c:numCache>
                <c:formatCode>General</c:formatCode>
                <c:ptCount val="5"/>
                <c:pt idx="0">
                  <c:v>0.61</c:v>
                </c:pt>
                <c:pt idx="1">
                  <c:v>0.54</c:v>
                </c:pt>
                <c:pt idx="2">
                  <c:v>0.53</c:v>
                </c:pt>
                <c:pt idx="3">
                  <c:v>0.5</c:v>
                </c:pt>
                <c:pt idx="4">
                  <c:v>0.47</c:v>
                </c:pt>
              </c:numCache>
            </c:numRef>
          </c:val>
          <c:smooth val="0"/>
          <c:extLst>
            <c:ext xmlns:c16="http://schemas.microsoft.com/office/drawing/2014/chart" uri="{C3380CC4-5D6E-409C-BE32-E72D297353CC}">
              <c16:uniqueId val="{00000002-02C8-4EB2-90C3-A3B895612745}"/>
            </c:ext>
          </c:extLst>
        </c:ser>
        <c:dLbls>
          <c:dLblPos val="t"/>
          <c:showLegendKey val="0"/>
          <c:showVal val="1"/>
          <c:showCatName val="0"/>
          <c:showSerName val="0"/>
          <c:showPercent val="0"/>
          <c:showBubbleSize val="0"/>
        </c:dLbls>
        <c:smooth val="0"/>
        <c:axId val="2127838207"/>
        <c:axId val="2127838623"/>
      </c:lineChart>
      <c:catAx>
        <c:axId val="2127838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27838623"/>
        <c:crosses val="autoZero"/>
        <c:auto val="1"/>
        <c:lblAlgn val="ctr"/>
        <c:lblOffset val="100"/>
        <c:noMultiLvlLbl val="0"/>
      </c:catAx>
      <c:valAx>
        <c:axId val="21278386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2783820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Sheet2!$G$2</c:f>
              <c:strCache>
                <c:ptCount val="1"/>
                <c:pt idx="0">
                  <c:v>Z-Score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Sheet2!$A$3:$A$7</c:f>
              <c:numCache>
                <c:formatCode>General</c:formatCode>
                <c:ptCount val="5"/>
                <c:pt idx="0">
                  <c:v>2020</c:v>
                </c:pt>
                <c:pt idx="1">
                  <c:v>2021</c:v>
                </c:pt>
                <c:pt idx="2">
                  <c:v>2022</c:v>
                </c:pt>
                <c:pt idx="3">
                  <c:v>2023</c:v>
                </c:pt>
                <c:pt idx="4">
                  <c:v>2024</c:v>
                </c:pt>
              </c:numCache>
            </c:numRef>
          </c:cat>
          <c:val>
            <c:numRef>
              <c:f>Sheet2!$G$3:$G$7</c:f>
              <c:numCache>
                <c:formatCode>0.0000</c:formatCode>
                <c:ptCount val="5"/>
                <c:pt idx="0">
                  <c:v>3.6379331307893743</c:v>
                </c:pt>
                <c:pt idx="1">
                  <c:v>3.2245899619088951</c:v>
                </c:pt>
                <c:pt idx="2">
                  <c:v>3.0625144129984099</c:v>
                </c:pt>
                <c:pt idx="3">
                  <c:v>2.2411126260460481</c:v>
                </c:pt>
                <c:pt idx="4">
                  <c:v>2.8195764888970398</c:v>
                </c:pt>
              </c:numCache>
            </c:numRef>
          </c:val>
          <c:smooth val="0"/>
          <c:extLst>
            <c:ext xmlns:c16="http://schemas.microsoft.com/office/drawing/2014/chart" uri="{C3380CC4-5D6E-409C-BE32-E72D297353CC}">
              <c16:uniqueId val="{00000000-27A1-4DF9-AA5B-071E47E3F5E4}"/>
            </c:ext>
          </c:extLst>
        </c:ser>
        <c:dLbls>
          <c:dLblPos val="t"/>
          <c:showLegendKey val="0"/>
          <c:showVal val="1"/>
          <c:showCatName val="0"/>
          <c:showSerName val="0"/>
          <c:showPercent val="0"/>
          <c:showBubbleSize val="0"/>
        </c:dLbls>
        <c:marker val="1"/>
        <c:smooth val="0"/>
        <c:axId val="2016748271"/>
        <c:axId val="2016749935"/>
      </c:lineChart>
      <c:catAx>
        <c:axId val="2016748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16749935"/>
        <c:crosses val="autoZero"/>
        <c:auto val="1"/>
        <c:lblAlgn val="ctr"/>
        <c:lblOffset val="100"/>
        <c:noMultiLvlLbl val="0"/>
      </c:catAx>
      <c:valAx>
        <c:axId val="2016749935"/>
        <c:scaling>
          <c:orientation val="minMax"/>
        </c:scaling>
        <c:delete val="0"/>
        <c:axPos val="l"/>
        <c:majorGridlines>
          <c:spPr>
            <a:ln w="9525" cap="flat" cmpd="sng" algn="ctr">
              <a:solidFill>
                <a:schemeClr val="tx1">
                  <a:lumMod val="15000"/>
                  <a:lumOff val="85000"/>
                </a:schemeClr>
              </a:solidFill>
              <a:round/>
            </a:ln>
            <a:effectLst/>
          </c:spPr>
        </c:majorGridlines>
        <c:numFmt formatCode="0.0000" sourceLinked="1"/>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16748271"/>
        <c:crosses val="autoZero"/>
        <c:crossBetween val="between"/>
      </c:valAx>
      <c:spPr>
        <a:noFill/>
        <a:ln>
          <a:solidFill>
            <a:schemeClr val="accent1">
              <a:alpha val="99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Sheet3!$E$1</c:f>
              <c:strCache>
                <c:ptCount val="1"/>
                <c:pt idx="0">
                  <c:v>PBP (yrs)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Sheet3!$A$2:$A$4</c:f>
              <c:strCache>
                <c:ptCount val="3"/>
                <c:pt idx="0">
                  <c:v>A</c:v>
                </c:pt>
                <c:pt idx="1">
                  <c:v>B</c:v>
                </c:pt>
                <c:pt idx="2">
                  <c:v>C</c:v>
                </c:pt>
              </c:strCache>
            </c:strRef>
          </c:cat>
          <c:val>
            <c:numRef>
              <c:f>Sheet3!$E$2:$E$4</c:f>
              <c:numCache>
                <c:formatCode>_(* #,##0.0_);_(* \(#,##0.0\);_(* "-"??_);_(@_)</c:formatCode>
                <c:ptCount val="3"/>
                <c:pt idx="0">
                  <c:v>3.4</c:v>
                </c:pt>
                <c:pt idx="1">
                  <c:v>5</c:v>
                </c:pt>
                <c:pt idx="2">
                  <c:v>3.6</c:v>
                </c:pt>
              </c:numCache>
            </c:numRef>
          </c:val>
          <c:extLst>
            <c:ext xmlns:c16="http://schemas.microsoft.com/office/drawing/2014/chart" uri="{C3380CC4-5D6E-409C-BE32-E72D297353CC}">
              <c16:uniqueId val="{00000000-B418-45F6-9C67-347DE0FB894B}"/>
            </c:ext>
          </c:extLst>
        </c:ser>
        <c:dLbls>
          <c:dLblPos val="outEnd"/>
          <c:showLegendKey val="0"/>
          <c:showVal val="1"/>
          <c:showCatName val="0"/>
          <c:showSerName val="0"/>
          <c:showPercent val="0"/>
          <c:showBubbleSize val="0"/>
        </c:dLbls>
        <c:gapWidth val="219"/>
        <c:overlap val="-27"/>
        <c:axId val="1077091743"/>
        <c:axId val="1077094655"/>
      </c:barChart>
      <c:catAx>
        <c:axId val="1077091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094655"/>
        <c:crosses val="autoZero"/>
        <c:auto val="1"/>
        <c:lblAlgn val="ctr"/>
        <c:lblOffset val="100"/>
        <c:noMultiLvlLbl val="0"/>
      </c:catAx>
      <c:valAx>
        <c:axId val="1077094655"/>
        <c:scaling>
          <c:orientation val="minMax"/>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0917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Sheet3!$F$1</c:f>
              <c:strCache>
                <c:ptCount val="1"/>
                <c:pt idx="0">
                  <c:v>ARR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Sheet3!$A$2:$A$4</c:f>
              <c:strCache>
                <c:ptCount val="3"/>
                <c:pt idx="0">
                  <c:v>A</c:v>
                </c:pt>
                <c:pt idx="1">
                  <c:v>B</c:v>
                </c:pt>
                <c:pt idx="2">
                  <c:v>C</c:v>
                </c:pt>
              </c:strCache>
            </c:strRef>
          </c:cat>
          <c:val>
            <c:numRef>
              <c:f>Sheet3!$F$2:$F$4</c:f>
              <c:numCache>
                <c:formatCode>0%</c:formatCode>
                <c:ptCount val="3"/>
                <c:pt idx="0">
                  <c:v>0.27</c:v>
                </c:pt>
                <c:pt idx="1">
                  <c:v>0.2</c:v>
                </c:pt>
                <c:pt idx="2">
                  <c:v>0.3</c:v>
                </c:pt>
              </c:numCache>
            </c:numRef>
          </c:val>
          <c:smooth val="0"/>
          <c:extLst>
            <c:ext xmlns:c16="http://schemas.microsoft.com/office/drawing/2014/chart" uri="{C3380CC4-5D6E-409C-BE32-E72D297353CC}">
              <c16:uniqueId val="{00000000-BCCE-44E9-8D1C-E29AB909DDA0}"/>
            </c:ext>
          </c:extLst>
        </c:ser>
        <c:dLbls>
          <c:dLblPos val="t"/>
          <c:showLegendKey val="0"/>
          <c:showVal val="1"/>
          <c:showCatName val="0"/>
          <c:showSerName val="0"/>
          <c:showPercent val="0"/>
          <c:showBubbleSize val="0"/>
        </c:dLbls>
        <c:marker val="1"/>
        <c:smooth val="0"/>
        <c:axId val="1449856655"/>
        <c:axId val="1449848335"/>
      </c:lineChart>
      <c:catAx>
        <c:axId val="1449856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49848335"/>
        <c:crosses val="autoZero"/>
        <c:auto val="1"/>
        <c:lblAlgn val="ctr"/>
        <c:lblOffset val="100"/>
        <c:noMultiLvlLbl val="0"/>
      </c:catAx>
      <c:valAx>
        <c:axId val="1449848335"/>
        <c:scaling>
          <c:orientation val="minMax"/>
        </c:scaling>
        <c:delete val="0"/>
        <c:axPos val="l"/>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98566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Sheet3!$C$1</c:f>
              <c:strCache>
                <c:ptCount val="1"/>
                <c:pt idx="0">
                  <c:v>NPV (@10%) (£m)</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Sheet3!$A$2:$A$4</c:f>
              <c:strCache>
                <c:ptCount val="3"/>
                <c:pt idx="0">
                  <c:v>A</c:v>
                </c:pt>
                <c:pt idx="1">
                  <c:v>B</c:v>
                </c:pt>
                <c:pt idx="2">
                  <c:v>C</c:v>
                </c:pt>
              </c:strCache>
            </c:strRef>
          </c:cat>
          <c:val>
            <c:numRef>
              <c:f>Sheet3!$C$2:$C$4</c:f>
              <c:numCache>
                <c:formatCode>_(* #,##0.00_);_(* \(#,##0.00\);_(* "-"??_);_(@_)</c:formatCode>
                <c:ptCount val="3"/>
                <c:pt idx="0">
                  <c:v>1.324176813555944</c:v>
                </c:pt>
                <c:pt idx="1">
                  <c:v>-7.2552793835493183</c:v>
                </c:pt>
                <c:pt idx="2">
                  <c:v>4.2253696034175334</c:v>
                </c:pt>
              </c:numCache>
            </c:numRef>
          </c:val>
          <c:smooth val="0"/>
          <c:extLst>
            <c:ext xmlns:c16="http://schemas.microsoft.com/office/drawing/2014/chart" uri="{C3380CC4-5D6E-409C-BE32-E72D297353CC}">
              <c16:uniqueId val="{00000000-FF7B-4C65-A305-AB7AA1EBC60C}"/>
            </c:ext>
          </c:extLst>
        </c:ser>
        <c:dLbls>
          <c:dLblPos val="t"/>
          <c:showLegendKey val="0"/>
          <c:showVal val="1"/>
          <c:showCatName val="0"/>
          <c:showSerName val="0"/>
          <c:showPercent val="0"/>
          <c:showBubbleSize val="0"/>
        </c:dLbls>
        <c:smooth val="0"/>
        <c:axId val="1192422655"/>
        <c:axId val="1192413919"/>
      </c:lineChart>
      <c:catAx>
        <c:axId val="1192422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2413919"/>
        <c:crosses val="autoZero"/>
        <c:auto val="1"/>
        <c:lblAlgn val="ctr"/>
        <c:lblOffset val="100"/>
        <c:noMultiLvlLbl val="0"/>
      </c:catAx>
      <c:valAx>
        <c:axId val="1192413919"/>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24226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Sheet3!$G$1</c:f>
              <c:strCache>
                <c:ptCount val="1"/>
                <c:pt idx="0">
                  <c:v>PI</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Sheet3!$A$2:$A$4</c:f>
              <c:strCache>
                <c:ptCount val="3"/>
                <c:pt idx="0">
                  <c:v>A</c:v>
                </c:pt>
                <c:pt idx="1">
                  <c:v>B</c:v>
                </c:pt>
                <c:pt idx="2">
                  <c:v>C</c:v>
                </c:pt>
              </c:strCache>
            </c:strRef>
          </c:cat>
          <c:val>
            <c:numRef>
              <c:f>Sheet3!$G$2:$G$4</c:f>
              <c:numCache>
                <c:formatCode>0.000</c:formatCode>
                <c:ptCount val="3"/>
                <c:pt idx="0">
                  <c:v>1.0331044203388986</c:v>
                </c:pt>
                <c:pt idx="1">
                  <c:v>0.75815735388168937</c:v>
                </c:pt>
                <c:pt idx="2">
                  <c:v>1.0845073920683506</c:v>
                </c:pt>
              </c:numCache>
            </c:numRef>
          </c:val>
          <c:extLst>
            <c:ext xmlns:c16="http://schemas.microsoft.com/office/drawing/2014/chart" uri="{C3380CC4-5D6E-409C-BE32-E72D297353CC}">
              <c16:uniqueId val="{00000000-711B-46C7-82DC-1A50C4175C43}"/>
            </c:ext>
          </c:extLst>
        </c:ser>
        <c:dLbls>
          <c:dLblPos val="outEnd"/>
          <c:showLegendKey val="0"/>
          <c:showVal val="1"/>
          <c:showCatName val="0"/>
          <c:showSerName val="0"/>
          <c:showPercent val="0"/>
          <c:showBubbleSize val="0"/>
        </c:dLbls>
        <c:gapWidth val="444"/>
        <c:overlap val="-90"/>
        <c:axId val="1192412255"/>
        <c:axId val="1192408095"/>
      </c:barChart>
      <c:catAx>
        <c:axId val="11924122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92408095"/>
        <c:crosses val="autoZero"/>
        <c:auto val="1"/>
        <c:lblAlgn val="ctr"/>
        <c:lblOffset val="100"/>
        <c:noMultiLvlLbl val="0"/>
      </c:catAx>
      <c:valAx>
        <c:axId val="1192408095"/>
        <c:scaling>
          <c:orientation val="minMax"/>
        </c:scaling>
        <c:delete val="1"/>
        <c:axPos val="l"/>
        <c:numFmt formatCode="0.000" sourceLinked="1"/>
        <c:majorTickMark val="none"/>
        <c:minorTickMark val="none"/>
        <c:tickLblPos val="nextTo"/>
        <c:crossAx val="11924122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Sheet3!$D$1</c:f>
              <c:strCache>
                <c:ptCount val="1"/>
                <c:pt idx="0">
                  <c:v>IRR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Sheet3!$A$2:$A$4</c:f>
              <c:strCache>
                <c:ptCount val="3"/>
                <c:pt idx="0">
                  <c:v>A</c:v>
                </c:pt>
                <c:pt idx="1">
                  <c:v>B</c:v>
                </c:pt>
                <c:pt idx="2">
                  <c:v>C</c:v>
                </c:pt>
              </c:strCache>
            </c:strRef>
          </c:cat>
          <c:val>
            <c:numRef>
              <c:f>Sheet3!$D$2:$D$4</c:f>
              <c:numCache>
                <c:formatCode>0.00%</c:formatCode>
                <c:ptCount val="3"/>
                <c:pt idx="0">
                  <c:v>0.11327177468961591</c:v>
                </c:pt>
                <c:pt idx="1">
                  <c:v>1.9499957204516249E-12</c:v>
                </c:pt>
                <c:pt idx="2">
                  <c:v>0.12719763370558868</c:v>
                </c:pt>
              </c:numCache>
            </c:numRef>
          </c:val>
          <c:smooth val="0"/>
          <c:extLst>
            <c:ext xmlns:c16="http://schemas.microsoft.com/office/drawing/2014/chart" uri="{C3380CC4-5D6E-409C-BE32-E72D297353CC}">
              <c16:uniqueId val="{00000000-56F6-42B6-AFDB-A5F4EF099632}"/>
            </c:ext>
          </c:extLst>
        </c:ser>
        <c:dLbls>
          <c:dLblPos val="t"/>
          <c:showLegendKey val="0"/>
          <c:showVal val="1"/>
          <c:showCatName val="0"/>
          <c:showSerName val="0"/>
          <c:showPercent val="0"/>
          <c:showBubbleSize val="0"/>
        </c:dLbls>
        <c:marker val="1"/>
        <c:smooth val="0"/>
        <c:axId val="1492134911"/>
        <c:axId val="1492132415"/>
      </c:lineChart>
      <c:catAx>
        <c:axId val="1492134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2132415"/>
        <c:crosses val="autoZero"/>
        <c:auto val="1"/>
        <c:lblAlgn val="ctr"/>
        <c:lblOffset val="100"/>
        <c:noMultiLvlLbl val="0"/>
      </c:catAx>
      <c:valAx>
        <c:axId val="149213241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21349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5B578-3D80-478D-A9F0-6DC7D127F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7949</Words>
  <Characters>45315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2025-10-21T17:12:00Z</dcterms:created>
  <dcterms:modified xsi:type="dcterms:W3CDTF">2025-10-21T17:14:00Z</dcterms:modified>
</cp:coreProperties>
</file>