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6D705" w14:textId="2E7D6B55" w:rsidR="003D2CDF" w:rsidRDefault="003D2CDF">
      <w:r>
        <w:t>Young persons profile.</w:t>
      </w:r>
    </w:p>
    <w:p w14:paraId="624CFB33" w14:textId="3B8761E8" w:rsidR="00671B36" w:rsidRPr="00671B36" w:rsidRDefault="00671B36" w:rsidP="00671B36">
      <w:r w:rsidRPr="00671B36">
        <w:t xml:space="preserve">This profile draws on my placement hours within a supported accommodation </w:t>
      </w:r>
      <w:r w:rsidR="008134A4">
        <w:t>project f</w:t>
      </w:r>
      <w:r w:rsidRPr="00671B36">
        <w:t xml:space="preserve">or young people aged </w:t>
      </w:r>
      <w:r w:rsidR="00074873">
        <w:t>18 to 25</w:t>
      </w:r>
      <w:r w:rsidR="00CC2923">
        <w:t xml:space="preserve"> years. </w:t>
      </w:r>
      <w:r w:rsidR="00074873">
        <w:t xml:space="preserve"> </w:t>
      </w:r>
      <w:r w:rsidR="00CC2923">
        <w:t>D</w:t>
      </w:r>
      <w:r w:rsidRPr="00671B36">
        <w:t xml:space="preserve">uring this placement, I worked alongside </w:t>
      </w:r>
      <w:r w:rsidR="00074873">
        <w:t>staff and young people</w:t>
      </w:r>
      <w:r w:rsidRPr="00671B36">
        <w:t xml:space="preserve"> in council-supported training houses that provide semi-independent living opportunities. The profile explores the developmental and social context of the young people, their practical and emotional needs, and the youth work interventions used to support their transition toward independent living</w:t>
      </w:r>
    </w:p>
    <w:p w14:paraId="3C3A62D3" w14:textId="38D85594" w:rsidR="006C72C5" w:rsidRPr="006C72C5" w:rsidRDefault="006C72C5" w:rsidP="006C72C5">
      <w:r w:rsidRPr="006C72C5">
        <w:t>Fifteen young people, aged between 18 and 2</w:t>
      </w:r>
      <w:r w:rsidR="00074873">
        <w:t>5</w:t>
      </w:r>
      <w:r w:rsidR="00CC2923">
        <w:t xml:space="preserve"> years</w:t>
      </w:r>
      <w:r w:rsidRPr="006C72C5">
        <w:t>, currently reside across five council-supported training houses that provide semi-independent living opportunities. These placements are designed to help young people, including care leavers and those experiencing housing instability, build the skills and confidence required for independent living. Residents can remain in the accommodation for a maximum of two years, allowing time to develop practical skills, address personal challenges and prepare to move on to more independent housing.</w:t>
      </w:r>
    </w:p>
    <w:p w14:paraId="1559A82F" w14:textId="754831C6" w:rsidR="006C72C5" w:rsidRPr="006C72C5" w:rsidRDefault="006C72C5" w:rsidP="006C72C5">
      <w:r w:rsidRPr="006C72C5">
        <w:t xml:space="preserve">The group is diverse, consisting of six males, seven females and two transgender occupants, each with individual experiences and support needs. At present, four young people are engaged in employment, three are enrolled in education, four are not currently in education, employment or training (NEET), and four are </w:t>
      </w:r>
      <w:r w:rsidR="00D251D8">
        <w:t xml:space="preserve">currently unable to engage in education, </w:t>
      </w:r>
      <w:r w:rsidR="00B31AA5">
        <w:t xml:space="preserve">training or employment. </w:t>
      </w:r>
      <w:r w:rsidRPr="006C72C5">
        <w:t xml:space="preserve"> This reflects the varied and often complex circumstances of young people living in transitional accommodation.</w:t>
      </w:r>
    </w:p>
    <w:p w14:paraId="2B62073C" w14:textId="2CE1C24A" w:rsidR="006C72C5" w:rsidRPr="006C72C5" w:rsidRDefault="006C72C5" w:rsidP="006C72C5">
      <w:r w:rsidRPr="006C72C5">
        <w:t>The reasons for living in supported accommodation vary, reflecting a range of social and family challenges. Several young people have moved in due to family breakdown, domestic violence or overcrowded living conditions. Others have experienced rejection or conflict resulting from their decision not to follow parental religious or cultural expectations. A small number have also been referred due to behavioural concerns or strained relationships within the family home. Collectively, this group represents the wide spectrum of issues faced by young people who are unable to live with their families but are not yet ready for full independence. This highlights the continued need for transitional accommodation that bridges the gap between dependence and self-sufficiency. This aligns with core youth work principles of empowerment, inclusion and personal development, as practitioners seek to create environments that enable young people to gain confidence, autonomy and a sense of belonging (National Youth Agency, 2020).</w:t>
      </w:r>
    </w:p>
    <w:p w14:paraId="22FEE0BE" w14:textId="45344A60" w:rsidR="006C72C5" w:rsidRPr="006C72C5" w:rsidRDefault="006C72C5" w:rsidP="006C72C5">
      <w:r w:rsidRPr="006C72C5">
        <w:t xml:space="preserve">The young people who live in the training houses are at a stage in life typically characterised by increasing autonomy, identity exploration and the transition to adulthood. Many are managing complex personal circumstances. Peer groups and social media strongly influence how young people view themselves and where they feel they belong. While some of these connections offer a valuable sense of support and </w:t>
      </w:r>
      <w:r w:rsidRPr="006C72C5">
        <w:lastRenderedPageBreak/>
        <w:t>shared experience, they can also create pressures to conform and may amplify feelings of isolation or marginalisation.</w:t>
      </w:r>
      <w:r w:rsidR="00FB70A9">
        <w:t xml:space="preserve">  </w:t>
      </w:r>
      <w:r w:rsidRPr="006C72C5">
        <w:t xml:space="preserve">Williams (2021) highlights that youth work can provide critical spaces for young people to develop resilience </w:t>
      </w:r>
      <w:r w:rsidR="006B777D">
        <w:t>d</w:t>
      </w:r>
      <w:r w:rsidRPr="006C72C5">
        <w:t>uring periods of transition. However systemic factors such as poverty and unequal access to opportunities can limit their ability to engage fully with education, employment or training. Gender identity is also an important consideration: with two transgender residents, there may be additional barriers related to discrimination and social exclusion.</w:t>
      </w:r>
    </w:p>
    <w:p w14:paraId="03155C30" w14:textId="56E489A8" w:rsidR="006C72C5" w:rsidRPr="006C72C5" w:rsidRDefault="00C73227" w:rsidP="006C72C5">
      <w:r>
        <w:t>L</w:t>
      </w:r>
      <w:r w:rsidR="006C72C5" w:rsidRPr="006C72C5">
        <w:t>iving in the training houses present with a range of both practical and emotional needs that shape their experiences of semi-independent living. Many require guidance and support with essential life skills such as budgeting, cooking, cleaning and managing appointments</w:t>
      </w:r>
      <w:r>
        <w:t>, t</w:t>
      </w:r>
      <w:r w:rsidR="006C72C5" w:rsidRPr="006C72C5">
        <w:t xml:space="preserve">hese skills are vital </w:t>
      </w:r>
      <w:r w:rsidR="00E36151">
        <w:t>in</w:t>
      </w:r>
      <w:r w:rsidR="006C72C5" w:rsidRPr="006C72C5">
        <w:t xml:space="preserve"> sustaining a tenancy. They also face emotional challenges such as loneliness</w:t>
      </w:r>
      <w:r w:rsidR="00453383">
        <w:t xml:space="preserve"> and anxiety</w:t>
      </w:r>
      <w:r w:rsidR="006C72C5" w:rsidRPr="006C72C5">
        <w:t xml:space="preserve"> which can affect their confidence, motivation and engagement with education, </w:t>
      </w:r>
      <w:r w:rsidR="006B777D" w:rsidRPr="006C72C5">
        <w:t>employment</w:t>
      </w:r>
      <w:r w:rsidR="006C72C5" w:rsidRPr="006C72C5">
        <w:t xml:space="preserve"> or training. These needs can be understood through M</w:t>
      </w:r>
      <w:r w:rsidR="00C72DA8" w:rsidRPr="00C72DA8">
        <w:t>aslow argued that they would be unable to move to the next level if they had not achieved the current one</w:t>
      </w:r>
    </w:p>
    <w:p w14:paraId="67E98435" w14:textId="487DB27F" w:rsidR="006C72C5" w:rsidRPr="006C72C5" w:rsidRDefault="006C72C5" w:rsidP="006C72C5">
      <w:r w:rsidRPr="006C72C5">
        <w:t>The supported accommodation provides a structured environment designed to build young people’s practical and emotional capacity for independent living. Each resident has access to regular keywork sessions, which focus on setting achievable goals and developing essential life skills. These sessions also provide opportunities for young people to reflect on their personal progress and explore aspirations for education, training or employment.</w:t>
      </w:r>
    </w:p>
    <w:p w14:paraId="03E566DB" w14:textId="77777777" w:rsidR="006C72C5" w:rsidRPr="006C72C5" w:rsidRDefault="006C72C5" w:rsidP="006C72C5">
      <w:r w:rsidRPr="006C72C5">
        <w:t>This approach reflects Erik Erikson’s psychosocial development theory, supporting young people through the transition between adolescence and adulthood by creating structured opportunities to explore their identity, build self-efficacy and develop independence. In practice, youth workers play a central role in supporting residents, building trusting relationships while maintaining clear professional boundaries. Much of this work reflects the values set out in the Welsh Government (2021) Quality Mark for Youth Work in Wales, which highlights empowerment, inclusion and active participation as key principles of effective youth work. Day to day, this means creating a supportive environment where young people feel listened to, respected and encouraged to take ownership of their decisions.</w:t>
      </w:r>
    </w:p>
    <w:p w14:paraId="419E137E" w14:textId="77777777" w:rsidR="006C72C5" w:rsidRPr="006C72C5" w:rsidRDefault="006C72C5" w:rsidP="006C72C5">
      <w:r w:rsidRPr="006C72C5">
        <w:t xml:space="preserve">Support is tailored to each young person, focusing not only on practical skill development but also on emotional support and advocacy. In my practice, providing young people with the space to make choices and learn from experience has helped to build their confidence and sense of identity. This approach reflects Erikson’s psychosocial development theory, particularly the stage of identity versus role confusion, where young people are navigating autonomy, self-efficacy and future direction. By combining theoretical and policy frameworks with everyday relational </w:t>
      </w:r>
      <w:r w:rsidRPr="006C72C5">
        <w:lastRenderedPageBreak/>
        <w:t>practice, youth workers can help young people build resilience, strengthen their sense of self and prepare for independent living beyond supported accommodation.</w:t>
      </w:r>
    </w:p>
    <w:p w14:paraId="06CC8D77" w14:textId="2D31EED8" w:rsidR="006C72C5" w:rsidRDefault="006C72C5" w:rsidP="006C72C5">
      <w:r w:rsidRPr="006C72C5">
        <w:t>The experiences of the young people living in training houses highlight the complex interplay between individual development, personal circumstances and wider social factors. Although their journeys are unique, shared themes emerge around the need for practical skills development, emotional stability and consistent support to build confidence and resilience. As youth workers, we play a key role in supporting these young people to develop self-belief and independence. The training houses provide a stable and structured environment which bridges the gap between dependence and independent living. Sustained emphasis on empowerment, inclusion and holistic support — in line with the principles set out in the Quality Mark for Youth Work in Wales (Welsh Government, 2021) — will play a crucial role in enabling these young people to address barriers, build on their strengths and work towards positive and sustainable outcomes.</w:t>
      </w:r>
      <w:r w:rsidR="00873799">
        <w:t xml:space="preserve"> </w:t>
      </w:r>
    </w:p>
    <w:p w14:paraId="217BFE43" w14:textId="77777777" w:rsidR="00703092" w:rsidRDefault="00703092" w:rsidP="00703092">
      <w:r w:rsidRPr="00703092">
        <w:t>However, this work does not exist in isolation. Wider systemic factors can have a significant impact on outcomes for young people. The project itself is reliant on annual Welsh Government Innovation Grant funding, which creates natural limitations around long</w:t>
      </w:r>
      <w:r w:rsidRPr="00703092">
        <w:noBreakHyphen/>
        <w:t>term planning and sustainability. In addition, the Youth Worker posts that deliver the project are funded through the Housing Support Grant (HSG), meaning they are also affected by wider pressures on national housing</w:t>
      </w:r>
      <w:r w:rsidRPr="00703092">
        <w:noBreakHyphen/>
        <w:t>related support budgets. Limited availability of suitable move</w:t>
      </w:r>
      <w:r w:rsidRPr="00703092">
        <w:noBreakHyphen/>
        <w:t xml:space="preserve">on accommodation can create delays and uncertainty for those ready to progress, while reductions in youth service funding may restrict access to additional or specialist support. These gaps highlight the challenges of fully realising the aims set out in the Welsh Government (2021) </w:t>
      </w:r>
      <w:r w:rsidRPr="00703092">
        <w:rPr>
          <w:i/>
          <w:iCs/>
        </w:rPr>
        <w:t>Quality Mark for Youth Work in Wales</w:t>
      </w:r>
      <w:r w:rsidRPr="00703092">
        <w:t>, which emphasises empowerment, inclusion and holistic provision. Recognising these structural and funding</w:t>
      </w:r>
      <w:r w:rsidRPr="00703092">
        <w:noBreakHyphen/>
        <w:t>related barriers is essential for understanding both individual journeys and the broader context in which youth work operates.</w:t>
      </w:r>
    </w:p>
    <w:p w14:paraId="050EEC4D" w14:textId="77777777" w:rsidR="00703092" w:rsidRPr="00703092" w:rsidRDefault="00703092" w:rsidP="00703092">
      <w:r w:rsidRPr="00703092">
        <w:t xml:space="preserve">Sustained emphasis on empowerment, inclusion and holistic support — in line with the principles set out in the </w:t>
      </w:r>
      <w:r w:rsidRPr="00703092">
        <w:rPr>
          <w:i/>
          <w:iCs/>
        </w:rPr>
        <w:t>Quality Mark for Youth Work in Wales</w:t>
      </w:r>
      <w:r w:rsidRPr="00703092">
        <w:t xml:space="preserve"> — remains crucial in enabling young people to address barriers, build on their strengths and work towards positive, sustainable outcomes beyond supported accommodation. However, the dynamics within shared accommodation can create challenges. Negative peer influence, conflict or immature behaviour can undermine stability and disproportionately affect more vulnerable residents. For example, a young person trying to maintain a routine of attending training may be discouraged by peers who stay up late, use substances or mock their efforts, causing them to withdraw or revert to unhelpful patterns. These issues can reduce the effectiveness of the environment and hinder young people’s ability to develop consistent routines and progress towards independence.</w:t>
      </w:r>
    </w:p>
    <w:p w14:paraId="288BF87A" w14:textId="77777777" w:rsidR="00703092" w:rsidRPr="00703092" w:rsidRDefault="00703092" w:rsidP="00703092">
      <w:r w:rsidRPr="00703092">
        <w:lastRenderedPageBreak/>
        <w:t>Internal feedback from young people also highlighted that the accommodation often feels un</w:t>
      </w:r>
      <w:r w:rsidRPr="00703092">
        <w:noBreakHyphen/>
        <w:t>homely, with limited warmth and personalisation. Many reported that this impersonal atmosphere reduces their sense of comfort and belonging, making it harder to settle, regulate their emotions and positively engage with the support offered. In response, this feedback was taken to a meeting with managers, who agreed to allocate funding for young people to choose soft furnishings, wall décor and other items to improve the environment. This process closely reflects the core pillars of youth work: it was participative, giving young people an active role in shaping their living space; expressive, enabling them to reflect their identities, tastes and cultures in the décor; and empowering, as their views directly influenced decision</w:t>
      </w:r>
      <w:r w:rsidRPr="00703092">
        <w:noBreakHyphen/>
        <w:t>making and created tangible change within the setting.</w:t>
      </w:r>
    </w:p>
    <w:p w14:paraId="1CC82422" w14:textId="77777777" w:rsidR="00703092" w:rsidRPr="00703092" w:rsidRDefault="00703092" w:rsidP="00703092">
      <w:r w:rsidRPr="00703092">
        <w:t>This approach not only enhances the physical environment but also reinforces a youth</w:t>
      </w:r>
      <w:r w:rsidRPr="00703092">
        <w:noBreakHyphen/>
        <w:t>centred ethos that supports emotional wellbeing, strengthens engagement and aligns with the wider aims of high</w:t>
      </w:r>
      <w:r w:rsidRPr="00703092">
        <w:noBreakHyphen/>
        <w:t>quality youth work practice in Wales.</w:t>
      </w:r>
    </w:p>
    <w:p w14:paraId="69C4CF39" w14:textId="77777777" w:rsidR="00703092" w:rsidRPr="00703092" w:rsidRDefault="00703092" w:rsidP="00703092"/>
    <w:p w14:paraId="4FE3E544" w14:textId="77777777" w:rsidR="0049209E" w:rsidRDefault="0049209E" w:rsidP="009B443B"/>
    <w:p w14:paraId="58A9D96D" w14:textId="77777777" w:rsidR="00B1558C" w:rsidRPr="009B443B" w:rsidRDefault="00B1558C" w:rsidP="009B443B"/>
    <w:p w14:paraId="7DB88D94" w14:textId="77777777" w:rsidR="00515C3E" w:rsidRDefault="00515C3E" w:rsidP="009B443B"/>
    <w:p w14:paraId="55DB5581" w14:textId="77777777" w:rsidR="00515C3E" w:rsidRDefault="00515C3E" w:rsidP="009B443B"/>
    <w:p w14:paraId="02B6AF1F" w14:textId="77777777" w:rsidR="00515C3E" w:rsidRDefault="00515C3E" w:rsidP="009B443B"/>
    <w:p w14:paraId="151FE3BA" w14:textId="77777777" w:rsidR="00515C3E" w:rsidRDefault="00515C3E" w:rsidP="009B443B"/>
    <w:p w14:paraId="7BBA05FA" w14:textId="77777777" w:rsidR="00515C3E" w:rsidRDefault="00515C3E" w:rsidP="009B443B"/>
    <w:p w14:paraId="2F646495" w14:textId="77777777" w:rsidR="00515C3E" w:rsidRDefault="00515C3E" w:rsidP="009B443B"/>
    <w:p w14:paraId="76208AD7" w14:textId="77777777" w:rsidR="00687173" w:rsidRDefault="00687173" w:rsidP="009B443B"/>
    <w:p w14:paraId="3346D1CE" w14:textId="77777777" w:rsidR="0049209E" w:rsidRDefault="0049209E" w:rsidP="009B443B"/>
    <w:p w14:paraId="725F2296" w14:textId="77777777" w:rsidR="0049209E" w:rsidRDefault="0049209E" w:rsidP="009B443B"/>
    <w:p w14:paraId="1D9CF455" w14:textId="77777777" w:rsidR="0049209E" w:rsidRDefault="0049209E" w:rsidP="009B443B"/>
    <w:p w14:paraId="69FDEEB3" w14:textId="77777777" w:rsidR="0049209E" w:rsidRDefault="0049209E" w:rsidP="009B443B"/>
    <w:p w14:paraId="1FA58B47" w14:textId="77777777" w:rsidR="0049209E" w:rsidRDefault="0049209E" w:rsidP="009B443B"/>
    <w:tbl>
      <w:tblPr>
        <w:tblStyle w:val="TableGrid"/>
        <w:tblW w:w="0" w:type="auto"/>
        <w:tblLayout w:type="fixed"/>
        <w:tblLook w:val="04A0" w:firstRow="1" w:lastRow="0" w:firstColumn="1" w:lastColumn="0" w:noHBand="0" w:noVBand="1"/>
      </w:tblPr>
      <w:tblGrid>
        <w:gridCol w:w="4390"/>
        <w:gridCol w:w="4626"/>
      </w:tblGrid>
      <w:tr w:rsidR="006A7457" w14:paraId="336F5BD5" w14:textId="77777777" w:rsidTr="00032AF0">
        <w:tc>
          <w:tcPr>
            <w:tcW w:w="4390" w:type="dxa"/>
          </w:tcPr>
          <w:p w14:paraId="5A715CB6" w14:textId="77777777" w:rsidR="006A7457" w:rsidRDefault="004E5A6D" w:rsidP="009B443B">
            <w:pPr>
              <w:rPr>
                <w:b/>
                <w:bCs/>
              </w:rPr>
            </w:pPr>
            <w:r>
              <w:rPr>
                <w:b/>
                <w:bCs/>
              </w:rPr>
              <w:t>STRENGTHS</w:t>
            </w:r>
          </w:p>
          <w:p w14:paraId="4B16A5F2" w14:textId="361A2F2C" w:rsidR="00F62DE4" w:rsidRDefault="00F62DE4" w:rsidP="009B443B">
            <w:r>
              <w:t>Suitable &amp; Affordable accommodation</w:t>
            </w:r>
          </w:p>
          <w:p w14:paraId="62E573AC" w14:textId="17938346" w:rsidR="007703C5" w:rsidRDefault="007703C5" w:rsidP="009B443B">
            <w:r>
              <w:t>Holistic Support – Person Centred</w:t>
            </w:r>
          </w:p>
          <w:p w14:paraId="31A5D240" w14:textId="417FA2F6" w:rsidR="007703C5" w:rsidRDefault="007703C5" w:rsidP="009B443B">
            <w:r>
              <w:t>Safeguarding Framework</w:t>
            </w:r>
          </w:p>
          <w:p w14:paraId="18337B61" w14:textId="0A10F29C" w:rsidR="00032AF0" w:rsidRDefault="00032AF0" w:rsidP="009B443B">
            <w:r>
              <w:lastRenderedPageBreak/>
              <w:t>Access to external agencies for support</w:t>
            </w:r>
          </w:p>
          <w:p w14:paraId="4950E236" w14:textId="3F030C22" w:rsidR="00032AF0" w:rsidRDefault="00032AF0" w:rsidP="009B443B">
            <w:r>
              <w:t>Peer Community</w:t>
            </w:r>
          </w:p>
          <w:p w14:paraId="3F66987A" w14:textId="77777777" w:rsidR="007703C5" w:rsidRPr="00F62DE4" w:rsidRDefault="007703C5" w:rsidP="009B443B"/>
          <w:p w14:paraId="681E46B3" w14:textId="656883C3" w:rsidR="00F62DE4" w:rsidRDefault="00F62DE4" w:rsidP="009B443B">
            <w:pPr>
              <w:rPr>
                <w:b/>
                <w:bCs/>
              </w:rPr>
            </w:pPr>
          </w:p>
        </w:tc>
        <w:tc>
          <w:tcPr>
            <w:tcW w:w="4626" w:type="dxa"/>
          </w:tcPr>
          <w:p w14:paraId="5375C4DC" w14:textId="77777777" w:rsidR="006A7457" w:rsidRDefault="004E5A6D" w:rsidP="009B443B">
            <w:pPr>
              <w:rPr>
                <w:b/>
                <w:bCs/>
              </w:rPr>
            </w:pPr>
            <w:r>
              <w:rPr>
                <w:b/>
                <w:bCs/>
              </w:rPr>
              <w:lastRenderedPageBreak/>
              <w:t>WEAKNESSES</w:t>
            </w:r>
          </w:p>
          <w:p w14:paraId="6778D8A0" w14:textId="77777777" w:rsidR="00F62DE4" w:rsidRDefault="00F62DE4" w:rsidP="009B443B">
            <w:r>
              <w:t>Limited move-on options</w:t>
            </w:r>
          </w:p>
          <w:p w14:paraId="3DF368A9" w14:textId="77777777" w:rsidR="007703C5" w:rsidRDefault="007703C5" w:rsidP="009B443B">
            <w:r>
              <w:t>Inconsistent engagement</w:t>
            </w:r>
          </w:p>
          <w:p w14:paraId="3E02E56D" w14:textId="77777777" w:rsidR="007703C5" w:rsidRDefault="007703C5" w:rsidP="007703C5">
            <w:pPr>
              <w:ind w:left="5760" w:hanging="5760"/>
            </w:pPr>
            <w:r>
              <w:t>Getting dynamic of young people right.</w:t>
            </w:r>
          </w:p>
          <w:p w14:paraId="283A0E48" w14:textId="5642AA69" w:rsidR="00032AF0" w:rsidRDefault="00032AF0" w:rsidP="007703C5">
            <w:pPr>
              <w:ind w:left="5760" w:hanging="5760"/>
            </w:pPr>
            <w:r>
              <w:lastRenderedPageBreak/>
              <w:t>Negative peer influence</w:t>
            </w:r>
          </w:p>
          <w:p w14:paraId="4E772642" w14:textId="7A80C5EB" w:rsidR="00747533" w:rsidRDefault="00A30967" w:rsidP="007703C5">
            <w:pPr>
              <w:ind w:left="5760" w:hanging="5760"/>
            </w:pPr>
            <w:r>
              <w:t xml:space="preserve">Accommodation </w:t>
            </w:r>
            <w:r w:rsidR="00611882">
              <w:t>can feel un-homely</w:t>
            </w:r>
          </w:p>
          <w:p w14:paraId="6C8B34A4" w14:textId="221B67C4" w:rsidR="007703C5" w:rsidRDefault="007703C5" w:rsidP="009B443B">
            <w:pPr>
              <w:rPr>
                <w:b/>
                <w:bCs/>
              </w:rPr>
            </w:pPr>
          </w:p>
        </w:tc>
      </w:tr>
      <w:tr w:rsidR="006A7457" w14:paraId="1522CAA9" w14:textId="77777777" w:rsidTr="00032AF0">
        <w:tc>
          <w:tcPr>
            <w:tcW w:w="4390" w:type="dxa"/>
          </w:tcPr>
          <w:p w14:paraId="1187972C" w14:textId="77777777" w:rsidR="006A7457" w:rsidRDefault="00E0578A" w:rsidP="009B443B">
            <w:pPr>
              <w:rPr>
                <w:b/>
                <w:bCs/>
              </w:rPr>
            </w:pPr>
            <w:r>
              <w:rPr>
                <w:b/>
                <w:bCs/>
              </w:rPr>
              <w:lastRenderedPageBreak/>
              <w:t>OPPORTUNITIES</w:t>
            </w:r>
          </w:p>
          <w:p w14:paraId="6801B9B3" w14:textId="77777777" w:rsidR="00E0578A" w:rsidRDefault="008D6A35" w:rsidP="009B443B">
            <w:r>
              <w:t xml:space="preserve">Semi - </w:t>
            </w:r>
            <w:r w:rsidR="00E0578A">
              <w:t>Independent living</w:t>
            </w:r>
          </w:p>
          <w:p w14:paraId="395B6C0A" w14:textId="77777777" w:rsidR="008D6A35" w:rsidRDefault="008D6A35" w:rsidP="009B443B">
            <w:r>
              <w:t>Multi Agency Support</w:t>
            </w:r>
          </w:p>
          <w:p w14:paraId="6631D6D0" w14:textId="77777777" w:rsidR="002A203D" w:rsidRDefault="002A203D" w:rsidP="009B443B">
            <w:r>
              <w:t>Affordable stable accommodation</w:t>
            </w:r>
          </w:p>
          <w:p w14:paraId="5DAA5F90" w14:textId="4A87AC08" w:rsidR="00A32BCA" w:rsidRDefault="00A32BCA" w:rsidP="009B443B">
            <w:r>
              <w:t>Move on opportunities</w:t>
            </w:r>
          </w:p>
          <w:p w14:paraId="5222D5B7" w14:textId="552963A6" w:rsidR="00A32BCA" w:rsidRDefault="00A32BCA" w:rsidP="009B443B">
            <w:pPr>
              <w:rPr>
                <w:b/>
                <w:bCs/>
              </w:rPr>
            </w:pPr>
          </w:p>
        </w:tc>
        <w:tc>
          <w:tcPr>
            <w:tcW w:w="4626" w:type="dxa"/>
          </w:tcPr>
          <w:p w14:paraId="6B477292" w14:textId="77777777" w:rsidR="006A7457" w:rsidRDefault="00E0578A" w:rsidP="009B443B">
            <w:pPr>
              <w:rPr>
                <w:b/>
                <w:bCs/>
              </w:rPr>
            </w:pPr>
            <w:r>
              <w:rPr>
                <w:b/>
                <w:bCs/>
              </w:rPr>
              <w:t>THREATS</w:t>
            </w:r>
          </w:p>
          <w:p w14:paraId="624019C8" w14:textId="77777777" w:rsidR="00E0578A" w:rsidRDefault="00B42745" w:rsidP="009B443B">
            <w:r>
              <w:t>Funding pressures / cuts</w:t>
            </w:r>
          </w:p>
          <w:p w14:paraId="0789281B" w14:textId="77777777" w:rsidR="00B42745" w:rsidRDefault="00ED2CD1" w:rsidP="009B443B">
            <w:r>
              <w:t>Community tensions</w:t>
            </w:r>
          </w:p>
          <w:p w14:paraId="276A4106" w14:textId="77777777" w:rsidR="00ED2CD1" w:rsidRDefault="00ED2CD1" w:rsidP="009B443B">
            <w:r>
              <w:t>Loss of tenancy / loss of homeless duty</w:t>
            </w:r>
          </w:p>
          <w:p w14:paraId="2FB93B06" w14:textId="77777777" w:rsidR="00ED2CD1" w:rsidRDefault="00ED2CD1" w:rsidP="009B443B">
            <w:r>
              <w:t>Staff inconsistency</w:t>
            </w:r>
          </w:p>
          <w:p w14:paraId="2F6D3F73" w14:textId="77777777" w:rsidR="00ED2CD1" w:rsidRDefault="00ED2CD1" w:rsidP="009B443B">
            <w:r>
              <w:t>Safeguarding risks</w:t>
            </w:r>
          </w:p>
          <w:p w14:paraId="1D6DB76E" w14:textId="7123D65C" w:rsidR="007D4247" w:rsidRPr="00B42745" w:rsidRDefault="007D4247" w:rsidP="009B443B"/>
        </w:tc>
      </w:tr>
    </w:tbl>
    <w:p w14:paraId="363DC985" w14:textId="77777777" w:rsidR="00703092" w:rsidRDefault="00703092" w:rsidP="00A1694F"/>
    <w:p w14:paraId="3170D5A0" w14:textId="526CE298" w:rsidR="00A1694F" w:rsidRDefault="00A1694F" w:rsidP="00A1694F">
      <w:r>
        <w:t xml:space="preserve">The training flats were introduced </w:t>
      </w:r>
      <w:r w:rsidR="00703092">
        <w:t>2019 to 2020 and</w:t>
      </w:r>
      <w:r w:rsidR="00670742">
        <w:t xml:space="preserve"> are grant funded </w:t>
      </w:r>
      <w:r w:rsidR="00543BF5">
        <w:t>through the Welsh Governments Innovation Grant.</w:t>
      </w:r>
      <w:r w:rsidR="00DD50AD">
        <w:t xml:space="preserve"> </w:t>
      </w:r>
      <w:r w:rsidR="00C3040F">
        <w:t xml:space="preserve"> The Welsh Government’s Innovation Grant funds </w:t>
      </w:r>
      <w:r w:rsidR="00AB0E4A">
        <w:t xml:space="preserve">short, creative pilot projects that test new ways of supporting communities.  It helps organisations trial fresh approaches, build partnerships, and address priority issues.  For youth </w:t>
      </w:r>
      <w:r w:rsidR="00090616">
        <w:t>work,</w:t>
      </w:r>
      <w:r w:rsidR="0037754F">
        <w:t xml:space="preserve"> it offers a chance to devel</w:t>
      </w:r>
      <w:r w:rsidR="00FB7A99">
        <w:t>op and evidence new models that improve</w:t>
      </w:r>
      <w:r w:rsidR="00971E81">
        <w:t xml:space="preserve"> outcomes for young people, including those experiencing or at risk of youth homelessness.</w:t>
      </w:r>
    </w:p>
    <w:p w14:paraId="6C5A04C3" w14:textId="0EC25050" w:rsidR="00543BF5" w:rsidRDefault="00543BF5" w:rsidP="00A1694F">
      <w:r>
        <w:t xml:space="preserve">They offer affordable housing to </w:t>
      </w:r>
      <w:r w:rsidR="00483E1D">
        <w:t>18–25-year-olds</w:t>
      </w:r>
      <w:r>
        <w:t xml:space="preserve"> who are homeless or at risk of being homeless</w:t>
      </w:r>
      <w:r w:rsidR="00483E1D">
        <w:t>, this type of accommodation offers semi-independent living.</w:t>
      </w:r>
      <w:r w:rsidR="004B71D1">
        <w:t xml:space="preserve"> </w:t>
      </w:r>
    </w:p>
    <w:p w14:paraId="6A5C191B" w14:textId="1CCFB675" w:rsidR="00ED3429" w:rsidRDefault="00ED3429" w:rsidP="00A1694F">
      <w:r>
        <w:t xml:space="preserve">Supported housing offers several significant strengths that directly enhance young peoples’ stability, wellbeing, and long-term outcomes.  </w:t>
      </w:r>
      <w:r w:rsidR="000D4AFD">
        <w:t>First access to suitable and a</w:t>
      </w:r>
      <w:r w:rsidR="004B71D1">
        <w:t xml:space="preserve">ffordable accommodation provides an essential foundation at a development stage </w:t>
      </w:r>
      <w:r w:rsidR="00A335C0">
        <w:t xml:space="preserve">where many </w:t>
      </w:r>
      <w:proofErr w:type="gramStart"/>
      <w:r w:rsidR="00C91CB2">
        <w:t>fa</w:t>
      </w:r>
      <w:r w:rsidR="00703092">
        <w:t>ce</w:t>
      </w:r>
      <w:proofErr w:type="gramEnd"/>
      <w:r w:rsidR="00703092">
        <w:t xml:space="preserve"> </w:t>
      </w:r>
      <w:r w:rsidR="00A335C0">
        <w:t>economic disadvantages and limited family support.  Secure housing red</w:t>
      </w:r>
      <w:r w:rsidR="003E3128">
        <w:t>uces the risk of homelessness</w:t>
      </w:r>
      <w:r w:rsidR="00A51FF2">
        <w:t xml:space="preserve"> and enables young people to focus on education, employment and personal development</w:t>
      </w:r>
      <w:r w:rsidR="00C07C74">
        <w:t xml:space="preserve"> (</w:t>
      </w:r>
      <w:r w:rsidR="001005E5">
        <w:t>F</w:t>
      </w:r>
      <w:r w:rsidR="005A1AE3">
        <w:t>itzpatrick et al., 2019)</w:t>
      </w:r>
      <w:r w:rsidR="002D6D66">
        <w:t>.  Alongside this, the holi</w:t>
      </w:r>
      <w:r w:rsidR="00301859">
        <w:t xml:space="preserve">stic and </w:t>
      </w:r>
      <w:r w:rsidR="003C0262">
        <w:t>person-centred</w:t>
      </w:r>
      <w:r w:rsidR="00301859">
        <w:t xml:space="preserve"> support </w:t>
      </w:r>
      <w:r w:rsidR="00994905">
        <w:t xml:space="preserve">embedded in supported </w:t>
      </w:r>
      <w:r w:rsidR="00114066">
        <w:t>housing ensures that interventions respond to ind</w:t>
      </w:r>
      <w:r w:rsidR="00DD1DC4">
        <w:t>ividual needs rather than adapting a one-size fits all model.  According to Dwyer &amp; Daly</w:t>
      </w:r>
      <w:r w:rsidR="00C92643">
        <w:t xml:space="preserve"> this approach </w:t>
      </w:r>
      <w:r w:rsidR="003C0262">
        <w:t>respects</w:t>
      </w:r>
      <w:r w:rsidR="00C92643">
        <w:t xml:space="preserve"> the young </w:t>
      </w:r>
      <w:r w:rsidR="003C0262">
        <w:t>person’s</w:t>
      </w:r>
      <w:r w:rsidR="00C92643">
        <w:t xml:space="preserve"> autonomy while promoting growth in areas such as budgeting, emotional resilience and life skills.</w:t>
      </w:r>
    </w:p>
    <w:p w14:paraId="60475C34" w14:textId="55DB2F12" w:rsidR="003C0262" w:rsidRDefault="003C0262" w:rsidP="00A1694F">
      <w:r>
        <w:t>A robust safeguarding framework is another core strength</w:t>
      </w:r>
      <w:r w:rsidR="00A43831">
        <w:t xml:space="preserve">.  </w:t>
      </w:r>
      <w:r w:rsidR="00597F54">
        <w:t xml:space="preserve">As explained by Prosser </w:t>
      </w:r>
      <w:r w:rsidR="007629AD">
        <w:t>Y</w:t>
      </w:r>
      <w:r w:rsidR="00A43831">
        <w:t>oung people facing instability are often vulnerable to exploitation</w:t>
      </w:r>
      <w:r w:rsidR="007C605B">
        <w:t>, unsafe relationships, or deteriorating mental health.  Supported housing environment provide</w:t>
      </w:r>
      <w:r w:rsidR="000B209D">
        <w:t xml:space="preserve"> oversight, structured risk management, and early intervention, reducing harm and enhancing protective factors</w:t>
      </w:r>
      <w:r w:rsidR="00636F22">
        <w:t>.  The presence of a peer community plays a constructive role when managed effectively, shared living reduces isolation, builds informal social networks, and fosters peer learning.</w:t>
      </w:r>
    </w:p>
    <w:p w14:paraId="6EE81883" w14:textId="262E33A4" w:rsidR="00636F22" w:rsidRDefault="00636F22" w:rsidP="00A1694F">
      <w:r>
        <w:lastRenderedPageBreak/>
        <w:t xml:space="preserve">Finally supported housing acts as a bridge to external agencies, </w:t>
      </w:r>
      <w:r w:rsidR="00E62CFF">
        <w:t>giving young people structured access to education providers</w:t>
      </w:r>
      <w:r w:rsidR="00625E0C">
        <w:t>, employment programs, mental health services and community</w:t>
      </w:r>
      <w:r w:rsidR="00677227">
        <w:t xml:space="preserve"> organisations.  By connecting these young people with broader network of support</w:t>
      </w:r>
      <w:r w:rsidR="009D68C2">
        <w:t>, the service expands their opportunities and helps create a more coherent and sustainable route towards independent living.</w:t>
      </w:r>
    </w:p>
    <w:p w14:paraId="54F89FA5" w14:textId="401EB289" w:rsidR="00810423" w:rsidRDefault="00810423" w:rsidP="00A1694F">
      <w:r>
        <w:t>Together, these strengths demonstrate that supported housing can be</w:t>
      </w:r>
      <w:r w:rsidR="004166FE">
        <w:t xml:space="preserve"> an ef</w:t>
      </w:r>
      <w:r>
        <w:t>fective, multi-layered intervention</w:t>
      </w:r>
      <w:r w:rsidR="004166FE">
        <w:t xml:space="preserve"> </w:t>
      </w:r>
      <w:r>
        <w:t xml:space="preserve">for young people navigating complex transitions. </w:t>
      </w:r>
    </w:p>
    <w:p w14:paraId="09B637E0" w14:textId="6759643A" w:rsidR="00BC5F5B" w:rsidRDefault="00BC5F5B" w:rsidP="00A1694F">
      <w:r>
        <w:t xml:space="preserve">An example of this was an </w:t>
      </w:r>
      <w:r w:rsidR="0021068B">
        <w:t>18-year-old</w:t>
      </w:r>
      <w:r>
        <w:t xml:space="preserve"> girl who moved into the </w:t>
      </w:r>
      <w:r w:rsidR="0021068B">
        <w:t xml:space="preserve">training accommodation in Llanelli.  </w:t>
      </w:r>
      <w:r w:rsidR="00F76892">
        <w:t>Staff quickly rec</w:t>
      </w:r>
      <w:r w:rsidR="003523D4">
        <w:t xml:space="preserve">ognised </w:t>
      </w:r>
      <w:r w:rsidR="003523D4" w:rsidRPr="003523D4">
        <w:t>her</w:t>
      </w:r>
      <w:r w:rsidR="005A5B00" w:rsidRPr="005A5B00">
        <w:t xml:space="preserve"> anxiety </w:t>
      </w:r>
      <w:r w:rsidR="00681074">
        <w:t>and</w:t>
      </w:r>
      <w:r w:rsidR="005A5B00" w:rsidRPr="005A5B00">
        <w:t xml:space="preserve"> the risk of disengagement. She was allocated a support </w:t>
      </w:r>
      <w:r w:rsidR="00681074" w:rsidRPr="005A5B00">
        <w:t>worker,</w:t>
      </w:r>
      <w:r w:rsidR="005A5B00" w:rsidRPr="005A5B00">
        <w:t xml:space="preserve"> </w:t>
      </w:r>
      <w:r w:rsidR="00F457DD">
        <w:t xml:space="preserve">and they </w:t>
      </w:r>
      <w:r w:rsidR="005A5B00" w:rsidRPr="005A5B00">
        <w:t>developed</w:t>
      </w:r>
      <w:r w:rsidR="00D8693A" w:rsidRPr="00D8693A">
        <w:t xml:space="preserve"> a strong, trusting relationship</w:t>
      </w:r>
      <w:r w:rsidR="00CF7095">
        <w:t>.</w:t>
      </w:r>
      <w:r w:rsidR="00D8693A" w:rsidRPr="00D8693A">
        <w:t xml:space="preserve"> </w:t>
      </w:r>
      <w:r w:rsidR="00B06DBE">
        <w:t>S</w:t>
      </w:r>
      <w:r w:rsidR="00D8693A" w:rsidRPr="00D8693A">
        <w:t>he has since being referred for additional</w:t>
      </w:r>
      <w:r w:rsidR="008D5806" w:rsidRPr="008D5806">
        <w:t xml:space="preserve"> emotional support, which she is actively engaging with. She has also begun</w:t>
      </w:r>
      <w:r w:rsidR="00F21420" w:rsidRPr="00F21420">
        <w:t xml:space="preserve"> the process of ente</w:t>
      </w:r>
      <w:r w:rsidR="00F21420">
        <w:t xml:space="preserve">ring </w:t>
      </w:r>
      <w:r w:rsidR="00F21420" w:rsidRPr="00F21420">
        <w:t>training and his form</w:t>
      </w:r>
      <w:r w:rsidR="00064857">
        <w:t>ing</w:t>
      </w:r>
      <w:r w:rsidR="00F21420" w:rsidRPr="00F21420">
        <w:t xml:space="preserve"> positive relationships within</w:t>
      </w:r>
      <w:r w:rsidR="00064857" w:rsidRPr="00064857">
        <w:t xml:space="preserve"> the accommodation</w:t>
      </w:r>
      <w:r w:rsidR="00064857">
        <w:t>.</w:t>
      </w:r>
    </w:p>
    <w:p w14:paraId="4850966C" w14:textId="2578D842" w:rsidR="0069616B" w:rsidRDefault="0071438F" w:rsidP="00A1694F">
      <w:r>
        <w:t xml:space="preserve">A major </w:t>
      </w:r>
      <w:r w:rsidR="00680328">
        <w:t>weakness within supported accommodation is the limited availability of suitable move-on options</w:t>
      </w:r>
      <w:r w:rsidR="00E340AA">
        <w:t xml:space="preserve">, which is reflected in current Welsh data. </w:t>
      </w:r>
      <w:r w:rsidR="009B1781">
        <w:t>End Youth Homelessness Cymru (EYHC) state</w:t>
      </w:r>
      <w:r w:rsidR="00E340AA">
        <w:t xml:space="preserve"> </w:t>
      </w:r>
      <w:r w:rsidR="009B1781">
        <w:t>y</w:t>
      </w:r>
      <w:r w:rsidR="00E340AA">
        <w:t xml:space="preserve">oung people aged 18 – 25 </w:t>
      </w:r>
      <w:r w:rsidR="00F70F8D">
        <w:t xml:space="preserve">now spend an average of 113 days in training </w:t>
      </w:r>
      <w:r w:rsidR="00500645">
        <w:t xml:space="preserve">or temporary </w:t>
      </w:r>
      <w:r w:rsidR="00F70F8D">
        <w:t>accommodation</w:t>
      </w:r>
      <w:r w:rsidR="00500645">
        <w:t>, a 71% increase since 2017/18</w:t>
      </w:r>
      <w:r w:rsidR="00795AFF">
        <w:t xml:space="preserve">, highlighting </w:t>
      </w:r>
      <w:r w:rsidR="000D1DDF">
        <w:t xml:space="preserve">how difficult it is for them to progress into stable </w:t>
      </w:r>
      <w:r w:rsidR="00C40179">
        <w:t>housing.</w:t>
      </w:r>
      <w:r w:rsidR="00AA5318">
        <w:t xml:space="preserve">  For young people </w:t>
      </w:r>
      <w:r w:rsidR="00D566C2">
        <w:t xml:space="preserve">these barriers can delay independence, reduce placement turnover, and </w:t>
      </w:r>
      <w:r w:rsidR="00F97AF3">
        <w:t>create a sense of stagnation.  Over time, this lack of progression ca</w:t>
      </w:r>
      <w:r w:rsidR="007170D5">
        <w:t>n</w:t>
      </w:r>
      <w:r w:rsidR="00681295">
        <w:t xml:space="preserve"> </w:t>
      </w:r>
      <w:r w:rsidR="00F97AF3">
        <w:t xml:space="preserve">also lead to frustration and </w:t>
      </w:r>
      <w:r w:rsidR="00AD462F">
        <w:t>disengagement from youth services and support, as young people lose confidence in the system designed to help them move forward.</w:t>
      </w:r>
      <w:r w:rsidR="00F70F8D">
        <w:t xml:space="preserve"> </w:t>
      </w:r>
      <w:r w:rsidR="00995DCC">
        <w:t>Inconsistent engagement</w:t>
      </w:r>
      <w:r w:rsidR="00F13C06">
        <w:t xml:space="preserve"> </w:t>
      </w:r>
      <w:r w:rsidR="00681295">
        <w:t>from young people, often linked to anxiety, past trauma or low mot</w:t>
      </w:r>
      <w:r w:rsidR="003916E4">
        <w:t xml:space="preserve">ivation is another key </w:t>
      </w:r>
      <w:r w:rsidR="00FC0931">
        <w:t>weakness</w:t>
      </w:r>
      <w:r w:rsidR="003916E4">
        <w:t xml:space="preserve">.  Irregular attendance </w:t>
      </w:r>
      <w:r w:rsidR="00FC0931">
        <w:t>at key-work sessions can slow progress</w:t>
      </w:r>
      <w:r w:rsidR="008517C8">
        <w:t xml:space="preserve"> and reduce the impact of support.  This also sits in contrast to the Youth Work National Standards</w:t>
      </w:r>
      <w:r w:rsidR="000A408B">
        <w:t>, which emphasises the importance of sustained, voluntary engagement</w:t>
      </w:r>
      <w:r w:rsidR="004E0BF7">
        <w:t xml:space="preserve"> and the development of trusting educative relationships.  When engagement </w:t>
      </w:r>
      <w:r w:rsidR="004166FE">
        <w:t xml:space="preserve">is inconsistent </w:t>
      </w:r>
      <w:r w:rsidR="00CA68C1">
        <w:t>it becomes harder for practitioners to meet these standards and to support young people</w:t>
      </w:r>
      <w:r w:rsidR="00627F33">
        <w:t>’</w:t>
      </w:r>
      <w:r w:rsidR="00CA68C1">
        <w:t>s active participation</w:t>
      </w:r>
      <w:r w:rsidR="005C64B8">
        <w:t xml:space="preserve"> in their own development.</w:t>
      </w:r>
      <w:r w:rsidR="00627F33">
        <w:t xml:space="preserve"> This challenge is compounded by staff turnover, </w:t>
      </w:r>
      <w:r w:rsidR="00E3660F">
        <w:t xml:space="preserve">which </w:t>
      </w:r>
      <w:r w:rsidR="00635A9B">
        <w:t>disrupts relational con</w:t>
      </w:r>
      <w:r w:rsidR="0077795B">
        <w:t xml:space="preserve">tinuity and weakens the development of secure, trusting </w:t>
      </w:r>
      <w:r w:rsidR="00257BFD">
        <w:t>practitioners – young person relationships as explained by (Munro, 2011)</w:t>
      </w:r>
    </w:p>
    <w:p w14:paraId="139645F7" w14:textId="42C65030" w:rsidR="00483E1D" w:rsidRDefault="009A4A09" w:rsidP="00A1694F">
      <w:r>
        <w:t xml:space="preserve">Supported accommodation for </w:t>
      </w:r>
      <w:r w:rsidR="00667222">
        <w:t>18- to 25-year-olds</w:t>
      </w:r>
      <w:r>
        <w:t xml:space="preserve"> offers significant</w:t>
      </w:r>
      <w:r w:rsidR="003E47D2">
        <w:t xml:space="preserve"> opportunities that contribute to young people's progression towards independe</w:t>
      </w:r>
      <w:r w:rsidR="00731930">
        <w:t>nt living.  One of the most notable advantages is the semi-independent</w:t>
      </w:r>
      <w:r w:rsidR="00D52BF9">
        <w:t xml:space="preserve"> structure, which enables young people to develop practical life skills – such as budgeting, tenancy management and self-care within a safe and supportive environment</w:t>
      </w:r>
      <w:r w:rsidR="00EB1917">
        <w:t xml:space="preserve">.  This approach aligns with youth-work principles </w:t>
      </w:r>
      <w:r w:rsidR="000E037E">
        <w:t>as explained by Jeff &amp; smith this</w:t>
      </w:r>
      <w:r w:rsidR="00EB1917">
        <w:t xml:space="preserve"> emphasise </w:t>
      </w:r>
      <w:r w:rsidR="00E045EC">
        <w:t>empowerment and experiential learning as pathways towards auton</w:t>
      </w:r>
      <w:r w:rsidR="006D7A0E">
        <w:t xml:space="preserve">omy.  </w:t>
      </w:r>
    </w:p>
    <w:p w14:paraId="45C826F0" w14:textId="3FCD62B9" w:rsidR="006D7A0E" w:rsidRDefault="006D7A0E" w:rsidP="00A1694F">
      <w:r>
        <w:lastRenderedPageBreak/>
        <w:t xml:space="preserve">The multi-agency nature of supported </w:t>
      </w:r>
      <w:r w:rsidR="00EA2150">
        <w:t>accommodation further enhances opportunities.  Young people can access wrap-around</w:t>
      </w:r>
      <w:r w:rsidR="00ED293B">
        <w:t xml:space="preserve"> support including mental-health services, employability pr</w:t>
      </w:r>
      <w:r w:rsidR="00DB239A">
        <w:t xml:space="preserve">ogrammes, substance-use teams and educative providers.  </w:t>
      </w:r>
      <w:r w:rsidR="001B46A3">
        <w:t>The Youth Engagement and Progression Framework highlights the importance of coordinated, early</w:t>
      </w:r>
      <w:r w:rsidR="00E50452">
        <w:t xml:space="preserve"> and sustained support to prevent disengagement and ensure smooth transition into education, employment or training</w:t>
      </w:r>
      <w:r w:rsidR="00984892">
        <w:t>.  In supported housing settings, this integrated model allows professionals to identify</w:t>
      </w:r>
      <w:r w:rsidR="002E5561">
        <w:t xml:space="preserve"> barriers early, streamline referrals and create coherent progression pathways tailored to individual needs.</w:t>
      </w:r>
    </w:p>
    <w:p w14:paraId="52E43D71" w14:textId="38AEFFE9" w:rsidR="002E5561" w:rsidRDefault="002E5561" w:rsidP="00A1694F">
      <w:r>
        <w:t>Affordability also constitutes a crucial opportunity.  Many young people face financial ba</w:t>
      </w:r>
      <w:r w:rsidR="005B1E9D">
        <w:t>rriers when entering the private rental sector, and supported accom</w:t>
      </w:r>
      <w:r w:rsidR="00B72535">
        <w:t xml:space="preserve">modation provides </w:t>
      </w:r>
      <w:r w:rsidR="00D82A0D">
        <w:t>stable,</w:t>
      </w:r>
      <w:r w:rsidR="00B72535">
        <w:t xml:space="preserve"> financially manageable </w:t>
      </w:r>
      <w:r w:rsidR="00171F00">
        <w:t>alternative.  This stability enables them to focus on personal development rather than crisis management, consistent with the CLD Standards Council</w:t>
      </w:r>
      <w:r w:rsidR="00D82A0D">
        <w:t xml:space="preserve"> that youth workers create environments conductive to participation and growth.</w:t>
      </w:r>
    </w:p>
    <w:p w14:paraId="4344C79F" w14:textId="1EAAFDBE" w:rsidR="00F338FC" w:rsidRDefault="00F338FC" w:rsidP="00A1694F">
      <w:r>
        <w:t>Finally, young people often experience improved move-on opportunities through structured pathways into social housing.</w:t>
      </w:r>
      <w:r w:rsidR="00FB6758">
        <w:t xml:space="preserve">  These pathways help reduce the risk of homelessness and support a confident transition into long-term independence.</w:t>
      </w:r>
    </w:p>
    <w:p w14:paraId="2D301870" w14:textId="014342F4" w:rsidR="00FB6758" w:rsidRDefault="009F7528" w:rsidP="00A1694F">
      <w:r>
        <w:t>Threats</w:t>
      </w:r>
    </w:p>
    <w:p w14:paraId="2D982D98" w14:textId="4AF3D262" w:rsidR="009F7528" w:rsidRDefault="009F7528" w:rsidP="00A1694F">
      <w:r>
        <w:t>Supported accommodation for young people operates within a challenging external environment</w:t>
      </w:r>
      <w:r w:rsidR="00487FFE">
        <w:t>, and several threats can undermine its effectiveness.  One significant threat is the persistent funding pressure faced by local authorities and third-sector providers</w:t>
      </w:r>
      <w:r w:rsidR="002704E8">
        <w:t>.</w:t>
      </w:r>
      <w:r w:rsidR="003D0E18">
        <w:t xml:space="preserve"> According to National Youth Agency ongoing cuts to youth services and housing support budgets can reduce staffing levels, limit the availability of specialist interventions, and restrict opportunities for developmental programmes</w:t>
      </w:r>
      <w:r w:rsidR="00E4524F">
        <w:t>.  Reduced funding also heightens the risk of service stability, which may weaken young people’s trust and engagement.</w:t>
      </w:r>
      <w:r w:rsidR="0059162D">
        <w:t xml:space="preserve">  Additionally, community tensions can arise when supported housing is located within communities that lack of understanding of youth homelessness or hold negative perceptions of local young people.  This can create barriers to social integration, </w:t>
      </w:r>
      <w:r w:rsidR="00D01C1E">
        <w:t>increase stigma</w:t>
      </w:r>
      <w:r w:rsidR="0059162D">
        <w:t xml:space="preserve">, and in some cases lead to complaints or resistance from </w:t>
      </w:r>
      <w:proofErr w:type="gramStart"/>
      <w:r w:rsidR="0059162D">
        <w:t>local residents</w:t>
      </w:r>
      <w:proofErr w:type="gramEnd"/>
      <w:r w:rsidR="0059162D">
        <w:t>, according to Evans, (20</w:t>
      </w:r>
      <w:r w:rsidR="00930E7B">
        <w:t>21) this could ultimately impact the wellbeing and confidence of those living in the supported accommodation.</w:t>
      </w:r>
      <w:r w:rsidR="00D01C1E">
        <w:t xml:space="preserve"> </w:t>
      </w:r>
    </w:p>
    <w:p w14:paraId="7419A6D0" w14:textId="25C33A68" w:rsidR="00D01C1E" w:rsidRDefault="00D01C1E" w:rsidP="00A1694F">
      <w:r>
        <w:t xml:space="preserve">Staff inconsistency also presents a considerable threat.  High turnover </w:t>
      </w:r>
      <w:r w:rsidR="00B95D28">
        <w:t xml:space="preserve">or reliance on staff disrupts </w:t>
      </w:r>
      <w:r w:rsidR="0012785B">
        <w:t>relationship-based</w:t>
      </w:r>
      <w:r w:rsidR="00B95D28">
        <w:t xml:space="preserve"> practice.  A core principle of effective youth work.  This can reduce the continuity of support.</w:t>
      </w:r>
    </w:p>
    <w:p w14:paraId="4AB4ED8B" w14:textId="77777777" w:rsidR="006425BB" w:rsidRPr="006425BB" w:rsidRDefault="006425BB" w:rsidP="006425BB">
      <w:r w:rsidRPr="006425BB">
        <w:t>Finally, safeguarding concerns—including managing complex behaviours, peer conflict or external risks—can challenge the safety and stability of the setting. Without adequate staffing, training and multi-agency coordination, safeguarding pressures may escalate, affecting both residents and staff (Welsh Government, 2022).</w:t>
      </w:r>
    </w:p>
    <w:p w14:paraId="055ED257" w14:textId="77777777" w:rsidR="006425BB" w:rsidRDefault="006425BB" w:rsidP="006425BB">
      <w:r w:rsidRPr="006425BB">
        <w:lastRenderedPageBreak/>
        <w:t>Together, these threats highlight the need for robust funding, community engagement, staff stability and strong safeguarding frameworks to protect the effectiveness of supported accommodation.</w:t>
      </w:r>
    </w:p>
    <w:p w14:paraId="37252F71" w14:textId="77777777" w:rsidR="0012785B" w:rsidRDefault="0012785B" w:rsidP="006425BB"/>
    <w:p w14:paraId="1D29EC5C" w14:textId="77777777" w:rsidR="004166FE" w:rsidRDefault="004166FE" w:rsidP="006425BB"/>
    <w:p w14:paraId="51DAC484" w14:textId="77777777" w:rsidR="004166FE" w:rsidRDefault="004166FE" w:rsidP="006425BB"/>
    <w:p w14:paraId="5232951B" w14:textId="77777777" w:rsidR="004166FE" w:rsidRDefault="004166FE" w:rsidP="006425BB"/>
    <w:p w14:paraId="00748F2B" w14:textId="77777777" w:rsidR="004166FE" w:rsidRDefault="004166FE" w:rsidP="006425BB"/>
    <w:p w14:paraId="62BCC734" w14:textId="77777777" w:rsidR="004166FE" w:rsidRDefault="004166FE" w:rsidP="006425BB"/>
    <w:p w14:paraId="60223AB5" w14:textId="77777777" w:rsidR="004166FE" w:rsidRDefault="004166FE" w:rsidP="006425BB"/>
    <w:p w14:paraId="6E140F18" w14:textId="77777777" w:rsidR="004166FE" w:rsidRDefault="004166FE" w:rsidP="006425BB"/>
    <w:p w14:paraId="52C8836E" w14:textId="77777777" w:rsidR="004166FE" w:rsidRDefault="004166FE" w:rsidP="006425BB"/>
    <w:p w14:paraId="17E18041" w14:textId="77777777" w:rsidR="004166FE" w:rsidRDefault="004166FE" w:rsidP="006425BB"/>
    <w:p w14:paraId="2DF7F525" w14:textId="77777777" w:rsidR="0012785B" w:rsidRDefault="0012785B" w:rsidP="006425BB"/>
    <w:p w14:paraId="50389E94" w14:textId="77777777" w:rsidR="004166FE" w:rsidRDefault="004166FE" w:rsidP="006425BB"/>
    <w:p w14:paraId="574C0A99" w14:textId="77777777" w:rsidR="004166FE" w:rsidRDefault="004166FE" w:rsidP="006425BB"/>
    <w:p w14:paraId="6B2960FD" w14:textId="77777777" w:rsidR="004166FE" w:rsidRDefault="004166FE" w:rsidP="006425BB"/>
    <w:p w14:paraId="5A1E927D" w14:textId="77777777" w:rsidR="004166FE" w:rsidRDefault="004166FE" w:rsidP="006425BB"/>
    <w:p w14:paraId="69583652" w14:textId="77777777" w:rsidR="004166FE" w:rsidRDefault="004166FE" w:rsidP="006425BB"/>
    <w:p w14:paraId="54A0A9B6" w14:textId="77777777" w:rsidR="004166FE" w:rsidRDefault="004166FE" w:rsidP="006425BB"/>
    <w:p w14:paraId="1508E881" w14:textId="77777777" w:rsidR="004166FE" w:rsidRDefault="004166FE" w:rsidP="006425BB"/>
    <w:p w14:paraId="67861C04" w14:textId="77777777" w:rsidR="004166FE" w:rsidRDefault="004166FE" w:rsidP="006425BB"/>
    <w:p w14:paraId="1ED0BD3A" w14:textId="77777777" w:rsidR="004166FE" w:rsidRDefault="004166FE" w:rsidP="006425BB"/>
    <w:p w14:paraId="73C71081" w14:textId="77777777" w:rsidR="004166FE" w:rsidRDefault="004166FE" w:rsidP="006425BB"/>
    <w:p w14:paraId="1037528C" w14:textId="77777777" w:rsidR="004166FE" w:rsidRDefault="004166FE" w:rsidP="006425BB"/>
    <w:p w14:paraId="1BE7C5C4" w14:textId="35667F28" w:rsidR="0012785B" w:rsidRDefault="0012785B" w:rsidP="006425BB">
      <w:r>
        <w:t xml:space="preserve">Summary of learning  </w:t>
      </w:r>
    </w:p>
    <w:p w14:paraId="0581AEE4" w14:textId="77777777" w:rsidR="004166FE" w:rsidRDefault="004166FE" w:rsidP="00134521"/>
    <w:p w14:paraId="79826A81" w14:textId="410204DF" w:rsidR="00134521" w:rsidRPr="00134521" w:rsidRDefault="00134521" w:rsidP="00134521">
      <w:r w:rsidRPr="00134521">
        <w:t xml:space="preserve">My placement in supported accommodation for 18–25-year-olds has been a significant period of professional growth, building on my existing experience as a youth worker. </w:t>
      </w:r>
      <w:r w:rsidRPr="00134521">
        <w:lastRenderedPageBreak/>
        <w:t>Although I already have a strong foundation in relation</w:t>
      </w:r>
      <w:r w:rsidR="00AF7301">
        <w:t xml:space="preserve"> to</w:t>
      </w:r>
      <w:r w:rsidRPr="00134521">
        <w:t xml:space="preserve"> practice, safeguarding and multi-agency partnership, the supported accommodation setting has deepened my understanding of how youth work values, policy frameworks and organisational constraints operate in a residential context. Working within a semi-independent living environment for young people with complex histories has challenged me to critically examine my practice, reflect on my assumptions about independence, risk and empowerment, and use these insights to shape clear priorities within my professional development plan.</w:t>
      </w:r>
    </w:p>
    <w:p w14:paraId="3F82F98B" w14:textId="36FD220B" w:rsidR="000C4156" w:rsidRPr="000C4156" w:rsidRDefault="000C4156" w:rsidP="000C4156">
      <w:r w:rsidRPr="000C4156">
        <w:t>A central objective within my P</w:t>
      </w:r>
      <w:r>
        <w:t xml:space="preserve">rofessional </w:t>
      </w:r>
      <w:r w:rsidRPr="000C4156">
        <w:t>D</w:t>
      </w:r>
      <w:r>
        <w:t xml:space="preserve">evelopment </w:t>
      </w:r>
      <w:r w:rsidRPr="000C4156">
        <w:t>P</w:t>
      </w:r>
      <w:r>
        <w:t>lan</w:t>
      </w:r>
      <w:r w:rsidRPr="000C4156">
        <w:t xml:space="preserve"> was to further develop my capacity to form purposeful, professional relationships with young people. The Youth Work National Occupational Standards identify engagement and relationship-building as fundamental to enabling young people’s personal and social development (CLD Standards Council, 2019). During </w:t>
      </w:r>
      <w:r w:rsidR="00117985">
        <w:t>my time</w:t>
      </w:r>
      <w:r w:rsidRPr="000C4156">
        <w:t xml:space="preserve"> in the accommodation, I applied these principles through intentional informal conversations in shared spaces, maintaining clear boundaries, and using active listening to understand individual needs.</w:t>
      </w:r>
      <w:r w:rsidR="00117985">
        <w:t xml:space="preserve"> </w:t>
      </w:r>
      <w:r w:rsidRPr="000C4156">
        <w:t>For example, when supporting a young woman experiencing anxiety about entering training, I became more attuned to how trauma, previous instability in housing, and low confidence can shape a young person’s ability to engage. Working with her, I used joint goal-setting and regular check-ins to sustain contact and support progression—reflecting the Y</w:t>
      </w:r>
      <w:r w:rsidR="002175DA">
        <w:t xml:space="preserve">outh </w:t>
      </w:r>
      <w:r w:rsidRPr="000C4156">
        <w:t>W</w:t>
      </w:r>
      <w:r w:rsidR="002175DA">
        <w:t>ork</w:t>
      </w:r>
      <w:r w:rsidRPr="000C4156">
        <w:t xml:space="preserve"> N</w:t>
      </w:r>
      <w:r w:rsidR="002175DA">
        <w:t xml:space="preserve">ational </w:t>
      </w:r>
      <w:r w:rsidRPr="000C4156">
        <w:t>O</w:t>
      </w:r>
      <w:r w:rsidR="002175DA">
        <w:t xml:space="preserve">ccupation </w:t>
      </w:r>
      <w:r w:rsidRPr="000C4156">
        <w:t>S</w:t>
      </w:r>
      <w:r w:rsidR="002175DA">
        <w:t>tandards</w:t>
      </w:r>
      <w:r w:rsidRPr="000C4156">
        <w:t xml:space="preserve"> expectation that youth workers assist young people to identify priorities and reflect on their development.</w:t>
      </w:r>
    </w:p>
    <w:p w14:paraId="4B4D7D81" w14:textId="629BCEA5" w:rsidR="000C4156" w:rsidRPr="000C4156" w:rsidRDefault="000C4156" w:rsidP="000C4156">
      <w:r w:rsidRPr="000C4156">
        <w:t>Although I have substantial youth work experience, this setting exposed the impact of organisational factors on practice. I observed how staff turnover</w:t>
      </w:r>
      <w:r w:rsidR="00F23E71">
        <w:t xml:space="preserve"> and</w:t>
      </w:r>
      <w:r w:rsidRPr="000C4156">
        <w:t xml:space="preserve"> inconsistent </w:t>
      </w:r>
      <w:r w:rsidR="00283132">
        <w:t>engagement</w:t>
      </w:r>
      <w:r w:rsidR="006022F5">
        <w:t xml:space="preserve"> from staff </w:t>
      </w:r>
      <w:r w:rsidRPr="000C4156">
        <w:t xml:space="preserve">can </w:t>
      </w:r>
      <w:r w:rsidR="006022F5">
        <w:t>impact the</w:t>
      </w:r>
      <w:r w:rsidRPr="000C4156">
        <w:t xml:space="preserve"> </w:t>
      </w:r>
      <w:r w:rsidR="008E7753">
        <w:t>relationship with young people</w:t>
      </w:r>
      <w:r w:rsidRPr="000C4156">
        <w:t>. Critically reflecting on this has informed my PDP, and I have now added a new aim focused on “consistency, endings and transition,” recognising the importance of supporting young people through changes in staffing and ensuring that relationships are closed ethically and transparently.</w:t>
      </w:r>
    </w:p>
    <w:p w14:paraId="17F6FC8F" w14:textId="6A664D1B" w:rsidR="0012785B" w:rsidRPr="0012785B" w:rsidRDefault="0012785B" w:rsidP="0012785B">
      <w:r w:rsidRPr="0012785B">
        <w:t>Another focus was understanding multi-agency working. The Youth Engagement and Progression Framework (YEPF) emphasises coordinated support and a clear lead worker to reduce the risk of young people becoming NEET (Welsh Government, 2024). In the project, referrals to mental-health services, training providers and housing options teams illustrated both the benefits and limitations of such coordination. When information-sharing was timely, young people experienced a seamless pathway; when communication broke down, appointments were missed and anxiety increased. This highlighted the importance of advocacy and follow-up, and I recognised that I had sometimes assumed other professionals would “pick things up” without checking. In my PDP I have therefore committed to developing clearer recording, escalation and follow-through skills.</w:t>
      </w:r>
    </w:p>
    <w:p w14:paraId="7943B91C" w14:textId="77777777" w:rsidR="0012785B" w:rsidRPr="0012785B" w:rsidRDefault="0012785B" w:rsidP="0012785B"/>
    <w:p w14:paraId="36216C18" w14:textId="77777777" w:rsidR="0012785B" w:rsidRPr="0012785B" w:rsidRDefault="0012785B" w:rsidP="0012785B">
      <w:r w:rsidRPr="0012785B">
        <w:t>My learning also relates to safeguarding and risk. Supported accommodation operates within strict safeguarding procedures, yet the ethos remains rights-based and person-centred. Initially I felt anxious about balancing young people’s autonomy with safety planning. Observing experienced staff helped me see how professional curiosity, clear recording and collaborative risk assessments can be empowering rather than punitive. The YW NOS stresses compliance with legal and ethical requirements while still upholding youth work values of voluntary participation and respect (CLD Standards Council, 2019). Critically, I noticed that young people sometimes perceived safeguarding actions (such as room checks or visitor restrictions) as control rather than care. This tension has encouraged me to reflect on power, language and how we explain decisions. My PDP now includes a goal to improve my ability to have transparent conversations about boundaries and rights.</w:t>
      </w:r>
    </w:p>
    <w:p w14:paraId="3B3CB78D" w14:textId="77777777" w:rsidR="0012785B" w:rsidRPr="0012785B" w:rsidRDefault="0012785B" w:rsidP="0012785B"/>
    <w:p w14:paraId="235A661B" w14:textId="77777777" w:rsidR="0012785B" w:rsidRPr="0012785B" w:rsidRDefault="0012785B" w:rsidP="0012785B">
      <w:r w:rsidRPr="0012785B">
        <w:t>A further area of learning concerns transitions and “move-on”. Literature on care leavers shows that secure, suitable housing is central to successful pathways into adulthood (Stein, 2012). In practice, I witnessed how limited social housing and high private rents restricted move-on options. Young people who were ready for independence sometimes remained in supported accommodation due to external barriers, which could lead to frustration, conflict in the house and disengagement from support. This challenged my earlier, more individualised understanding of “progression” and highlighted the structural nature of housing inequality. I have incorporated a PDP objective to deepen my knowledge of housing policy and to strengthen my skills in supporting young people to navigate systems, not just change their own behaviour.</w:t>
      </w:r>
    </w:p>
    <w:p w14:paraId="5E0BD107" w14:textId="77777777" w:rsidR="0012785B" w:rsidRPr="0012785B" w:rsidRDefault="0012785B" w:rsidP="0012785B"/>
    <w:p w14:paraId="065EF4BB" w14:textId="77777777" w:rsidR="0012785B" w:rsidRPr="0012785B" w:rsidRDefault="0012785B" w:rsidP="0012785B">
      <w:r w:rsidRPr="0012785B">
        <w:t>The internal environment of the project also prompted critical reflection. Feedback from residents indicated that the building could feel “un-homely” at times, despite strong relationships with staff. This raised questions about how space, routines and rules affect young people’s sense of belonging. The YEPF stresses that engagement is enhanced when young people feel they belong and are part of their community (Welsh Government, 2024). I began to see everyday opportunities—such as co-creating house agreements, involving residents in décor decisions or planning shared meals—as youth work interventions that promote ownership and community. In my PDP I have added aims around participative practice and creating welcoming physical environments.</w:t>
      </w:r>
    </w:p>
    <w:p w14:paraId="03DF4EBA" w14:textId="77777777" w:rsidR="0012785B" w:rsidRPr="0012785B" w:rsidRDefault="0012785B" w:rsidP="0012785B"/>
    <w:p w14:paraId="28DBF02A" w14:textId="77777777" w:rsidR="0012785B" w:rsidRPr="0012785B" w:rsidRDefault="0012785B" w:rsidP="0012785B">
      <w:r w:rsidRPr="0012785B">
        <w:t xml:space="preserve">Finally, I have become more aware of the emotional labour of this work. Hearing stories of loss, abuse and instability can be personally affecting. I noticed times when I carried </w:t>
      </w:r>
      <w:r w:rsidRPr="0012785B">
        <w:lastRenderedPageBreak/>
        <w:t>worries home or found it hard to “switch off”. The YW NOS emphasise the importance of reflective practice and supervision to maintain safe, ethical standards. Regular debriefs with my supervisor, reflective journalling and using theory (such as Kolb’s learning cycle) helped me move from feeling overwhelmed to analysing what I could learn from each situation. This experience has reinforced the need for ongoing self-care, critical reflection and use of supervision, all of which are now explicitly embedded in my professional development plan.</w:t>
      </w:r>
    </w:p>
    <w:p w14:paraId="2A1F6003" w14:textId="77777777" w:rsidR="00C73227" w:rsidRPr="00C73227" w:rsidRDefault="00C73227" w:rsidP="00C73227">
      <w:r w:rsidRPr="00C73227">
        <w:t>In summary, my time in supported accommodation has given me the opportunity to apply youth work values and national frameworks in a real, practice</w:t>
      </w:r>
      <w:r w:rsidRPr="00C73227">
        <w:noBreakHyphen/>
        <w:t>based context, while also highlighting the wider challenges associated with structural inequality, organisational constraints and the complex needs many young people carry. The placement has deepened my understanding of relationship</w:t>
      </w:r>
      <w:r w:rsidRPr="00C73227">
        <w:noBreakHyphen/>
        <w:t>based practice, multi</w:t>
      </w:r>
      <w:r w:rsidRPr="00C73227">
        <w:noBreakHyphen/>
        <w:t>agency working, safeguarding responsibilities, participative methods and the importance of well</w:t>
      </w:r>
      <w:r w:rsidRPr="00C73227">
        <w:noBreakHyphen/>
        <w:t>supported transitions.</w:t>
      </w:r>
    </w:p>
    <w:p w14:paraId="10B32E6E" w14:textId="77777777" w:rsidR="00C73227" w:rsidRPr="00C73227" w:rsidRDefault="00C73227" w:rsidP="00C73227">
      <w:r w:rsidRPr="00C73227">
        <w:t>In addition, working within a supported accommodation setting has strengthened my awareness of how environmental factors, funding limitations and service pressures directly influence young people’s ability to engage, feel safe and move forward. It has also reinforced the importance of consistent, trauma</w:t>
      </w:r>
      <w:r w:rsidRPr="00C73227">
        <w:noBreakHyphen/>
        <w:t>informed communication and the value of creating opportunities for young people to contribute to decision</w:t>
      </w:r>
      <w:r w:rsidRPr="00C73227">
        <w:noBreakHyphen/>
        <w:t>making about their daily lives. Through critical reflection, I have updated my PDP to emphasise developing greater consistency in relationships, strengthening my advocacy and follow</w:t>
      </w:r>
      <w:r w:rsidRPr="00C73227">
        <w:noBreakHyphen/>
        <w:t>through, embedding participative approaches to creating a sense of “home”, expanding my policy knowledge and maintaining sustained reflective practice.</w:t>
      </w:r>
    </w:p>
    <w:p w14:paraId="4508F58C" w14:textId="77777777" w:rsidR="00C73227" w:rsidRPr="00C73227" w:rsidRDefault="00C73227" w:rsidP="00C73227">
      <w:r w:rsidRPr="00C73227">
        <w:t>These learning points will continue to shape my development as a youth worker who is committed to enabling young people to move towards independence on their own terms, with dignity, choice and support. By continuing to reflect, seek feedback and ground my practice in youth work principles, I aim to contribute to environments where young people feel valued, heard and capable of achieving meaningful change.</w:t>
      </w:r>
    </w:p>
    <w:p w14:paraId="4EBFEC19" w14:textId="77777777" w:rsidR="0012785B" w:rsidRPr="0012785B" w:rsidRDefault="0012785B" w:rsidP="0012785B"/>
    <w:p w14:paraId="33D1518D" w14:textId="77777777" w:rsidR="0012785B" w:rsidRPr="0012785B" w:rsidRDefault="0012785B" w:rsidP="0012785B"/>
    <w:p w14:paraId="0032593B" w14:textId="77777777" w:rsidR="0012785B" w:rsidRDefault="0012785B" w:rsidP="0012785B"/>
    <w:p w14:paraId="08E9A29B" w14:textId="77777777" w:rsidR="006F49A8" w:rsidRDefault="006F49A8" w:rsidP="0012785B"/>
    <w:p w14:paraId="79DFF873" w14:textId="77777777" w:rsidR="006C72C5" w:rsidRPr="006C72C5" w:rsidRDefault="006C72C5" w:rsidP="006C72C5">
      <w:r w:rsidRPr="006C72C5">
        <w:rPr>
          <w:b/>
          <w:bCs/>
        </w:rPr>
        <w:t>References</w:t>
      </w:r>
    </w:p>
    <w:p w14:paraId="5320C618" w14:textId="6897B799" w:rsidR="006C72C5" w:rsidRPr="006C72C5" w:rsidRDefault="00C54323" w:rsidP="00C73227">
      <w:pPr>
        <w:ind w:left="720"/>
      </w:pPr>
      <w:r>
        <w:t>E</w:t>
      </w:r>
      <w:r w:rsidR="006C72C5" w:rsidRPr="006C72C5">
        <w:t>rikson, E.H. (1968) Identity: Youth and Crisis. New York: W.W. Norton &amp; Company.</w:t>
      </w:r>
    </w:p>
    <w:p w14:paraId="2B5C64E8" w14:textId="77777777" w:rsidR="006C72C5" w:rsidRPr="006C72C5" w:rsidRDefault="006C72C5" w:rsidP="00C73227">
      <w:pPr>
        <w:ind w:left="720"/>
      </w:pPr>
      <w:r w:rsidRPr="006C72C5">
        <w:lastRenderedPageBreak/>
        <w:t>Maslow, A.H. (1943) ‘A theory of human motivation.’ Psychological Review, 50(4), pp. 370–396.</w:t>
      </w:r>
    </w:p>
    <w:p w14:paraId="1297D820" w14:textId="77777777" w:rsidR="006C72C5" w:rsidRPr="006C72C5" w:rsidRDefault="006C72C5" w:rsidP="00C73227">
      <w:pPr>
        <w:ind w:left="720"/>
      </w:pPr>
      <w:r w:rsidRPr="006C72C5">
        <w:t>National Youth Agency. (2020) National Occupational Standards for Youth Work. Leicester: NYA.</w:t>
      </w:r>
    </w:p>
    <w:p w14:paraId="664AEDCF" w14:textId="77777777" w:rsidR="006C72C5" w:rsidRPr="006C72C5" w:rsidRDefault="006C72C5" w:rsidP="00C73227">
      <w:pPr>
        <w:ind w:left="720"/>
      </w:pPr>
      <w:r w:rsidRPr="006C72C5">
        <w:t>Welsh Government. (2021) The Quality Mark for Youth Work in Wales: Introduction and Guidance. Cardiff: Welsh Government.</w:t>
      </w:r>
    </w:p>
    <w:p w14:paraId="63920227" w14:textId="77777777" w:rsidR="006C72C5" w:rsidRDefault="006C72C5" w:rsidP="00C73227">
      <w:pPr>
        <w:ind w:left="720"/>
      </w:pPr>
      <w:r w:rsidRPr="006C72C5">
        <w:t>Williams, D. (2021) An Exploration of Youth Work’s Impact. Cardiff: Welsh Government.</w:t>
      </w:r>
    </w:p>
    <w:p w14:paraId="47C23265" w14:textId="00CEC4D0" w:rsidR="008F405C" w:rsidRDefault="00C73227" w:rsidP="00C73227">
      <w:pPr>
        <w:ind w:left="720"/>
      </w:pPr>
      <w:hyperlink r:id="rId7" w:history="1">
        <w:r w:rsidRPr="008D779B">
          <w:rPr>
            <w:rStyle w:val="Hyperlink"/>
          </w:rPr>
          <w:t>http://www.gov.wales/child-poverty-innovation-and-supporting-communities-grant</w:t>
        </w:r>
      </w:hyperlink>
      <w:r w:rsidR="00BA380C">
        <w:t xml:space="preserve"> (accessed: 18 November 2025).</w:t>
      </w:r>
    </w:p>
    <w:p w14:paraId="3A6C8D6F" w14:textId="77777777" w:rsidR="00C73227" w:rsidRPr="0012785B" w:rsidRDefault="00C73227" w:rsidP="00C73227">
      <w:pPr>
        <w:pStyle w:val="ListParagraph"/>
      </w:pPr>
      <w:r w:rsidRPr="0012785B">
        <w:t>CLD Standards Council for Scotland (2019) Youth Work National Occupational Standards: Introduction. Edinburgh: CLD Standards Council.</w:t>
      </w:r>
    </w:p>
    <w:p w14:paraId="717A9C5C" w14:textId="77777777" w:rsidR="00C73227" w:rsidRPr="0012785B" w:rsidRDefault="00C73227" w:rsidP="00C73227">
      <w:pPr>
        <w:pStyle w:val="ListParagraph"/>
      </w:pPr>
      <w:r w:rsidRPr="0012785B">
        <w:t>Stein, M. (2012) Young People Leaving Care: Supporting Pathways to Adulthood. London: Jessica Kingsley.</w:t>
      </w:r>
    </w:p>
    <w:p w14:paraId="07CD68BE" w14:textId="1DDB7B54" w:rsidR="00C73227" w:rsidRDefault="00C73227" w:rsidP="00C73227">
      <w:pPr>
        <w:pStyle w:val="ListParagraph"/>
      </w:pPr>
      <w:r>
        <w:t>W</w:t>
      </w:r>
      <w:r w:rsidRPr="0012785B">
        <w:t>elsh Government (2024) Youth Engagement and Progression Framework: Handbook. Cardiff: Welsh Government.</w:t>
      </w:r>
    </w:p>
    <w:p w14:paraId="05F9442E" w14:textId="50EFAA41" w:rsidR="006F04CA" w:rsidRPr="006425BB" w:rsidRDefault="00C73227" w:rsidP="00C73227">
      <w:pPr>
        <w:ind w:left="720"/>
      </w:pPr>
      <w:r>
        <w:t>F</w:t>
      </w:r>
      <w:r w:rsidR="006F04CA" w:rsidRPr="006425BB">
        <w:t>urlong, A. &amp; Cartmel, F. (2017) Young People and Social Change. London: McGraw-Hill.</w:t>
      </w:r>
    </w:p>
    <w:p w14:paraId="46B958A0" w14:textId="77777777" w:rsidR="006F04CA" w:rsidRPr="006425BB" w:rsidRDefault="006F04CA" w:rsidP="00C73227">
      <w:pPr>
        <w:ind w:left="720"/>
      </w:pPr>
      <w:r w:rsidRPr="006425BB">
        <w:t>National Youth Agency (2020) Youth Work in the Time of COVID-19. Leicester: NYA.</w:t>
      </w:r>
    </w:p>
    <w:p w14:paraId="4F89C9A4" w14:textId="77777777" w:rsidR="006F04CA" w:rsidRDefault="006F04CA" w:rsidP="00C73227">
      <w:pPr>
        <w:ind w:left="720"/>
      </w:pPr>
      <w:r w:rsidRPr="006425BB">
        <w:t>Welsh Government (2022) Safeguarding Practice Review Guidance. Cardiff: Welsh Government.</w:t>
      </w:r>
    </w:p>
    <w:p w14:paraId="5D622067" w14:textId="5EDBD879" w:rsidR="00C73227" w:rsidRPr="006425BB" w:rsidRDefault="00C73227" w:rsidP="00C73227">
      <w:pPr>
        <w:ind w:left="720"/>
      </w:pPr>
      <w:r w:rsidRPr="00C73227">
        <w:t>End Youth Homelessness Cymru (2024) Nowhere for Them to Go: Young People in Temporary Accommodation in Wales. Cardiff: EYHC.</w:t>
      </w:r>
    </w:p>
    <w:p w14:paraId="5D967B5A" w14:textId="77777777" w:rsidR="003D2CDF" w:rsidRDefault="003D2CDF"/>
    <w:sectPr w:rsidR="003D2CD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CCCCCD" w14:textId="77777777" w:rsidR="00564A61" w:rsidRDefault="00564A61" w:rsidP="00695F5E">
      <w:pPr>
        <w:spacing w:after="0" w:line="240" w:lineRule="auto"/>
      </w:pPr>
      <w:r>
        <w:separator/>
      </w:r>
    </w:p>
  </w:endnote>
  <w:endnote w:type="continuationSeparator" w:id="0">
    <w:p w14:paraId="6243A44A" w14:textId="77777777" w:rsidR="00564A61" w:rsidRDefault="00564A61" w:rsidP="00695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8FD5C" w14:textId="77777777" w:rsidR="00564A61" w:rsidRDefault="00564A61" w:rsidP="00695F5E">
      <w:pPr>
        <w:spacing w:after="0" w:line="240" w:lineRule="auto"/>
      </w:pPr>
      <w:r>
        <w:separator/>
      </w:r>
    </w:p>
  </w:footnote>
  <w:footnote w:type="continuationSeparator" w:id="0">
    <w:p w14:paraId="013AF941" w14:textId="77777777" w:rsidR="00564A61" w:rsidRDefault="00564A61" w:rsidP="00695F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F0E83" w14:textId="17F9C39D" w:rsidR="00695F5E" w:rsidRDefault="00695F5E">
    <w:pPr>
      <w:pStyle w:val="Header"/>
    </w:pPr>
    <w:r>
      <w:t>ECYW6008</w:t>
    </w:r>
  </w:p>
  <w:p w14:paraId="77E750E5" w14:textId="1AE289DF" w:rsidR="007954AF" w:rsidRDefault="007954AF">
    <w:pPr>
      <w:pStyle w:val="Header"/>
    </w:pPr>
    <w:r>
      <w:t>Nichola Taylor 2220389</w:t>
    </w:r>
  </w:p>
  <w:p w14:paraId="7EAE3ACF" w14:textId="77777777" w:rsidR="00695F5E" w:rsidRDefault="00695F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0216E"/>
    <w:multiLevelType w:val="multilevel"/>
    <w:tmpl w:val="60063B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491916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CDF"/>
    <w:rsid w:val="00001A1E"/>
    <w:rsid w:val="00004830"/>
    <w:rsid w:val="0001300D"/>
    <w:rsid w:val="000261FF"/>
    <w:rsid w:val="00032AF0"/>
    <w:rsid w:val="00033885"/>
    <w:rsid w:val="00035DA8"/>
    <w:rsid w:val="00064857"/>
    <w:rsid w:val="00071F7B"/>
    <w:rsid w:val="00074873"/>
    <w:rsid w:val="00076AF7"/>
    <w:rsid w:val="00090616"/>
    <w:rsid w:val="00093A73"/>
    <w:rsid w:val="000968B3"/>
    <w:rsid w:val="000A408B"/>
    <w:rsid w:val="000B209D"/>
    <w:rsid w:val="000B2519"/>
    <w:rsid w:val="000B5B12"/>
    <w:rsid w:val="000C4156"/>
    <w:rsid w:val="000C5A29"/>
    <w:rsid w:val="000D1DDF"/>
    <w:rsid w:val="000D4AFD"/>
    <w:rsid w:val="000E037E"/>
    <w:rsid w:val="001005E5"/>
    <w:rsid w:val="00105917"/>
    <w:rsid w:val="00114066"/>
    <w:rsid w:val="00117985"/>
    <w:rsid w:val="0012785B"/>
    <w:rsid w:val="00134521"/>
    <w:rsid w:val="001352C5"/>
    <w:rsid w:val="00136EC7"/>
    <w:rsid w:val="00137298"/>
    <w:rsid w:val="00143A45"/>
    <w:rsid w:val="00171F00"/>
    <w:rsid w:val="0019178E"/>
    <w:rsid w:val="00197728"/>
    <w:rsid w:val="001A251F"/>
    <w:rsid w:val="001B46A3"/>
    <w:rsid w:val="001C60E6"/>
    <w:rsid w:val="001D4097"/>
    <w:rsid w:val="001D54A5"/>
    <w:rsid w:val="001F7B04"/>
    <w:rsid w:val="002041C6"/>
    <w:rsid w:val="0021068B"/>
    <w:rsid w:val="002175DA"/>
    <w:rsid w:val="00247A89"/>
    <w:rsid w:val="00257779"/>
    <w:rsid w:val="00257BFD"/>
    <w:rsid w:val="002704E8"/>
    <w:rsid w:val="002737E7"/>
    <w:rsid w:val="00274A8B"/>
    <w:rsid w:val="00283132"/>
    <w:rsid w:val="002925E1"/>
    <w:rsid w:val="00295813"/>
    <w:rsid w:val="002A203D"/>
    <w:rsid w:val="002B16EF"/>
    <w:rsid w:val="002B4EC5"/>
    <w:rsid w:val="002C09D6"/>
    <w:rsid w:val="002C773B"/>
    <w:rsid w:val="002D6D66"/>
    <w:rsid w:val="002E5561"/>
    <w:rsid w:val="002F5A52"/>
    <w:rsid w:val="002F6749"/>
    <w:rsid w:val="002F7124"/>
    <w:rsid w:val="00301859"/>
    <w:rsid w:val="003523D4"/>
    <w:rsid w:val="00374324"/>
    <w:rsid w:val="0037754F"/>
    <w:rsid w:val="003867D7"/>
    <w:rsid w:val="003916E4"/>
    <w:rsid w:val="00396FFF"/>
    <w:rsid w:val="003B1AF7"/>
    <w:rsid w:val="003C0262"/>
    <w:rsid w:val="003C2ABE"/>
    <w:rsid w:val="003D0E18"/>
    <w:rsid w:val="003D2CDF"/>
    <w:rsid w:val="003E3128"/>
    <w:rsid w:val="003E47D2"/>
    <w:rsid w:val="003E77D7"/>
    <w:rsid w:val="003F127D"/>
    <w:rsid w:val="0040141E"/>
    <w:rsid w:val="00401B9E"/>
    <w:rsid w:val="00414FC8"/>
    <w:rsid w:val="004166FE"/>
    <w:rsid w:val="00435588"/>
    <w:rsid w:val="00447442"/>
    <w:rsid w:val="00452D39"/>
    <w:rsid w:val="00453383"/>
    <w:rsid w:val="0046088D"/>
    <w:rsid w:val="00470E39"/>
    <w:rsid w:val="00472C0E"/>
    <w:rsid w:val="00477DF6"/>
    <w:rsid w:val="00483745"/>
    <w:rsid w:val="00483E1D"/>
    <w:rsid w:val="00487FFE"/>
    <w:rsid w:val="00491849"/>
    <w:rsid w:val="0049209E"/>
    <w:rsid w:val="0049508C"/>
    <w:rsid w:val="004A0423"/>
    <w:rsid w:val="004B71D1"/>
    <w:rsid w:val="004D783B"/>
    <w:rsid w:val="004E0BF7"/>
    <w:rsid w:val="004E5A6D"/>
    <w:rsid w:val="00500645"/>
    <w:rsid w:val="00501D06"/>
    <w:rsid w:val="00506DAF"/>
    <w:rsid w:val="00515C3E"/>
    <w:rsid w:val="00532E78"/>
    <w:rsid w:val="00534BC0"/>
    <w:rsid w:val="00537AEA"/>
    <w:rsid w:val="005437CF"/>
    <w:rsid w:val="00543BF5"/>
    <w:rsid w:val="005448DD"/>
    <w:rsid w:val="00546A5B"/>
    <w:rsid w:val="00547946"/>
    <w:rsid w:val="00552E61"/>
    <w:rsid w:val="005613D2"/>
    <w:rsid w:val="00564A61"/>
    <w:rsid w:val="00566B4B"/>
    <w:rsid w:val="0059162D"/>
    <w:rsid w:val="00591C4A"/>
    <w:rsid w:val="00597F54"/>
    <w:rsid w:val="005A1AE3"/>
    <w:rsid w:val="005A5B00"/>
    <w:rsid w:val="005A6095"/>
    <w:rsid w:val="005B1E9D"/>
    <w:rsid w:val="005B36E7"/>
    <w:rsid w:val="005B5B3D"/>
    <w:rsid w:val="005C64B8"/>
    <w:rsid w:val="005D2A6A"/>
    <w:rsid w:val="005D4844"/>
    <w:rsid w:val="005E515F"/>
    <w:rsid w:val="005E667E"/>
    <w:rsid w:val="006022F5"/>
    <w:rsid w:val="00607719"/>
    <w:rsid w:val="00611882"/>
    <w:rsid w:val="00622CF5"/>
    <w:rsid w:val="00625E0C"/>
    <w:rsid w:val="00626A02"/>
    <w:rsid w:val="00627F33"/>
    <w:rsid w:val="006319F2"/>
    <w:rsid w:val="0063528B"/>
    <w:rsid w:val="00635A9B"/>
    <w:rsid w:val="00636F22"/>
    <w:rsid w:val="006425BB"/>
    <w:rsid w:val="00667222"/>
    <w:rsid w:val="00667771"/>
    <w:rsid w:val="00670742"/>
    <w:rsid w:val="00671B36"/>
    <w:rsid w:val="00673D96"/>
    <w:rsid w:val="00677227"/>
    <w:rsid w:val="00677513"/>
    <w:rsid w:val="00680328"/>
    <w:rsid w:val="00681074"/>
    <w:rsid w:val="00681295"/>
    <w:rsid w:val="00684179"/>
    <w:rsid w:val="00687173"/>
    <w:rsid w:val="00695F5E"/>
    <w:rsid w:val="0069616B"/>
    <w:rsid w:val="006969AB"/>
    <w:rsid w:val="006A7457"/>
    <w:rsid w:val="006B777D"/>
    <w:rsid w:val="006C5C8D"/>
    <w:rsid w:val="006C72C5"/>
    <w:rsid w:val="006D4905"/>
    <w:rsid w:val="006D7A0E"/>
    <w:rsid w:val="006F04CA"/>
    <w:rsid w:val="006F49A8"/>
    <w:rsid w:val="006F52EA"/>
    <w:rsid w:val="00703092"/>
    <w:rsid w:val="0071438F"/>
    <w:rsid w:val="007150B4"/>
    <w:rsid w:val="007170D5"/>
    <w:rsid w:val="00721134"/>
    <w:rsid w:val="00730A68"/>
    <w:rsid w:val="00731930"/>
    <w:rsid w:val="00747533"/>
    <w:rsid w:val="007629AD"/>
    <w:rsid w:val="007703C5"/>
    <w:rsid w:val="00770A44"/>
    <w:rsid w:val="00773091"/>
    <w:rsid w:val="0077795B"/>
    <w:rsid w:val="007954AF"/>
    <w:rsid w:val="00795AFF"/>
    <w:rsid w:val="007B068A"/>
    <w:rsid w:val="007B6F11"/>
    <w:rsid w:val="007C605B"/>
    <w:rsid w:val="007C768D"/>
    <w:rsid w:val="007D0C75"/>
    <w:rsid w:val="007D4247"/>
    <w:rsid w:val="007E2A54"/>
    <w:rsid w:val="00810423"/>
    <w:rsid w:val="008112DF"/>
    <w:rsid w:val="00811FC2"/>
    <w:rsid w:val="008134A4"/>
    <w:rsid w:val="00821516"/>
    <w:rsid w:val="00830271"/>
    <w:rsid w:val="008437C6"/>
    <w:rsid w:val="00847728"/>
    <w:rsid w:val="008517C8"/>
    <w:rsid w:val="00861A34"/>
    <w:rsid w:val="0086290F"/>
    <w:rsid w:val="008734CB"/>
    <w:rsid w:val="00873799"/>
    <w:rsid w:val="0088008D"/>
    <w:rsid w:val="008859EA"/>
    <w:rsid w:val="00890B48"/>
    <w:rsid w:val="00890DA6"/>
    <w:rsid w:val="008A6EA2"/>
    <w:rsid w:val="008C1396"/>
    <w:rsid w:val="008C1EDC"/>
    <w:rsid w:val="008C2B5F"/>
    <w:rsid w:val="008C3ECD"/>
    <w:rsid w:val="008D5806"/>
    <w:rsid w:val="008D6A35"/>
    <w:rsid w:val="008E7753"/>
    <w:rsid w:val="008E7F7B"/>
    <w:rsid w:val="008F1997"/>
    <w:rsid w:val="008F2BE9"/>
    <w:rsid w:val="008F405C"/>
    <w:rsid w:val="009172E4"/>
    <w:rsid w:val="00920740"/>
    <w:rsid w:val="009240CB"/>
    <w:rsid w:val="009246B4"/>
    <w:rsid w:val="00930E7B"/>
    <w:rsid w:val="0093177A"/>
    <w:rsid w:val="00947A1F"/>
    <w:rsid w:val="009518E8"/>
    <w:rsid w:val="00952C4A"/>
    <w:rsid w:val="009637E6"/>
    <w:rsid w:val="009666B8"/>
    <w:rsid w:val="00971E81"/>
    <w:rsid w:val="00972102"/>
    <w:rsid w:val="00984892"/>
    <w:rsid w:val="00994905"/>
    <w:rsid w:val="00995DCC"/>
    <w:rsid w:val="009A4A09"/>
    <w:rsid w:val="009B1781"/>
    <w:rsid w:val="009B443B"/>
    <w:rsid w:val="009B6DF2"/>
    <w:rsid w:val="009B7FF7"/>
    <w:rsid w:val="009C431F"/>
    <w:rsid w:val="009D3805"/>
    <w:rsid w:val="009D68C2"/>
    <w:rsid w:val="009D695A"/>
    <w:rsid w:val="009E28D4"/>
    <w:rsid w:val="009E642A"/>
    <w:rsid w:val="009F7528"/>
    <w:rsid w:val="00A11440"/>
    <w:rsid w:val="00A1694F"/>
    <w:rsid w:val="00A23122"/>
    <w:rsid w:val="00A2503D"/>
    <w:rsid w:val="00A30967"/>
    <w:rsid w:val="00A32BCA"/>
    <w:rsid w:val="00A335C0"/>
    <w:rsid w:val="00A34C23"/>
    <w:rsid w:val="00A43831"/>
    <w:rsid w:val="00A51FF2"/>
    <w:rsid w:val="00A91AA9"/>
    <w:rsid w:val="00AA5318"/>
    <w:rsid w:val="00AA5EB5"/>
    <w:rsid w:val="00AB0E4A"/>
    <w:rsid w:val="00AC0C1A"/>
    <w:rsid w:val="00AC3B2F"/>
    <w:rsid w:val="00AC649E"/>
    <w:rsid w:val="00AD462F"/>
    <w:rsid w:val="00AF7301"/>
    <w:rsid w:val="00B06DBE"/>
    <w:rsid w:val="00B1104E"/>
    <w:rsid w:val="00B13273"/>
    <w:rsid w:val="00B1558C"/>
    <w:rsid w:val="00B17FB9"/>
    <w:rsid w:val="00B23441"/>
    <w:rsid w:val="00B24A46"/>
    <w:rsid w:val="00B31AA5"/>
    <w:rsid w:val="00B37416"/>
    <w:rsid w:val="00B37BF4"/>
    <w:rsid w:val="00B42745"/>
    <w:rsid w:val="00B6201F"/>
    <w:rsid w:val="00B63817"/>
    <w:rsid w:val="00B63C4B"/>
    <w:rsid w:val="00B72535"/>
    <w:rsid w:val="00B843DA"/>
    <w:rsid w:val="00B9361D"/>
    <w:rsid w:val="00B95D28"/>
    <w:rsid w:val="00B95DD0"/>
    <w:rsid w:val="00BA380C"/>
    <w:rsid w:val="00BC5F5B"/>
    <w:rsid w:val="00BC6418"/>
    <w:rsid w:val="00C0084E"/>
    <w:rsid w:val="00C041B9"/>
    <w:rsid w:val="00C07C74"/>
    <w:rsid w:val="00C13AF8"/>
    <w:rsid w:val="00C26B8C"/>
    <w:rsid w:val="00C3040F"/>
    <w:rsid w:val="00C40179"/>
    <w:rsid w:val="00C54323"/>
    <w:rsid w:val="00C72DA8"/>
    <w:rsid w:val="00C73227"/>
    <w:rsid w:val="00C749F0"/>
    <w:rsid w:val="00C831AE"/>
    <w:rsid w:val="00C90B3F"/>
    <w:rsid w:val="00C91CB2"/>
    <w:rsid w:val="00C92643"/>
    <w:rsid w:val="00CA68C1"/>
    <w:rsid w:val="00CA7514"/>
    <w:rsid w:val="00CB33D9"/>
    <w:rsid w:val="00CC2923"/>
    <w:rsid w:val="00CC6CF9"/>
    <w:rsid w:val="00CC6EB0"/>
    <w:rsid w:val="00CF7095"/>
    <w:rsid w:val="00D00A72"/>
    <w:rsid w:val="00D01C1E"/>
    <w:rsid w:val="00D20107"/>
    <w:rsid w:val="00D222D8"/>
    <w:rsid w:val="00D251D8"/>
    <w:rsid w:val="00D34B7E"/>
    <w:rsid w:val="00D401A8"/>
    <w:rsid w:val="00D4053D"/>
    <w:rsid w:val="00D52BF9"/>
    <w:rsid w:val="00D55CF6"/>
    <w:rsid w:val="00D566C2"/>
    <w:rsid w:val="00D61E5D"/>
    <w:rsid w:val="00D82A0D"/>
    <w:rsid w:val="00D8693A"/>
    <w:rsid w:val="00DA6429"/>
    <w:rsid w:val="00DB20DB"/>
    <w:rsid w:val="00DB239A"/>
    <w:rsid w:val="00DC16E7"/>
    <w:rsid w:val="00DC5715"/>
    <w:rsid w:val="00DD1DC4"/>
    <w:rsid w:val="00DD4569"/>
    <w:rsid w:val="00DD50AD"/>
    <w:rsid w:val="00DE1400"/>
    <w:rsid w:val="00DF4823"/>
    <w:rsid w:val="00DF4D57"/>
    <w:rsid w:val="00DF5E88"/>
    <w:rsid w:val="00DF78BC"/>
    <w:rsid w:val="00E045EC"/>
    <w:rsid w:val="00E0578A"/>
    <w:rsid w:val="00E0606B"/>
    <w:rsid w:val="00E1198C"/>
    <w:rsid w:val="00E14A96"/>
    <w:rsid w:val="00E16F12"/>
    <w:rsid w:val="00E171E5"/>
    <w:rsid w:val="00E25F23"/>
    <w:rsid w:val="00E2604E"/>
    <w:rsid w:val="00E340AA"/>
    <w:rsid w:val="00E36151"/>
    <w:rsid w:val="00E3660F"/>
    <w:rsid w:val="00E4524F"/>
    <w:rsid w:val="00E50452"/>
    <w:rsid w:val="00E60AE5"/>
    <w:rsid w:val="00E62CFF"/>
    <w:rsid w:val="00E641C0"/>
    <w:rsid w:val="00E76C4B"/>
    <w:rsid w:val="00E917B4"/>
    <w:rsid w:val="00EA2150"/>
    <w:rsid w:val="00EB1917"/>
    <w:rsid w:val="00EC052F"/>
    <w:rsid w:val="00ED293B"/>
    <w:rsid w:val="00ED2CD1"/>
    <w:rsid w:val="00ED3429"/>
    <w:rsid w:val="00ED3D4F"/>
    <w:rsid w:val="00EF6D0F"/>
    <w:rsid w:val="00F13C06"/>
    <w:rsid w:val="00F20F9C"/>
    <w:rsid w:val="00F21420"/>
    <w:rsid w:val="00F218B5"/>
    <w:rsid w:val="00F23E71"/>
    <w:rsid w:val="00F25777"/>
    <w:rsid w:val="00F338FC"/>
    <w:rsid w:val="00F362D9"/>
    <w:rsid w:val="00F457DD"/>
    <w:rsid w:val="00F62DE4"/>
    <w:rsid w:val="00F63CE4"/>
    <w:rsid w:val="00F70F8D"/>
    <w:rsid w:val="00F733C1"/>
    <w:rsid w:val="00F75BEA"/>
    <w:rsid w:val="00F76892"/>
    <w:rsid w:val="00F97AF3"/>
    <w:rsid w:val="00FA1A95"/>
    <w:rsid w:val="00FA3ADC"/>
    <w:rsid w:val="00FB6174"/>
    <w:rsid w:val="00FB6758"/>
    <w:rsid w:val="00FB70A9"/>
    <w:rsid w:val="00FB7A99"/>
    <w:rsid w:val="00FC0931"/>
    <w:rsid w:val="00FE3667"/>
    <w:rsid w:val="00FF5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70B6D"/>
  <w15:chartTrackingRefBased/>
  <w15:docId w15:val="{BEDE1637-6DAC-4517-8C71-80F94C3A9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C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2C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2C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2C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2C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2C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C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C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C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C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2C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2C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2C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C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C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C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C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CDF"/>
    <w:rPr>
      <w:rFonts w:eastAsiaTheme="majorEastAsia" w:cstheme="majorBidi"/>
      <w:color w:val="272727" w:themeColor="text1" w:themeTint="D8"/>
    </w:rPr>
  </w:style>
  <w:style w:type="paragraph" w:styleId="Title">
    <w:name w:val="Title"/>
    <w:basedOn w:val="Normal"/>
    <w:next w:val="Normal"/>
    <w:link w:val="TitleChar"/>
    <w:uiPriority w:val="10"/>
    <w:qFormat/>
    <w:rsid w:val="003D2C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C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C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C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CDF"/>
    <w:pPr>
      <w:spacing w:before="160"/>
      <w:jc w:val="center"/>
    </w:pPr>
    <w:rPr>
      <w:i/>
      <w:iCs/>
      <w:color w:val="404040" w:themeColor="text1" w:themeTint="BF"/>
    </w:rPr>
  </w:style>
  <w:style w:type="character" w:customStyle="1" w:styleId="QuoteChar">
    <w:name w:val="Quote Char"/>
    <w:basedOn w:val="DefaultParagraphFont"/>
    <w:link w:val="Quote"/>
    <w:uiPriority w:val="29"/>
    <w:rsid w:val="003D2CDF"/>
    <w:rPr>
      <w:i/>
      <w:iCs/>
      <w:color w:val="404040" w:themeColor="text1" w:themeTint="BF"/>
    </w:rPr>
  </w:style>
  <w:style w:type="paragraph" w:styleId="ListParagraph">
    <w:name w:val="List Paragraph"/>
    <w:basedOn w:val="Normal"/>
    <w:uiPriority w:val="34"/>
    <w:qFormat/>
    <w:rsid w:val="003D2CDF"/>
    <w:pPr>
      <w:ind w:left="720"/>
      <w:contextualSpacing/>
    </w:pPr>
  </w:style>
  <w:style w:type="character" w:styleId="IntenseEmphasis">
    <w:name w:val="Intense Emphasis"/>
    <w:basedOn w:val="DefaultParagraphFont"/>
    <w:uiPriority w:val="21"/>
    <w:qFormat/>
    <w:rsid w:val="003D2CDF"/>
    <w:rPr>
      <w:i/>
      <w:iCs/>
      <w:color w:val="0F4761" w:themeColor="accent1" w:themeShade="BF"/>
    </w:rPr>
  </w:style>
  <w:style w:type="paragraph" w:styleId="IntenseQuote">
    <w:name w:val="Intense Quote"/>
    <w:basedOn w:val="Normal"/>
    <w:next w:val="Normal"/>
    <w:link w:val="IntenseQuoteChar"/>
    <w:uiPriority w:val="30"/>
    <w:qFormat/>
    <w:rsid w:val="003D2C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CDF"/>
    <w:rPr>
      <w:i/>
      <w:iCs/>
      <w:color w:val="0F4761" w:themeColor="accent1" w:themeShade="BF"/>
    </w:rPr>
  </w:style>
  <w:style w:type="character" w:styleId="IntenseReference">
    <w:name w:val="Intense Reference"/>
    <w:basedOn w:val="DefaultParagraphFont"/>
    <w:uiPriority w:val="32"/>
    <w:qFormat/>
    <w:rsid w:val="003D2CDF"/>
    <w:rPr>
      <w:b/>
      <w:bCs/>
      <w:smallCaps/>
      <w:color w:val="0F4761" w:themeColor="accent1" w:themeShade="BF"/>
      <w:spacing w:val="5"/>
    </w:rPr>
  </w:style>
  <w:style w:type="character" w:styleId="CommentReference">
    <w:name w:val="annotation reference"/>
    <w:basedOn w:val="DefaultParagraphFont"/>
    <w:uiPriority w:val="99"/>
    <w:semiHidden/>
    <w:unhideWhenUsed/>
    <w:rsid w:val="00CB33D9"/>
    <w:rPr>
      <w:sz w:val="16"/>
      <w:szCs w:val="16"/>
    </w:rPr>
  </w:style>
  <w:style w:type="paragraph" w:styleId="CommentText">
    <w:name w:val="annotation text"/>
    <w:basedOn w:val="Normal"/>
    <w:link w:val="CommentTextChar"/>
    <w:uiPriority w:val="99"/>
    <w:unhideWhenUsed/>
    <w:rsid w:val="00CB33D9"/>
    <w:pPr>
      <w:spacing w:line="240" w:lineRule="auto"/>
    </w:pPr>
    <w:rPr>
      <w:sz w:val="20"/>
      <w:szCs w:val="20"/>
    </w:rPr>
  </w:style>
  <w:style w:type="character" w:customStyle="1" w:styleId="CommentTextChar">
    <w:name w:val="Comment Text Char"/>
    <w:basedOn w:val="DefaultParagraphFont"/>
    <w:link w:val="CommentText"/>
    <w:uiPriority w:val="99"/>
    <w:rsid w:val="00CB33D9"/>
    <w:rPr>
      <w:sz w:val="20"/>
      <w:szCs w:val="20"/>
    </w:rPr>
  </w:style>
  <w:style w:type="paragraph" w:styleId="CommentSubject">
    <w:name w:val="annotation subject"/>
    <w:basedOn w:val="CommentText"/>
    <w:next w:val="CommentText"/>
    <w:link w:val="CommentSubjectChar"/>
    <w:uiPriority w:val="99"/>
    <w:semiHidden/>
    <w:unhideWhenUsed/>
    <w:rsid w:val="00CB33D9"/>
    <w:rPr>
      <w:b/>
      <w:bCs/>
    </w:rPr>
  </w:style>
  <w:style w:type="character" w:customStyle="1" w:styleId="CommentSubjectChar">
    <w:name w:val="Comment Subject Char"/>
    <w:basedOn w:val="CommentTextChar"/>
    <w:link w:val="CommentSubject"/>
    <w:uiPriority w:val="99"/>
    <w:semiHidden/>
    <w:rsid w:val="00CB33D9"/>
    <w:rPr>
      <w:b/>
      <w:bCs/>
      <w:sz w:val="20"/>
      <w:szCs w:val="20"/>
    </w:rPr>
  </w:style>
  <w:style w:type="character" w:styleId="Hyperlink">
    <w:name w:val="Hyperlink"/>
    <w:basedOn w:val="DefaultParagraphFont"/>
    <w:uiPriority w:val="99"/>
    <w:unhideWhenUsed/>
    <w:rsid w:val="00BA380C"/>
    <w:rPr>
      <w:color w:val="467886" w:themeColor="hyperlink"/>
      <w:u w:val="single"/>
    </w:rPr>
  </w:style>
  <w:style w:type="character" w:styleId="UnresolvedMention">
    <w:name w:val="Unresolved Mention"/>
    <w:basedOn w:val="DefaultParagraphFont"/>
    <w:uiPriority w:val="99"/>
    <w:semiHidden/>
    <w:unhideWhenUsed/>
    <w:rsid w:val="00BA380C"/>
    <w:rPr>
      <w:color w:val="605E5C"/>
      <w:shd w:val="clear" w:color="auto" w:fill="E1DFDD"/>
    </w:rPr>
  </w:style>
  <w:style w:type="table" w:styleId="TableGrid">
    <w:name w:val="Table Grid"/>
    <w:basedOn w:val="TableNormal"/>
    <w:uiPriority w:val="39"/>
    <w:rsid w:val="006A74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5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F5E"/>
  </w:style>
  <w:style w:type="paragraph" w:styleId="Footer">
    <w:name w:val="footer"/>
    <w:basedOn w:val="Normal"/>
    <w:link w:val="FooterChar"/>
    <w:uiPriority w:val="99"/>
    <w:unhideWhenUsed/>
    <w:rsid w:val="00695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51146">
      <w:bodyDiv w:val="1"/>
      <w:marLeft w:val="0"/>
      <w:marRight w:val="0"/>
      <w:marTop w:val="0"/>
      <w:marBottom w:val="0"/>
      <w:divBdr>
        <w:top w:val="none" w:sz="0" w:space="0" w:color="auto"/>
        <w:left w:val="none" w:sz="0" w:space="0" w:color="auto"/>
        <w:bottom w:val="none" w:sz="0" w:space="0" w:color="auto"/>
        <w:right w:val="none" w:sz="0" w:space="0" w:color="auto"/>
      </w:divBdr>
    </w:div>
    <w:div w:id="84108151">
      <w:bodyDiv w:val="1"/>
      <w:marLeft w:val="0"/>
      <w:marRight w:val="0"/>
      <w:marTop w:val="0"/>
      <w:marBottom w:val="0"/>
      <w:divBdr>
        <w:top w:val="none" w:sz="0" w:space="0" w:color="auto"/>
        <w:left w:val="none" w:sz="0" w:space="0" w:color="auto"/>
        <w:bottom w:val="none" w:sz="0" w:space="0" w:color="auto"/>
        <w:right w:val="none" w:sz="0" w:space="0" w:color="auto"/>
      </w:divBdr>
    </w:div>
    <w:div w:id="115175055">
      <w:bodyDiv w:val="1"/>
      <w:marLeft w:val="0"/>
      <w:marRight w:val="0"/>
      <w:marTop w:val="0"/>
      <w:marBottom w:val="0"/>
      <w:divBdr>
        <w:top w:val="none" w:sz="0" w:space="0" w:color="auto"/>
        <w:left w:val="none" w:sz="0" w:space="0" w:color="auto"/>
        <w:bottom w:val="none" w:sz="0" w:space="0" w:color="auto"/>
        <w:right w:val="none" w:sz="0" w:space="0" w:color="auto"/>
      </w:divBdr>
    </w:div>
    <w:div w:id="229736160">
      <w:bodyDiv w:val="1"/>
      <w:marLeft w:val="0"/>
      <w:marRight w:val="0"/>
      <w:marTop w:val="0"/>
      <w:marBottom w:val="0"/>
      <w:divBdr>
        <w:top w:val="none" w:sz="0" w:space="0" w:color="auto"/>
        <w:left w:val="none" w:sz="0" w:space="0" w:color="auto"/>
        <w:bottom w:val="none" w:sz="0" w:space="0" w:color="auto"/>
        <w:right w:val="none" w:sz="0" w:space="0" w:color="auto"/>
      </w:divBdr>
    </w:div>
    <w:div w:id="378016664">
      <w:bodyDiv w:val="1"/>
      <w:marLeft w:val="0"/>
      <w:marRight w:val="0"/>
      <w:marTop w:val="0"/>
      <w:marBottom w:val="0"/>
      <w:divBdr>
        <w:top w:val="none" w:sz="0" w:space="0" w:color="auto"/>
        <w:left w:val="none" w:sz="0" w:space="0" w:color="auto"/>
        <w:bottom w:val="none" w:sz="0" w:space="0" w:color="auto"/>
        <w:right w:val="none" w:sz="0" w:space="0" w:color="auto"/>
      </w:divBdr>
      <w:divsChild>
        <w:div w:id="937172758">
          <w:marLeft w:val="0"/>
          <w:marRight w:val="0"/>
          <w:marTop w:val="0"/>
          <w:marBottom w:val="0"/>
          <w:divBdr>
            <w:top w:val="none" w:sz="0" w:space="0" w:color="auto"/>
            <w:left w:val="none" w:sz="0" w:space="0" w:color="auto"/>
            <w:bottom w:val="none" w:sz="0" w:space="0" w:color="auto"/>
            <w:right w:val="none" w:sz="0" w:space="0" w:color="auto"/>
          </w:divBdr>
        </w:div>
      </w:divsChild>
    </w:div>
    <w:div w:id="960310200">
      <w:bodyDiv w:val="1"/>
      <w:marLeft w:val="0"/>
      <w:marRight w:val="0"/>
      <w:marTop w:val="0"/>
      <w:marBottom w:val="0"/>
      <w:divBdr>
        <w:top w:val="none" w:sz="0" w:space="0" w:color="auto"/>
        <w:left w:val="none" w:sz="0" w:space="0" w:color="auto"/>
        <w:bottom w:val="none" w:sz="0" w:space="0" w:color="auto"/>
        <w:right w:val="none" w:sz="0" w:space="0" w:color="auto"/>
      </w:divBdr>
      <w:divsChild>
        <w:div w:id="866255793">
          <w:marLeft w:val="0"/>
          <w:marRight w:val="0"/>
          <w:marTop w:val="0"/>
          <w:marBottom w:val="0"/>
          <w:divBdr>
            <w:top w:val="none" w:sz="0" w:space="0" w:color="auto"/>
            <w:left w:val="none" w:sz="0" w:space="0" w:color="auto"/>
            <w:bottom w:val="none" w:sz="0" w:space="0" w:color="auto"/>
            <w:right w:val="none" w:sz="0" w:space="0" w:color="auto"/>
          </w:divBdr>
        </w:div>
      </w:divsChild>
    </w:div>
    <w:div w:id="971325020">
      <w:bodyDiv w:val="1"/>
      <w:marLeft w:val="0"/>
      <w:marRight w:val="0"/>
      <w:marTop w:val="0"/>
      <w:marBottom w:val="0"/>
      <w:divBdr>
        <w:top w:val="none" w:sz="0" w:space="0" w:color="auto"/>
        <w:left w:val="none" w:sz="0" w:space="0" w:color="auto"/>
        <w:bottom w:val="none" w:sz="0" w:space="0" w:color="auto"/>
        <w:right w:val="none" w:sz="0" w:space="0" w:color="auto"/>
      </w:divBdr>
    </w:div>
    <w:div w:id="1030764686">
      <w:bodyDiv w:val="1"/>
      <w:marLeft w:val="0"/>
      <w:marRight w:val="0"/>
      <w:marTop w:val="0"/>
      <w:marBottom w:val="0"/>
      <w:divBdr>
        <w:top w:val="none" w:sz="0" w:space="0" w:color="auto"/>
        <w:left w:val="none" w:sz="0" w:space="0" w:color="auto"/>
        <w:bottom w:val="none" w:sz="0" w:space="0" w:color="auto"/>
        <w:right w:val="none" w:sz="0" w:space="0" w:color="auto"/>
      </w:divBdr>
    </w:div>
    <w:div w:id="1037197914">
      <w:bodyDiv w:val="1"/>
      <w:marLeft w:val="0"/>
      <w:marRight w:val="0"/>
      <w:marTop w:val="0"/>
      <w:marBottom w:val="0"/>
      <w:divBdr>
        <w:top w:val="none" w:sz="0" w:space="0" w:color="auto"/>
        <w:left w:val="none" w:sz="0" w:space="0" w:color="auto"/>
        <w:bottom w:val="none" w:sz="0" w:space="0" w:color="auto"/>
        <w:right w:val="none" w:sz="0" w:space="0" w:color="auto"/>
      </w:divBdr>
    </w:div>
    <w:div w:id="1049762545">
      <w:bodyDiv w:val="1"/>
      <w:marLeft w:val="0"/>
      <w:marRight w:val="0"/>
      <w:marTop w:val="0"/>
      <w:marBottom w:val="0"/>
      <w:divBdr>
        <w:top w:val="none" w:sz="0" w:space="0" w:color="auto"/>
        <w:left w:val="none" w:sz="0" w:space="0" w:color="auto"/>
        <w:bottom w:val="none" w:sz="0" w:space="0" w:color="auto"/>
        <w:right w:val="none" w:sz="0" w:space="0" w:color="auto"/>
      </w:divBdr>
    </w:div>
    <w:div w:id="1279988055">
      <w:bodyDiv w:val="1"/>
      <w:marLeft w:val="0"/>
      <w:marRight w:val="0"/>
      <w:marTop w:val="0"/>
      <w:marBottom w:val="0"/>
      <w:divBdr>
        <w:top w:val="none" w:sz="0" w:space="0" w:color="auto"/>
        <w:left w:val="none" w:sz="0" w:space="0" w:color="auto"/>
        <w:bottom w:val="none" w:sz="0" w:space="0" w:color="auto"/>
        <w:right w:val="none" w:sz="0" w:space="0" w:color="auto"/>
      </w:divBdr>
      <w:divsChild>
        <w:div w:id="30688006">
          <w:marLeft w:val="0"/>
          <w:marRight w:val="0"/>
          <w:marTop w:val="0"/>
          <w:marBottom w:val="0"/>
          <w:divBdr>
            <w:top w:val="none" w:sz="0" w:space="0" w:color="auto"/>
            <w:left w:val="none" w:sz="0" w:space="0" w:color="auto"/>
            <w:bottom w:val="none" w:sz="0" w:space="0" w:color="auto"/>
            <w:right w:val="none" w:sz="0" w:space="0" w:color="auto"/>
          </w:divBdr>
        </w:div>
      </w:divsChild>
    </w:div>
    <w:div w:id="1412045614">
      <w:bodyDiv w:val="1"/>
      <w:marLeft w:val="0"/>
      <w:marRight w:val="0"/>
      <w:marTop w:val="0"/>
      <w:marBottom w:val="0"/>
      <w:divBdr>
        <w:top w:val="none" w:sz="0" w:space="0" w:color="auto"/>
        <w:left w:val="none" w:sz="0" w:space="0" w:color="auto"/>
        <w:bottom w:val="none" w:sz="0" w:space="0" w:color="auto"/>
        <w:right w:val="none" w:sz="0" w:space="0" w:color="auto"/>
      </w:divBdr>
    </w:div>
    <w:div w:id="1470590020">
      <w:bodyDiv w:val="1"/>
      <w:marLeft w:val="0"/>
      <w:marRight w:val="0"/>
      <w:marTop w:val="0"/>
      <w:marBottom w:val="0"/>
      <w:divBdr>
        <w:top w:val="none" w:sz="0" w:space="0" w:color="auto"/>
        <w:left w:val="none" w:sz="0" w:space="0" w:color="auto"/>
        <w:bottom w:val="none" w:sz="0" w:space="0" w:color="auto"/>
        <w:right w:val="none" w:sz="0" w:space="0" w:color="auto"/>
      </w:divBdr>
      <w:divsChild>
        <w:div w:id="707220415">
          <w:marLeft w:val="0"/>
          <w:marRight w:val="0"/>
          <w:marTop w:val="0"/>
          <w:marBottom w:val="0"/>
          <w:divBdr>
            <w:top w:val="none" w:sz="0" w:space="0" w:color="auto"/>
            <w:left w:val="none" w:sz="0" w:space="0" w:color="auto"/>
            <w:bottom w:val="none" w:sz="0" w:space="0" w:color="auto"/>
            <w:right w:val="none" w:sz="0" w:space="0" w:color="auto"/>
          </w:divBdr>
        </w:div>
      </w:divsChild>
    </w:div>
    <w:div w:id="1846558068">
      <w:bodyDiv w:val="1"/>
      <w:marLeft w:val="0"/>
      <w:marRight w:val="0"/>
      <w:marTop w:val="0"/>
      <w:marBottom w:val="0"/>
      <w:divBdr>
        <w:top w:val="none" w:sz="0" w:space="0" w:color="auto"/>
        <w:left w:val="none" w:sz="0" w:space="0" w:color="auto"/>
        <w:bottom w:val="none" w:sz="0" w:space="0" w:color="auto"/>
        <w:right w:val="none" w:sz="0" w:space="0" w:color="auto"/>
      </w:divBdr>
      <w:divsChild>
        <w:div w:id="20203398">
          <w:marLeft w:val="0"/>
          <w:marRight w:val="0"/>
          <w:marTop w:val="0"/>
          <w:marBottom w:val="0"/>
          <w:divBdr>
            <w:top w:val="none" w:sz="0" w:space="0" w:color="auto"/>
            <w:left w:val="none" w:sz="0" w:space="0" w:color="auto"/>
            <w:bottom w:val="none" w:sz="0" w:space="0" w:color="auto"/>
            <w:right w:val="none" w:sz="0" w:space="0" w:color="auto"/>
          </w:divBdr>
        </w:div>
      </w:divsChild>
    </w:div>
    <w:div w:id="1904484615">
      <w:bodyDiv w:val="1"/>
      <w:marLeft w:val="0"/>
      <w:marRight w:val="0"/>
      <w:marTop w:val="0"/>
      <w:marBottom w:val="0"/>
      <w:divBdr>
        <w:top w:val="none" w:sz="0" w:space="0" w:color="auto"/>
        <w:left w:val="none" w:sz="0" w:space="0" w:color="auto"/>
        <w:bottom w:val="none" w:sz="0" w:space="0" w:color="auto"/>
        <w:right w:val="none" w:sz="0" w:space="0" w:color="auto"/>
      </w:divBdr>
    </w:div>
    <w:div w:id="1914583233">
      <w:bodyDiv w:val="1"/>
      <w:marLeft w:val="0"/>
      <w:marRight w:val="0"/>
      <w:marTop w:val="0"/>
      <w:marBottom w:val="0"/>
      <w:divBdr>
        <w:top w:val="none" w:sz="0" w:space="0" w:color="auto"/>
        <w:left w:val="none" w:sz="0" w:space="0" w:color="auto"/>
        <w:bottom w:val="none" w:sz="0" w:space="0" w:color="auto"/>
        <w:right w:val="none" w:sz="0" w:space="0" w:color="auto"/>
      </w:divBdr>
    </w:div>
    <w:div w:id="1992321191">
      <w:bodyDiv w:val="1"/>
      <w:marLeft w:val="0"/>
      <w:marRight w:val="0"/>
      <w:marTop w:val="0"/>
      <w:marBottom w:val="0"/>
      <w:divBdr>
        <w:top w:val="none" w:sz="0" w:space="0" w:color="auto"/>
        <w:left w:val="none" w:sz="0" w:space="0" w:color="auto"/>
        <w:bottom w:val="none" w:sz="0" w:space="0" w:color="auto"/>
        <w:right w:val="none" w:sz="0" w:space="0" w:color="auto"/>
      </w:divBdr>
    </w:div>
    <w:div w:id="2050254439">
      <w:bodyDiv w:val="1"/>
      <w:marLeft w:val="0"/>
      <w:marRight w:val="0"/>
      <w:marTop w:val="0"/>
      <w:marBottom w:val="0"/>
      <w:divBdr>
        <w:top w:val="none" w:sz="0" w:space="0" w:color="auto"/>
        <w:left w:val="none" w:sz="0" w:space="0" w:color="auto"/>
        <w:bottom w:val="none" w:sz="0" w:space="0" w:color="auto"/>
        <w:right w:val="none" w:sz="0" w:space="0" w:color="auto"/>
      </w:divBdr>
    </w:div>
    <w:div w:id="2083718961">
      <w:bodyDiv w:val="1"/>
      <w:marLeft w:val="0"/>
      <w:marRight w:val="0"/>
      <w:marTop w:val="0"/>
      <w:marBottom w:val="0"/>
      <w:divBdr>
        <w:top w:val="none" w:sz="0" w:space="0" w:color="auto"/>
        <w:left w:val="none" w:sz="0" w:space="0" w:color="auto"/>
        <w:bottom w:val="none" w:sz="0" w:space="0" w:color="auto"/>
        <w:right w:val="none" w:sz="0" w:space="0" w:color="auto"/>
      </w:divBdr>
      <w:divsChild>
        <w:div w:id="2095853111">
          <w:marLeft w:val="0"/>
          <w:marRight w:val="0"/>
          <w:marTop w:val="0"/>
          <w:marBottom w:val="0"/>
          <w:divBdr>
            <w:top w:val="none" w:sz="0" w:space="0" w:color="auto"/>
            <w:left w:val="none" w:sz="0" w:space="0" w:color="auto"/>
            <w:bottom w:val="none" w:sz="0" w:space="0" w:color="auto"/>
            <w:right w:val="none" w:sz="0" w:space="0" w:color="auto"/>
          </w:divBdr>
        </w:div>
      </w:divsChild>
    </w:div>
    <w:div w:id="2122532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gov.wales/child-poverty-innovation-and-supporting-communities-gr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4271</Words>
  <Characters>24345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 Taylor</dc:creator>
  <cp:keywords/>
  <dc:description/>
  <cp:lastModifiedBy>Nichola M Taylor</cp:lastModifiedBy>
  <cp:revision>6</cp:revision>
  <dcterms:created xsi:type="dcterms:W3CDTF">2026-01-16T14:37:00Z</dcterms:created>
  <dcterms:modified xsi:type="dcterms:W3CDTF">2026-01-16T14:51:00Z</dcterms:modified>
</cp:coreProperties>
</file>