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B38A6" w14:textId="3AF49242" w:rsidR="008A08AD" w:rsidRPr="00914EBC" w:rsidRDefault="00D035E7" w:rsidP="00E07454">
      <w:pPr>
        <w:jc w:val="center"/>
        <w:rPr>
          <w:rFonts w:ascii="Calibri" w:hAnsi="Calibri" w:cs="Calibri"/>
          <w:b/>
          <w:bCs/>
          <w:sz w:val="32"/>
          <w:szCs w:val="32"/>
        </w:rPr>
      </w:pPr>
      <w:r w:rsidRPr="00914EBC">
        <w:rPr>
          <w:rFonts w:ascii="Calibri" w:hAnsi="Calibri" w:cs="Calibri"/>
          <w:b/>
          <w:bCs/>
          <w:sz w:val="32"/>
          <w:szCs w:val="32"/>
        </w:rPr>
        <w:t>Q Hypothesis</w:t>
      </w:r>
    </w:p>
    <w:p w14:paraId="3D4CFBD8" w14:textId="77777777" w:rsidR="004A046F" w:rsidRPr="00914EBC" w:rsidRDefault="00587314" w:rsidP="009F02EA">
      <w:pPr>
        <w:spacing w:line="480" w:lineRule="auto"/>
        <w:jc w:val="both"/>
        <w:rPr>
          <w:rFonts w:ascii="Calibri" w:hAnsi="Calibri" w:cs="Calibri"/>
          <w:sz w:val="24"/>
          <w:szCs w:val="24"/>
        </w:rPr>
      </w:pPr>
      <w:r w:rsidRPr="00914EBC">
        <w:rPr>
          <w:rFonts w:ascii="Calibri" w:hAnsi="Calibri" w:cs="Calibri"/>
          <w:sz w:val="24"/>
          <w:szCs w:val="24"/>
        </w:rPr>
        <w:t xml:space="preserve">The Q </w:t>
      </w:r>
      <w:r w:rsidR="00183F81" w:rsidRPr="00914EBC">
        <w:rPr>
          <w:rFonts w:ascii="Calibri" w:hAnsi="Calibri" w:cs="Calibri"/>
          <w:sz w:val="24"/>
          <w:szCs w:val="24"/>
        </w:rPr>
        <w:t>H</w:t>
      </w:r>
      <w:r w:rsidRPr="00914EBC">
        <w:rPr>
          <w:rFonts w:ascii="Calibri" w:hAnsi="Calibri" w:cs="Calibri"/>
          <w:sz w:val="24"/>
          <w:szCs w:val="24"/>
        </w:rPr>
        <w:t>ypothesis</w:t>
      </w:r>
      <w:r w:rsidR="00183F81" w:rsidRPr="00914EBC">
        <w:rPr>
          <w:rFonts w:ascii="Calibri" w:hAnsi="Calibri" w:cs="Calibri"/>
          <w:sz w:val="24"/>
          <w:szCs w:val="24"/>
        </w:rPr>
        <w:t>, also referred to as the ‘Two-Source Hypothesis</w:t>
      </w:r>
      <w:r w:rsidR="00E07454" w:rsidRPr="00914EBC">
        <w:rPr>
          <w:rFonts w:ascii="Calibri" w:hAnsi="Calibri" w:cs="Calibri"/>
          <w:sz w:val="24"/>
          <w:szCs w:val="24"/>
        </w:rPr>
        <w:t>’</w:t>
      </w:r>
      <w:r w:rsidR="00183F81" w:rsidRPr="00914EBC">
        <w:rPr>
          <w:rFonts w:ascii="Calibri" w:hAnsi="Calibri" w:cs="Calibri"/>
          <w:sz w:val="24"/>
          <w:szCs w:val="24"/>
        </w:rPr>
        <w:t>,</w:t>
      </w:r>
      <w:r w:rsidRPr="00914EBC">
        <w:rPr>
          <w:rFonts w:ascii="Calibri" w:hAnsi="Calibri" w:cs="Calibri"/>
          <w:sz w:val="24"/>
          <w:szCs w:val="24"/>
        </w:rPr>
        <w:t xml:space="preserve"> refers to a theorised second text from which the New Testament Gospels of Matthew and Luke are in part derived.</w:t>
      </w:r>
      <w:r w:rsidRPr="00914EBC">
        <w:rPr>
          <w:rStyle w:val="FootnoteReference"/>
          <w:rFonts w:ascii="Calibri" w:hAnsi="Calibri" w:cs="Calibri"/>
          <w:sz w:val="24"/>
          <w:szCs w:val="24"/>
        </w:rPr>
        <w:footnoteReference w:id="1"/>
      </w:r>
      <w:r w:rsidR="004A046F" w:rsidRPr="00914EBC">
        <w:rPr>
          <w:rFonts w:ascii="Calibri" w:hAnsi="Calibri" w:cs="Calibri"/>
          <w:sz w:val="24"/>
          <w:szCs w:val="24"/>
        </w:rPr>
        <w:t xml:space="preserve">’ </w:t>
      </w:r>
    </w:p>
    <w:p w14:paraId="14D71879" w14:textId="62A42FAC" w:rsidR="004A046F" w:rsidRPr="00914EBC" w:rsidRDefault="004A046F" w:rsidP="004A046F">
      <w:pPr>
        <w:spacing w:line="480" w:lineRule="auto"/>
        <w:ind w:left="720"/>
        <w:rPr>
          <w:rFonts w:ascii="Calibri" w:hAnsi="Calibri" w:cs="Calibri"/>
          <w:sz w:val="24"/>
          <w:szCs w:val="24"/>
        </w:rPr>
      </w:pPr>
      <w:r w:rsidRPr="00914EBC">
        <w:rPr>
          <w:rFonts w:ascii="Calibri" w:hAnsi="Calibri" w:cs="Calibri"/>
          <w:sz w:val="24"/>
          <w:szCs w:val="24"/>
        </w:rPr>
        <w:t xml:space="preserve">Behind this hypothesis is the plausible assumption that the Matthean evangelist did not know Luke and vice versa, so they must have had a common </w:t>
      </w:r>
      <w:proofErr w:type="gramStart"/>
      <w:r w:rsidRPr="00914EBC">
        <w:rPr>
          <w:rFonts w:ascii="Calibri" w:hAnsi="Calibri" w:cs="Calibri"/>
          <w:sz w:val="24"/>
          <w:szCs w:val="24"/>
        </w:rPr>
        <w:t>source,.</w:t>
      </w:r>
      <w:proofErr w:type="gramEnd"/>
      <w:r w:rsidRPr="00914EBC">
        <w:rPr>
          <w:rFonts w:ascii="Calibri" w:hAnsi="Calibri" w:cs="Calibri"/>
          <w:sz w:val="24"/>
          <w:szCs w:val="24"/>
        </w:rPr>
        <w:t xml:space="preserve"> The contents are usually estimated at about 220 – 235 verses or parts of verses</w:t>
      </w:r>
      <w:r w:rsidRPr="00914EBC">
        <w:rPr>
          <w:rStyle w:val="FootnoteReference"/>
          <w:rFonts w:ascii="Calibri" w:hAnsi="Calibri" w:cs="Calibri"/>
          <w:sz w:val="24"/>
          <w:szCs w:val="24"/>
        </w:rPr>
        <w:footnoteReference w:id="2"/>
      </w:r>
    </w:p>
    <w:p w14:paraId="704155B5" w14:textId="513C640D" w:rsidR="00D035E7" w:rsidRPr="00914EBC" w:rsidRDefault="00587314" w:rsidP="009F02EA">
      <w:pPr>
        <w:spacing w:line="480" w:lineRule="auto"/>
        <w:jc w:val="both"/>
        <w:rPr>
          <w:rFonts w:ascii="Calibri" w:hAnsi="Calibri" w:cs="Calibri"/>
          <w:sz w:val="24"/>
          <w:szCs w:val="24"/>
        </w:rPr>
      </w:pPr>
      <w:r w:rsidRPr="00914EBC">
        <w:rPr>
          <w:rFonts w:ascii="Calibri" w:hAnsi="Calibri" w:cs="Calibri"/>
          <w:sz w:val="24"/>
          <w:szCs w:val="24"/>
        </w:rPr>
        <w:t xml:space="preserve"> Biblical scholarship generally holds that the Gospels of Matthew and </w:t>
      </w:r>
      <w:r w:rsidR="009F02EA" w:rsidRPr="00914EBC">
        <w:rPr>
          <w:rFonts w:ascii="Calibri" w:hAnsi="Calibri" w:cs="Calibri"/>
          <w:sz w:val="24"/>
          <w:szCs w:val="24"/>
        </w:rPr>
        <w:t>Luke</w:t>
      </w:r>
      <w:r w:rsidRPr="00914EBC">
        <w:rPr>
          <w:rFonts w:ascii="Calibri" w:hAnsi="Calibri" w:cs="Calibri"/>
          <w:sz w:val="24"/>
          <w:szCs w:val="24"/>
        </w:rPr>
        <w:t xml:space="preserve"> derived their </w:t>
      </w:r>
      <w:r w:rsidR="00183F81" w:rsidRPr="00914EBC">
        <w:rPr>
          <w:rFonts w:ascii="Calibri" w:hAnsi="Calibri" w:cs="Calibri"/>
          <w:sz w:val="24"/>
          <w:szCs w:val="24"/>
        </w:rPr>
        <w:t>accounts from that of the Gospel according to Mark, whilst the Two-Source Hypothesis contends they also share a second source text in common. This posited lost text is referred to as the ‘Q’ document, or ‘Q’ source, a reference to the German word for source (</w:t>
      </w:r>
      <w:r w:rsidR="00183F81" w:rsidRPr="00914EBC">
        <w:rPr>
          <w:rFonts w:ascii="Calibri" w:hAnsi="Calibri" w:cs="Calibri"/>
          <w:i/>
          <w:iCs/>
          <w:sz w:val="24"/>
          <w:szCs w:val="24"/>
        </w:rPr>
        <w:t>quell</w:t>
      </w:r>
      <w:r w:rsidR="00235FD5" w:rsidRPr="00914EBC">
        <w:rPr>
          <w:rFonts w:ascii="Calibri" w:hAnsi="Calibri" w:cs="Calibri"/>
          <w:i/>
          <w:iCs/>
          <w:sz w:val="24"/>
          <w:szCs w:val="24"/>
        </w:rPr>
        <w:t>e</w:t>
      </w:r>
      <w:r w:rsidR="00235FD5" w:rsidRPr="00914EBC">
        <w:rPr>
          <w:rFonts w:ascii="Calibri" w:hAnsi="Calibri" w:cs="Calibri"/>
          <w:sz w:val="24"/>
          <w:szCs w:val="24"/>
        </w:rPr>
        <w:t>).</w:t>
      </w:r>
    </w:p>
    <w:p w14:paraId="0D00CE99" w14:textId="0F3FE096" w:rsidR="00E07454" w:rsidRPr="00914EBC" w:rsidRDefault="00E07454" w:rsidP="00E07454">
      <w:pPr>
        <w:spacing w:line="480" w:lineRule="auto"/>
        <w:jc w:val="both"/>
        <w:rPr>
          <w:rFonts w:ascii="Calibri" w:hAnsi="Calibri" w:cs="Calibri"/>
          <w:sz w:val="24"/>
          <w:szCs w:val="24"/>
        </w:rPr>
      </w:pPr>
      <w:r w:rsidRPr="00914EBC">
        <w:rPr>
          <w:rFonts w:ascii="Calibri" w:hAnsi="Calibri" w:cs="Calibri"/>
          <w:sz w:val="24"/>
          <w:szCs w:val="24"/>
        </w:rPr>
        <w:t xml:space="preserve">The </w:t>
      </w:r>
      <w:r w:rsidR="00183F81" w:rsidRPr="00914EBC">
        <w:rPr>
          <w:rFonts w:ascii="Calibri" w:hAnsi="Calibri" w:cs="Calibri"/>
          <w:sz w:val="24"/>
          <w:szCs w:val="24"/>
        </w:rPr>
        <w:t xml:space="preserve">Q Hypothesis </w:t>
      </w:r>
      <w:r w:rsidR="00E44F70" w:rsidRPr="00914EBC">
        <w:rPr>
          <w:rFonts w:ascii="Calibri" w:hAnsi="Calibri" w:cs="Calibri"/>
          <w:sz w:val="24"/>
          <w:szCs w:val="24"/>
        </w:rPr>
        <w:t>originated in the nineteenth century, when biblical scholars first noted the similarities between the Synoptic Gospels. The Gospels of Matthew and Luke contain many instances of event ordering, word choice, and Jesus’ sayings (</w:t>
      </w:r>
      <w:r w:rsidR="00E44F70" w:rsidRPr="00914EBC">
        <w:rPr>
          <w:rFonts w:ascii="Calibri" w:hAnsi="Calibri" w:cs="Calibri"/>
          <w:i/>
          <w:iCs/>
          <w:sz w:val="24"/>
          <w:szCs w:val="24"/>
        </w:rPr>
        <w:t>logia</w:t>
      </w:r>
      <w:r w:rsidR="00E44F70" w:rsidRPr="00914EBC">
        <w:rPr>
          <w:rFonts w:ascii="Calibri" w:hAnsi="Calibri" w:cs="Calibri"/>
          <w:sz w:val="24"/>
          <w:szCs w:val="24"/>
        </w:rPr>
        <w:t xml:space="preserve">) that imply their using a common source independently of each other. Whilst much of this shared content can be explained </w:t>
      </w:r>
      <w:r w:rsidR="009F02EA" w:rsidRPr="00914EBC">
        <w:rPr>
          <w:rFonts w:ascii="Calibri" w:hAnsi="Calibri" w:cs="Calibri"/>
          <w:sz w:val="24"/>
          <w:szCs w:val="24"/>
        </w:rPr>
        <w:t>by</w:t>
      </w:r>
      <w:r w:rsidR="00E44F70" w:rsidRPr="00914EBC">
        <w:rPr>
          <w:rFonts w:ascii="Calibri" w:hAnsi="Calibri" w:cs="Calibri"/>
          <w:sz w:val="24"/>
          <w:szCs w:val="24"/>
        </w:rPr>
        <w:t xml:space="preserve"> hypothesising that the authors of the Gospels of Matthew and Luke used that of Mark as a source, there is also much shared material that is not present in Mark. </w:t>
      </w:r>
      <w:r w:rsidR="00C02148" w:rsidRPr="00914EBC">
        <w:rPr>
          <w:rFonts w:ascii="Calibri" w:hAnsi="Calibri" w:cs="Calibri"/>
          <w:sz w:val="24"/>
          <w:szCs w:val="24"/>
        </w:rPr>
        <w:t xml:space="preserve">Although this Synoptic ‘Problem’ had been identified much earlier, such as in the work of Augustin, some biblical scholars such as Herbert Mars and Christian Hermann Weisse interpreted this disagreement as </w:t>
      </w:r>
      <w:r w:rsidR="00E44F70" w:rsidRPr="00914EBC">
        <w:rPr>
          <w:rFonts w:ascii="Calibri" w:hAnsi="Calibri" w:cs="Calibri"/>
          <w:sz w:val="24"/>
          <w:szCs w:val="24"/>
        </w:rPr>
        <w:t xml:space="preserve">evidence for a second, unknown source </w:t>
      </w:r>
      <w:r w:rsidR="00C02148" w:rsidRPr="00914EBC">
        <w:rPr>
          <w:rFonts w:ascii="Calibri" w:hAnsi="Calibri" w:cs="Calibri"/>
          <w:sz w:val="24"/>
          <w:szCs w:val="24"/>
        </w:rPr>
        <w:t>beyond</w:t>
      </w:r>
      <w:r w:rsidR="00E44F70" w:rsidRPr="00914EBC">
        <w:rPr>
          <w:rFonts w:ascii="Calibri" w:hAnsi="Calibri" w:cs="Calibri"/>
          <w:sz w:val="24"/>
          <w:szCs w:val="24"/>
        </w:rPr>
        <w:t xml:space="preserve"> the Gospel of Mark.</w:t>
      </w:r>
      <w:r w:rsidR="00E44F70" w:rsidRPr="00914EBC">
        <w:rPr>
          <w:rStyle w:val="FootnoteReference"/>
          <w:rFonts w:ascii="Calibri" w:hAnsi="Calibri" w:cs="Calibri"/>
          <w:sz w:val="24"/>
          <w:szCs w:val="24"/>
        </w:rPr>
        <w:footnoteReference w:id="3"/>
      </w:r>
      <w:r w:rsidR="00C02148" w:rsidRPr="00914EBC">
        <w:rPr>
          <w:rFonts w:ascii="Calibri" w:hAnsi="Calibri" w:cs="Calibri"/>
          <w:sz w:val="24"/>
          <w:szCs w:val="24"/>
        </w:rPr>
        <w:t xml:space="preserve"> </w:t>
      </w:r>
    </w:p>
    <w:p w14:paraId="10473C4E" w14:textId="19C09AD6" w:rsidR="00D035E7" w:rsidRPr="00914EBC" w:rsidRDefault="00E44F70" w:rsidP="00E07454">
      <w:pPr>
        <w:spacing w:line="480" w:lineRule="auto"/>
        <w:jc w:val="both"/>
        <w:rPr>
          <w:rFonts w:ascii="Calibri" w:hAnsi="Calibri" w:cs="Calibri"/>
          <w:sz w:val="24"/>
          <w:szCs w:val="24"/>
        </w:rPr>
      </w:pPr>
      <w:r w:rsidRPr="00914EBC">
        <w:rPr>
          <w:rFonts w:ascii="Calibri" w:hAnsi="Calibri" w:cs="Calibri"/>
          <w:sz w:val="24"/>
          <w:szCs w:val="24"/>
        </w:rPr>
        <w:lastRenderedPageBreak/>
        <w:t xml:space="preserve">The assumption of Marcan priority is based on </w:t>
      </w:r>
      <w:proofErr w:type="gramStart"/>
      <w:r w:rsidRPr="00914EBC">
        <w:rPr>
          <w:rFonts w:ascii="Calibri" w:hAnsi="Calibri" w:cs="Calibri"/>
          <w:sz w:val="24"/>
          <w:szCs w:val="24"/>
        </w:rPr>
        <w:t>a number of</w:t>
      </w:r>
      <w:proofErr w:type="gramEnd"/>
      <w:r w:rsidRPr="00914EBC">
        <w:rPr>
          <w:rFonts w:ascii="Calibri" w:hAnsi="Calibri" w:cs="Calibri"/>
          <w:sz w:val="24"/>
          <w:szCs w:val="24"/>
        </w:rPr>
        <w:t xml:space="preserve"> factors, including the shorter length of his Gospel and the simpler language used.</w:t>
      </w:r>
      <w:r w:rsidRPr="00914EBC">
        <w:rPr>
          <w:rStyle w:val="FootnoteReference"/>
          <w:rFonts w:ascii="Calibri" w:hAnsi="Calibri" w:cs="Calibri"/>
          <w:sz w:val="24"/>
          <w:szCs w:val="24"/>
        </w:rPr>
        <w:footnoteReference w:id="4"/>
      </w:r>
      <w:r w:rsidRPr="00914EBC">
        <w:rPr>
          <w:rFonts w:ascii="Calibri" w:hAnsi="Calibri" w:cs="Calibri"/>
          <w:sz w:val="24"/>
          <w:szCs w:val="24"/>
        </w:rPr>
        <w:t xml:space="preserve"> The theorised existence of a Q ‘document’ as opposed to merely an oral tradition is implied by the high level of agreement between the Gospels of Matthew and Luke as to the wording of events not contained within Mark. Although the hypothesised work is lost, it has been assumed that the work focuses largely </w:t>
      </w:r>
      <w:r w:rsidR="00063BA5" w:rsidRPr="00914EBC">
        <w:rPr>
          <w:rFonts w:ascii="Calibri" w:hAnsi="Calibri" w:cs="Calibri"/>
          <w:sz w:val="24"/>
          <w:szCs w:val="24"/>
        </w:rPr>
        <w:t>on</w:t>
      </w:r>
      <w:r w:rsidRPr="00914EBC">
        <w:rPr>
          <w:rFonts w:ascii="Calibri" w:hAnsi="Calibri" w:cs="Calibri"/>
          <w:sz w:val="24"/>
          <w:szCs w:val="24"/>
        </w:rPr>
        <w:t xml:space="preserve"> Jesus’ teachings and sayings due to the content of Matthew and Luke’s double tradition.</w:t>
      </w:r>
      <w:r w:rsidRPr="00914EBC">
        <w:rPr>
          <w:rStyle w:val="FootnoteReference"/>
          <w:rFonts w:ascii="Calibri" w:hAnsi="Calibri" w:cs="Calibri"/>
          <w:sz w:val="24"/>
          <w:szCs w:val="24"/>
        </w:rPr>
        <w:footnoteReference w:id="5"/>
      </w:r>
    </w:p>
    <w:p w14:paraId="39451461" w14:textId="7832ED01" w:rsidR="00E07454" w:rsidRPr="00914EBC" w:rsidRDefault="001C7C84" w:rsidP="00E07454">
      <w:pPr>
        <w:spacing w:line="480" w:lineRule="auto"/>
        <w:jc w:val="both"/>
        <w:rPr>
          <w:rFonts w:ascii="Calibri" w:hAnsi="Calibri" w:cs="Calibri"/>
          <w:sz w:val="24"/>
          <w:szCs w:val="24"/>
        </w:rPr>
      </w:pPr>
      <w:r w:rsidRPr="00914EBC">
        <w:rPr>
          <w:rFonts w:ascii="Calibri" w:hAnsi="Calibri" w:cs="Calibri"/>
          <w:sz w:val="24"/>
          <w:szCs w:val="24"/>
        </w:rPr>
        <w:t xml:space="preserve">The </w:t>
      </w:r>
      <w:r w:rsidR="00E07454" w:rsidRPr="00914EBC">
        <w:rPr>
          <w:rFonts w:ascii="Calibri" w:hAnsi="Calibri" w:cs="Calibri"/>
          <w:sz w:val="24"/>
          <w:szCs w:val="24"/>
        </w:rPr>
        <w:t xml:space="preserve">existence of the Q document </w:t>
      </w:r>
      <w:r w:rsidRPr="00914EBC">
        <w:rPr>
          <w:rFonts w:ascii="Calibri" w:hAnsi="Calibri" w:cs="Calibri"/>
          <w:sz w:val="24"/>
          <w:szCs w:val="24"/>
        </w:rPr>
        <w:t>is implied by the high degree of agreement in some areas of Matthew and Luke. One example is that of Matthew 6:24 and Luke 16:13</w:t>
      </w:r>
      <w:r w:rsidR="00E07454" w:rsidRPr="00914EBC">
        <w:rPr>
          <w:rFonts w:ascii="Calibri" w:hAnsi="Calibri" w:cs="Calibri"/>
          <w:sz w:val="24"/>
          <w:szCs w:val="24"/>
        </w:rPr>
        <w:t xml:space="preserve">, </w:t>
      </w:r>
      <w:r w:rsidRPr="00914EBC">
        <w:rPr>
          <w:rFonts w:ascii="Calibri" w:hAnsi="Calibri" w:cs="Calibri"/>
          <w:sz w:val="24"/>
          <w:szCs w:val="24"/>
        </w:rPr>
        <w:t>which share 27 words in the same order in their original Greek. That Luke and Matthew may have drawn from other sources besides that of Mark is implied also when Luke states that he has ‘compiled’ a narrative from existing events (Luke 1:1-2).</w:t>
      </w:r>
      <w:r w:rsidR="00440705" w:rsidRPr="00914EBC">
        <w:rPr>
          <w:rFonts w:ascii="Calibri" w:hAnsi="Calibri" w:cs="Calibri"/>
          <w:sz w:val="24"/>
          <w:szCs w:val="24"/>
        </w:rPr>
        <w:t xml:space="preserve"> However, some have argued against this premise. For example, X observes that the levels of verbatim agreement vary between 8 and 100 per cent, meaning that ‘a “Q” comprised of pericopes with such low levels of agreement no longer resembles the source which was originally posited to account for the high levels of agreement between the Matthean and Lukan double tradition’.</w:t>
      </w:r>
      <w:r w:rsidR="00440705" w:rsidRPr="00914EBC">
        <w:rPr>
          <w:rStyle w:val="FootnoteReference"/>
          <w:rFonts w:ascii="Calibri" w:hAnsi="Calibri" w:cs="Calibri"/>
          <w:sz w:val="24"/>
          <w:szCs w:val="24"/>
        </w:rPr>
        <w:footnoteReference w:id="6"/>
      </w:r>
      <w:r w:rsidR="00440705" w:rsidRPr="00914EBC">
        <w:rPr>
          <w:rFonts w:ascii="Calibri" w:hAnsi="Calibri" w:cs="Calibri"/>
          <w:sz w:val="24"/>
          <w:szCs w:val="24"/>
        </w:rPr>
        <w:t xml:space="preserve"> This might instead imply that ‘Q’ reflects an oral tradition rather than a document.</w:t>
      </w:r>
    </w:p>
    <w:p w14:paraId="649EFF80" w14:textId="6B623550" w:rsidR="00E07454" w:rsidRPr="00914EBC" w:rsidRDefault="00615304" w:rsidP="00E07454">
      <w:pPr>
        <w:spacing w:line="480" w:lineRule="auto"/>
        <w:jc w:val="both"/>
        <w:rPr>
          <w:rFonts w:ascii="Calibri" w:hAnsi="Calibri" w:cs="Calibri"/>
          <w:sz w:val="24"/>
          <w:szCs w:val="24"/>
        </w:rPr>
      </w:pPr>
      <w:r w:rsidRPr="00914EBC">
        <w:rPr>
          <w:rFonts w:ascii="Calibri" w:hAnsi="Calibri" w:cs="Calibri"/>
          <w:sz w:val="24"/>
          <w:szCs w:val="24"/>
        </w:rPr>
        <w:t xml:space="preserve">The argument against the Q source’s existence </w:t>
      </w:r>
      <w:r w:rsidR="00063BA5" w:rsidRPr="00914EBC">
        <w:rPr>
          <w:rFonts w:ascii="Calibri" w:hAnsi="Calibri" w:cs="Calibri"/>
          <w:sz w:val="24"/>
          <w:szCs w:val="24"/>
        </w:rPr>
        <w:t>denies</w:t>
      </w:r>
      <w:r w:rsidRPr="00914EBC">
        <w:rPr>
          <w:rFonts w:ascii="Calibri" w:hAnsi="Calibri" w:cs="Calibri"/>
          <w:sz w:val="24"/>
          <w:szCs w:val="24"/>
        </w:rPr>
        <w:t xml:space="preserve"> that the double tradition implies the existence of a second text. For one, it may be that the double tradition owes to the authors knowing each other personally, working in unison to correct errors or </w:t>
      </w:r>
      <w:r w:rsidR="00063BA5" w:rsidRPr="00914EBC">
        <w:rPr>
          <w:rFonts w:ascii="Calibri" w:hAnsi="Calibri" w:cs="Calibri"/>
          <w:sz w:val="24"/>
          <w:szCs w:val="24"/>
        </w:rPr>
        <w:t>omissions</w:t>
      </w:r>
      <w:r w:rsidRPr="00914EBC">
        <w:rPr>
          <w:rFonts w:ascii="Calibri" w:hAnsi="Calibri" w:cs="Calibri"/>
          <w:sz w:val="24"/>
          <w:szCs w:val="24"/>
        </w:rPr>
        <w:t xml:space="preserve"> in the Gospel </w:t>
      </w:r>
      <w:r w:rsidRPr="00914EBC">
        <w:rPr>
          <w:rFonts w:ascii="Calibri" w:hAnsi="Calibri" w:cs="Calibri"/>
          <w:sz w:val="24"/>
          <w:szCs w:val="24"/>
        </w:rPr>
        <w:lastRenderedPageBreak/>
        <w:t>of Mark. There are, for example, several hundred cases of shared alterations to the Marcan Gospel that imply a common editorial agenda that might account for other commonalities.</w:t>
      </w:r>
      <w:r w:rsidRPr="00914EBC">
        <w:rPr>
          <w:rStyle w:val="FootnoteReference"/>
          <w:rFonts w:ascii="Calibri" w:hAnsi="Calibri" w:cs="Calibri"/>
          <w:sz w:val="24"/>
          <w:szCs w:val="24"/>
        </w:rPr>
        <w:footnoteReference w:id="7"/>
      </w:r>
      <w:r w:rsidRPr="00914EBC">
        <w:rPr>
          <w:rFonts w:ascii="Calibri" w:hAnsi="Calibri" w:cs="Calibri"/>
          <w:sz w:val="24"/>
          <w:szCs w:val="24"/>
        </w:rPr>
        <w:t xml:space="preserve"> </w:t>
      </w:r>
      <w:r w:rsidR="00C542F4" w:rsidRPr="00914EBC">
        <w:rPr>
          <w:rFonts w:ascii="Calibri" w:hAnsi="Calibri" w:cs="Calibri"/>
          <w:sz w:val="24"/>
          <w:szCs w:val="24"/>
        </w:rPr>
        <w:t>Additionally, some of the double tradition also contains narrative material and especially agreement between the ordering of events, contradicting the theory that a common ‘sayings’ gospel was used by Matthew and Luke.</w:t>
      </w:r>
    </w:p>
    <w:p w14:paraId="5E10F73A" w14:textId="31A43413" w:rsidR="00E07454" w:rsidRPr="00914EBC" w:rsidRDefault="00615304" w:rsidP="00E07454">
      <w:pPr>
        <w:spacing w:line="480" w:lineRule="auto"/>
        <w:jc w:val="both"/>
        <w:rPr>
          <w:rFonts w:ascii="Calibri" w:hAnsi="Calibri" w:cs="Calibri"/>
          <w:sz w:val="24"/>
          <w:szCs w:val="24"/>
        </w:rPr>
      </w:pPr>
      <w:r w:rsidRPr="00914EBC">
        <w:rPr>
          <w:rFonts w:ascii="Calibri" w:hAnsi="Calibri" w:cs="Calibri"/>
          <w:sz w:val="24"/>
          <w:szCs w:val="24"/>
        </w:rPr>
        <w:t xml:space="preserve">There is also </w:t>
      </w:r>
      <w:r w:rsidR="00E07454" w:rsidRPr="00914EBC">
        <w:rPr>
          <w:rFonts w:ascii="Calibri" w:hAnsi="Calibri" w:cs="Calibri"/>
          <w:sz w:val="24"/>
          <w:szCs w:val="24"/>
        </w:rPr>
        <w:t xml:space="preserve">a </w:t>
      </w:r>
      <w:r w:rsidRPr="00914EBC">
        <w:rPr>
          <w:rFonts w:ascii="Calibri" w:hAnsi="Calibri" w:cs="Calibri"/>
          <w:sz w:val="24"/>
          <w:szCs w:val="24"/>
        </w:rPr>
        <w:t>case for Matthean priority. Although it is generally believed that Matthew’s Gospel was written last and that it used material from the Synoptic Gospels as its sources, it may be the case that Matthew was written first, meaning that the double tradition was derived from two sources: Mark and Matthew.</w:t>
      </w:r>
      <w:r w:rsidRPr="00914EBC">
        <w:rPr>
          <w:rStyle w:val="FootnoteReference"/>
          <w:rFonts w:ascii="Calibri" w:hAnsi="Calibri" w:cs="Calibri"/>
          <w:sz w:val="24"/>
          <w:szCs w:val="24"/>
        </w:rPr>
        <w:footnoteReference w:id="8"/>
      </w:r>
      <w:r w:rsidRPr="00914EBC">
        <w:rPr>
          <w:rFonts w:ascii="Calibri" w:hAnsi="Calibri" w:cs="Calibri"/>
          <w:sz w:val="24"/>
          <w:szCs w:val="24"/>
        </w:rPr>
        <w:t xml:space="preserve"> According to this rationale, the omission of this material from Mark would owe to Mark’s editorial agenda of simplifying </w:t>
      </w:r>
      <w:r w:rsidR="00C02148" w:rsidRPr="00914EBC">
        <w:rPr>
          <w:rFonts w:ascii="Calibri" w:hAnsi="Calibri" w:cs="Calibri"/>
          <w:sz w:val="24"/>
          <w:szCs w:val="24"/>
        </w:rPr>
        <w:t>Matthew’s Gospel.</w:t>
      </w:r>
      <w:r w:rsidR="00C02148" w:rsidRPr="00914EBC">
        <w:rPr>
          <w:rStyle w:val="FootnoteReference"/>
          <w:rFonts w:ascii="Calibri" w:hAnsi="Calibri" w:cs="Calibri"/>
          <w:sz w:val="24"/>
          <w:szCs w:val="24"/>
        </w:rPr>
        <w:footnoteReference w:id="9"/>
      </w:r>
    </w:p>
    <w:p w14:paraId="3832CADC" w14:textId="6D764092" w:rsidR="00D035E7" w:rsidRPr="00914EBC" w:rsidRDefault="00C542F4" w:rsidP="00E07454">
      <w:pPr>
        <w:spacing w:line="480" w:lineRule="auto"/>
        <w:jc w:val="both"/>
        <w:rPr>
          <w:rFonts w:ascii="Calibri" w:hAnsi="Calibri" w:cs="Calibri"/>
          <w:sz w:val="24"/>
          <w:szCs w:val="24"/>
        </w:rPr>
      </w:pPr>
      <w:r w:rsidRPr="00914EBC">
        <w:rPr>
          <w:rFonts w:ascii="Calibri" w:hAnsi="Calibri" w:cs="Calibri"/>
          <w:sz w:val="24"/>
          <w:szCs w:val="24"/>
        </w:rPr>
        <w:t>The document’s non-survival does not alone imply its non-existence given that it may have been fully incorporated into Matthew and Luke, rendering its reproduction unnecessary. However, the fact that its mention is omitted from historiographies of the early church, such as that of Jerome, has been interpreted by some scholars as evidence against its existence.</w:t>
      </w:r>
      <w:r w:rsidRPr="00914EBC">
        <w:rPr>
          <w:rStyle w:val="FootnoteReference"/>
          <w:rFonts w:ascii="Calibri" w:hAnsi="Calibri" w:cs="Calibri"/>
          <w:sz w:val="24"/>
          <w:szCs w:val="24"/>
        </w:rPr>
        <w:footnoteReference w:id="10"/>
      </w:r>
      <w:r w:rsidRPr="00914EBC">
        <w:rPr>
          <w:rFonts w:ascii="Calibri" w:hAnsi="Calibri" w:cs="Calibri"/>
          <w:sz w:val="24"/>
          <w:szCs w:val="24"/>
        </w:rPr>
        <w:t xml:space="preserve"> </w:t>
      </w:r>
      <w:r w:rsidR="00E07454" w:rsidRPr="00914EBC">
        <w:rPr>
          <w:rFonts w:ascii="Calibri" w:hAnsi="Calibri" w:cs="Calibri"/>
          <w:sz w:val="24"/>
          <w:szCs w:val="24"/>
        </w:rPr>
        <w:t>‘Famously in the mid-1960s, one biblical scholar spoke of abandoning the use of the term hypothesis to describe in all together’.</w:t>
      </w:r>
      <w:r w:rsidR="00E07454" w:rsidRPr="00914EBC">
        <w:rPr>
          <w:rStyle w:val="FootnoteReference"/>
          <w:rFonts w:ascii="Calibri" w:hAnsi="Calibri" w:cs="Calibri"/>
          <w:sz w:val="24"/>
          <w:szCs w:val="24"/>
        </w:rPr>
        <w:footnoteReference w:id="11"/>
      </w:r>
    </w:p>
    <w:p w14:paraId="6048EA4E" w14:textId="724D26B6" w:rsidR="000C4534" w:rsidRPr="00914EBC" w:rsidRDefault="000C4534">
      <w:pPr>
        <w:rPr>
          <w:rFonts w:ascii="Calibri" w:hAnsi="Calibri" w:cs="Calibri"/>
          <w:sz w:val="24"/>
          <w:szCs w:val="24"/>
        </w:rPr>
      </w:pPr>
      <w:r w:rsidRPr="00914EBC">
        <w:rPr>
          <w:rFonts w:ascii="Calibri" w:hAnsi="Calibri" w:cs="Calibri"/>
          <w:sz w:val="24"/>
          <w:szCs w:val="24"/>
        </w:rPr>
        <w:br w:type="page"/>
      </w:r>
    </w:p>
    <w:p w14:paraId="1BD767E2" w14:textId="3D272436" w:rsidR="00440705" w:rsidRPr="00914EBC" w:rsidRDefault="00440705" w:rsidP="00440705">
      <w:pPr>
        <w:jc w:val="center"/>
        <w:rPr>
          <w:rFonts w:ascii="Calibri" w:hAnsi="Calibri" w:cs="Calibri"/>
          <w:b/>
          <w:bCs/>
          <w:sz w:val="36"/>
          <w:szCs w:val="36"/>
        </w:rPr>
      </w:pPr>
      <w:r w:rsidRPr="00914EBC">
        <w:rPr>
          <w:rFonts w:ascii="Calibri" w:hAnsi="Calibri" w:cs="Calibri"/>
          <w:b/>
          <w:bCs/>
          <w:sz w:val="36"/>
          <w:szCs w:val="36"/>
        </w:rPr>
        <w:lastRenderedPageBreak/>
        <w:t>Bibliography</w:t>
      </w:r>
    </w:p>
    <w:p w14:paraId="482ECF64" w14:textId="3AFA5A39" w:rsidR="00914EBC" w:rsidRPr="00914EBC" w:rsidRDefault="00914EBC" w:rsidP="00914EBC">
      <w:pPr>
        <w:spacing w:line="360" w:lineRule="auto"/>
        <w:ind w:left="720" w:hanging="720"/>
        <w:rPr>
          <w:rFonts w:ascii="Calibri" w:hAnsi="Calibri" w:cs="Calibri"/>
          <w:sz w:val="24"/>
          <w:szCs w:val="24"/>
        </w:rPr>
      </w:pPr>
      <w:r w:rsidRPr="00914EBC">
        <w:rPr>
          <w:rFonts w:ascii="Calibri" w:hAnsi="Calibri" w:cs="Calibri"/>
          <w:sz w:val="24"/>
          <w:szCs w:val="24"/>
        </w:rPr>
        <w:t xml:space="preserve">Brown, R. </w:t>
      </w:r>
      <w:r w:rsidRPr="00914EBC">
        <w:rPr>
          <w:rFonts w:ascii="Calibri" w:hAnsi="Calibri" w:cs="Calibri"/>
          <w:i/>
          <w:iCs/>
          <w:sz w:val="24"/>
          <w:szCs w:val="24"/>
        </w:rPr>
        <w:t xml:space="preserve">An Introduction to the New Testament: The </w:t>
      </w:r>
      <w:r w:rsidR="00F26338" w:rsidRPr="00914EBC">
        <w:rPr>
          <w:rFonts w:ascii="Calibri" w:hAnsi="Calibri" w:cs="Calibri"/>
          <w:i/>
          <w:iCs/>
          <w:sz w:val="24"/>
          <w:szCs w:val="24"/>
        </w:rPr>
        <w:t>Abridged</w:t>
      </w:r>
      <w:r w:rsidRPr="00914EBC">
        <w:rPr>
          <w:rFonts w:ascii="Calibri" w:hAnsi="Calibri" w:cs="Calibri"/>
          <w:i/>
          <w:iCs/>
          <w:sz w:val="24"/>
          <w:szCs w:val="24"/>
        </w:rPr>
        <w:t xml:space="preserve"> Edition</w:t>
      </w:r>
      <w:r w:rsidRPr="00914EBC">
        <w:rPr>
          <w:rFonts w:ascii="Calibri" w:hAnsi="Calibri" w:cs="Calibri"/>
          <w:sz w:val="24"/>
          <w:szCs w:val="24"/>
        </w:rPr>
        <w:t>, ed. by Marion L Soards (Yale: Yale University Press, 2016)</w:t>
      </w:r>
    </w:p>
    <w:p w14:paraId="229BC180" w14:textId="1B092074" w:rsidR="00F36B91" w:rsidRPr="00914EBC" w:rsidRDefault="00F36B91" w:rsidP="000C4534">
      <w:pPr>
        <w:spacing w:line="360" w:lineRule="auto"/>
        <w:ind w:left="720" w:hanging="720"/>
        <w:rPr>
          <w:rFonts w:ascii="Calibri" w:hAnsi="Calibri" w:cs="Calibri"/>
          <w:sz w:val="24"/>
          <w:szCs w:val="24"/>
        </w:rPr>
      </w:pPr>
      <w:r w:rsidRPr="00914EBC">
        <w:rPr>
          <w:rFonts w:ascii="Calibri" w:hAnsi="Calibri" w:cs="Calibri"/>
          <w:sz w:val="24"/>
          <w:szCs w:val="24"/>
        </w:rPr>
        <w:t xml:space="preserve">Edwards, J.R. </w:t>
      </w:r>
      <w:r w:rsidRPr="00914EBC">
        <w:rPr>
          <w:rFonts w:ascii="Calibri" w:hAnsi="Calibri" w:cs="Calibri"/>
          <w:i/>
          <w:iCs/>
          <w:sz w:val="24"/>
          <w:szCs w:val="24"/>
        </w:rPr>
        <w:t xml:space="preserve">The Hebrew Gospel and the Development of the Synoptic Tradition </w:t>
      </w:r>
      <w:r w:rsidRPr="00914EBC">
        <w:rPr>
          <w:rFonts w:ascii="Calibri" w:hAnsi="Calibri" w:cs="Calibri"/>
          <w:sz w:val="24"/>
          <w:szCs w:val="24"/>
        </w:rPr>
        <w:t>(Grand Rapids: Eerdmans, 2009).</w:t>
      </w:r>
    </w:p>
    <w:p w14:paraId="18CF1333" w14:textId="743ECEA1" w:rsidR="00440705" w:rsidRPr="00914EBC" w:rsidRDefault="00440705" w:rsidP="000C4534">
      <w:pPr>
        <w:spacing w:line="360" w:lineRule="auto"/>
        <w:ind w:left="720" w:hanging="720"/>
        <w:rPr>
          <w:rFonts w:ascii="Calibri" w:hAnsi="Calibri" w:cs="Calibri"/>
          <w:sz w:val="24"/>
          <w:szCs w:val="24"/>
        </w:rPr>
      </w:pPr>
      <w:r w:rsidRPr="00914EBC">
        <w:rPr>
          <w:rFonts w:ascii="Calibri" w:hAnsi="Calibri" w:cs="Calibri"/>
          <w:sz w:val="24"/>
          <w:szCs w:val="24"/>
        </w:rPr>
        <w:t xml:space="preserve">Farmer, </w:t>
      </w:r>
      <w:r w:rsidR="00F36B91" w:rsidRPr="00914EBC">
        <w:rPr>
          <w:rFonts w:ascii="Calibri" w:hAnsi="Calibri" w:cs="Calibri"/>
          <w:sz w:val="24"/>
          <w:szCs w:val="24"/>
        </w:rPr>
        <w:t>Wm.</w:t>
      </w:r>
      <w:r w:rsidR="009F02EA" w:rsidRPr="00914EBC">
        <w:rPr>
          <w:rFonts w:ascii="Calibri" w:hAnsi="Calibri" w:cs="Calibri"/>
          <w:sz w:val="24"/>
          <w:szCs w:val="24"/>
        </w:rPr>
        <w:t xml:space="preserve"> </w:t>
      </w:r>
      <w:r w:rsidR="00F36B91" w:rsidRPr="00914EBC">
        <w:rPr>
          <w:rFonts w:ascii="Calibri" w:hAnsi="Calibri" w:cs="Calibri"/>
          <w:sz w:val="24"/>
          <w:szCs w:val="24"/>
        </w:rPr>
        <w:t xml:space="preserve">R. </w:t>
      </w:r>
      <w:r w:rsidRPr="00914EBC">
        <w:rPr>
          <w:rFonts w:ascii="Calibri" w:hAnsi="Calibri" w:cs="Calibri"/>
          <w:i/>
          <w:iCs/>
          <w:sz w:val="24"/>
          <w:szCs w:val="24"/>
        </w:rPr>
        <w:t xml:space="preserve">The Synoptic Problem: A Critical Analysis </w:t>
      </w:r>
      <w:r w:rsidRPr="00914EBC">
        <w:rPr>
          <w:rFonts w:ascii="Calibri" w:hAnsi="Calibri" w:cs="Calibri"/>
          <w:sz w:val="24"/>
          <w:szCs w:val="24"/>
        </w:rPr>
        <w:t>(London: Macmillan, 1981).</w:t>
      </w:r>
    </w:p>
    <w:p w14:paraId="79E2A019" w14:textId="0E920CFA" w:rsidR="00440705" w:rsidRPr="00914EBC" w:rsidRDefault="00440705" w:rsidP="000C4534">
      <w:pPr>
        <w:spacing w:line="360" w:lineRule="auto"/>
        <w:ind w:left="720" w:hanging="720"/>
        <w:rPr>
          <w:rFonts w:ascii="Calibri" w:hAnsi="Calibri" w:cs="Calibri"/>
          <w:sz w:val="24"/>
          <w:szCs w:val="24"/>
        </w:rPr>
      </w:pPr>
      <w:r w:rsidRPr="00914EBC">
        <w:rPr>
          <w:rFonts w:ascii="Calibri" w:hAnsi="Calibri" w:cs="Calibri"/>
          <w:sz w:val="24"/>
          <w:szCs w:val="24"/>
        </w:rPr>
        <w:t xml:space="preserve">Goodacre, </w:t>
      </w:r>
      <w:r w:rsidR="00F36B91" w:rsidRPr="00914EBC">
        <w:rPr>
          <w:rFonts w:ascii="Calibri" w:hAnsi="Calibri" w:cs="Calibri"/>
          <w:sz w:val="24"/>
          <w:szCs w:val="24"/>
        </w:rPr>
        <w:t xml:space="preserve">M. </w:t>
      </w:r>
      <w:r w:rsidRPr="00914EBC">
        <w:rPr>
          <w:rFonts w:ascii="Calibri" w:hAnsi="Calibri" w:cs="Calibri"/>
          <w:i/>
          <w:iCs/>
          <w:sz w:val="24"/>
          <w:szCs w:val="24"/>
        </w:rPr>
        <w:t xml:space="preserve">The Synoptic Problem: A Way through the Maze </w:t>
      </w:r>
      <w:r w:rsidRPr="00914EBC">
        <w:rPr>
          <w:rFonts w:ascii="Calibri" w:hAnsi="Calibri" w:cs="Calibri"/>
          <w:sz w:val="24"/>
          <w:szCs w:val="24"/>
        </w:rPr>
        <w:t>(New York: A&amp;C Black, 2001</w:t>
      </w:r>
      <w:r w:rsidR="00F36B91" w:rsidRPr="00914EBC">
        <w:rPr>
          <w:rFonts w:ascii="Calibri" w:hAnsi="Calibri" w:cs="Calibri"/>
          <w:sz w:val="24"/>
          <w:szCs w:val="24"/>
        </w:rPr>
        <w:t>).</w:t>
      </w:r>
    </w:p>
    <w:p w14:paraId="6B554D41" w14:textId="36479966" w:rsidR="00440705" w:rsidRPr="00914EBC" w:rsidRDefault="00440705" w:rsidP="000C4534">
      <w:pPr>
        <w:spacing w:line="360" w:lineRule="auto"/>
        <w:ind w:left="720" w:hanging="720"/>
        <w:rPr>
          <w:rFonts w:ascii="Calibri" w:hAnsi="Calibri" w:cs="Calibri"/>
          <w:sz w:val="24"/>
          <w:szCs w:val="24"/>
        </w:rPr>
      </w:pPr>
      <w:proofErr w:type="spellStart"/>
      <w:r w:rsidRPr="00914EBC">
        <w:rPr>
          <w:rFonts w:ascii="Calibri" w:hAnsi="Calibri" w:cs="Calibri"/>
          <w:sz w:val="24"/>
          <w:szCs w:val="24"/>
        </w:rPr>
        <w:t>Mournet</w:t>
      </w:r>
      <w:proofErr w:type="spellEnd"/>
      <w:r w:rsidRPr="00914EBC">
        <w:rPr>
          <w:rFonts w:ascii="Calibri" w:hAnsi="Calibri" w:cs="Calibri"/>
          <w:sz w:val="24"/>
          <w:szCs w:val="24"/>
        </w:rPr>
        <w:t xml:space="preserve">, </w:t>
      </w:r>
      <w:r w:rsidR="00F36B91" w:rsidRPr="00914EBC">
        <w:rPr>
          <w:rFonts w:ascii="Calibri" w:hAnsi="Calibri" w:cs="Calibri"/>
          <w:sz w:val="24"/>
          <w:szCs w:val="24"/>
        </w:rPr>
        <w:t xml:space="preserve">T.C. </w:t>
      </w:r>
      <w:r w:rsidRPr="00914EBC">
        <w:rPr>
          <w:rFonts w:ascii="Calibri" w:hAnsi="Calibri" w:cs="Calibri"/>
          <w:i/>
          <w:iCs/>
          <w:sz w:val="24"/>
          <w:szCs w:val="24"/>
        </w:rPr>
        <w:t xml:space="preserve">Oral Tradition and Literary Dependency: Variability and Stability in the Synoptic Tradition and Q </w:t>
      </w:r>
      <w:r w:rsidRPr="00914EBC">
        <w:rPr>
          <w:rFonts w:ascii="Calibri" w:hAnsi="Calibri" w:cs="Calibri"/>
          <w:sz w:val="24"/>
          <w:szCs w:val="24"/>
        </w:rPr>
        <w:t xml:space="preserve">(Berlin: Mohr </w:t>
      </w:r>
      <w:proofErr w:type="spellStart"/>
      <w:r w:rsidRPr="00914EBC">
        <w:rPr>
          <w:rFonts w:ascii="Calibri" w:hAnsi="Calibri" w:cs="Calibri"/>
          <w:sz w:val="24"/>
          <w:szCs w:val="24"/>
        </w:rPr>
        <w:t>Siebeck</w:t>
      </w:r>
      <w:proofErr w:type="spellEnd"/>
      <w:r w:rsidRPr="00914EBC">
        <w:rPr>
          <w:rFonts w:ascii="Calibri" w:hAnsi="Calibri" w:cs="Calibri"/>
          <w:sz w:val="24"/>
          <w:szCs w:val="24"/>
        </w:rPr>
        <w:t>, 2005</w:t>
      </w:r>
      <w:r w:rsidR="00F36B91" w:rsidRPr="00914EBC">
        <w:rPr>
          <w:rFonts w:ascii="Calibri" w:hAnsi="Calibri" w:cs="Calibri"/>
          <w:sz w:val="24"/>
          <w:szCs w:val="24"/>
        </w:rPr>
        <w:t>).</w:t>
      </w:r>
    </w:p>
    <w:p w14:paraId="5800F057" w14:textId="2FECAD6B" w:rsidR="00440705" w:rsidRPr="00914EBC" w:rsidRDefault="00440705" w:rsidP="000C4534">
      <w:pPr>
        <w:spacing w:line="360" w:lineRule="auto"/>
        <w:ind w:left="720" w:hanging="720"/>
        <w:rPr>
          <w:rFonts w:ascii="Calibri" w:hAnsi="Calibri" w:cs="Calibri"/>
          <w:sz w:val="24"/>
          <w:szCs w:val="24"/>
        </w:rPr>
      </w:pPr>
      <w:r w:rsidRPr="00914EBC">
        <w:rPr>
          <w:rFonts w:ascii="Calibri" w:hAnsi="Calibri" w:cs="Calibri"/>
          <w:sz w:val="24"/>
          <w:szCs w:val="24"/>
        </w:rPr>
        <w:t xml:space="preserve">Peabody, </w:t>
      </w:r>
      <w:r w:rsidR="00F36B91" w:rsidRPr="00914EBC">
        <w:rPr>
          <w:rFonts w:ascii="Calibri" w:hAnsi="Calibri" w:cs="Calibri"/>
          <w:sz w:val="24"/>
          <w:szCs w:val="24"/>
        </w:rPr>
        <w:t xml:space="preserve">D.B., </w:t>
      </w:r>
      <w:r w:rsidRPr="00914EBC">
        <w:rPr>
          <w:rFonts w:ascii="Calibri" w:hAnsi="Calibri" w:cs="Calibri"/>
          <w:sz w:val="24"/>
          <w:szCs w:val="24"/>
        </w:rPr>
        <w:t>A.J. McNichol &amp; L. Cope</w:t>
      </w:r>
      <w:r w:rsidR="00F36B91" w:rsidRPr="00914EBC">
        <w:rPr>
          <w:rFonts w:ascii="Calibri" w:hAnsi="Calibri" w:cs="Calibri"/>
          <w:sz w:val="24"/>
          <w:szCs w:val="24"/>
        </w:rPr>
        <w:t>.</w:t>
      </w:r>
      <w:r w:rsidRPr="00914EBC">
        <w:rPr>
          <w:rFonts w:ascii="Calibri" w:hAnsi="Calibri" w:cs="Calibri"/>
          <w:sz w:val="24"/>
          <w:szCs w:val="24"/>
        </w:rPr>
        <w:t xml:space="preserve"> </w:t>
      </w:r>
      <w:r w:rsidRPr="00914EBC">
        <w:rPr>
          <w:rFonts w:ascii="Calibri" w:hAnsi="Calibri" w:cs="Calibri"/>
          <w:i/>
          <w:iCs/>
          <w:sz w:val="24"/>
          <w:szCs w:val="24"/>
        </w:rPr>
        <w:t xml:space="preserve">One Gospel from Two: Mark’s Use of Matthew and Luke </w:t>
      </w:r>
      <w:r w:rsidRPr="00914EBC">
        <w:rPr>
          <w:rFonts w:ascii="Calibri" w:hAnsi="Calibri" w:cs="Calibri"/>
          <w:sz w:val="24"/>
          <w:szCs w:val="24"/>
        </w:rPr>
        <w:t>(New York: A&amp;C Black, 2002</w:t>
      </w:r>
      <w:r w:rsidR="00F36B91" w:rsidRPr="00914EBC">
        <w:rPr>
          <w:rFonts w:ascii="Calibri" w:hAnsi="Calibri" w:cs="Calibri"/>
          <w:sz w:val="24"/>
          <w:szCs w:val="24"/>
        </w:rPr>
        <w:t>).</w:t>
      </w:r>
    </w:p>
    <w:p w14:paraId="5FA2F0D2" w14:textId="2F8C8985" w:rsidR="00440705" w:rsidRPr="00914EBC" w:rsidRDefault="00440705" w:rsidP="000C4534">
      <w:pPr>
        <w:spacing w:line="360" w:lineRule="auto"/>
        <w:ind w:left="720" w:hanging="720"/>
        <w:rPr>
          <w:rFonts w:ascii="Calibri" w:hAnsi="Calibri" w:cs="Calibri"/>
          <w:sz w:val="24"/>
          <w:szCs w:val="24"/>
        </w:rPr>
      </w:pPr>
      <w:r w:rsidRPr="00914EBC">
        <w:rPr>
          <w:rFonts w:ascii="Calibri" w:hAnsi="Calibri" w:cs="Calibri"/>
          <w:sz w:val="24"/>
          <w:szCs w:val="24"/>
        </w:rPr>
        <w:t xml:space="preserve">Tuckett, </w:t>
      </w:r>
      <w:r w:rsidR="00F36B91" w:rsidRPr="00914EBC">
        <w:rPr>
          <w:rFonts w:ascii="Calibri" w:hAnsi="Calibri" w:cs="Calibri"/>
          <w:sz w:val="24"/>
          <w:szCs w:val="24"/>
        </w:rPr>
        <w:t xml:space="preserve">C.M. </w:t>
      </w:r>
      <w:r w:rsidRPr="00914EBC">
        <w:rPr>
          <w:rFonts w:ascii="Calibri" w:hAnsi="Calibri" w:cs="Calibri"/>
          <w:i/>
          <w:iCs/>
          <w:sz w:val="24"/>
          <w:szCs w:val="24"/>
        </w:rPr>
        <w:t xml:space="preserve">The Current State of the Synoptic Problem </w:t>
      </w:r>
      <w:r w:rsidRPr="00914EBC">
        <w:rPr>
          <w:rFonts w:ascii="Calibri" w:hAnsi="Calibri" w:cs="Calibri"/>
          <w:sz w:val="24"/>
          <w:szCs w:val="24"/>
        </w:rPr>
        <w:t>(Oxford: Oxford Conference on the Synoptic Problem, 2008</w:t>
      </w:r>
      <w:r w:rsidR="00F36B91" w:rsidRPr="00914EBC">
        <w:rPr>
          <w:rFonts w:ascii="Calibri" w:hAnsi="Calibri" w:cs="Calibri"/>
          <w:sz w:val="24"/>
          <w:szCs w:val="24"/>
        </w:rPr>
        <w:t>).</w:t>
      </w:r>
    </w:p>
    <w:sectPr w:rsidR="00440705" w:rsidRPr="00914EB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3DCA0" w14:textId="77777777" w:rsidR="00D5622E" w:rsidRDefault="00D5622E" w:rsidP="00587314">
      <w:pPr>
        <w:spacing w:after="0" w:line="240" w:lineRule="auto"/>
      </w:pPr>
      <w:r>
        <w:separator/>
      </w:r>
    </w:p>
  </w:endnote>
  <w:endnote w:type="continuationSeparator" w:id="0">
    <w:p w14:paraId="5D550369" w14:textId="77777777" w:rsidR="00D5622E" w:rsidRDefault="00D5622E" w:rsidP="00587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691133"/>
      <w:docPartObj>
        <w:docPartGallery w:val="Page Numbers (Bottom of Page)"/>
        <w:docPartUnique/>
      </w:docPartObj>
    </w:sdtPr>
    <w:sdtEndPr>
      <w:rPr>
        <w:noProof/>
      </w:rPr>
    </w:sdtEndPr>
    <w:sdtContent>
      <w:p w14:paraId="3CE9FBC7" w14:textId="243C8EC1" w:rsidR="000C4534" w:rsidRDefault="000C4534">
        <w:pPr>
          <w:pStyle w:val="Footer"/>
        </w:pPr>
        <w:r>
          <w:fldChar w:fldCharType="begin"/>
        </w:r>
        <w:r>
          <w:instrText xml:space="preserve"> PAGE   \* MERGEFORMAT </w:instrText>
        </w:r>
        <w:r>
          <w:fldChar w:fldCharType="separate"/>
        </w:r>
        <w:r>
          <w:rPr>
            <w:noProof/>
          </w:rPr>
          <w:t>2</w:t>
        </w:r>
        <w:r>
          <w:rPr>
            <w:noProof/>
          </w:rPr>
          <w:fldChar w:fldCharType="end"/>
        </w:r>
      </w:p>
    </w:sdtContent>
  </w:sdt>
  <w:p w14:paraId="26254DAB" w14:textId="77777777" w:rsidR="000C4534" w:rsidRDefault="000C4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09691" w14:textId="77777777" w:rsidR="00D5622E" w:rsidRDefault="00D5622E" w:rsidP="00587314">
      <w:pPr>
        <w:spacing w:after="0" w:line="240" w:lineRule="auto"/>
      </w:pPr>
      <w:r>
        <w:separator/>
      </w:r>
    </w:p>
  </w:footnote>
  <w:footnote w:type="continuationSeparator" w:id="0">
    <w:p w14:paraId="1E384B00" w14:textId="77777777" w:rsidR="00D5622E" w:rsidRDefault="00D5622E" w:rsidP="00587314">
      <w:pPr>
        <w:spacing w:after="0" w:line="240" w:lineRule="auto"/>
      </w:pPr>
      <w:r>
        <w:continuationSeparator/>
      </w:r>
    </w:p>
  </w:footnote>
  <w:footnote w:id="1">
    <w:p w14:paraId="607B294B" w14:textId="52C291BA" w:rsidR="00587314" w:rsidRPr="00914EBC" w:rsidRDefault="00587314">
      <w:pPr>
        <w:pStyle w:val="FootnoteText"/>
        <w:rPr>
          <w:rFonts w:ascii="Calibri" w:hAnsi="Calibri" w:cs="Calibri"/>
        </w:rPr>
      </w:pPr>
      <w:r w:rsidRPr="00914EBC">
        <w:rPr>
          <w:rStyle w:val="FootnoteReference"/>
          <w:rFonts w:ascii="Calibri" w:hAnsi="Calibri" w:cs="Calibri"/>
        </w:rPr>
        <w:footnoteRef/>
      </w:r>
      <w:r w:rsidRPr="00914EBC">
        <w:rPr>
          <w:rFonts w:ascii="Calibri" w:hAnsi="Calibri" w:cs="Calibri"/>
        </w:rPr>
        <w:t xml:space="preserve"> </w:t>
      </w:r>
      <w:r w:rsidR="00235FD5" w:rsidRPr="00914EBC">
        <w:rPr>
          <w:rFonts w:ascii="Calibri" w:hAnsi="Calibri" w:cs="Calibri"/>
        </w:rPr>
        <w:t xml:space="preserve">M. Goodacre, </w:t>
      </w:r>
      <w:r w:rsidR="00235FD5" w:rsidRPr="00914EBC">
        <w:rPr>
          <w:rFonts w:ascii="Calibri" w:hAnsi="Calibri" w:cs="Calibri"/>
          <w:i/>
          <w:iCs/>
        </w:rPr>
        <w:t xml:space="preserve">The Synoptic Problem: A Way through the Maze </w:t>
      </w:r>
      <w:r w:rsidR="00235FD5" w:rsidRPr="00914EBC">
        <w:rPr>
          <w:rFonts w:ascii="Calibri" w:hAnsi="Calibri" w:cs="Calibri"/>
        </w:rPr>
        <w:t>(New York: A&amp;C Black, 2001)</w:t>
      </w:r>
      <w:r w:rsidR="00F36B91" w:rsidRPr="00914EBC">
        <w:rPr>
          <w:rFonts w:ascii="Calibri" w:hAnsi="Calibri" w:cs="Calibri"/>
        </w:rPr>
        <w:t>, p. 28.</w:t>
      </w:r>
    </w:p>
  </w:footnote>
  <w:footnote w:id="2">
    <w:p w14:paraId="4FC5D63D" w14:textId="27681909" w:rsidR="004A046F" w:rsidRPr="00914EBC" w:rsidRDefault="004A046F">
      <w:pPr>
        <w:pStyle w:val="FootnoteText"/>
        <w:rPr>
          <w:rFonts w:ascii="Calibri" w:hAnsi="Calibri" w:cs="Calibri"/>
        </w:rPr>
      </w:pPr>
      <w:r w:rsidRPr="00914EBC">
        <w:rPr>
          <w:rStyle w:val="FootnoteReference"/>
          <w:rFonts w:ascii="Calibri" w:hAnsi="Calibri" w:cs="Calibri"/>
        </w:rPr>
        <w:footnoteRef/>
      </w:r>
      <w:r w:rsidRPr="00914EBC">
        <w:rPr>
          <w:rFonts w:ascii="Calibri" w:hAnsi="Calibri" w:cs="Calibri"/>
        </w:rPr>
        <w:t xml:space="preserve"> </w:t>
      </w:r>
      <w:r w:rsidR="00914EBC" w:rsidRPr="00914EBC">
        <w:rPr>
          <w:rFonts w:ascii="Calibri" w:hAnsi="Calibri" w:cs="Calibri"/>
        </w:rPr>
        <w:t>Raymond Brown, An Introduction to the New Testament: The Abridged Edition, ed. by Marion L Soards (Croydon: Yale University Press, 2016), p. 39.</w:t>
      </w:r>
    </w:p>
  </w:footnote>
  <w:footnote w:id="3">
    <w:p w14:paraId="1B25B819" w14:textId="3B7DD878" w:rsidR="00E44F70" w:rsidRPr="00E07454" w:rsidRDefault="00E44F70">
      <w:pPr>
        <w:pStyle w:val="FootnoteText"/>
        <w:rPr>
          <w:rFonts w:ascii="Arial" w:hAnsi="Arial" w:cs="Arial"/>
          <w:i/>
          <w:iCs/>
          <w:sz w:val="18"/>
          <w:szCs w:val="18"/>
        </w:rPr>
      </w:pPr>
      <w:r w:rsidRPr="00914EBC">
        <w:rPr>
          <w:rStyle w:val="FootnoteReference"/>
          <w:rFonts w:ascii="Calibri" w:hAnsi="Calibri" w:cs="Calibri"/>
        </w:rPr>
        <w:footnoteRef/>
      </w:r>
      <w:r w:rsidRPr="00914EBC">
        <w:rPr>
          <w:rFonts w:ascii="Calibri" w:hAnsi="Calibri" w:cs="Calibri"/>
        </w:rPr>
        <w:t xml:space="preserve"> </w:t>
      </w:r>
      <w:r w:rsidR="00235FD5" w:rsidRPr="00914EBC">
        <w:rPr>
          <w:rFonts w:ascii="Calibri" w:hAnsi="Calibri" w:cs="Calibri"/>
          <w:i/>
          <w:iCs/>
        </w:rPr>
        <w:t>ibid.</w:t>
      </w:r>
    </w:p>
  </w:footnote>
  <w:footnote w:id="4">
    <w:p w14:paraId="39AE0CCE" w14:textId="0B61AC34" w:rsidR="00E44F70" w:rsidRPr="00914EBC" w:rsidRDefault="00E44F70">
      <w:pPr>
        <w:pStyle w:val="FootnoteText"/>
        <w:rPr>
          <w:rFonts w:ascii="Calibri" w:hAnsi="Calibri" w:cs="Calibri"/>
        </w:rPr>
      </w:pPr>
      <w:r w:rsidRPr="00914EBC">
        <w:rPr>
          <w:rStyle w:val="FootnoteReference"/>
          <w:rFonts w:ascii="Calibri" w:hAnsi="Calibri" w:cs="Calibri"/>
        </w:rPr>
        <w:footnoteRef/>
      </w:r>
      <w:r w:rsidRPr="00914EBC">
        <w:rPr>
          <w:rFonts w:ascii="Calibri" w:hAnsi="Calibri" w:cs="Calibri"/>
        </w:rPr>
        <w:t xml:space="preserve"> </w:t>
      </w:r>
      <w:r w:rsidR="00235FD5" w:rsidRPr="00914EBC">
        <w:rPr>
          <w:rFonts w:ascii="Calibri" w:hAnsi="Calibri" w:cs="Calibri"/>
        </w:rPr>
        <w:t xml:space="preserve">C.M. Tuckett, </w:t>
      </w:r>
      <w:r w:rsidR="00235FD5" w:rsidRPr="00914EBC">
        <w:rPr>
          <w:rFonts w:ascii="Calibri" w:hAnsi="Calibri" w:cs="Calibri"/>
          <w:i/>
          <w:iCs/>
        </w:rPr>
        <w:t xml:space="preserve">The Current State of the Synoptic Problem </w:t>
      </w:r>
      <w:r w:rsidR="00235FD5" w:rsidRPr="00914EBC">
        <w:rPr>
          <w:rFonts w:ascii="Calibri" w:hAnsi="Calibri" w:cs="Calibri"/>
        </w:rPr>
        <w:t>(Oxford: Oxford Conference on the Synoptic Problem, 2008)</w:t>
      </w:r>
      <w:r w:rsidR="00F36B91" w:rsidRPr="00914EBC">
        <w:rPr>
          <w:rFonts w:ascii="Calibri" w:hAnsi="Calibri" w:cs="Calibri"/>
        </w:rPr>
        <w:t>, 154.</w:t>
      </w:r>
    </w:p>
  </w:footnote>
  <w:footnote w:id="5">
    <w:p w14:paraId="45511348" w14:textId="6F9CD2C8" w:rsidR="00E44F70" w:rsidRPr="00914EBC" w:rsidRDefault="00E44F70">
      <w:pPr>
        <w:pStyle w:val="FootnoteText"/>
        <w:rPr>
          <w:rFonts w:ascii="Calibri" w:hAnsi="Calibri" w:cs="Calibri"/>
          <w:i/>
          <w:iCs/>
        </w:rPr>
      </w:pPr>
      <w:r w:rsidRPr="00914EBC">
        <w:rPr>
          <w:rStyle w:val="FootnoteReference"/>
          <w:rFonts w:ascii="Calibri" w:hAnsi="Calibri" w:cs="Calibri"/>
        </w:rPr>
        <w:footnoteRef/>
      </w:r>
      <w:r w:rsidRPr="00914EBC">
        <w:rPr>
          <w:rFonts w:ascii="Calibri" w:hAnsi="Calibri" w:cs="Calibri"/>
        </w:rPr>
        <w:t xml:space="preserve"> </w:t>
      </w:r>
      <w:r w:rsidR="00235FD5" w:rsidRPr="00914EBC">
        <w:rPr>
          <w:rFonts w:ascii="Calibri" w:hAnsi="Calibri" w:cs="Calibri"/>
        </w:rPr>
        <w:t xml:space="preserve">Goodacre, </w:t>
      </w:r>
      <w:r w:rsidR="00235FD5" w:rsidRPr="00914EBC">
        <w:rPr>
          <w:rFonts w:ascii="Calibri" w:hAnsi="Calibri" w:cs="Calibri"/>
          <w:i/>
          <w:iCs/>
        </w:rPr>
        <w:t>loc. cit.</w:t>
      </w:r>
    </w:p>
  </w:footnote>
  <w:footnote w:id="6">
    <w:p w14:paraId="295E4769" w14:textId="3D802634" w:rsidR="00440705" w:rsidRPr="00E07454" w:rsidRDefault="00440705">
      <w:pPr>
        <w:pStyle w:val="FootnoteText"/>
        <w:rPr>
          <w:rFonts w:ascii="Arial" w:hAnsi="Arial" w:cs="Arial"/>
          <w:sz w:val="18"/>
          <w:szCs w:val="18"/>
        </w:rPr>
      </w:pPr>
      <w:r w:rsidRPr="00914EBC">
        <w:rPr>
          <w:rStyle w:val="FootnoteReference"/>
          <w:rFonts w:ascii="Calibri" w:hAnsi="Calibri" w:cs="Calibri"/>
        </w:rPr>
        <w:footnoteRef/>
      </w:r>
      <w:r w:rsidRPr="00914EBC">
        <w:rPr>
          <w:rFonts w:ascii="Calibri" w:hAnsi="Calibri" w:cs="Calibri"/>
        </w:rPr>
        <w:t xml:space="preserve"> T.C. </w:t>
      </w:r>
      <w:proofErr w:type="spellStart"/>
      <w:r w:rsidRPr="00914EBC">
        <w:rPr>
          <w:rFonts w:ascii="Calibri" w:hAnsi="Calibri" w:cs="Calibri"/>
        </w:rPr>
        <w:t>Mournet</w:t>
      </w:r>
      <w:proofErr w:type="spellEnd"/>
      <w:r w:rsidRPr="00914EBC">
        <w:rPr>
          <w:rFonts w:ascii="Calibri" w:hAnsi="Calibri" w:cs="Calibri"/>
        </w:rPr>
        <w:t xml:space="preserve">, </w:t>
      </w:r>
      <w:r w:rsidRPr="00914EBC">
        <w:rPr>
          <w:rFonts w:ascii="Calibri" w:hAnsi="Calibri" w:cs="Calibri"/>
          <w:i/>
          <w:iCs/>
        </w:rPr>
        <w:t xml:space="preserve">Oral Tradition and Literary Dependency: Variability and Stability in the Synoptic Tradition and Q </w:t>
      </w:r>
      <w:r w:rsidRPr="00914EBC">
        <w:rPr>
          <w:rFonts w:ascii="Calibri" w:hAnsi="Calibri" w:cs="Calibri"/>
        </w:rPr>
        <w:t xml:space="preserve">(Berlin: Mohr </w:t>
      </w:r>
      <w:proofErr w:type="spellStart"/>
      <w:r w:rsidRPr="00914EBC">
        <w:rPr>
          <w:rFonts w:ascii="Calibri" w:hAnsi="Calibri" w:cs="Calibri"/>
        </w:rPr>
        <w:t>Siebeck</w:t>
      </w:r>
      <w:proofErr w:type="spellEnd"/>
      <w:r w:rsidRPr="00914EBC">
        <w:rPr>
          <w:rFonts w:ascii="Calibri" w:hAnsi="Calibri" w:cs="Calibri"/>
        </w:rPr>
        <w:t>, 2005), p. 19.</w:t>
      </w:r>
    </w:p>
  </w:footnote>
  <w:footnote w:id="7">
    <w:p w14:paraId="77526FE6" w14:textId="56C8046F" w:rsidR="00615304" w:rsidRPr="00914EBC" w:rsidRDefault="00615304">
      <w:pPr>
        <w:pStyle w:val="FootnoteText"/>
        <w:rPr>
          <w:rFonts w:ascii="Calibri" w:hAnsi="Calibri" w:cs="Calibri"/>
        </w:rPr>
      </w:pPr>
      <w:r w:rsidRPr="00914EBC">
        <w:rPr>
          <w:rStyle w:val="FootnoteReference"/>
          <w:rFonts w:ascii="Calibri" w:hAnsi="Calibri" w:cs="Calibri"/>
        </w:rPr>
        <w:footnoteRef/>
      </w:r>
      <w:r w:rsidRPr="00914EBC">
        <w:rPr>
          <w:rFonts w:ascii="Calibri" w:hAnsi="Calibri" w:cs="Calibri"/>
        </w:rPr>
        <w:t xml:space="preserve"> </w:t>
      </w:r>
      <w:r w:rsidR="00235FD5" w:rsidRPr="00914EBC">
        <w:rPr>
          <w:rFonts w:ascii="Calibri" w:hAnsi="Calibri" w:cs="Calibri"/>
        </w:rPr>
        <w:t xml:space="preserve">D.B. Peabody, A.J. McNichol &amp; L. Cope, </w:t>
      </w:r>
      <w:r w:rsidR="00235FD5" w:rsidRPr="00914EBC">
        <w:rPr>
          <w:rFonts w:ascii="Calibri" w:hAnsi="Calibri" w:cs="Calibri"/>
          <w:i/>
          <w:iCs/>
        </w:rPr>
        <w:t xml:space="preserve">One Gospel from Two: Mark’s Use of Matthew and Luke </w:t>
      </w:r>
      <w:r w:rsidR="00235FD5" w:rsidRPr="00914EBC">
        <w:rPr>
          <w:rFonts w:ascii="Calibri" w:hAnsi="Calibri" w:cs="Calibri"/>
        </w:rPr>
        <w:t xml:space="preserve">(New York: A&amp;C Black, 2002). </w:t>
      </w:r>
    </w:p>
  </w:footnote>
  <w:footnote w:id="8">
    <w:p w14:paraId="3FE2B39F" w14:textId="1463D6AC" w:rsidR="00615304" w:rsidRPr="00914EBC" w:rsidRDefault="00615304">
      <w:pPr>
        <w:pStyle w:val="FootnoteText"/>
        <w:rPr>
          <w:rFonts w:ascii="Calibri" w:hAnsi="Calibri" w:cs="Calibri"/>
        </w:rPr>
      </w:pPr>
      <w:r w:rsidRPr="00914EBC">
        <w:rPr>
          <w:rStyle w:val="FootnoteReference"/>
          <w:rFonts w:ascii="Calibri" w:hAnsi="Calibri" w:cs="Calibri"/>
        </w:rPr>
        <w:footnoteRef/>
      </w:r>
      <w:r w:rsidRPr="00914EBC">
        <w:rPr>
          <w:rFonts w:ascii="Calibri" w:hAnsi="Calibri" w:cs="Calibri"/>
        </w:rPr>
        <w:t xml:space="preserve"> </w:t>
      </w:r>
      <w:proofErr w:type="spellStart"/>
      <w:r w:rsidR="00235FD5" w:rsidRPr="00914EBC">
        <w:rPr>
          <w:rFonts w:ascii="Calibri" w:hAnsi="Calibri" w:cs="Calibri"/>
        </w:rPr>
        <w:t>Wm.R</w:t>
      </w:r>
      <w:proofErr w:type="spellEnd"/>
      <w:r w:rsidR="00235FD5" w:rsidRPr="00914EBC">
        <w:rPr>
          <w:rFonts w:ascii="Calibri" w:hAnsi="Calibri" w:cs="Calibri"/>
        </w:rPr>
        <w:t xml:space="preserve">. Farmer, </w:t>
      </w:r>
      <w:r w:rsidR="00235FD5" w:rsidRPr="00914EBC">
        <w:rPr>
          <w:rFonts w:ascii="Calibri" w:hAnsi="Calibri" w:cs="Calibri"/>
          <w:i/>
          <w:iCs/>
        </w:rPr>
        <w:t xml:space="preserve">The Synoptic Problem: A Critical Analysis </w:t>
      </w:r>
      <w:r w:rsidR="00235FD5" w:rsidRPr="00914EBC">
        <w:rPr>
          <w:rFonts w:ascii="Calibri" w:hAnsi="Calibri" w:cs="Calibri"/>
        </w:rPr>
        <w:t>(London: Macmillan, 1981)</w:t>
      </w:r>
      <w:r w:rsidR="00F36B91" w:rsidRPr="00914EBC">
        <w:rPr>
          <w:rFonts w:ascii="Calibri" w:hAnsi="Calibri" w:cs="Calibri"/>
        </w:rPr>
        <w:t>, p. 16.</w:t>
      </w:r>
    </w:p>
  </w:footnote>
  <w:footnote w:id="9">
    <w:p w14:paraId="15794725" w14:textId="392A2BCE" w:rsidR="00C02148" w:rsidRPr="00914EBC" w:rsidRDefault="00C02148">
      <w:pPr>
        <w:pStyle w:val="FootnoteText"/>
        <w:rPr>
          <w:rFonts w:ascii="Calibri" w:hAnsi="Calibri" w:cs="Calibri"/>
        </w:rPr>
      </w:pPr>
      <w:r w:rsidRPr="00914EBC">
        <w:rPr>
          <w:rStyle w:val="FootnoteReference"/>
          <w:rFonts w:ascii="Calibri" w:hAnsi="Calibri" w:cs="Calibri"/>
        </w:rPr>
        <w:footnoteRef/>
      </w:r>
      <w:r w:rsidRPr="00914EBC">
        <w:rPr>
          <w:rFonts w:ascii="Calibri" w:hAnsi="Calibri" w:cs="Calibri"/>
        </w:rPr>
        <w:t xml:space="preserve"> </w:t>
      </w:r>
      <w:r w:rsidR="00235FD5" w:rsidRPr="00914EBC">
        <w:rPr>
          <w:rFonts w:ascii="Calibri" w:hAnsi="Calibri" w:cs="Calibri"/>
          <w:i/>
          <w:iCs/>
        </w:rPr>
        <w:t>ibid.</w:t>
      </w:r>
    </w:p>
  </w:footnote>
  <w:footnote w:id="10">
    <w:p w14:paraId="7E8F033D" w14:textId="010B1C5E" w:rsidR="00C542F4" w:rsidRPr="00914EBC" w:rsidRDefault="00C542F4">
      <w:pPr>
        <w:pStyle w:val="FootnoteText"/>
        <w:rPr>
          <w:rFonts w:ascii="Calibri" w:hAnsi="Calibri" w:cs="Calibri"/>
        </w:rPr>
      </w:pPr>
      <w:r w:rsidRPr="00914EBC">
        <w:rPr>
          <w:rStyle w:val="FootnoteReference"/>
          <w:rFonts w:ascii="Calibri" w:hAnsi="Calibri" w:cs="Calibri"/>
        </w:rPr>
        <w:footnoteRef/>
      </w:r>
      <w:r w:rsidR="00440705" w:rsidRPr="00914EBC">
        <w:rPr>
          <w:rFonts w:ascii="Calibri" w:hAnsi="Calibri" w:cs="Calibri"/>
        </w:rPr>
        <w:t xml:space="preserve"> J.R. Edwards, </w:t>
      </w:r>
      <w:r w:rsidR="00440705" w:rsidRPr="00914EBC">
        <w:rPr>
          <w:rFonts w:ascii="Calibri" w:hAnsi="Calibri" w:cs="Calibri"/>
          <w:i/>
          <w:iCs/>
        </w:rPr>
        <w:t xml:space="preserve">The Hebrew </w:t>
      </w:r>
      <w:proofErr w:type="gramStart"/>
      <w:r w:rsidR="00440705" w:rsidRPr="00914EBC">
        <w:rPr>
          <w:rFonts w:ascii="Calibri" w:hAnsi="Calibri" w:cs="Calibri"/>
          <w:i/>
          <w:iCs/>
        </w:rPr>
        <w:t>Gospel</w:t>
      </w:r>
      <w:proofErr w:type="gramEnd"/>
      <w:r w:rsidR="00440705" w:rsidRPr="00914EBC">
        <w:rPr>
          <w:rFonts w:ascii="Calibri" w:hAnsi="Calibri" w:cs="Calibri"/>
          <w:i/>
          <w:iCs/>
        </w:rPr>
        <w:t xml:space="preserve"> and the Development of the Synoptic Tradition </w:t>
      </w:r>
      <w:r w:rsidR="00440705" w:rsidRPr="00914EBC">
        <w:rPr>
          <w:rFonts w:ascii="Calibri" w:hAnsi="Calibri" w:cs="Calibri"/>
        </w:rPr>
        <w:t>(Grand Rapids: Eerdman</w:t>
      </w:r>
      <w:r w:rsidR="00F36B91" w:rsidRPr="00914EBC">
        <w:rPr>
          <w:rFonts w:ascii="Calibri" w:hAnsi="Calibri" w:cs="Calibri"/>
        </w:rPr>
        <w:t>s,</w:t>
      </w:r>
      <w:r w:rsidR="00440705" w:rsidRPr="00914EBC">
        <w:rPr>
          <w:rFonts w:ascii="Calibri" w:hAnsi="Calibri" w:cs="Calibri"/>
        </w:rPr>
        <w:t xml:space="preserve"> 2009), p. 228.</w:t>
      </w:r>
    </w:p>
  </w:footnote>
  <w:footnote w:id="11">
    <w:p w14:paraId="6C98139A" w14:textId="0E97F394" w:rsidR="00E07454" w:rsidRDefault="00E07454">
      <w:pPr>
        <w:pStyle w:val="FootnoteText"/>
      </w:pPr>
      <w:r w:rsidRPr="00914EBC">
        <w:rPr>
          <w:rStyle w:val="FootnoteReference"/>
          <w:rFonts w:ascii="Calibri" w:hAnsi="Calibri" w:cs="Calibri"/>
        </w:rPr>
        <w:footnoteRef/>
      </w:r>
      <w:r w:rsidRPr="00914EBC">
        <w:rPr>
          <w:rFonts w:ascii="Calibri" w:hAnsi="Calibri" w:cs="Calibri"/>
        </w:rPr>
        <w:t xml:space="preserve"> M. Goodacre, p.21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9BD03" w14:textId="6A2F837B" w:rsidR="000C4534" w:rsidRPr="000C4534" w:rsidRDefault="000C4534">
    <w:pPr>
      <w:pStyle w:val="Header"/>
      <w:rPr>
        <w:i/>
        <w:iCs/>
        <w:sz w:val="28"/>
        <w:szCs w:val="28"/>
      </w:rPr>
    </w:pPr>
    <w:r>
      <w:ptab w:relativeTo="margin" w:alignment="center"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5E7"/>
    <w:rsid w:val="00063BA5"/>
    <w:rsid w:val="000C4534"/>
    <w:rsid w:val="00183F81"/>
    <w:rsid w:val="001C7C84"/>
    <w:rsid w:val="00235FD5"/>
    <w:rsid w:val="00440705"/>
    <w:rsid w:val="004A046F"/>
    <w:rsid w:val="00587314"/>
    <w:rsid w:val="00615304"/>
    <w:rsid w:val="008A08AD"/>
    <w:rsid w:val="008D3ECC"/>
    <w:rsid w:val="00914EBC"/>
    <w:rsid w:val="009702A4"/>
    <w:rsid w:val="009F02EA"/>
    <w:rsid w:val="00A30362"/>
    <w:rsid w:val="00A32962"/>
    <w:rsid w:val="00B20541"/>
    <w:rsid w:val="00C02148"/>
    <w:rsid w:val="00C542F4"/>
    <w:rsid w:val="00D035E7"/>
    <w:rsid w:val="00D5622E"/>
    <w:rsid w:val="00E07454"/>
    <w:rsid w:val="00E44F70"/>
    <w:rsid w:val="00E709CC"/>
    <w:rsid w:val="00F13547"/>
    <w:rsid w:val="00F26338"/>
    <w:rsid w:val="00F3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72D1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541"/>
    <w:pPr>
      <w:keepNext/>
      <w:keepLines/>
      <w:spacing w:before="240"/>
      <w:jc w:val="center"/>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B20541"/>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30362"/>
    <w:pPr>
      <w:keepNext/>
      <w:keepLines/>
      <w:spacing w:before="40"/>
      <w:ind w:left="72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541"/>
    <w:rPr>
      <w:rFonts w:eastAsiaTheme="majorEastAsia" w:cstheme="majorBidi"/>
      <w:b/>
      <w:szCs w:val="32"/>
      <w:lang w:val="en-US"/>
    </w:rPr>
  </w:style>
  <w:style w:type="character" w:customStyle="1" w:styleId="Heading2Char">
    <w:name w:val="Heading 2 Char"/>
    <w:basedOn w:val="DefaultParagraphFont"/>
    <w:link w:val="Heading2"/>
    <w:uiPriority w:val="9"/>
    <w:rsid w:val="00B20541"/>
    <w:rPr>
      <w:rFonts w:eastAsiaTheme="majorEastAsia" w:cstheme="majorBidi"/>
      <w:b/>
      <w:szCs w:val="26"/>
    </w:rPr>
  </w:style>
  <w:style w:type="character" w:customStyle="1" w:styleId="Heading3Char">
    <w:name w:val="Heading 3 Char"/>
    <w:basedOn w:val="DefaultParagraphFont"/>
    <w:link w:val="Heading3"/>
    <w:uiPriority w:val="9"/>
    <w:rsid w:val="00A30362"/>
    <w:rPr>
      <w:rFonts w:eastAsiaTheme="majorEastAsia" w:cstheme="majorBidi"/>
      <w:b/>
      <w:szCs w:val="24"/>
    </w:rPr>
  </w:style>
  <w:style w:type="paragraph" w:styleId="FootnoteText">
    <w:name w:val="footnote text"/>
    <w:basedOn w:val="Normal"/>
    <w:link w:val="FootnoteTextChar"/>
    <w:uiPriority w:val="99"/>
    <w:semiHidden/>
    <w:unhideWhenUsed/>
    <w:rsid w:val="005873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314"/>
    <w:rPr>
      <w:sz w:val="20"/>
      <w:szCs w:val="20"/>
    </w:rPr>
  </w:style>
  <w:style w:type="character" w:styleId="FootnoteReference">
    <w:name w:val="footnote reference"/>
    <w:basedOn w:val="DefaultParagraphFont"/>
    <w:uiPriority w:val="99"/>
    <w:semiHidden/>
    <w:unhideWhenUsed/>
    <w:rsid w:val="00587314"/>
    <w:rPr>
      <w:vertAlign w:val="superscript"/>
    </w:rPr>
  </w:style>
  <w:style w:type="paragraph" w:styleId="Header">
    <w:name w:val="header"/>
    <w:basedOn w:val="Normal"/>
    <w:link w:val="HeaderChar"/>
    <w:uiPriority w:val="99"/>
    <w:unhideWhenUsed/>
    <w:rsid w:val="000C4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534"/>
  </w:style>
  <w:style w:type="paragraph" w:styleId="Footer">
    <w:name w:val="footer"/>
    <w:basedOn w:val="Normal"/>
    <w:link w:val="FooterChar"/>
    <w:uiPriority w:val="99"/>
    <w:unhideWhenUsed/>
    <w:rsid w:val="000C4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534"/>
  </w:style>
  <w:style w:type="character" w:styleId="Hyperlink">
    <w:name w:val="Hyperlink"/>
    <w:basedOn w:val="DefaultParagraphFont"/>
    <w:uiPriority w:val="99"/>
    <w:semiHidden/>
    <w:unhideWhenUsed/>
    <w:rsid w:val="00F13547"/>
    <w:rPr>
      <w:color w:val="0563C1"/>
      <w:u w:val="single"/>
    </w:rPr>
  </w:style>
  <w:style w:type="character" w:customStyle="1" w:styleId="OBESubtitle2ndtierChar">
    <w:name w:val="OBE Subtitle 2nd tier Char"/>
    <w:basedOn w:val="DefaultParagraphFont"/>
    <w:link w:val="OBESubtitle2ndtier"/>
    <w:locked/>
    <w:rsid w:val="00F13547"/>
    <w:rPr>
      <w:rFonts w:asciiTheme="majorHAnsi" w:hAnsiTheme="majorHAnsi" w:cstheme="majorHAnsi"/>
      <w:i/>
      <w:color w:val="000000" w:themeColor="text1"/>
      <w:sz w:val="28"/>
      <w:szCs w:val="36"/>
      <w:u w:val="single"/>
    </w:rPr>
  </w:style>
  <w:style w:type="paragraph" w:customStyle="1" w:styleId="OBESubtitle2ndtier">
    <w:name w:val="OBE Subtitle 2nd tier"/>
    <w:link w:val="OBESubtitle2ndtierChar"/>
    <w:qFormat/>
    <w:rsid w:val="00F13547"/>
    <w:pPr>
      <w:spacing w:line="256" w:lineRule="auto"/>
      <w:outlineLvl w:val="1"/>
    </w:pPr>
    <w:rPr>
      <w:rFonts w:asciiTheme="majorHAnsi" w:hAnsiTheme="majorHAnsi" w:cstheme="majorHAnsi"/>
      <w:i/>
      <w:color w:val="000000" w:themeColor="text1"/>
      <w:sz w:val="28"/>
      <w:szCs w:val="36"/>
      <w:u w:val="single"/>
    </w:rPr>
  </w:style>
  <w:style w:type="paragraph" w:customStyle="1" w:styleId="OBECOVERTITLE">
    <w:name w:val="OBE COVER TITLE"/>
    <w:basedOn w:val="Title"/>
    <w:next w:val="Normal"/>
    <w:link w:val="OBECOVERTITLEChar"/>
    <w:qFormat/>
    <w:rsid w:val="00F13547"/>
    <w:pPr>
      <w:spacing w:line="204" w:lineRule="auto"/>
      <w:jc w:val="center"/>
    </w:pPr>
    <w:rPr>
      <w:caps/>
      <w:color w:val="44546A" w:themeColor="text2"/>
      <w:spacing w:val="-15"/>
      <w:sz w:val="72"/>
      <w:szCs w:val="72"/>
      <w14:ligatures w14:val="none"/>
    </w:rPr>
  </w:style>
  <w:style w:type="character" w:customStyle="1" w:styleId="OBECOVERTITLEChar">
    <w:name w:val="OBE COVER TITLE Char"/>
    <w:basedOn w:val="TitleChar"/>
    <w:link w:val="OBECOVERTITLE"/>
    <w:rsid w:val="00F13547"/>
    <w:rPr>
      <w:rFonts w:asciiTheme="majorHAnsi" w:eastAsiaTheme="majorEastAsia" w:hAnsiTheme="majorHAnsi" w:cstheme="majorBidi"/>
      <w:caps/>
      <w:color w:val="44546A" w:themeColor="text2"/>
      <w:spacing w:val="-15"/>
      <w:kern w:val="28"/>
      <w:sz w:val="72"/>
      <w:szCs w:val="72"/>
      <w14:ligatures w14:val="none"/>
    </w:rPr>
  </w:style>
  <w:style w:type="paragraph" w:styleId="Title">
    <w:name w:val="Title"/>
    <w:basedOn w:val="Normal"/>
    <w:next w:val="Normal"/>
    <w:link w:val="TitleChar"/>
    <w:uiPriority w:val="10"/>
    <w:qFormat/>
    <w:rsid w:val="00F135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547"/>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E0745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07454"/>
    <w:rPr>
      <w:sz w:val="20"/>
      <w:szCs w:val="20"/>
    </w:rPr>
  </w:style>
  <w:style w:type="character" w:styleId="EndnoteReference">
    <w:name w:val="endnote reference"/>
    <w:basedOn w:val="DefaultParagraphFont"/>
    <w:uiPriority w:val="99"/>
    <w:semiHidden/>
    <w:unhideWhenUsed/>
    <w:rsid w:val="00E0745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02E8E3-FC17-4AA5-93D3-5B03871FD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886</Words>
  <Characters>4551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2023-10-20T11:45:00Z</dcterms:created>
  <dcterms:modified xsi:type="dcterms:W3CDTF">2023-10-20T11:48:00Z</dcterms:modified>
</cp:coreProperties>
</file>