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xmlns:a="http://schemas.openxmlformats.org/drawingml/2006/main">
          <wp:inline distT="0" distB="0" distL="0" distR="0">
            <wp:extent cx="2619375" cy="1165894"/>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2619375" cy="1165894"/>
                    </a:xfrm>
                    <a:prstGeom prst="rect">
                      <a:avLst/>
                    </a:prstGeom>
                    <a:ln w="12700" cap="flat">
                      <a:noFill/>
                      <a:miter lim="400000"/>
                    </a:ln>
                    <a:effectLst/>
                  </pic:spPr>
                </pic:pic>
              </a:graphicData>
            </a:graphic>
          </wp:inline>
        </w:drawing>
      </w:r>
    </w:p>
    <w:p>
      <w:pPr>
        <w:pStyle w:val="Body"/>
      </w:pPr>
    </w:p>
    <w:p>
      <w:pPr>
        <w:pStyle w:val="Body"/>
      </w:pPr>
    </w:p>
    <w:p>
      <w:pPr>
        <w:pStyle w:val="Body"/>
      </w:pPr>
    </w:p>
    <w:p>
      <w:pPr>
        <w:pStyle w:val="Body"/>
      </w:pPr>
    </w:p>
    <w:p>
      <w:pPr>
        <w:pStyle w:val="Body"/>
      </w:pPr>
    </w:p>
    <w:p>
      <w:pPr>
        <w:pStyle w:val="Body"/>
        <w:spacing w:line="360" w:lineRule="auto"/>
        <w:jc w:val="both"/>
        <w:rPr>
          <w:sz w:val="28"/>
          <w:szCs w:val="28"/>
        </w:rPr>
      </w:pPr>
      <w:r>
        <w:rPr>
          <w:rFonts w:ascii="Calibri" w:hAnsi="Calibri"/>
          <w:sz w:val="28"/>
          <w:szCs w:val="28"/>
          <w:rtl w:val="0"/>
          <w:lang w:val="de-DE"/>
        </w:rPr>
        <w:t xml:space="preserve">Name: </w:t>
      </w:r>
      <w:r>
        <w:rPr>
          <w:sz w:val="28"/>
          <w:szCs w:val="28"/>
          <w:rtl w:val="0"/>
          <w:lang w:val="en-US"/>
        </w:rPr>
        <w:t>Emma Lawingco Duay</w:t>
      </w:r>
    </w:p>
    <w:p>
      <w:pPr>
        <w:pStyle w:val="Body"/>
        <w:spacing w:line="360" w:lineRule="auto"/>
        <w:jc w:val="both"/>
        <w:rPr>
          <w:sz w:val="28"/>
          <w:szCs w:val="28"/>
        </w:rPr>
      </w:pPr>
      <w:r>
        <w:rPr>
          <w:rFonts w:ascii="Calibri" w:hAnsi="Calibri"/>
          <w:sz w:val="28"/>
          <w:szCs w:val="28"/>
          <w:rtl w:val="0"/>
          <w:lang w:val="en-US"/>
        </w:rPr>
        <w:t xml:space="preserve">Student ID: </w:t>
      </w:r>
      <w:r>
        <w:rPr>
          <w:sz w:val="28"/>
          <w:szCs w:val="28"/>
          <w:rtl w:val="0"/>
          <w:lang w:val="en-US"/>
        </w:rPr>
        <w:t>2524373</w:t>
      </w:r>
    </w:p>
    <w:p>
      <w:pPr>
        <w:pStyle w:val="Body"/>
        <w:spacing w:line="360" w:lineRule="auto"/>
        <w:jc w:val="both"/>
        <w:rPr>
          <w:sz w:val="28"/>
          <w:szCs w:val="28"/>
        </w:rPr>
      </w:pPr>
      <w:r>
        <w:rPr>
          <w:rFonts w:ascii="Calibri" w:hAnsi="Calibri"/>
          <w:sz w:val="28"/>
          <w:szCs w:val="28"/>
          <w:rtl w:val="0"/>
          <w:lang w:val="en-US"/>
        </w:rPr>
        <w:t>Module Code:</w:t>
      </w:r>
      <w:r>
        <w:rPr>
          <w:sz w:val="22"/>
          <w:szCs w:val="22"/>
          <w:rtl w:val="0"/>
        </w:rPr>
        <w:t xml:space="preserve"> </w:t>
      </w:r>
      <w:r>
        <w:rPr>
          <w:sz w:val="28"/>
          <w:szCs w:val="28"/>
          <w:rtl w:val="0"/>
          <w:lang w:val="en-US"/>
        </w:rPr>
        <w:t>LCHS4001</w:t>
      </w:r>
    </w:p>
    <w:p>
      <w:pPr>
        <w:pStyle w:val="Body"/>
        <w:spacing w:line="360" w:lineRule="auto"/>
        <w:jc w:val="both"/>
        <w:rPr>
          <w:sz w:val="28"/>
          <w:szCs w:val="28"/>
        </w:rPr>
      </w:pPr>
      <w:r>
        <w:rPr>
          <w:rFonts w:ascii="Calibri" w:hAnsi="Calibri"/>
          <w:sz w:val="28"/>
          <w:szCs w:val="28"/>
          <w:rtl w:val="0"/>
        </w:rPr>
        <w:t xml:space="preserve">Module: </w:t>
      </w:r>
      <w:r>
        <w:rPr>
          <w:sz w:val="28"/>
          <w:szCs w:val="28"/>
          <w:rtl w:val="0"/>
          <w:lang w:val="en-US"/>
        </w:rPr>
        <w:t>Academic and employability Skills</w:t>
      </w:r>
    </w:p>
    <w:p>
      <w:pPr>
        <w:pStyle w:val="Body"/>
        <w:spacing w:line="360" w:lineRule="auto"/>
        <w:jc w:val="both"/>
        <w:rPr>
          <w:sz w:val="28"/>
          <w:szCs w:val="28"/>
        </w:rPr>
      </w:pPr>
      <w:r>
        <w:rPr>
          <w:rFonts w:ascii="Calibri" w:hAnsi="Calibri"/>
          <w:sz w:val="28"/>
          <w:szCs w:val="28"/>
          <w:rtl w:val="0"/>
          <w:lang w:val="fr-FR"/>
        </w:rPr>
        <w:t>Lecturer:</w:t>
      </w:r>
      <w:r>
        <w:rPr>
          <w:sz w:val="22"/>
          <w:szCs w:val="22"/>
          <w:rtl w:val="0"/>
        </w:rPr>
        <w:t xml:space="preserve"> </w:t>
      </w:r>
      <w:r>
        <w:rPr>
          <w:sz w:val="28"/>
          <w:szCs w:val="28"/>
          <w:rtl w:val="0"/>
          <w:lang w:val="en-US"/>
        </w:rPr>
        <w:t>Natalia Dozie</w:t>
      </w: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r>
        <w:rPr>
          <w:rFonts w:ascii="Calibri" w:cs="Calibri" w:hAnsi="Calibri" w:eastAsia="Calibri"/>
          <w:sz w:val="28"/>
          <w:szCs w:val="28"/>
          <w:rtl w:val="0"/>
          <w:lang w:val="en-US"/>
        </w:rPr>
        <w:tab/>
        <w:tab/>
        <w:tab/>
        <w:tab/>
        <w:t xml:space="preserve">Submitted on:  </w:t>
      </w:r>
      <w:r>
        <w:rPr>
          <w:rFonts w:ascii="Calibri" w:hAnsi="Calibri"/>
          <w:sz w:val="28"/>
          <w:szCs w:val="28"/>
          <w:rtl w:val="0"/>
          <w:lang w:val="en-US"/>
        </w:rPr>
        <w:t>April 21, 2026</w:t>
      </w:r>
      <w:r>
        <w:rPr>
          <w:rFonts w:ascii="Calibri" w:hAnsi="Calibri"/>
          <w:sz w:val="28"/>
          <w:szCs w:val="28"/>
          <w:rtl w:val="0"/>
        </w:rPr>
        <w:t xml:space="preserve">  </w:t>
      </w: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Body"/>
        <w:jc w:val="both"/>
        <w:rPr>
          <w:rFonts w:ascii="Calibri" w:cs="Calibri" w:hAnsi="Calibri" w:eastAsia="Calibri"/>
          <w:sz w:val="28"/>
          <w:szCs w:val="28"/>
        </w:rPr>
      </w:pPr>
    </w:p>
    <w:p>
      <w:pPr>
        <w:pStyle w:val="TOC Heading"/>
        <w:rPr>
          <w:outline w:val="0"/>
          <w:color w:val="000000"/>
          <w14:textFill>
            <w14:solidFill>
              <w14:srgbClr w14:val="000000"/>
            </w14:solidFill>
          </w14:textFill>
        </w:rPr>
      </w:pPr>
      <w:r>
        <w:rPr>
          <w:outline w:val="0"/>
          <w:color w:val="000000"/>
          <w:rtl w:val="0"/>
          <w:lang w:val="en-US"/>
          <w14:textFill>
            <w14:solidFill>
              <w14:srgbClr w14:val="000000"/>
            </w14:solidFill>
          </w14:textFill>
        </w:rPr>
        <w:t>Table of Contents</w:t>
      </w:r>
    </w:p>
    <w:p>
      <w:pPr>
        <w:pStyle w:val="toc 2"/>
        <w:tabs>
          <w:tab w:val="right" w:pos="9000" w:leader="dot"/>
        </w:tabs>
      </w:pPr>
      <w:r>
        <w:rPr>
          <w:rtl w:val="0"/>
          <w:lang w:val="en-US"/>
        </w:rPr>
        <w:t xml:space="preserve"> </w:t>
      </w:r>
    </w:p>
    <w:p>
      <w:pPr>
        <w:pStyle w:val="Body"/>
      </w:pPr>
    </w:p>
    <w:p>
      <w:pPr>
        <w:pStyle w:val="TOC Heading"/>
        <w:rPr>
          <w:outline w:val="0"/>
          <w:color w:val="000000"/>
          <w14:textFill>
            <w14:solidFill>
              <w14:srgbClr w14:val="000000"/>
            </w14:solidFill>
          </w14:textFill>
        </w:rPr>
      </w:pPr>
    </w:p>
    <w:p>
      <w:pPr>
        <w:pStyle w:val="Body"/>
        <w:spacing w:line="360" w:lineRule="auto"/>
        <w:jc w:val="both"/>
        <w:rPr>
          <w:sz w:val="28"/>
          <w:szCs w:val="28"/>
        </w:rPr>
      </w:pPr>
      <w:r>
        <w:rPr>
          <w:sz w:val="28"/>
          <w:szCs w:val="28"/>
          <w:rtl w:val="0"/>
          <w:lang w:val="fr-FR"/>
        </w:rPr>
        <w:t>1.1 Introduction</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en-US"/>
        </w:rPr>
        <w:t>2 Social Worker in the Health and Social Care Field</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en-US"/>
        </w:rPr>
        <w:t>2.1 Description of Social Worker in Health and Social Care</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en-US"/>
        </w:rPr>
        <w:t>2.2 Explanation of Most Significant Skills Needed for Social Worker in Health and Social Care</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en-US"/>
        </w:rPr>
        <w:t>3 Strategies for Skill Improvement for Social Worker</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en-US"/>
        </w:rPr>
        <w:t>3.1 Three Strategies to Improve the Skills for Social Worker</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it-IT"/>
        </w:rPr>
        <w:t>4 Conclusion</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spacing w:line="360" w:lineRule="auto"/>
        <w:jc w:val="both"/>
        <w:rPr>
          <w:sz w:val="28"/>
          <w:szCs w:val="28"/>
        </w:rPr>
      </w:pPr>
      <w:r>
        <w:rPr>
          <w:sz w:val="28"/>
          <w:szCs w:val="28"/>
          <w:rtl w:val="0"/>
          <w:lang w:val="pt-PT"/>
        </w:rPr>
        <w:t>5 Reference List</w:t>
        <w:tab/>
      </w:r>
      <w:r>
        <w:rPr>
          <w:sz w:val="28"/>
          <w:szCs w:val="28"/>
        </w:rPr>
        <w:fldChar w:fldCharType="begin" w:fldLock="0"/>
      </w:r>
      <w:r>
        <w:rPr>
          <w:sz w:val="28"/>
          <w:szCs w:val="28"/>
        </w:rPr>
        <w:instrText xml:space="preserve"> PAGE </w:instrText>
      </w:r>
      <w:r>
        <w:rPr>
          <w:sz w:val="28"/>
          <w:szCs w:val="28"/>
        </w:rPr>
        <w:fldChar w:fldCharType="separate" w:fldLock="0"/>
      </w:r>
      <w:r>
        <w:rPr>
          <w:sz w:val="28"/>
          <w:szCs w:val="28"/>
        </w:rPr>
        <w:t>2</w:t>
      </w:r>
      <w:r>
        <w:rPr>
          <w:sz w:val="28"/>
          <w:szCs w:val="28"/>
        </w:rPr>
        <w:fldChar w:fldCharType="end" w:fldLock="0"/>
      </w:r>
    </w:p>
    <w:p>
      <w:pPr>
        <w:pStyle w:val="Body"/>
        <w:jc w:val="both"/>
        <w:rPr>
          <w:rFonts w:ascii="Calibri" w:cs="Calibri" w:hAnsi="Calibri" w:eastAsia="Calibri"/>
          <w:b w:val="1"/>
          <w:bCs w:val="1"/>
          <w:sz w:val="28"/>
          <w:szCs w:val="28"/>
        </w:rPr>
      </w:pPr>
    </w:p>
    <w:p>
      <w:pPr>
        <w:pStyle w:val="Body"/>
        <w:jc w:val="both"/>
        <w:rPr>
          <w:rFonts w:ascii="Calibri" w:cs="Calibri" w:hAnsi="Calibri" w:eastAsia="Calibri"/>
          <w:b w:val="1"/>
          <w:bCs w:val="1"/>
          <w:sz w:val="28"/>
          <w:szCs w:val="28"/>
        </w:rPr>
      </w:pPr>
    </w:p>
    <w:p>
      <w:pPr>
        <w:pStyle w:val="Body"/>
        <w:jc w:val="both"/>
        <w:rPr>
          <w:rFonts w:ascii="Calibri" w:cs="Calibri" w:hAnsi="Calibri" w:eastAsia="Calibri"/>
          <w:b w:val="1"/>
          <w:bCs w:val="1"/>
          <w:sz w:val="28"/>
          <w:szCs w:val="28"/>
        </w:rPr>
      </w:pPr>
    </w:p>
    <w:p>
      <w:pPr>
        <w:pStyle w:val="Body"/>
        <w:jc w:val="both"/>
        <w:rPr>
          <w:rFonts w:ascii="Calibri" w:cs="Calibri" w:hAnsi="Calibri" w:eastAsia="Calibri"/>
          <w:b w:val="1"/>
          <w:bCs w:val="1"/>
          <w:sz w:val="28"/>
          <w:szCs w:val="28"/>
        </w:rPr>
      </w:pPr>
    </w:p>
    <w:p>
      <w:pPr>
        <w:pStyle w:val="Body"/>
        <w:jc w:val="both"/>
        <w:rPr>
          <w:rFonts w:ascii="Calibri" w:cs="Calibri" w:hAnsi="Calibri" w:eastAsia="Calibri"/>
          <w:b w:val="1"/>
          <w:bCs w:val="1"/>
          <w:sz w:val="28"/>
          <w:szCs w:val="28"/>
        </w:rPr>
      </w:pPr>
    </w:p>
    <w:p>
      <w:pPr>
        <w:pStyle w:val="Body"/>
        <w:jc w:val="both"/>
        <w:rPr>
          <w:rFonts w:ascii="Calibri" w:cs="Calibri" w:hAnsi="Calibri" w:eastAsia="Calibri"/>
          <w:b w:val="1"/>
          <w:bCs w:val="1"/>
          <w:sz w:val="28"/>
          <w:szCs w:val="28"/>
        </w:rPr>
      </w:pPr>
    </w:p>
    <w:p>
      <w:pPr>
        <w:pStyle w:val="Default"/>
        <w:suppressAutoHyphens w:val="1"/>
        <w:spacing w:before="0" w:line="240" w:lineRule="auto"/>
        <w:jc w:val="left"/>
        <w:rPr>
          <w:rFonts w:ascii="Calibri" w:cs="Calibri" w:hAnsi="Calibri" w:eastAsia="Calibri"/>
          <w:outline w:val="0"/>
          <w:color w:val="000000"/>
          <w:sz w:val="37"/>
          <w:szCs w:val="37"/>
          <w:shd w:val="clear" w:color="auto" w:fill="ffffff"/>
          <w14:textFill>
            <w14:solidFill>
              <w14:srgbClr w14:val="000000">
                <w14:alpha w14:val="15293"/>
              </w14:srgbClr>
            </w14:solidFill>
          </w14:textFill>
        </w:rPr>
      </w:pPr>
    </w:p>
    <w:p>
      <w:pPr>
        <w:pStyle w:val="Default"/>
        <w:suppressAutoHyphens w:val="1"/>
        <w:spacing w:before="0" w:line="240" w:lineRule="auto"/>
        <w:jc w:val="left"/>
        <w:rPr>
          <w:rFonts w:ascii="Calibri" w:cs="Calibri" w:hAnsi="Calibri" w:eastAsia="Calibri"/>
          <w:outline w:val="0"/>
          <w:color w:val="000000"/>
          <w:sz w:val="37"/>
          <w:szCs w:val="37"/>
          <w:shd w:val="clear" w:color="auto" w:fill="ffffff"/>
          <w14:textFill>
            <w14:solidFill>
              <w14:srgbClr w14:val="000000">
                <w14:alpha w14:val="15293"/>
              </w14:srgbClr>
            </w14:solidFill>
          </w14:textFill>
        </w:rPr>
      </w:pPr>
    </w:p>
    <w:p>
      <w:pPr>
        <w:pStyle w:val="Body"/>
        <w:spacing w:line="360" w:lineRule="auto"/>
        <w:jc w:val="both"/>
        <w:rPr>
          <w:sz w:val="22"/>
          <w:szCs w:val="22"/>
        </w:rPr>
      </w:pPr>
    </w:p>
    <w:p>
      <w:pPr>
        <w:pStyle w:val="Heading 2"/>
        <w:spacing w:line="360" w:lineRule="auto"/>
        <w:jc w:val="both"/>
        <w:rPr>
          <w:rFonts w:ascii="Arial" w:cs="Arial" w:hAnsi="Arial" w:eastAsia="Arial"/>
          <w:outline w:val="0"/>
          <w:color w:val="4471c4"/>
          <w:sz w:val="22"/>
          <w:szCs w:val="22"/>
          <w:u w:color="4471c4"/>
          <w14:textFill>
            <w14:solidFill>
              <w14:srgbClr w14:val="4471C4"/>
            </w14:solidFill>
          </w14:textFill>
        </w:rPr>
      </w:pPr>
    </w:p>
    <w:p>
      <w:pPr>
        <w:pStyle w:val="Body"/>
        <w:spacing w:after="0" w:line="360" w:lineRule="auto"/>
        <w:jc w:val="both"/>
        <w:rPr>
          <w:outline w:val="0"/>
          <w:color w:val="4471c4"/>
          <w:sz w:val="22"/>
          <w:szCs w:val="22"/>
          <w:u w:color="4471c4"/>
          <w14:textFill>
            <w14:solidFill>
              <w14:srgbClr w14:val="4471C4"/>
            </w14:solidFill>
          </w14:textFill>
        </w:rPr>
      </w:pPr>
    </w:p>
    <w:p>
      <w:pPr>
        <w:pStyle w:val="Body"/>
        <w:spacing w:line="360" w:lineRule="auto"/>
        <w:rPr>
          <w:sz w:val="36"/>
          <w:szCs w:val="36"/>
          <w:u w:color="4471c4"/>
        </w:rPr>
      </w:pPr>
      <w:r>
        <w:rPr>
          <w:sz w:val="36"/>
          <w:szCs w:val="36"/>
          <w:u w:color="4471c4"/>
          <w:rtl w:val="0"/>
          <w:lang w:val="fr-FR"/>
        </w:rPr>
        <w:t>1.1 Introduction</w:t>
      </w:r>
    </w:p>
    <w:p>
      <w:pPr>
        <w:pStyle w:val="Body"/>
        <w:spacing w:line="360" w:lineRule="auto"/>
        <w:rPr>
          <w:u w:color="4471c4"/>
        </w:rPr>
      </w:pPr>
      <w:r>
        <w:rPr>
          <w:u w:color="4471c4"/>
          <w:rtl w:val="0"/>
          <w:lang w:val="en-US"/>
        </w:rPr>
        <w:t>Working in health and social care, social workers are dedicated to standing alongside people during some of the most difficult periods of their lives. They support not just individuals but whole families and communities, working to create a fairer and safer society for everyone. The nature of this work is demanding and emotionally intense, meaning that workers must build a solid set of professional skills to carry out their duties responsibly. Being able to communicate well, show genuine understanding, and think clearly through problems are three abilities that prove particularly valuable when dealing with people who feel unsafe or overwhelmed. Both government bodies and professional organisations agree that regularly updating and improving these skills through evidence-based learning is central to good practice (Social Work England, 2023; BASW, 2024). The purpose of this report is to explore how each of these abilities can be developed to support high standards of care.</w:t>
      </w:r>
    </w:p>
    <w:p>
      <w:pPr>
        <w:pStyle w:val="Body"/>
        <w:spacing w:line="360" w:lineRule="auto"/>
        <w:rPr>
          <w:u w:color="4471c4"/>
        </w:rPr>
      </w:pPr>
    </w:p>
    <w:p>
      <w:pPr>
        <w:pStyle w:val="Body"/>
        <w:spacing w:line="360" w:lineRule="auto"/>
        <w:rPr>
          <w:sz w:val="32"/>
          <w:szCs w:val="32"/>
          <w:u w:color="4471c4"/>
        </w:rPr>
      </w:pPr>
    </w:p>
    <w:p>
      <w:pPr>
        <w:pStyle w:val="Body"/>
        <w:spacing w:line="360" w:lineRule="auto"/>
        <w:rPr>
          <w:sz w:val="32"/>
          <w:szCs w:val="32"/>
          <w:u w:color="4471c4"/>
        </w:rPr>
      </w:pPr>
      <w:r>
        <w:rPr>
          <w:sz w:val="32"/>
          <w:szCs w:val="32"/>
          <w:u w:color="4471c4"/>
          <w:rtl w:val="0"/>
        </w:rPr>
        <w:t xml:space="preserve">2 </w:t>
      </w:r>
      <w:del w:id="0" w:date="2026-04-11T10:09:44Z" w:author="Emma Lawingco">
        <w:r>
          <w:rPr>
            <w:sz w:val="32"/>
            <w:szCs w:val="32"/>
            <w:u w:color="4471c4"/>
            <w:rtl w:val="0"/>
            <w:lang w:val="en-US"/>
          </w:rPr>
          <w:delText xml:space="preserve">[INSERT YOUR ROLE HERE] </w:delText>
        </w:r>
      </w:del>
      <w:r>
        <w:rPr>
          <w:sz w:val="32"/>
          <w:szCs w:val="32"/>
          <w:u w:color="4471c4"/>
          <w:rtl w:val="0"/>
          <w:lang w:val="en-US"/>
        </w:rPr>
        <w:t xml:space="preserve">Social Worker </w:t>
      </w:r>
      <w:r>
        <w:rPr>
          <w:sz w:val="32"/>
          <w:szCs w:val="32"/>
          <w:u w:color="4471c4"/>
          <w:rtl w:val="0"/>
          <w:lang w:val="en-US"/>
        </w:rPr>
        <w:t>in the Health and Social Care Field</w:t>
      </w:r>
    </w:p>
    <w:p>
      <w:pPr>
        <w:pStyle w:val="Body"/>
        <w:spacing w:line="360" w:lineRule="auto"/>
        <w:rPr>
          <w:sz w:val="32"/>
          <w:szCs w:val="32"/>
          <w:u w:color="4471c4"/>
        </w:rPr>
      </w:pPr>
      <w:r>
        <w:rPr>
          <w:sz w:val="32"/>
          <w:szCs w:val="32"/>
          <w:u w:color="4471c4"/>
          <w:rtl w:val="0"/>
          <w:lang w:val="en-US"/>
        </w:rPr>
        <w:t xml:space="preserve">2.1 Description of </w:t>
      </w:r>
      <w:r>
        <w:rPr>
          <w:sz w:val="32"/>
          <w:szCs w:val="32"/>
          <w:u w:color="4471c4"/>
          <w:rtl w:val="0"/>
          <w:lang w:val="en-US"/>
        </w:rPr>
        <w:t xml:space="preserve">Social Worker </w:t>
      </w:r>
      <w:del w:id="1" w:date="2026-04-11T10:10:51Z" w:author="Emma Lawingco">
        <w:r>
          <w:rPr>
            <w:sz w:val="32"/>
            <w:szCs w:val="32"/>
            <w:u w:color="4471c4"/>
            <w:rtl w:val="0"/>
            <w:lang w:val="en-US"/>
          </w:rPr>
          <w:delText xml:space="preserve">[INSERT YOUR ROLE HERE] </w:delText>
        </w:r>
      </w:del>
      <w:r>
        <w:rPr>
          <w:sz w:val="32"/>
          <w:szCs w:val="32"/>
          <w:u w:color="4471c4"/>
          <w:rtl w:val="0"/>
          <w:lang w:val="en-US"/>
        </w:rPr>
        <w:t xml:space="preserve">in Health and Social Care </w:t>
      </w:r>
    </w:p>
    <w:p>
      <w:pPr>
        <w:pStyle w:val="Body"/>
        <w:spacing w:line="360" w:lineRule="auto"/>
        <w:rPr>
          <w:u w:color="4472c4"/>
        </w:rPr>
      </w:pPr>
      <w:r>
        <w:rPr>
          <w:u w:color="4472c4"/>
          <w:rtl w:val="0"/>
          <w:lang w:val="en-US"/>
        </w:rPr>
        <w:t>Described by Social Work England (2026) as a qualified professional, a social worker devotes their career to standing up for people</w:t>
      </w:r>
      <w:r>
        <w:rPr>
          <w:u w:color="4472c4"/>
          <w:rtl w:val="1"/>
        </w:rPr>
        <w:t>’</w:t>
      </w:r>
      <w:r>
        <w:rPr>
          <w:u w:color="4472c4"/>
          <w:rtl w:val="0"/>
          <w:lang w:val="en-US"/>
        </w:rPr>
        <w:t>s rights, improving their quality of life, and protecting those who cannot always protect themselves. Their work sits at the heart of health and social care, addressing situations where people are dealing with serious difficulties including domestic abuse, long-term illness, poor mental health, or the breakdown of family relationships. By stepping in to reduce harm and connect people with the right services, social workers make a direct contribution to communities becoming safer and more supportive places to live.</w:t>
      </w:r>
    </w:p>
    <w:p>
      <w:pPr>
        <w:pStyle w:val="Body"/>
        <w:spacing w:line="360" w:lineRule="auto"/>
        <w:rPr>
          <w:u w:color="4472c4"/>
        </w:rPr>
      </w:pPr>
      <w:r>
        <w:rPr>
          <w:u w:color="4472c4"/>
          <w:rtl w:val="0"/>
          <w:lang w:val="en-US"/>
        </w:rPr>
        <w:t>Day-to-day, the role involves carrying out detailed assessments of people</w:t>
      </w:r>
      <w:r>
        <w:rPr>
          <w:u w:color="4472c4"/>
          <w:rtl w:val="1"/>
        </w:rPr>
        <w:t>’</w:t>
      </w:r>
      <w:r>
        <w:rPr>
          <w:u w:color="4472c4"/>
          <w:rtl w:val="0"/>
          <w:lang w:val="en-US"/>
        </w:rPr>
        <w:t xml:space="preserve">s circumstances, identifying risks, and walking alongside individuals as they face hardship. </w:t>
      </w:r>
    </w:p>
    <w:p>
      <w:pPr>
        <w:pStyle w:val="Body"/>
        <w:spacing w:line="360" w:lineRule="auto"/>
        <w:rPr>
          <w:u w:color="4472c4"/>
        </w:rPr>
      </w:pPr>
      <w:r>
        <w:rPr>
          <w:u w:color="4472c4"/>
          <w:rtl w:val="0"/>
          <w:lang w:val="en-US"/>
        </w:rPr>
        <w:t>BASW (2021) describes social workers as change-makers, tackling inequality and defending those who are most at risk of harm. The range of people they work with is broad, from young children who have suffered neglect to elderly adults struggling with disability, and from teenagers in trouble with the law to parents whose families are in crisis. Each of these situations calls for careful thinking and close partnership with other professionals across different services.</w:t>
      </w:r>
    </w:p>
    <w:p>
      <w:pPr>
        <w:pStyle w:val="Body"/>
        <w:spacing w:line="360" w:lineRule="auto"/>
      </w:pPr>
      <w:r>
        <w:rPr>
          <w:u w:color="4472c4"/>
          <w:rtl w:val="0"/>
          <w:lang w:val="en-US"/>
        </w:rPr>
        <w:t xml:space="preserve">Three abilities lie at the core of effective social work practice. First, the ability to communicate clearly allows workers to build honest, trusting relationships with the people they support. Second, genuine empathy enables them to truly understand what someone is going through without making judgements. Third, strong problem-solving allows them to look at complicated situations clearly, weigh up risks, and take appropriate action. </w:t>
      </w:r>
      <w:r>
        <w:rPr>
          <w:u w:color="4472c4"/>
          <w:rtl w:val="0"/>
          <w:lang w:val="en-US"/>
        </w:rPr>
        <w:t xml:space="preserve">According to BASW (2021), </w:t>
      </w:r>
      <w:r>
        <w:rPr>
          <w:u w:color="4472c4"/>
          <w:rtl w:val="0"/>
          <w:lang w:val="en-US"/>
        </w:rPr>
        <w:t>these three skills form the foundation of safe, effective, and ethical practice.</w:t>
      </w:r>
    </w:p>
    <w:p>
      <w:pPr>
        <w:pStyle w:val="Body"/>
        <w:spacing w:line="360" w:lineRule="auto"/>
        <w:rPr>
          <w:sz w:val="32"/>
          <w:szCs w:val="32"/>
        </w:rPr>
      </w:pPr>
    </w:p>
    <w:p>
      <w:pPr>
        <w:pStyle w:val="Body"/>
        <w:spacing w:line="360" w:lineRule="auto"/>
        <w:rPr>
          <w:sz w:val="30"/>
          <w:szCs w:val="30"/>
          <w:u w:color="4471c4"/>
        </w:rPr>
      </w:pPr>
      <w:r>
        <w:rPr>
          <w:sz w:val="30"/>
          <w:szCs w:val="30"/>
          <w:u w:color="4471c4"/>
          <w:rtl w:val="0"/>
          <w:lang w:val="en-US"/>
        </w:rPr>
        <w:t xml:space="preserve">2.2 Explanation of Most Significant Skills Needed for </w:t>
      </w:r>
      <w:r>
        <w:rPr>
          <w:sz w:val="30"/>
          <w:szCs w:val="30"/>
          <w:u w:color="4471c4"/>
          <w:rtl w:val="0"/>
          <w:lang w:val="en-US"/>
        </w:rPr>
        <w:t xml:space="preserve">Social worker </w:t>
      </w:r>
      <w:del w:id="2" w:date="2026-04-11T10:14:13Z" w:author="Emma Lawingco">
        <w:r>
          <w:rPr>
            <w:sz w:val="30"/>
            <w:szCs w:val="30"/>
            <w:u w:color="4471c4"/>
            <w:rtl w:val="0"/>
            <w:lang w:val="en-US"/>
          </w:rPr>
          <w:delText xml:space="preserve">[INSERT YOUR ROLE HERE] </w:delText>
        </w:r>
      </w:del>
      <w:r>
        <w:rPr>
          <w:sz w:val="30"/>
          <w:szCs w:val="30"/>
          <w:u w:color="4471c4"/>
          <w:rtl w:val="0"/>
          <w:lang w:val="en-US"/>
        </w:rPr>
        <w:t>in Health and Social Care</w:t>
      </w:r>
    </w:p>
    <w:p>
      <w:pPr>
        <w:pStyle w:val="Body"/>
        <w:spacing w:line="360" w:lineRule="auto"/>
        <w:rPr>
          <w:sz w:val="30"/>
          <w:szCs w:val="30"/>
          <w:u w:color="4471c4"/>
        </w:rPr>
      </w:pPr>
      <w:r>
        <w:rPr>
          <w:sz w:val="30"/>
          <w:szCs w:val="30"/>
          <w:u w:color="4471c4"/>
          <w:rtl w:val="0"/>
          <w:lang w:val="en-US"/>
        </w:rPr>
        <w:t>2.2 Explanation of Most Significant Skills Needed for Social Workers in Health and Social Care</w:t>
      </w:r>
    </w:p>
    <w:p>
      <w:pPr>
        <w:pStyle w:val="Body"/>
        <w:spacing w:line="360" w:lineRule="auto"/>
        <w:rPr>
          <w:u w:color="4471c4"/>
        </w:rPr>
      </w:pPr>
      <w:r>
        <w:rPr>
          <w:u w:color="4471c4"/>
          <w:rtl w:val="0"/>
          <w:lang w:val="en-US"/>
        </w:rPr>
        <w:t>Being able to communicate effectively is arguably the most valuable ability a social worker can develop. Without it, even the most well-intentioned practitioner will struggle to connect with the people they are there to help. Clear communication means not only speaking in a way that is easy to follow, but also being a genuinely attentive listener who picks up on what people are saying both verbally and through their body language. This becomes especially critical when working alongside people living with mental health conditions, learning disabilities, or low levels of health knowledge, where misunderstanding can cause real harm (Science In Sight, 2026). Giving someone full attention, avoiding the urge to interrupt, and taking time before responding all send a powerful message that the person in front of you matters. Consider a parent being assessed by children</w:t>
      </w:r>
      <w:r>
        <w:rPr>
          <w:u w:color="4471c4"/>
          <w:rtl w:val="1"/>
        </w:rPr>
        <w:t>’</w:t>
      </w:r>
      <w:r>
        <w:rPr>
          <w:u w:color="4471c4"/>
          <w:rtl w:val="0"/>
          <w:lang w:val="fr-FR"/>
        </w:rPr>
        <w:t xml:space="preserve">s services </w:t>
      </w:r>
      <w:r>
        <w:rPr>
          <w:u w:color="4471c4"/>
          <w:rtl w:val="0"/>
          <w:lang w:val="en-US"/>
        </w:rPr>
        <w:t>-</w:t>
      </w:r>
      <w:r>
        <w:rPr>
          <w:u w:color="4471c4"/>
          <w:rtl w:val="0"/>
          <w:lang w:val="en-US"/>
        </w:rPr>
        <w:t xml:space="preserve"> a worker who genuinely listens and acknowledges their fear can transform a hostile or frightening encounter into one where the parent feels heard and supported. Studies have consistently found that strong communication skills lead directly to better experiences for people using services and fewer costly errors in practice (NHS Health Careers,2026).Alongside communication, the ability to empathise deeply with others is equally essential to effective social work. </w:t>
      </w:r>
    </w:p>
    <w:p>
      <w:pPr>
        <w:pStyle w:val="Body"/>
        <w:spacing w:line="360" w:lineRule="auto"/>
        <w:rPr>
          <w:u w:color="4471c4"/>
        </w:rPr>
      </w:pPr>
      <w:r>
        <w:rPr>
          <w:u w:color="4471c4"/>
          <w:rtl w:val="0"/>
          <w:lang w:val="en-US"/>
        </w:rPr>
        <w:t xml:space="preserve">Empathy is about more than just feeling sorry for someone </w:t>
      </w:r>
      <w:r>
        <w:rPr>
          <w:u w:color="4471c4"/>
          <w:rtl w:val="0"/>
          <w:lang w:val="en-US"/>
        </w:rPr>
        <w:t>-</w:t>
      </w:r>
      <w:r>
        <w:rPr>
          <w:u w:color="4471c4"/>
          <w:rtl w:val="0"/>
          <w:lang w:val="en-US"/>
        </w:rPr>
        <w:t>it means actively working to understand their perspective, their history, and what they are feeling right now, all without passing judgement. This kind of non-judgemental presence creates an environment where people feel safe enough to speak honestly about things they might otherwise keep hidden. Recognising emotions without dismissing them, being sensitive to cultural differences, and staying fully present during difficult conversations are all hallmarks of strong empathetic practice (Moudatsou et al., 2020). When a social worker sits with a child who has experienced trauma, or with a carer who is completely exhausted, the ability to respond with warmth and practical support rather than detachment makes an enormous difference to whether that person feels safe and valued. There is strong evidence that practitioners who demonstrate empathy consistently achieve better outcomes in terms of trust, cooperation, and overall wellbeing among the people they work with (Social Work Degree, 2025).</w:t>
      </w:r>
    </w:p>
    <w:p>
      <w:pPr>
        <w:pStyle w:val="Body"/>
        <w:spacing w:line="360" w:lineRule="auto"/>
        <w:rPr>
          <w:u w:color="4471c4"/>
        </w:rPr>
      </w:pPr>
      <w:r>
        <w:rPr>
          <w:u w:color="4471c4"/>
          <w:rtl w:val="0"/>
          <w:lang w:val="en-US"/>
        </w:rPr>
        <w:t xml:space="preserve">The third essential skill is the ability to solve problems effectively in situations that are rarely straightforward. Social workers face situations every day where there is no simple answer, where competing needs must be balanced, and where the stakes for getting things wrong are very high. Effective problem-solving begins with asking the right questions, gathering information from every available source </w:t>
      </w:r>
      <w:r>
        <w:rPr>
          <w:u w:color="4471c4"/>
          <w:rtl w:val="0"/>
          <w:lang w:val="en-US"/>
        </w:rPr>
        <w:t>-</w:t>
      </w:r>
      <w:r>
        <w:rPr>
          <w:u w:color="4471c4"/>
          <w:rtl w:val="0"/>
          <w:lang w:val="en-US"/>
        </w:rPr>
        <w:t xml:space="preserve">whether that be a care plan, a conversation with a family member, records from other agencies, or direct observation </w:t>
      </w:r>
      <w:r>
        <w:rPr>
          <w:u w:color="4471c4"/>
          <w:rtl w:val="0"/>
          <w:lang w:val="en-US"/>
        </w:rPr>
        <w:t>-</w:t>
      </w:r>
      <w:r>
        <w:rPr>
          <w:u w:color="4471c4"/>
          <w:rtl w:val="0"/>
          <w:lang w:val="en-US"/>
        </w:rPr>
        <w:t>and then putting that information together in a way that makes sense (Care Learning, 2025). Drawing on recognised frameworks and assessment tools gives workers a structured way to weigh up risk and make decisions that are defensible, ethical, and focused on the person</w:t>
      </w:r>
      <w:r>
        <w:rPr>
          <w:u w:color="4471c4"/>
          <w:rtl w:val="1"/>
        </w:rPr>
        <w:t>’</w:t>
      </w:r>
      <w:r>
        <w:rPr>
          <w:u w:color="4471c4"/>
          <w:rtl w:val="0"/>
        </w:rPr>
        <w:t>s best interests.</w:t>
      </w:r>
    </w:p>
    <w:p>
      <w:pPr>
        <w:pStyle w:val="Body"/>
        <w:spacing w:line="360" w:lineRule="auto"/>
        <w:rPr>
          <w:u w:color="4471c4"/>
        </w:rPr>
      </w:pPr>
      <w:r>
        <w:rPr>
          <w:u w:color="4471c4"/>
          <w:rtl w:val="0"/>
          <w:lang w:val="en-US"/>
        </w:rPr>
        <w:t xml:space="preserve">Where these three skills are absent or poorly developed, the impact on service users can be severe. Miscommunication causes assessments to go wrong and needs to go unmet. A lack of empathy pushes people away and damages the trust that social work depends upon. </w:t>
      </w:r>
    </w:p>
    <w:p>
      <w:pPr>
        <w:pStyle w:val="Body"/>
        <w:spacing w:line="360" w:lineRule="auto"/>
        <w:rPr>
          <w:u w:color="4471c4"/>
        </w:rPr>
      </w:pPr>
      <w:r>
        <w:rPr>
          <w:u w:color="4471c4"/>
          <w:rtl w:val="0"/>
          <w:lang w:val="en-US"/>
        </w:rPr>
        <w:t>Poor analytical thinking leads to decisions being made without enough information, which can put vulnerable people in danger (Care Learning</w:t>
      </w:r>
      <w:r>
        <w:rPr>
          <w:u w:color="4471c4"/>
          <w:rtl w:val="0"/>
          <w:lang w:val="en-US"/>
        </w:rPr>
        <w:t xml:space="preserve">, </w:t>
      </w:r>
      <w:r>
        <w:rPr>
          <w:u w:color="4471c4"/>
          <w:rtl w:val="0"/>
          <w:lang w:val="en-US"/>
        </w:rPr>
        <w:t xml:space="preserve">2025). A single missed safeguarding sign, overlooked because a worker was not listening carefully enough, can have devastating consequences. </w:t>
      </w:r>
    </w:p>
    <w:p>
      <w:pPr>
        <w:pStyle w:val="Body"/>
        <w:spacing w:line="360" w:lineRule="auto"/>
      </w:pPr>
      <w:r>
        <w:rPr>
          <w:u w:color="4471c4"/>
          <w:rtl w:val="0"/>
          <w:lang w:val="en-US"/>
        </w:rPr>
        <w:t>The evidence is clear that gaps in these core professional competencies are directly linked to reduced quality of care and increased risk of harm across all areas of health and social care practice (Care Learning, 2025).</w:t>
      </w:r>
    </w:p>
    <w:p>
      <w:pPr>
        <w:pStyle w:val="Body"/>
        <w:spacing w:line="360" w:lineRule="auto"/>
      </w:pPr>
    </w:p>
    <w:p>
      <w:pPr>
        <w:pStyle w:val="Body"/>
        <w:spacing w:line="360" w:lineRule="auto"/>
        <w:rPr>
          <w:sz w:val="32"/>
          <w:szCs w:val="32"/>
        </w:rPr>
      </w:pPr>
      <w:r>
        <w:rPr>
          <w:sz w:val="32"/>
          <w:szCs w:val="32"/>
          <w:rtl w:val="0"/>
          <w:lang w:val="en-US"/>
        </w:rPr>
        <w:t>3 Strategies for Skill Improvement for Social Workers</w:t>
      </w:r>
    </w:p>
    <w:p>
      <w:pPr>
        <w:pStyle w:val="Body"/>
        <w:spacing w:line="360" w:lineRule="auto"/>
        <w:rPr>
          <w:sz w:val="32"/>
          <w:szCs w:val="32"/>
        </w:rPr>
      </w:pPr>
      <w:r>
        <w:rPr>
          <w:sz w:val="32"/>
          <w:szCs w:val="32"/>
          <w:rtl w:val="0"/>
          <w:lang w:val="en-US"/>
        </w:rPr>
        <w:t>3.1 Three Strategies to Improve the Skills for Social Workers</w:t>
      </w:r>
    </w:p>
    <w:p>
      <w:pPr>
        <w:pStyle w:val="Body"/>
        <w:spacing w:line="360" w:lineRule="auto"/>
      </w:pPr>
      <w:r>
        <w:rPr>
          <w:rtl w:val="0"/>
          <w:lang w:val="en-US"/>
        </w:rPr>
        <w:t xml:space="preserve">One of the most effective ways for social workers to strengthen their communication is through regular reflective supervision with a trusted and experienced supervisor. Because communication underpins almost every aspect of social work </w:t>
      </w:r>
      <w:r>
        <w:rPr>
          <w:rtl w:val="0"/>
          <w:lang w:val="en-US"/>
        </w:rPr>
        <w:t xml:space="preserve">— </w:t>
      </w:r>
      <w:r>
        <w:rPr>
          <w:rtl w:val="0"/>
          <w:lang w:val="en-US"/>
        </w:rPr>
        <w:t xml:space="preserve">from gathering accurate information to building relationships that make intervention possible </w:t>
      </w:r>
      <w:r>
        <w:rPr>
          <w:rtl w:val="0"/>
          <w:lang w:val="en-US"/>
        </w:rPr>
        <w:t xml:space="preserve">— </w:t>
      </w:r>
      <w:r>
        <w:rPr>
          <w:rtl w:val="0"/>
          <w:lang w:val="en-US"/>
        </w:rPr>
        <w:t>developing it should be an ongoing priority. The evidence supports this strongly, with research by Ravalier et al. (2023) demonstrating that workers who engage in reflective supervision become noticeably better at expressing themselves clearly, listening without judgement, and examining their own professional behaviour honestly. In practice, supervision creates a dedicated space where a worker can bring a case that did not go as planned, explore what happened, and receive honest feedback. Imagine a situation where a worker reviews a difficult meeting with a family and realises that the formal language they used made the parents feel accused rather than supported. Identifying this in supervision means the worker can make changes before the next meeting, leading to a more productive relationship. Ultimately, this kind of structured reflection makes communication safer, more thoughtful, and more effective.</w:t>
      </w:r>
    </w:p>
    <w:p>
      <w:pPr>
        <w:pStyle w:val="Body"/>
        <w:spacing w:line="360" w:lineRule="auto"/>
      </w:pPr>
      <w:r>
        <w:rPr>
          <w:rtl w:val="0"/>
          <w:lang w:val="en-US"/>
        </w:rPr>
        <w:t>For developing empathy, using a structured model of reflection such as Gibbs</w:t>
      </w:r>
      <w:r>
        <w:rPr>
          <w:rtl w:val="1"/>
        </w:rPr>
        <w:t xml:space="preserve">’ </w:t>
      </w:r>
      <w:r>
        <w:rPr>
          <w:rtl w:val="0"/>
          <w:lang w:val="en-US"/>
        </w:rPr>
        <w:t xml:space="preserve">Reflective Cycle offers social workers a clear and practical pathway for growth (Research in Practice, 2024). Empathy cannot simply be switched on </w:t>
      </w:r>
      <w:r>
        <w:rPr>
          <w:rtl w:val="0"/>
          <w:lang w:val="en-US"/>
        </w:rPr>
        <w:t xml:space="preserve">— </w:t>
      </w:r>
      <w:r>
        <w:rPr>
          <w:rtl w:val="0"/>
          <w:lang w:val="en-US"/>
        </w:rPr>
        <w:t>it requires workers to regularly examine their own emotional reactions and consider whether those reactions are getting in the way of truly understanding the person in front of them. Social Work England (2023) has made reflective practice a professional requirement precisely because of how central self-awareness is to ethical, person-centred care.</w:t>
      </w:r>
    </w:p>
    <w:p>
      <w:pPr>
        <w:pStyle w:val="Body"/>
        <w:spacing w:line="360" w:lineRule="auto"/>
      </w:pPr>
      <w:r>
        <w:rPr>
          <w:rtl w:val="0"/>
          <w:lang w:val="en-US"/>
        </w:rPr>
        <w:t>By working through a reflective model after a challenging encounter, a practitioner might notice that they felt frustrated during a visit and, as a result, missed important emotional cues that the service user was sending (Science In Sight, 2026). Recognising this pattern and working to change it gradually deepens empathetic understanding and improves the quality of human connection that social workers are able to offer (Moudatsou et al., 2020). Over time, this kind of honest self-examination builds practitioners who are more attuned, more compassionate, and better at maintaining boundaries under pressure.</w:t>
      </w:r>
    </w:p>
    <w:p>
      <w:pPr>
        <w:pStyle w:val="Body"/>
        <w:spacing w:line="360" w:lineRule="auto"/>
      </w:pPr>
      <w:r>
        <w:rPr>
          <w:rtl w:val="0"/>
          <w:lang w:val="en-US"/>
        </w:rPr>
        <w:t xml:space="preserve">The most effective strategy for building stronger problem-solving skills is active engagement in Continuing Professional Development (CPD), particularly through training that places workers in realistic, scenario-based situations. Social work regularly involves navigating risk, making difficult ethical calls, and working collaboratively under pressure </w:t>
      </w:r>
      <w:r>
        <w:rPr>
          <w:rtl w:val="0"/>
          <w:lang w:val="en-US"/>
        </w:rPr>
        <w:t xml:space="preserve">— </w:t>
      </w:r>
      <w:r>
        <w:rPr>
          <w:rtl w:val="0"/>
          <w:lang w:val="en-US"/>
        </w:rPr>
        <w:t>none of which can be truly prepared for through reading alone (Social Work England, 2023). BASW (2024) highlights CPD as the primary vehicle through which social workers sharpen their capacity for sound decision-making and effective analytical thinking. Scenario-based exercises work because they place workers inside real-feeling situations where they must apply what they know about legislation, policy, and best practice to make judgements in real time. A multi-agency child protection training exercise, for example, challenges participants to consider the needs of the child, the concerns of the family, the views of partner agencies, and the constraints of available resources all at once. This kind of immersive learning builds both the confidence and the practical capability that social workers need to intervene effectively and safely (Moudatsou et al., 2020).</w:t>
      </w: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rPr>
          <w:sz w:val="36"/>
          <w:szCs w:val="36"/>
          <w:u w:color="4471c4"/>
        </w:rPr>
      </w:pPr>
      <w:r>
        <w:rPr>
          <w:sz w:val="36"/>
          <w:szCs w:val="36"/>
          <w:u w:color="4471c4"/>
          <w:rtl w:val="0"/>
          <w:lang w:val="it-IT"/>
        </w:rPr>
        <w:t>Conclusion</w:t>
      </w:r>
    </w:p>
    <w:p>
      <w:pPr>
        <w:pStyle w:val="Body"/>
        <w:spacing w:line="360" w:lineRule="auto"/>
        <w:rPr>
          <w:sz w:val="36"/>
          <w:szCs w:val="36"/>
          <w:u w:color="4471c4"/>
        </w:rPr>
      </w:pPr>
    </w:p>
    <w:p>
      <w:pPr>
        <w:pStyle w:val="Body"/>
        <w:spacing w:line="360" w:lineRule="auto"/>
        <w:rPr>
          <w:outline w:val="0"/>
          <w:color w:val="4471c4"/>
          <w:u w:color="4471c4"/>
          <w14:textFill>
            <w14:solidFill>
              <w14:srgbClr w14:val="4471C4"/>
            </w14:solidFill>
          </w14:textFill>
        </w:rPr>
      </w:pPr>
      <w:r>
        <w:rPr>
          <w:u w:color="4471c4"/>
          <w:rtl w:val="0"/>
          <w:lang w:val="en-US"/>
        </w:rPr>
        <w:t xml:space="preserve">This report has demonstrated that communication, empathy, and problem-solving sit at the very heart of safe and high-quality social work practice. Each skill plays a distinct and vital role </w:t>
      </w:r>
      <w:r>
        <w:rPr>
          <w:u w:color="4471c4"/>
          <w:rtl w:val="0"/>
          <w:lang w:val="en-US"/>
        </w:rPr>
        <w:t xml:space="preserve">— </w:t>
      </w:r>
      <w:r>
        <w:rPr>
          <w:u w:color="4471c4"/>
          <w:rtl w:val="0"/>
          <w:lang w:val="en-US"/>
        </w:rPr>
        <w:t>in building relationships, in understanding people</w:t>
      </w:r>
      <w:r>
        <w:rPr>
          <w:u w:color="4471c4"/>
          <w:rtl w:val="1"/>
        </w:rPr>
        <w:t>’</w:t>
      </w:r>
      <w:r>
        <w:rPr>
          <w:u w:color="4471c4"/>
          <w:rtl w:val="0"/>
          <w:lang w:val="en-US"/>
        </w:rPr>
        <w:t>s experiences, and in navigating the complex decisions that define this work. Strategies including reflective supervision, structured models of reflection, and scenario-based CPD training all provide practical and evidence-supported routes to developing these abilities throughout a social worker</w:t>
      </w:r>
      <w:r>
        <w:rPr>
          <w:u w:color="4471c4"/>
          <w:rtl w:val="1"/>
        </w:rPr>
        <w:t>’</w:t>
      </w:r>
      <w:r>
        <w:rPr>
          <w:u w:color="4471c4"/>
          <w:rtl w:val="0"/>
          <w:lang w:val="en-US"/>
        </w:rPr>
        <w:t>s career. When workers invest in strengthening these competencies, the people they support are more likely to receive care that is responsive, respectful, and genuinely effective. Ongoing commitment to professional growth therefore benefits not only the individual practitioner but the entire health and social care system they are part of.</w:t>
      </w:r>
    </w:p>
    <w:p>
      <w:pPr>
        <w:pStyle w:val="Body"/>
        <w:spacing w:line="360" w:lineRule="auto"/>
        <w:jc w:val="both"/>
        <w:rPr>
          <w:outline w:val="0"/>
          <w:color w:val="4472c4"/>
          <w:u w:color="4472c4"/>
          <w14:textFill>
            <w14:solidFill>
              <w14:srgbClr w14:val="4472C4"/>
            </w14:solidFill>
          </w14:textFill>
        </w:rPr>
      </w:pPr>
    </w:p>
    <w:p>
      <w:pPr>
        <w:pStyle w:val="Body"/>
        <w:spacing w:line="360" w:lineRule="auto"/>
        <w:jc w:val="both"/>
      </w:pPr>
      <w:r>
        <w:rPr>
          <w:rFonts w:ascii="Arial Unicode MS" w:cs="Arial Unicode MS" w:hAnsi="Arial Unicode MS" w:eastAsia="Arial Unicode MS"/>
          <w:b w:val="0"/>
          <w:bCs w:val="0"/>
          <w:i w:val="0"/>
          <w:iCs w:val="0"/>
          <w:sz w:val="22"/>
          <w:szCs w:val="22"/>
        </w:rPr>
        <w:br w:type="page"/>
      </w:r>
    </w:p>
    <w:p>
      <w:pPr>
        <w:pStyle w:val="List Paragraph"/>
        <w:spacing w:after="0" w:line="360" w:lineRule="auto"/>
        <w:jc w:val="both"/>
        <w:rPr>
          <w:rFonts w:ascii="Arial" w:cs="Arial" w:hAnsi="Arial" w:eastAsia="Arial"/>
          <w:sz w:val="22"/>
          <w:szCs w:val="22"/>
        </w:rPr>
      </w:pPr>
    </w:p>
    <w:p>
      <w:pPr>
        <w:pStyle w:val="Body"/>
        <w:spacing w:line="360" w:lineRule="auto"/>
        <w:rPr>
          <w:sz w:val="32"/>
          <w:szCs w:val="32"/>
        </w:rPr>
      </w:pPr>
      <w:r>
        <w:rPr>
          <w:sz w:val="32"/>
          <w:szCs w:val="32"/>
          <w:rtl w:val="0"/>
          <w:lang w:val="pt-PT"/>
        </w:rPr>
        <w:t>Reference List</w:t>
      </w:r>
      <w:r>
        <w:rPr>
          <w:sz w:val="32"/>
          <w:szCs w:val="32"/>
          <w:rtl w:val="0"/>
          <w:lang w:val="en-US"/>
        </w:rPr>
        <w:t>:</w:t>
      </w:r>
    </w:p>
    <w:p>
      <w:pPr>
        <w:pStyle w:val="Body"/>
        <w:spacing w:line="360" w:lineRule="auto"/>
      </w:pPr>
    </w:p>
    <w:p>
      <w:pPr>
        <w:pStyle w:val="Body"/>
      </w:pPr>
      <w:r>
        <w:rPr>
          <w:rtl w:val="0"/>
        </w:rPr>
        <w:t xml:space="preserve">BASW (2021) </w:t>
      </w:r>
      <w:r>
        <w:rPr>
          <w:i w:val="1"/>
          <w:iCs w:val="1"/>
          <w:rtl w:val="0"/>
          <w:lang w:val="en-US"/>
        </w:rPr>
        <w:t>Code of Ethics for Social Work</w:t>
      </w:r>
      <w:r>
        <w:rPr>
          <w:rtl w:val="0"/>
          <w:lang w:val="en-US"/>
        </w:rPr>
        <w:t xml:space="preserve">. Birmingham: British Association of Social Workers. Available at: </w:t>
      </w:r>
      <w:r>
        <w:rPr/>
        <w:fldChar w:fldCharType="begin" w:fldLock="0"/>
      </w:r>
      <w:r>
        <w:instrText xml:space="preserve"> HYPERLINK "https://www.basw.co.uk/"</w:instrText>
      </w:r>
      <w:r>
        <w:rPr/>
        <w:fldChar w:fldCharType="separate" w:fldLock="0"/>
      </w:r>
      <w:r>
        <w:rPr>
          <w:rtl w:val="0"/>
        </w:rPr>
        <w:t>https://www.basw.co.uk</w:t>
      </w:r>
      <w:r>
        <w:rPr/>
        <w:fldChar w:fldCharType="end" w:fldLock="0"/>
      </w:r>
      <w:r>
        <w:rPr>
          <w:rtl w:val="0"/>
          <w:lang w:val="it-IT"/>
        </w:rPr>
        <w:t xml:space="preserve"> (Accessed: 21 April 2026).</w:t>
      </w:r>
    </w:p>
    <w:p>
      <w:pPr>
        <w:pStyle w:val="Body"/>
      </w:pPr>
      <w:r>
        <w:rPr>
          <w:rtl w:val="0"/>
        </w:rPr>
        <w:t xml:space="preserve">BASW (2024) </w:t>
      </w:r>
      <w:r>
        <w:rPr>
          <w:i w:val="1"/>
          <w:iCs w:val="1"/>
          <w:rtl w:val="0"/>
          <w:lang w:val="en-US"/>
        </w:rPr>
        <w:t>Professional Capabilities Framework</w:t>
      </w:r>
      <w:r>
        <w:rPr>
          <w:rtl w:val="0"/>
          <w:lang w:val="en-US"/>
        </w:rPr>
        <w:t xml:space="preserve">. Birmingham: British Association of Social Workers. Available at: </w:t>
      </w:r>
      <w:r>
        <w:rPr/>
        <w:fldChar w:fldCharType="begin" w:fldLock="0"/>
      </w:r>
      <w:r>
        <w:instrText xml:space="preserve"> HYPERLINK "https://www.basw.co.uk/"</w:instrText>
      </w:r>
      <w:r>
        <w:rPr/>
        <w:fldChar w:fldCharType="separate" w:fldLock="0"/>
      </w:r>
      <w:r>
        <w:rPr>
          <w:rtl w:val="0"/>
        </w:rPr>
        <w:t>https://www.basw.co.uk</w:t>
      </w:r>
      <w:r>
        <w:rPr/>
        <w:fldChar w:fldCharType="end" w:fldLock="0"/>
      </w:r>
      <w:r>
        <w:rPr>
          <w:rtl w:val="0"/>
          <w:lang w:val="en-US"/>
        </w:rPr>
        <w:t xml:space="preserve"> (Accessed: </w:t>
      </w:r>
      <w:r>
        <w:rPr>
          <w:rtl w:val="0"/>
          <w:lang w:val="en-US"/>
        </w:rPr>
        <w:t xml:space="preserve">15 </w:t>
      </w:r>
      <w:r>
        <w:rPr>
          <w:rtl w:val="0"/>
          <w:lang w:val="it-IT"/>
        </w:rPr>
        <w:t>April 2026).</w:t>
      </w:r>
    </w:p>
    <w:p>
      <w:pPr>
        <w:pStyle w:val="Body"/>
      </w:pPr>
      <w:r>
        <w:rPr>
          <w:rtl w:val="0"/>
        </w:rPr>
        <w:t xml:space="preserve">Care Learning (2025) </w:t>
      </w:r>
      <w:r>
        <w:rPr>
          <w:i w:val="1"/>
          <w:iCs w:val="1"/>
          <w:rtl w:val="0"/>
          <w:lang w:val="en-US"/>
        </w:rPr>
        <w:t xml:space="preserve">Problem-solving in </w:t>
      </w:r>
      <w:r>
        <w:rPr>
          <w:i w:val="1"/>
          <w:iCs w:val="1"/>
          <w:rtl w:val="0"/>
          <w:lang w:val="en-US"/>
        </w:rPr>
        <w:t>S</w:t>
      </w:r>
      <w:r>
        <w:rPr>
          <w:i w:val="1"/>
          <w:iCs w:val="1"/>
          <w:rtl w:val="0"/>
          <w:lang w:val="pt-PT"/>
        </w:rPr>
        <w:t xml:space="preserve">ocial </w:t>
      </w:r>
      <w:r>
        <w:rPr>
          <w:i w:val="1"/>
          <w:iCs w:val="1"/>
          <w:rtl w:val="0"/>
          <w:lang w:val="en-US"/>
        </w:rPr>
        <w:t>W</w:t>
      </w:r>
      <w:r>
        <w:rPr>
          <w:i w:val="1"/>
          <w:iCs w:val="1"/>
          <w:rtl w:val="0"/>
          <w:lang w:val="en-US"/>
        </w:rPr>
        <w:t xml:space="preserve">ork </w:t>
      </w:r>
      <w:r>
        <w:rPr>
          <w:i w:val="1"/>
          <w:iCs w:val="1"/>
          <w:rtl w:val="0"/>
          <w:lang w:val="en-US"/>
        </w:rPr>
        <w:t>P</w:t>
      </w:r>
      <w:r>
        <w:rPr>
          <w:i w:val="1"/>
          <w:iCs w:val="1"/>
          <w:rtl w:val="0"/>
          <w:lang w:val="en-US"/>
        </w:rPr>
        <w:t>ractice</w:t>
      </w:r>
      <w:r>
        <w:rPr>
          <w:rtl w:val="0"/>
          <w:lang w:val="en-US"/>
        </w:rPr>
        <w:t xml:space="preserve">. Available at: </w:t>
      </w:r>
      <w:r>
        <w:rPr/>
        <w:fldChar w:fldCharType="begin" w:fldLock="0"/>
      </w:r>
      <w:r>
        <w:instrText xml:space="preserve"> HYPERLINK "https://www.carelearning.org.uk/"</w:instrText>
      </w:r>
      <w:r>
        <w:rPr/>
        <w:fldChar w:fldCharType="separate" w:fldLock="0"/>
      </w:r>
      <w:r>
        <w:rPr>
          <w:rtl w:val="0"/>
          <w:lang w:val="en-US"/>
        </w:rPr>
        <w:t>https://www.carelearning.org.uk</w:t>
      </w:r>
      <w:r>
        <w:rPr/>
        <w:fldChar w:fldCharType="end" w:fldLock="0"/>
      </w:r>
      <w:r>
        <w:rPr>
          <w:rtl w:val="0"/>
          <w:lang w:val="en-US"/>
        </w:rPr>
        <w:t xml:space="preserve"> (Accessed: </w:t>
      </w:r>
      <w:r>
        <w:rPr>
          <w:rtl w:val="0"/>
          <w:lang w:val="en-US"/>
        </w:rPr>
        <w:t xml:space="preserve">15 </w:t>
      </w:r>
      <w:r>
        <w:rPr>
          <w:rtl w:val="0"/>
          <w:lang w:val="it-IT"/>
        </w:rPr>
        <w:t>April 2026).</w:t>
      </w:r>
    </w:p>
    <w:p>
      <w:pPr>
        <w:pStyle w:val="Body"/>
      </w:pPr>
      <w:r>
        <w:rPr>
          <w:rtl w:val="0"/>
          <w:lang w:val="en-US"/>
        </w:rPr>
        <w:t xml:space="preserve">Moudatsou, M., Stavropoulou, A., Philalithis, A. and Koukouli, S. (2020) 'The role of empathy in health and social care professionals', </w:t>
      </w:r>
      <w:r>
        <w:rPr>
          <w:i w:val="1"/>
          <w:iCs w:val="1"/>
          <w:rtl w:val="0"/>
          <w:lang w:val="en-US"/>
        </w:rPr>
        <w:t>Healthcare,</w:t>
      </w:r>
      <w:r>
        <w:rPr>
          <w:rtl w:val="0"/>
        </w:rPr>
        <w:t xml:space="preserve"> 8(1), p. 26.</w:t>
      </w:r>
    </w:p>
    <w:p>
      <w:pPr>
        <w:pStyle w:val="Body"/>
      </w:pPr>
      <w:r>
        <w:rPr>
          <w:rtl w:val="0"/>
          <w:lang w:val="en-US"/>
        </w:rPr>
        <w:t xml:space="preserve">NHS Health Careers (2026) </w:t>
      </w:r>
      <w:r>
        <w:rPr>
          <w:i w:val="1"/>
          <w:iCs w:val="1"/>
          <w:rtl w:val="0"/>
          <w:lang w:val="fr-FR"/>
        </w:rPr>
        <w:t xml:space="preserve">Communication </w:t>
      </w:r>
      <w:r>
        <w:rPr>
          <w:i w:val="1"/>
          <w:iCs w:val="1"/>
          <w:rtl w:val="0"/>
          <w:lang w:val="en-US"/>
        </w:rPr>
        <w:t>S</w:t>
      </w:r>
      <w:r>
        <w:rPr>
          <w:i w:val="1"/>
          <w:iCs w:val="1"/>
          <w:rtl w:val="0"/>
          <w:lang w:val="en-US"/>
        </w:rPr>
        <w:t xml:space="preserve">kills in </w:t>
      </w:r>
      <w:r>
        <w:rPr>
          <w:i w:val="1"/>
          <w:iCs w:val="1"/>
          <w:rtl w:val="0"/>
          <w:lang w:val="en-US"/>
        </w:rPr>
        <w:t>H</w:t>
      </w:r>
      <w:r>
        <w:rPr>
          <w:i w:val="1"/>
          <w:iCs w:val="1"/>
          <w:rtl w:val="0"/>
          <w:lang w:val="en-US"/>
        </w:rPr>
        <w:t xml:space="preserve">ealth and </w:t>
      </w:r>
      <w:r>
        <w:rPr>
          <w:i w:val="1"/>
          <w:iCs w:val="1"/>
          <w:rtl w:val="0"/>
          <w:lang w:val="en-US"/>
        </w:rPr>
        <w:t>S</w:t>
      </w:r>
      <w:r>
        <w:rPr>
          <w:i w:val="1"/>
          <w:iCs w:val="1"/>
          <w:rtl w:val="0"/>
          <w:lang w:val="pt-PT"/>
        </w:rPr>
        <w:t xml:space="preserve">ocial </w:t>
      </w:r>
      <w:r>
        <w:rPr>
          <w:i w:val="1"/>
          <w:iCs w:val="1"/>
          <w:rtl w:val="0"/>
          <w:lang w:val="en-US"/>
        </w:rPr>
        <w:t>C</w:t>
      </w:r>
      <w:r>
        <w:rPr>
          <w:i w:val="1"/>
          <w:iCs w:val="1"/>
          <w:rtl w:val="0"/>
        </w:rPr>
        <w:t>are</w:t>
      </w:r>
      <w:r>
        <w:rPr>
          <w:rtl w:val="0"/>
          <w:lang w:val="en-US"/>
        </w:rPr>
        <w:t xml:space="preserve">. Available at: </w:t>
      </w:r>
      <w:r>
        <w:rPr/>
        <w:fldChar w:fldCharType="begin" w:fldLock="0"/>
      </w:r>
      <w:r>
        <w:instrText xml:space="preserve"> HYPERLINK "https://www.healthcareers.nhs.uk/"</w:instrText>
      </w:r>
      <w:r>
        <w:rPr/>
        <w:fldChar w:fldCharType="separate" w:fldLock="0"/>
      </w:r>
      <w:r>
        <w:rPr>
          <w:rtl w:val="0"/>
          <w:lang w:val="en-US"/>
        </w:rPr>
        <w:t>https://www.healthcareers.nhs.uk</w:t>
      </w:r>
      <w:r>
        <w:rPr/>
        <w:fldChar w:fldCharType="end" w:fldLock="0"/>
      </w:r>
      <w:r>
        <w:rPr>
          <w:rtl w:val="0"/>
          <w:lang w:val="en-US"/>
        </w:rPr>
        <w:t xml:space="preserve"> (Accessed: </w:t>
      </w:r>
      <w:r>
        <w:rPr>
          <w:rtl w:val="0"/>
          <w:lang w:val="en-US"/>
        </w:rPr>
        <w:t xml:space="preserve">16 </w:t>
      </w:r>
      <w:r>
        <w:rPr>
          <w:rtl w:val="0"/>
          <w:lang w:val="it-IT"/>
        </w:rPr>
        <w:t>April 2026).</w:t>
      </w:r>
    </w:p>
    <w:p>
      <w:pPr>
        <w:pStyle w:val="Body"/>
      </w:pPr>
      <w:r>
        <w:rPr>
          <w:rtl w:val="0"/>
          <w:lang w:val="en-US"/>
        </w:rPr>
        <w:t xml:space="preserve">Ravalier, J., McVicar, A. and Boichat, C. (2023) 'Social work supervision and wellbeing', </w:t>
      </w:r>
      <w:r>
        <w:rPr>
          <w:i w:val="1"/>
          <w:iCs w:val="1"/>
          <w:rtl w:val="0"/>
          <w:lang w:val="en-US"/>
        </w:rPr>
        <w:t>British Journal of Social Work,</w:t>
      </w:r>
      <w:r>
        <w:rPr>
          <w:rtl w:val="0"/>
        </w:rPr>
        <w:t xml:space="preserve"> 53(2), pp. 112</w:t>
      </w:r>
      <w:r>
        <w:rPr>
          <w:rtl w:val="0"/>
        </w:rPr>
        <w:t>–</w:t>
      </w:r>
      <w:r>
        <w:rPr>
          <w:rtl w:val="0"/>
        </w:rPr>
        <w:t>128.</w:t>
      </w:r>
    </w:p>
    <w:p>
      <w:pPr>
        <w:pStyle w:val="Body"/>
      </w:pPr>
      <w:r>
        <w:rPr>
          <w:rtl w:val="0"/>
          <w:lang w:val="en-US"/>
        </w:rPr>
        <w:t xml:space="preserve">Research in Practice (2024) </w:t>
      </w:r>
      <w:r>
        <w:rPr>
          <w:i w:val="1"/>
          <w:iCs w:val="1"/>
          <w:rtl w:val="0"/>
          <w:lang w:val="en-US"/>
        </w:rPr>
        <w:t xml:space="preserve">Reflective </w:t>
      </w:r>
      <w:r>
        <w:rPr>
          <w:i w:val="1"/>
          <w:iCs w:val="1"/>
          <w:rtl w:val="0"/>
          <w:lang w:val="en-US"/>
        </w:rPr>
        <w:t>P</w:t>
      </w:r>
      <w:r>
        <w:rPr>
          <w:i w:val="1"/>
          <w:iCs w:val="1"/>
          <w:rtl w:val="0"/>
          <w:lang w:val="en-US"/>
        </w:rPr>
        <w:t xml:space="preserve">ractice in </w:t>
      </w:r>
      <w:r>
        <w:rPr>
          <w:i w:val="1"/>
          <w:iCs w:val="1"/>
          <w:rtl w:val="0"/>
          <w:lang w:val="en-US"/>
        </w:rPr>
        <w:t>S</w:t>
      </w:r>
      <w:r>
        <w:rPr>
          <w:i w:val="1"/>
          <w:iCs w:val="1"/>
          <w:rtl w:val="0"/>
          <w:lang w:val="pt-PT"/>
        </w:rPr>
        <w:t xml:space="preserve">ocial </w:t>
      </w:r>
      <w:r>
        <w:rPr>
          <w:i w:val="1"/>
          <w:iCs w:val="1"/>
          <w:rtl w:val="0"/>
          <w:lang w:val="en-US"/>
        </w:rPr>
        <w:t>W</w:t>
      </w:r>
      <w:r>
        <w:rPr>
          <w:i w:val="1"/>
          <w:iCs w:val="1"/>
          <w:rtl w:val="0"/>
        </w:rPr>
        <w:t>ork</w:t>
      </w:r>
      <w:r>
        <w:rPr>
          <w:rtl w:val="0"/>
          <w:lang w:val="en-US"/>
        </w:rPr>
        <w:t xml:space="preserve">. Available at: </w:t>
      </w:r>
      <w:r>
        <w:rPr/>
        <w:fldChar w:fldCharType="begin" w:fldLock="0"/>
      </w:r>
      <w:r>
        <w:instrText xml:space="preserve"> HYPERLINK "https://www.researchinpractice.org.uk/"</w:instrText>
      </w:r>
      <w:r>
        <w:rPr/>
        <w:fldChar w:fldCharType="separate" w:fldLock="0"/>
      </w:r>
      <w:r>
        <w:rPr>
          <w:rtl w:val="0"/>
          <w:lang w:val="en-US"/>
        </w:rPr>
        <w:t>https://www.researchinpractice.org.uk</w:t>
      </w:r>
      <w:r>
        <w:rPr/>
        <w:fldChar w:fldCharType="end" w:fldLock="0"/>
      </w:r>
      <w:r>
        <w:rPr>
          <w:rtl w:val="0"/>
          <w:lang w:val="en-US"/>
        </w:rPr>
        <w:t xml:space="preserve"> (Accessed: </w:t>
      </w:r>
      <w:r>
        <w:rPr>
          <w:rtl w:val="0"/>
          <w:lang w:val="en-US"/>
        </w:rPr>
        <w:t xml:space="preserve">18 </w:t>
      </w:r>
      <w:r>
        <w:rPr>
          <w:rtl w:val="0"/>
          <w:lang w:val="it-IT"/>
        </w:rPr>
        <w:t>April 2026).</w:t>
      </w:r>
    </w:p>
    <w:p>
      <w:pPr>
        <w:pStyle w:val="Body"/>
      </w:pPr>
      <w:r>
        <w:rPr>
          <w:rtl w:val="0"/>
          <w:lang w:val="en-US"/>
        </w:rPr>
        <w:t xml:space="preserve">Science In Sight (2026) </w:t>
      </w:r>
      <w:r>
        <w:rPr>
          <w:i w:val="1"/>
          <w:iCs w:val="1"/>
          <w:rtl w:val="0"/>
          <w:lang w:val="en-US"/>
        </w:rPr>
        <w:t xml:space="preserve">Communication in </w:t>
      </w:r>
      <w:r>
        <w:rPr>
          <w:i w:val="1"/>
          <w:iCs w:val="1"/>
          <w:rtl w:val="0"/>
          <w:lang w:val="en-US"/>
        </w:rPr>
        <w:t>H</w:t>
      </w:r>
      <w:r>
        <w:rPr>
          <w:i w:val="1"/>
          <w:iCs w:val="1"/>
          <w:rtl w:val="0"/>
          <w:lang w:val="en-US"/>
        </w:rPr>
        <w:t xml:space="preserve">ealth and </w:t>
      </w:r>
      <w:r>
        <w:rPr>
          <w:i w:val="1"/>
          <w:iCs w:val="1"/>
          <w:rtl w:val="0"/>
          <w:lang w:val="en-US"/>
        </w:rPr>
        <w:t>S</w:t>
      </w:r>
      <w:r>
        <w:rPr>
          <w:i w:val="1"/>
          <w:iCs w:val="1"/>
          <w:rtl w:val="0"/>
        </w:rPr>
        <w:t>ocial care</w:t>
      </w:r>
      <w:r>
        <w:rPr>
          <w:rtl w:val="0"/>
          <w:lang w:val="en-US"/>
        </w:rPr>
        <w:t xml:space="preserve">. Available at: </w:t>
      </w:r>
      <w:r>
        <w:rPr/>
        <w:fldChar w:fldCharType="begin" w:fldLock="0"/>
      </w:r>
      <w:r>
        <w:instrText xml:space="preserve"> HYPERLINK "https://www.scienceinsight.org/"</w:instrText>
      </w:r>
      <w:r>
        <w:rPr/>
        <w:fldChar w:fldCharType="separate" w:fldLock="0"/>
      </w:r>
      <w:r>
        <w:rPr>
          <w:rtl w:val="0"/>
          <w:lang w:val="en-US"/>
        </w:rPr>
        <w:t>https://www.scienceinsight.org</w:t>
      </w:r>
      <w:r>
        <w:rPr/>
        <w:fldChar w:fldCharType="end" w:fldLock="0"/>
      </w:r>
      <w:r>
        <w:rPr>
          <w:rtl w:val="0"/>
          <w:lang w:val="en-US"/>
        </w:rPr>
        <w:t xml:space="preserve"> (Accessed:</w:t>
      </w:r>
      <w:r>
        <w:rPr>
          <w:rtl w:val="0"/>
          <w:lang w:val="en-US"/>
        </w:rPr>
        <w:t xml:space="preserve">16 </w:t>
      </w:r>
      <w:r>
        <w:rPr>
          <w:rtl w:val="0"/>
          <w:lang w:val="it-IT"/>
        </w:rPr>
        <w:t>April 2026).</w:t>
      </w:r>
    </w:p>
    <w:p>
      <w:pPr>
        <w:pStyle w:val="Body"/>
      </w:pPr>
      <w:r>
        <w:rPr>
          <w:rtl w:val="0"/>
          <w:lang w:val="en-US"/>
        </w:rPr>
        <w:t xml:space="preserve">Social Work Degree (2025) </w:t>
      </w:r>
      <w:r>
        <w:rPr>
          <w:i w:val="1"/>
          <w:iCs w:val="1"/>
          <w:rtl w:val="0"/>
          <w:lang w:val="en-US"/>
        </w:rPr>
        <w:t xml:space="preserve">Empathy in </w:t>
      </w:r>
      <w:r>
        <w:rPr>
          <w:i w:val="1"/>
          <w:iCs w:val="1"/>
          <w:rtl w:val="0"/>
          <w:lang w:val="en-US"/>
        </w:rPr>
        <w:t>S</w:t>
      </w:r>
      <w:r>
        <w:rPr>
          <w:i w:val="1"/>
          <w:iCs w:val="1"/>
          <w:rtl w:val="0"/>
          <w:lang w:val="pt-PT"/>
        </w:rPr>
        <w:t xml:space="preserve">ocial </w:t>
      </w:r>
      <w:r>
        <w:rPr>
          <w:i w:val="1"/>
          <w:iCs w:val="1"/>
          <w:rtl w:val="0"/>
          <w:lang w:val="en-US"/>
        </w:rPr>
        <w:t>W</w:t>
      </w:r>
      <w:r>
        <w:rPr>
          <w:i w:val="1"/>
          <w:iCs w:val="1"/>
          <w:rtl w:val="0"/>
        </w:rPr>
        <w:t>ork.</w:t>
      </w:r>
      <w:r>
        <w:rPr>
          <w:rtl w:val="0"/>
          <w:lang w:val="en-US"/>
        </w:rPr>
        <w:t xml:space="preserve"> Available at: </w:t>
      </w:r>
      <w:r>
        <w:rPr/>
        <w:fldChar w:fldCharType="begin" w:fldLock="0"/>
      </w:r>
      <w:r>
        <w:instrText xml:space="preserve"> HYPERLINK "https://www.socialworkdegree.net/"</w:instrText>
      </w:r>
      <w:r>
        <w:rPr/>
        <w:fldChar w:fldCharType="separate" w:fldLock="0"/>
      </w:r>
      <w:r>
        <w:rPr>
          <w:rtl w:val="0"/>
          <w:lang w:val="en-US"/>
        </w:rPr>
        <w:t>https://www.socialworkdegree.net</w:t>
      </w:r>
      <w:r>
        <w:rPr/>
        <w:fldChar w:fldCharType="end" w:fldLock="0"/>
      </w:r>
      <w:r>
        <w:rPr>
          <w:rtl w:val="0"/>
          <w:lang w:val="en-US"/>
        </w:rPr>
        <w:t xml:space="preserve"> (Accessed: </w:t>
      </w:r>
      <w:r>
        <w:rPr>
          <w:rtl w:val="0"/>
          <w:lang w:val="en-US"/>
        </w:rPr>
        <w:t xml:space="preserve">16 </w:t>
      </w:r>
      <w:r>
        <w:rPr>
          <w:rtl w:val="0"/>
          <w:lang w:val="it-IT"/>
        </w:rPr>
        <w:t>April 2026).</w:t>
      </w:r>
    </w:p>
    <w:p>
      <w:pPr>
        <w:pStyle w:val="Body"/>
      </w:pPr>
      <w:r>
        <w:rPr>
          <w:rtl w:val="0"/>
        </w:rPr>
        <w:t xml:space="preserve">Social Work England (2023) </w:t>
      </w:r>
      <w:r>
        <w:rPr>
          <w:i w:val="1"/>
          <w:iCs w:val="1"/>
          <w:rtl w:val="0"/>
          <w:lang w:val="en-US"/>
        </w:rPr>
        <w:t xml:space="preserve">Professional </w:t>
      </w:r>
      <w:r>
        <w:rPr>
          <w:i w:val="1"/>
          <w:iCs w:val="1"/>
          <w:rtl w:val="0"/>
          <w:lang w:val="en-US"/>
        </w:rPr>
        <w:t>S</w:t>
      </w:r>
      <w:r>
        <w:rPr>
          <w:i w:val="1"/>
          <w:iCs w:val="1"/>
          <w:rtl w:val="0"/>
        </w:rPr>
        <w:t>tandards.</w:t>
      </w:r>
      <w:r>
        <w:rPr>
          <w:rtl w:val="0"/>
          <w:lang w:val="en-US"/>
        </w:rPr>
        <w:t xml:space="preserve"> Sheffield: Social Work England. Available at: </w:t>
      </w:r>
      <w:r>
        <w:rPr/>
        <w:fldChar w:fldCharType="begin" w:fldLock="0"/>
      </w:r>
      <w:r>
        <w:instrText xml:space="preserve"> HYPERLINK "https://www.socialworkengland.org.uk/"</w:instrText>
      </w:r>
      <w:r>
        <w:rPr/>
        <w:fldChar w:fldCharType="separate" w:fldLock="0"/>
      </w:r>
      <w:r>
        <w:rPr>
          <w:rtl w:val="0"/>
          <w:lang w:val="en-US"/>
        </w:rPr>
        <w:t>https://www.socialworkengland.org.uk</w:t>
      </w:r>
      <w:r>
        <w:rPr/>
        <w:fldChar w:fldCharType="end" w:fldLock="0"/>
      </w:r>
      <w:r>
        <w:rPr>
          <w:rtl w:val="0"/>
          <w:lang w:val="en-US"/>
        </w:rPr>
        <w:t xml:space="preserve"> (Accessed: </w:t>
      </w:r>
      <w:r>
        <w:rPr>
          <w:rtl w:val="0"/>
          <w:lang w:val="en-US"/>
        </w:rPr>
        <w:t xml:space="preserve">15 </w:t>
      </w:r>
      <w:r>
        <w:rPr>
          <w:rtl w:val="0"/>
          <w:lang w:val="it-IT"/>
        </w:rPr>
        <w:t>April 2026).</w:t>
      </w:r>
    </w:p>
    <w:p>
      <w:pPr>
        <w:pStyle w:val="Body"/>
      </w:pPr>
      <w:r>
        <w:rPr>
          <w:rtl w:val="0"/>
          <w:lang w:val="en-US"/>
        </w:rPr>
        <w:t xml:space="preserve">Social Work England (2026) </w:t>
      </w:r>
      <w:r>
        <w:rPr>
          <w:i w:val="1"/>
          <w:iCs w:val="1"/>
          <w:rtl w:val="0"/>
          <w:lang w:val="en-US"/>
        </w:rPr>
        <w:t xml:space="preserve">What is </w:t>
      </w:r>
      <w:r>
        <w:rPr>
          <w:i w:val="1"/>
          <w:iCs w:val="1"/>
          <w:rtl w:val="0"/>
          <w:lang w:val="en-US"/>
        </w:rPr>
        <w:t>S</w:t>
      </w:r>
      <w:r>
        <w:rPr>
          <w:i w:val="1"/>
          <w:iCs w:val="1"/>
          <w:rtl w:val="0"/>
          <w:lang w:val="pt-PT"/>
        </w:rPr>
        <w:t xml:space="preserve">ocial </w:t>
      </w:r>
      <w:r>
        <w:rPr>
          <w:i w:val="1"/>
          <w:iCs w:val="1"/>
          <w:rtl w:val="0"/>
          <w:lang w:val="en-US"/>
        </w:rPr>
        <w:t>W</w:t>
      </w:r>
      <w:r>
        <w:rPr>
          <w:i w:val="1"/>
          <w:iCs w:val="1"/>
          <w:rtl w:val="0"/>
          <w:lang w:val="zh-TW" w:eastAsia="zh-TW"/>
        </w:rPr>
        <w:t>ork?</w:t>
      </w:r>
      <w:r>
        <w:rPr>
          <w:rtl w:val="0"/>
          <w:lang w:val="en-US"/>
        </w:rPr>
        <w:t xml:space="preserve"> Sheffield: Social Work England. Available at: </w:t>
      </w:r>
      <w:r>
        <w:rPr/>
        <w:fldChar w:fldCharType="begin" w:fldLock="0"/>
      </w:r>
      <w:r>
        <w:instrText xml:space="preserve"> HYPERLINK "https://www.socialworkengland.org.uk/"</w:instrText>
      </w:r>
      <w:r>
        <w:rPr/>
        <w:fldChar w:fldCharType="separate" w:fldLock="0"/>
      </w:r>
      <w:r>
        <w:rPr>
          <w:rtl w:val="0"/>
          <w:lang w:val="en-US"/>
        </w:rPr>
        <w:t>https://www.socialworkengland.org.uk</w:t>
      </w:r>
      <w:r>
        <w:rPr/>
        <w:fldChar w:fldCharType="end" w:fldLock="0"/>
      </w:r>
      <w:r>
        <w:rPr>
          <w:rtl w:val="0"/>
          <w:lang w:val="en-US"/>
        </w:rPr>
        <w:t xml:space="preserve"> (Accessed: </w:t>
      </w:r>
      <w:r>
        <w:rPr>
          <w:rtl w:val="0"/>
          <w:lang w:val="en-US"/>
        </w:rPr>
        <w:t xml:space="preserve">15 </w:t>
      </w:r>
      <w:r>
        <w:rPr>
          <w:rtl w:val="0"/>
          <w:lang w:val="it-IT"/>
        </w:rPr>
        <w:t>April 2026).</w:t>
      </w:r>
    </w:p>
    <w:sectPr>
      <w:headerReference w:type="default" r:id="rId5"/>
      <w:headerReference w:type="first" r:id="rId6"/>
      <w:footerReference w:type="default" r:id="rId7"/>
      <w:footerReference w:type="first" r:id="rId8"/>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Segoe UI">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Segoe UI" w:cs="Segoe UI" w:hAnsi="Segoe UI" w:eastAsia="Segoe UI"/>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Segoe UI" w:cs="Segoe UI" w:hAnsi="Segoe UI" w:eastAsia="Segoe UI"/>
      <w:b w:val="0"/>
      <w:bCs w:val="0"/>
      <w:i w:val="0"/>
      <w:iCs w:val="0"/>
      <w:caps w:val="0"/>
      <w:smallCaps w:val="0"/>
      <w:strike w:val="0"/>
      <w:dstrike w:val="0"/>
      <w:outline w:val="0"/>
      <w:color w:val="2f5496"/>
      <w:spacing w:val="0"/>
      <w:kern w:val="0"/>
      <w:position w:val="0"/>
      <w:sz w:val="28"/>
      <w:szCs w:val="28"/>
      <w:u w:val="none" w:color="2f5496"/>
      <w:shd w:val="nil" w:color="auto" w:fill="auto"/>
      <w:vertAlign w:val="baseline"/>
      <w:lang w:val="en-US"/>
      <w14:textFill>
        <w14:solidFill>
          <w14:srgbClr w14:val="2F5496"/>
        </w14:solidFill>
      </w14:textFill>
    </w:rPr>
  </w:style>
  <w:style w:type="paragraph" w:styleId="toc 2">
    <w:name w:val="toc 2"/>
    <w:next w:val="Body"/>
    <w:pPr>
      <w:keepNext w:val="0"/>
      <w:keepLines w:val="0"/>
      <w:pageBreakBefore w:val="0"/>
      <w:widowControl w:val="1"/>
      <w:shd w:val="clear" w:color="auto" w:fill="auto"/>
      <w:suppressAutoHyphens w:val="0"/>
      <w:bidi w:val="0"/>
      <w:spacing w:before="120" w:after="0" w:line="259" w:lineRule="auto"/>
      <w:ind w:left="220" w:right="0" w:firstLine="0"/>
      <w:jc w:val="left"/>
      <w:outlineLvl w:val="9"/>
    </w:pPr>
    <w:rPr>
      <w:rFonts w:ascii="Segoe UI" w:cs="Segoe UI" w:hAnsi="Segoe UI" w:eastAsia="Segoe UI"/>
      <w:b w:val="1"/>
      <w:bCs w:val="1"/>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Segoe UI" w:cs="Segoe UI" w:hAnsi="Segoe UI" w:eastAsia="Segoe UI"/>
      <w:b w:val="0"/>
      <w:bCs w:val="0"/>
      <w:i w:val="0"/>
      <w:iCs w:val="0"/>
      <w:caps w:val="0"/>
      <w:smallCaps w:val="0"/>
      <w:strike w:val="0"/>
      <w:dstrike w:val="0"/>
      <w:outline w:val="0"/>
      <w:color w:val="2f5496"/>
      <w:spacing w:val="0"/>
      <w:kern w:val="2"/>
      <w:position w:val="0"/>
      <w:sz w:val="28"/>
      <w:szCs w:val="28"/>
      <w:u w:val="none" w:color="2f5496"/>
      <w:shd w:val="nil" w:color="auto" w:fill="auto"/>
      <w:vertAlign w:val="baseline"/>
      <w14:textOutline>
        <w14:noFill/>
      </w14:textOutline>
      <w14:textFill>
        <w14:solidFill>
          <w14:srgbClr w14:val="2F5496"/>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Segoe UI" w:cs="Segoe UI" w:hAnsi="Segoe UI" w:eastAsia="Segoe UI"/>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