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AAE1E" w14:textId="77777777" w:rsidR="00DB16BB" w:rsidRPr="00A07122" w:rsidRDefault="00DB16BB" w:rsidP="00D96189">
      <w:pPr>
        <w:spacing w:line="360" w:lineRule="auto"/>
        <w:jc w:val="center"/>
        <w:rPr>
          <w:rFonts w:ascii="Arial" w:hAnsi="Arial" w:cs="Arial"/>
          <w:b/>
          <w:bCs/>
          <w:lang w:val="en-GB"/>
        </w:rPr>
      </w:pPr>
    </w:p>
    <w:p w14:paraId="3727C5C5" w14:textId="77777777" w:rsidR="00DB16BB" w:rsidRPr="00A07122" w:rsidRDefault="00DB16BB" w:rsidP="00D96189">
      <w:pPr>
        <w:spacing w:line="360" w:lineRule="auto"/>
        <w:jc w:val="center"/>
        <w:rPr>
          <w:rFonts w:ascii="Arial" w:hAnsi="Arial" w:cs="Arial"/>
          <w:b/>
          <w:bCs/>
          <w:lang w:val="en-GB"/>
        </w:rPr>
      </w:pPr>
    </w:p>
    <w:p w14:paraId="68BE7D87" w14:textId="77777777" w:rsidR="00DB16BB" w:rsidRPr="00A07122" w:rsidRDefault="00DB16BB" w:rsidP="00D96189">
      <w:pPr>
        <w:spacing w:line="360" w:lineRule="auto"/>
        <w:jc w:val="center"/>
        <w:rPr>
          <w:rFonts w:ascii="Arial" w:hAnsi="Arial" w:cs="Arial"/>
          <w:b/>
          <w:bCs/>
          <w:lang w:val="en-GB"/>
        </w:rPr>
      </w:pPr>
    </w:p>
    <w:p w14:paraId="07FA741B" w14:textId="77777777" w:rsidR="00DB16BB" w:rsidRPr="00A07122" w:rsidRDefault="00DB16BB" w:rsidP="00D96189">
      <w:pPr>
        <w:spacing w:line="360" w:lineRule="auto"/>
        <w:jc w:val="center"/>
        <w:rPr>
          <w:rFonts w:ascii="Arial" w:hAnsi="Arial" w:cs="Arial"/>
          <w:b/>
          <w:bCs/>
          <w:lang w:val="en-GB"/>
        </w:rPr>
      </w:pPr>
    </w:p>
    <w:p w14:paraId="518E2988" w14:textId="77777777" w:rsidR="00876E91" w:rsidRDefault="00876E91" w:rsidP="00D96189">
      <w:pPr>
        <w:spacing w:line="360" w:lineRule="auto"/>
        <w:jc w:val="center"/>
        <w:rPr>
          <w:rFonts w:ascii="Arial" w:hAnsi="Arial" w:cs="Arial"/>
          <w:b/>
          <w:bCs/>
          <w:lang w:val="en-GB"/>
        </w:rPr>
      </w:pPr>
    </w:p>
    <w:p w14:paraId="782FC9AB" w14:textId="77777777" w:rsidR="00876E91" w:rsidRDefault="00876E91" w:rsidP="00D96189">
      <w:pPr>
        <w:spacing w:line="360" w:lineRule="auto"/>
        <w:jc w:val="center"/>
        <w:rPr>
          <w:rFonts w:ascii="Arial" w:hAnsi="Arial" w:cs="Arial"/>
          <w:b/>
          <w:bCs/>
          <w:lang w:val="en-GB"/>
        </w:rPr>
      </w:pPr>
    </w:p>
    <w:p w14:paraId="4F32D9D4" w14:textId="52F85A75" w:rsidR="00876E91" w:rsidRDefault="00876E91" w:rsidP="00876E91">
      <w:pPr>
        <w:tabs>
          <w:tab w:val="left" w:pos="816"/>
        </w:tabs>
        <w:spacing w:line="360" w:lineRule="auto"/>
        <w:rPr>
          <w:rFonts w:ascii="Arial" w:hAnsi="Arial" w:cs="Arial"/>
          <w:b/>
          <w:bCs/>
          <w:lang w:val="en-GB"/>
        </w:rPr>
      </w:pPr>
      <w:r>
        <w:rPr>
          <w:rFonts w:ascii="Arial" w:hAnsi="Arial" w:cs="Arial"/>
          <w:b/>
          <w:bCs/>
          <w:lang w:val="en-GB"/>
        </w:rPr>
        <w:tab/>
      </w:r>
      <w:r>
        <w:rPr>
          <w:noProof/>
        </w:rPr>
        <w:drawing>
          <wp:inline distT="0" distB="0" distL="0" distR="0" wp14:anchorId="018BD31C" wp14:editId="76A5D564">
            <wp:extent cx="4457700" cy="1264920"/>
            <wp:effectExtent l="0" t="0" r="0" b="0"/>
            <wp:docPr id="3164457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7700" cy="1264920"/>
                    </a:xfrm>
                    <a:prstGeom prst="rect">
                      <a:avLst/>
                    </a:prstGeom>
                    <a:noFill/>
                    <a:ln>
                      <a:noFill/>
                    </a:ln>
                  </pic:spPr>
                </pic:pic>
              </a:graphicData>
            </a:graphic>
          </wp:inline>
        </w:drawing>
      </w:r>
    </w:p>
    <w:p w14:paraId="3A3A8742" w14:textId="77777777" w:rsidR="00876E91" w:rsidRDefault="00876E91" w:rsidP="00D96189">
      <w:pPr>
        <w:spacing w:line="360" w:lineRule="auto"/>
        <w:jc w:val="center"/>
        <w:rPr>
          <w:rFonts w:ascii="Arial" w:hAnsi="Arial" w:cs="Arial"/>
          <w:b/>
          <w:bCs/>
          <w:lang w:val="en-GB"/>
        </w:rPr>
      </w:pPr>
    </w:p>
    <w:p w14:paraId="7658AB69" w14:textId="77777777" w:rsidR="00876E91" w:rsidRDefault="00876E91" w:rsidP="00D96189">
      <w:pPr>
        <w:spacing w:line="360" w:lineRule="auto"/>
        <w:jc w:val="center"/>
        <w:rPr>
          <w:rFonts w:ascii="Arial" w:hAnsi="Arial" w:cs="Arial"/>
          <w:b/>
          <w:bCs/>
          <w:lang w:val="en-GB"/>
        </w:rPr>
      </w:pPr>
    </w:p>
    <w:p w14:paraId="2BF15DE1" w14:textId="77777777" w:rsidR="00876E91" w:rsidRDefault="00876E91" w:rsidP="00D96189">
      <w:pPr>
        <w:spacing w:line="360" w:lineRule="auto"/>
        <w:jc w:val="center"/>
        <w:rPr>
          <w:rFonts w:ascii="Arial" w:hAnsi="Arial" w:cs="Arial"/>
          <w:b/>
          <w:bCs/>
          <w:lang w:val="en-GB"/>
        </w:rPr>
      </w:pPr>
    </w:p>
    <w:p w14:paraId="76467965" w14:textId="77777777" w:rsidR="00876E91" w:rsidRDefault="00876E91" w:rsidP="00D96189">
      <w:pPr>
        <w:spacing w:line="360" w:lineRule="auto"/>
        <w:jc w:val="center"/>
        <w:rPr>
          <w:rFonts w:ascii="Arial" w:hAnsi="Arial" w:cs="Arial"/>
          <w:b/>
          <w:bCs/>
          <w:lang w:val="en-GB"/>
        </w:rPr>
      </w:pPr>
    </w:p>
    <w:p w14:paraId="4E28D1D6" w14:textId="549C3052" w:rsidR="00876E91" w:rsidRDefault="00876E91" w:rsidP="00876E91">
      <w:pPr>
        <w:tabs>
          <w:tab w:val="left" w:pos="600"/>
        </w:tabs>
        <w:spacing w:line="360" w:lineRule="auto"/>
        <w:rPr>
          <w:rFonts w:ascii="Arial" w:hAnsi="Arial" w:cs="Arial"/>
          <w:b/>
          <w:bCs/>
          <w:lang w:val="en-GB"/>
        </w:rPr>
      </w:pPr>
      <w:r>
        <w:rPr>
          <w:rFonts w:ascii="Arial" w:hAnsi="Arial" w:cs="Arial"/>
          <w:b/>
          <w:bCs/>
          <w:lang w:val="en-GB"/>
        </w:rPr>
        <w:tab/>
        <w:t xml:space="preserve">Student Name: </w:t>
      </w:r>
      <w:r>
        <w:rPr>
          <w:rFonts w:ascii="Arial" w:hAnsi="Arial" w:cs="Arial"/>
          <w:bCs/>
        </w:rPr>
        <w:t>Vilma Dias Rodrigues</w:t>
      </w:r>
    </w:p>
    <w:p w14:paraId="19A526F5" w14:textId="77777777" w:rsidR="00876E91" w:rsidRDefault="00876E91" w:rsidP="00876E91">
      <w:pPr>
        <w:pStyle w:val="NormalWeb"/>
        <w:rPr>
          <w:rFonts w:ascii="Arial" w:hAnsi="Arial" w:cs="Arial"/>
          <w:bCs/>
          <w:sz w:val="22"/>
          <w:szCs w:val="22"/>
        </w:rPr>
      </w:pPr>
      <w:r>
        <w:rPr>
          <w:rFonts w:ascii="Arial" w:hAnsi="Arial" w:cs="Arial"/>
          <w:b/>
          <w:bCs/>
        </w:rPr>
        <w:t xml:space="preserve">          Student ID: </w:t>
      </w:r>
      <w:r>
        <w:rPr>
          <w:rFonts w:ascii="Arial" w:hAnsi="Arial" w:cs="Arial"/>
          <w:bCs/>
          <w:sz w:val="22"/>
          <w:szCs w:val="22"/>
        </w:rPr>
        <w:t>233647</w:t>
      </w:r>
      <w:r>
        <w:rPr>
          <w:rFonts w:ascii="Arial" w:hAnsi="Arial" w:cs="Arial"/>
          <w:bCs/>
          <w:sz w:val="22"/>
          <w:szCs w:val="22"/>
        </w:rPr>
        <w:t>8</w:t>
      </w:r>
    </w:p>
    <w:p w14:paraId="4329C5CC" w14:textId="53ED0A4E" w:rsidR="00876E91" w:rsidRPr="00BD4639" w:rsidRDefault="00876E91" w:rsidP="00876E91">
      <w:pPr>
        <w:pStyle w:val="NormalWeb"/>
        <w:rPr>
          <w:rFonts w:ascii="Arial" w:hAnsi="Arial" w:cs="Arial"/>
        </w:rPr>
      </w:pPr>
      <w:r>
        <w:rPr>
          <w:rFonts w:ascii="Arial" w:hAnsi="Arial" w:cs="Arial"/>
          <w:bCs/>
          <w:sz w:val="22"/>
          <w:szCs w:val="22"/>
        </w:rPr>
        <w:t xml:space="preserve">         </w:t>
      </w:r>
      <w:r>
        <w:rPr>
          <w:rFonts w:ascii="Arial" w:hAnsi="Arial" w:cs="Arial"/>
          <w:b/>
          <w:bCs/>
        </w:rPr>
        <w:t xml:space="preserve"> Module Code and Name</w:t>
      </w:r>
      <w:r w:rsidRPr="00BD4639">
        <w:rPr>
          <w:rFonts w:ascii="Arial" w:hAnsi="Arial" w:cs="Arial"/>
        </w:rPr>
        <w:t xml:space="preserve">: Introduction to Independent Research Skills </w:t>
      </w:r>
      <w:r w:rsidR="00BD4639">
        <w:rPr>
          <w:rFonts w:ascii="Arial" w:hAnsi="Arial" w:cs="Arial"/>
        </w:rPr>
        <w:t xml:space="preserve">   </w:t>
      </w:r>
      <w:r w:rsidRPr="00BD4639">
        <w:rPr>
          <w:rFonts w:ascii="Arial" w:hAnsi="Arial" w:cs="Arial"/>
        </w:rPr>
        <w:t>(BMHP5019)</w:t>
      </w:r>
    </w:p>
    <w:p w14:paraId="31DE6990" w14:textId="0426FA5E" w:rsidR="00876E91" w:rsidRPr="00876E91" w:rsidRDefault="00876E91" w:rsidP="00876E91">
      <w:pPr>
        <w:pStyle w:val="NormalWeb"/>
        <w:rPr>
          <w:rFonts w:ascii="Arial" w:hAnsi="Arial" w:cs="Arial"/>
          <w:bCs/>
          <w:sz w:val="22"/>
          <w:szCs w:val="22"/>
        </w:rPr>
      </w:pPr>
      <w:r>
        <w:rPr>
          <w:rFonts w:ascii="Arial" w:hAnsi="Arial" w:cs="Arial"/>
          <w:b/>
          <w:bCs/>
        </w:rPr>
        <w:t xml:space="preserve">        Module Lecture: </w:t>
      </w:r>
      <w:r w:rsidRPr="00BD4639">
        <w:rPr>
          <w:rFonts w:ascii="Arial" w:hAnsi="Arial" w:cs="Arial"/>
        </w:rPr>
        <w:t xml:space="preserve">Eleni </w:t>
      </w:r>
      <w:r w:rsidR="00BD4639" w:rsidRPr="00BD4639">
        <w:rPr>
          <w:rFonts w:ascii="Arial" w:hAnsi="Arial" w:cs="Arial"/>
        </w:rPr>
        <w:t>Koutsogeorgou Andreou</w:t>
      </w:r>
      <w:r w:rsidR="00BD4639">
        <w:rPr>
          <w:rFonts w:ascii="Arial" w:hAnsi="Arial" w:cs="Arial"/>
          <w:b/>
          <w:bCs/>
        </w:rPr>
        <w:t xml:space="preserve"> </w:t>
      </w:r>
    </w:p>
    <w:p w14:paraId="14ACBDEF" w14:textId="77777777" w:rsidR="00876E91" w:rsidRDefault="00876E91" w:rsidP="00D96189">
      <w:pPr>
        <w:spacing w:line="360" w:lineRule="auto"/>
        <w:jc w:val="center"/>
        <w:rPr>
          <w:rFonts w:ascii="Arial" w:hAnsi="Arial" w:cs="Arial"/>
          <w:b/>
          <w:bCs/>
          <w:lang w:val="en-GB"/>
        </w:rPr>
      </w:pPr>
    </w:p>
    <w:p w14:paraId="76068E4E" w14:textId="77777777" w:rsidR="00876E91" w:rsidRDefault="00876E91" w:rsidP="00D96189">
      <w:pPr>
        <w:spacing w:line="360" w:lineRule="auto"/>
        <w:jc w:val="center"/>
        <w:rPr>
          <w:rFonts w:ascii="Arial" w:hAnsi="Arial" w:cs="Arial"/>
          <w:b/>
          <w:bCs/>
          <w:lang w:val="en-GB"/>
        </w:rPr>
      </w:pPr>
    </w:p>
    <w:p w14:paraId="0F9FA031" w14:textId="77777777" w:rsidR="00876E91" w:rsidRDefault="00876E91" w:rsidP="00D96189">
      <w:pPr>
        <w:spacing w:line="360" w:lineRule="auto"/>
        <w:jc w:val="center"/>
        <w:rPr>
          <w:rFonts w:ascii="Arial" w:hAnsi="Arial" w:cs="Arial"/>
          <w:b/>
          <w:bCs/>
          <w:lang w:val="en-GB"/>
        </w:rPr>
      </w:pPr>
    </w:p>
    <w:p w14:paraId="6B55F35B" w14:textId="77777777" w:rsidR="00876E91" w:rsidRDefault="00876E91" w:rsidP="00D96189">
      <w:pPr>
        <w:spacing w:line="360" w:lineRule="auto"/>
        <w:jc w:val="center"/>
        <w:rPr>
          <w:rFonts w:ascii="Arial" w:hAnsi="Arial" w:cs="Arial"/>
          <w:b/>
          <w:bCs/>
          <w:lang w:val="en-GB"/>
        </w:rPr>
      </w:pPr>
    </w:p>
    <w:p w14:paraId="6CED7FB5" w14:textId="77777777" w:rsidR="00876E91" w:rsidRDefault="00876E91" w:rsidP="00D96189">
      <w:pPr>
        <w:spacing w:line="360" w:lineRule="auto"/>
        <w:jc w:val="center"/>
        <w:rPr>
          <w:rFonts w:ascii="Arial" w:hAnsi="Arial" w:cs="Arial"/>
          <w:b/>
          <w:bCs/>
          <w:lang w:val="en-GB"/>
        </w:rPr>
      </w:pPr>
    </w:p>
    <w:p w14:paraId="19B31DFA" w14:textId="123A4A83" w:rsidR="00852445" w:rsidRPr="00A07122" w:rsidRDefault="00852445" w:rsidP="00876E91">
      <w:pPr>
        <w:spacing w:line="360" w:lineRule="auto"/>
        <w:rPr>
          <w:rFonts w:ascii="Arial" w:hAnsi="Arial" w:cs="Arial"/>
          <w:b/>
          <w:bCs/>
          <w:lang w:val="en-GB"/>
        </w:rPr>
      </w:pPr>
      <w:r w:rsidRPr="00A07122">
        <w:rPr>
          <w:rFonts w:ascii="Arial" w:hAnsi="Arial" w:cs="Arial"/>
          <w:b/>
          <w:bCs/>
          <w:lang w:val="en-GB"/>
        </w:rPr>
        <w:lastRenderedPageBreak/>
        <w:t>The Effect of Staff Burnout on Quality of Care in UK Social Care Settings</w:t>
      </w:r>
    </w:p>
    <w:p w14:paraId="7290DA75" w14:textId="77777777" w:rsidR="00852445" w:rsidRPr="00A07122" w:rsidRDefault="00852445" w:rsidP="00876E91">
      <w:pPr>
        <w:pStyle w:val="Heading2"/>
        <w:shd w:val="clear" w:color="auto" w:fill="FFFFFF"/>
        <w:spacing w:before="480" w:after="240" w:line="360" w:lineRule="auto"/>
        <w:rPr>
          <w:rFonts w:ascii="Arial" w:hAnsi="Arial" w:cs="Arial"/>
          <w:b/>
          <w:bCs/>
          <w:color w:val="auto"/>
          <w:sz w:val="22"/>
          <w:szCs w:val="22"/>
          <w:lang w:val="en-GB"/>
        </w:rPr>
      </w:pPr>
      <w:bookmarkStart w:id="0" w:name="_Toc225256998"/>
      <w:r w:rsidRPr="00A07122">
        <w:rPr>
          <w:rFonts w:ascii="Arial" w:hAnsi="Arial" w:cs="Arial"/>
          <w:b/>
          <w:bCs/>
          <w:color w:val="auto"/>
          <w:sz w:val="22"/>
          <w:szCs w:val="22"/>
          <w:lang w:val="en-GB"/>
        </w:rPr>
        <w:t>Abstract</w:t>
      </w:r>
      <w:bookmarkEnd w:id="0"/>
    </w:p>
    <w:p w14:paraId="197B12E1" w14:textId="39B17251" w:rsidR="00FD5F4F" w:rsidRPr="00A07122" w:rsidRDefault="00FD5F4F"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present manuscript sets out a scoping review into the impact of staff burnout upon the quality of care in United Kingdom social care settings. The </w:t>
      </w:r>
      <w:r w:rsidR="00D96189" w:rsidRPr="00A07122">
        <w:rPr>
          <w:rFonts w:ascii="Arial" w:hAnsi="Arial" w:cs="Arial"/>
          <w:sz w:val="22"/>
          <w:szCs w:val="22"/>
          <w:lang w:val="en-GB"/>
        </w:rPr>
        <w:t xml:space="preserve">main research </w:t>
      </w:r>
      <w:r w:rsidR="00DB16BB" w:rsidRPr="00A07122">
        <w:rPr>
          <w:rFonts w:ascii="Arial" w:hAnsi="Arial" w:cs="Arial"/>
          <w:sz w:val="22"/>
          <w:szCs w:val="22"/>
          <w:lang w:val="en-GB"/>
        </w:rPr>
        <w:t>question was</w:t>
      </w:r>
      <w:r w:rsidRPr="00A07122">
        <w:rPr>
          <w:rFonts w:ascii="Arial" w:hAnsi="Arial" w:cs="Arial"/>
          <w:sz w:val="22"/>
          <w:szCs w:val="22"/>
          <w:lang w:val="en-GB"/>
        </w:rPr>
        <w:t xml:space="preserve">: how does staff burnout impact on the </w:t>
      </w:r>
      <w:r w:rsidR="00DB16BB" w:rsidRPr="00A07122">
        <w:rPr>
          <w:rFonts w:ascii="Arial" w:hAnsi="Arial" w:cs="Arial"/>
          <w:sz w:val="22"/>
          <w:szCs w:val="22"/>
          <w:lang w:val="en-GB"/>
        </w:rPr>
        <w:t>quality-of-care</w:t>
      </w:r>
      <w:r w:rsidRPr="00A07122">
        <w:rPr>
          <w:rFonts w:ascii="Arial" w:hAnsi="Arial" w:cs="Arial"/>
          <w:sz w:val="22"/>
          <w:szCs w:val="22"/>
          <w:lang w:val="en-GB"/>
        </w:rPr>
        <w:t xml:space="preserve"> </w:t>
      </w:r>
      <w:r w:rsidR="00363039" w:rsidRPr="00A07122">
        <w:rPr>
          <w:rFonts w:ascii="Arial" w:hAnsi="Arial" w:cs="Arial"/>
          <w:sz w:val="22"/>
          <w:szCs w:val="22"/>
          <w:lang w:val="en-GB"/>
        </w:rPr>
        <w:t>achievement</w:t>
      </w:r>
      <w:r w:rsidRPr="00A07122">
        <w:rPr>
          <w:rFonts w:ascii="Arial" w:hAnsi="Arial" w:cs="Arial"/>
          <w:sz w:val="22"/>
          <w:szCs w:val="22"/>
          <w:lang w:val="en-GB"/>
        </w:rPr>
        <w:t xml:space="preserve"> in the context of social care in the UK? The objectives included: (i) defining and operationalising burnout; (ii) explaining the consequences of burnout in terms of care quality dimensions; and (iii) highlighting gaps in UK specific evidence. Employing the Arksey and O'Malley (2005) methodology, and strictly following the methodology outlined in the PRISMA-ScR guidelines (Tricco et al., 2018), a systematic search of the databases was performed to identify peer-reviewed investigations that addressed the issue of burnout experienced by long-term care. Subsequent screening produced a total of </w:t>
      </w:r>
      <w:r w:rsidR="00B55152" w:rsidRPr="00A07122">
        <w:rPr>
          <w:rFonts w:ascii="Arial" w:hAnsi="Arial" w:cs="Arial"/>
          <w:sz w:val="22"/>
          <w:szCs w:val="22"/>
          <w:lang w:val="en-GB"/>
        </w:rPr>
        <w:t>six</w:t>
      </w:r>
      <w:r w:rsidRPr="00A07122">
        <w:rPr>
          <w:rFonts w:ascii="Arial" w:hAnsi="Arial" w:cs="Arial"/>
          <w:sz w:val="22"/>
          <w:szCs w:val="22"/>
          <w:lang w:val="en-GB"/>
        </w:rPr>
        <w:t xml:space="preserve"> core studies (a combination of systematic reviews, cross sectional surveys, scoping review protocols and qualitative enquiries) which were subject</w:t>
      </w:r>
      <w:r w:rsidR="008F4421" w:rsidRPr="00A07122">
        <w:rPr>
          <w:rFonts w:ascii="Arial" w:hAnsi="Arial" w:cs="Arial"/>
          <w:sz w:val="22"/>
          <w:szCs w:val="22"/>
          <w:lang w:val="en-GB"/>
        </w:rPr>
        <w:t>ed</w:t>
      </w:r>
      <w:r w:rsidRPr="00A07122">
        <w:rPr>
          <w:rFonts w:ascii="Arial" w:hAnsi="Arial" w:cs="Arial"/>
          <w:sz w:val="22"/>
          <w:szCs w:val="22"/>
          <w:lang w:val="en-GB"/>
        </w:rPr>
        <w:t xml:space="preserve"> to rigorous thematic analysis. Three general themes- (1) burnout as a complex phenomenon requiring standardised measurement, (2) the link between burnout and a diminished care quality indicators and (3) systemic and contextual determinants modulating the prevalence of burnout-emerged.</w:t>
      </w:r>
      <w:r w:rsidR="00A84704" w:rsidRPr="00A07122">
        <w:rPr>
          <w:rFonts w:ascii="Arial" w:hAnsi="Arial" w:cs="Arial"/>
        </w:rPr>
        <w:t xml:space="preserve"> </w:t>
      </w:r>
      <w:r w:rsidR="00A84704" w:rsidRPr="00A07122">
        <w:rPr>
          <w:rFonts w:ascii="Arial" w:hAnsi="Arial" w:cs="Arial"/>
          <w:sz w:val="22"/>
          <w:szCs w:val="22"/>
          <w:lang w:val="en-GB"/>
        </w:rPr>
        <w:t>Findings demonstrate that burnout among care staff is consistently associated with reduced quality of care, manifesting in missed care, compromised patient safety, and diminished therapeutic relationships.</w:t>
      </w:r>
      <w:r w:rsidRPr="00A07122">
        <w:rPr>
          <w:rFonts w:ascii="Arial" w:hAnsi="Arial" w:cs="Arial"/>
          <w:sz w:val="22"/>
          <w:szCs w:val="22"/>
          <w:lang w:val="en-GB"/>
        </w:rPr>
        <w:t xml:space="preserve"> Of importance to note is that the review reveals substantive gaps in longitudinal studies on the UK and in intervention trials, hence calling for a critical need for elucidating causality. Recommendations are advanced to include advocacy of fortified workforce support mechanism, integration of staff wellbeing into regulatory aspects and prioritising longitudinal UK research to unpick causal pathways to relationship between burnout and outcomes of quality of care.</w:t>
      </w:r>
    </w:p>
    <w:p w14:paraId="08811F0E" w14:textId="697699D6" w:rsidR="00852445" w:rsidRPr="00A07122" w:rsidRDefault="00852445"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Style w:val="Strong"/>
          <w:rFonts w:ascii="Arial" w:hAnsi="Arial" w:cs="Arial"/>
          <w:sz w:val="22"/>
          <w:szCs w:val="22"/>
          <w:lang w:val="en-GB"/>
        </w:rPr>
        <w:t>Keywords:</w:t>
      </w:r>
      <w:r w:rsidRPr="00A07122">
        <w:rPr>
          <w:rFonts w:ascii="Arial" w:hAnsi="Arial" w:cs="Arial"/>
          <w:sz w:val="22"/>
          <w:szCs w:val="22"/>
          <w:lang w:val="en-GB"/>
        </w:rPr>
        <w:t> burnout, quality of care, social care, UK, long-term care, workforce wellbeing</w:t>
      </w:r>
    </w:p>
    <w:p w14:paraId="05F8A813" w14:textId="2F5481A6"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034F77BA" w14:textId="77777777" w:rsidR="00DB16BB" w:rsidRPr="00A07122" w:rsidRDefault="00DB16BB"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09764FB7" w14:textId="77777777" w:rsidR="00DB16BB" w:rsidRPr="00A07122" w:rsidRDefault="00DB16BB"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22260EBE" w14:textId="77777777" w:rsidR="00DB16BB" w:rsidRPr="00A07122" w:rsidRDefault="00DB16BB"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57FE7F3E" w14:textId="5964415E"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762C96CD" w14:textId="2CCA44AA"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66B90100" w14:textId="437BCEF9" w:rsidR="00B85209" w:rsidRPr="00A07122" w:rsidRDefault="00B85209" w:rsidP="00876E91">
      <w:pPr>
        <w:pStyle w:val="ds-markdown-paragraph"/>
        <w:shd w:val="clear" w:color="auto" w:fill="FFFFFF"/>
        <w:spacing w:before="240" w:beforeAutospacing="0" w:after="240" w:afterAutospacing="0" w:line="360" w:lineRule="auto"/>
        <w:rPr>
          <w:rFonts w:ascii="Arial" w:hAnsi="Arial" w:cs="Arial"/>
          <w:b/>
          <w:bCs/>
          <w:sz w:val="22"/>
          <w:szCs w:val="22"/>
          <w:lang w:val="en-GB"/>
        </w:rPr>
      </w:pPr>
      <w:r w:rsidRPr="00A07122">
        <w:rPr>
          <w:rFonts w:ascii="Arial" w:hAnsi="Arial" w:cs="Arial"/>
          <w:b/>
          <w:bCs/>
          <w:sz w:val="22"/>
          <w:szCs w:val="22"/>
          <w:lang w:val="en-GB"/>
        </w:rPr>
        <w:t>Table of Contents</w:t>
      </w:r>
    </w:p>
    <w:sdt>
      <w:sdtPr>
        <w:rPr>
          <w:rFonts w:ascii="Arial" w:eastAsiaTheme="minorHAnsi" w:hAnsi="Arial" w:cs="Arial"/>
          <w:color w:val="auto"/>
          <w:sz w:val="22"/>
          <w:szCs w:val="22"/>
        </w:rPr>
        <w:id w:val="-729074145"/>
        <w:docPartObj>
          <w:docPartGallery w:val="Table of Contents"/>
          <w:docPartUnique/>
        </w:docPartObj>
      </w:sdtPr>
      <w:sdtEndPr>
        <w:rPr>
          <w:noProof/>
        </w:rPr>
      </w:sdtEndPr>
      <w:sdtContent>
        <w:p w14:paraId="2536F23F" w14:textId="4A594FC1" w:rsidR="00B85209" w:rsidRPr="00A07122" w:rsidRDefault="00B85209" w:rsidP="00876E91">
          <w:pPr>
            <w:pStyle w:val="TOCHeading"/>
            <w:rPr>
              <w:rFonts w:ascii="Arial" w:hAnsi="Arial" w:cs="Arial"/>
              <w:color w:val="auto"/>
              <w:sz w:val="22"/>
              <w:szCs w:val="22"/>
            </w:rPr>
          </w:pPr>
        </w:p>
        <w:p w14:paraId="1341098C" w14:textId="7B44BED4" w:rsidR="00A07122" w:rsidRPr="00A07122" w:rsidRDefault="00B85209"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r w:rsidRPr="00A07122">
            <w:rPr>
              <w:rFonts w:ascii="Arial" w:hAnsi="Arial" w:cs="Arial"/>
            </w:rPr>
            <w:fldChar w:fldCharType="begin"/>
          </w:r>
          <w:r w:rsidRPr="00A07122">
            <w:rPr>
              <w:rFonts w:ascii="Arial" w:hAnsi="Arial" w:cs="Arial"/>
            </w:rPr>
            <w:instrText xml:space="preserve"> TOC \o "1-3" \h \z \u </w:instrText>
          </w:r>
          <w:r w:rsidRPr="00A07122">
            <w:rPr>
              <w:rFonts w:ascii="Arial" w:hAnsi="Arial" w:cs="Arial"/>
            </w:rPr>
            <w:fldChar w:fldCharType="separate"/>
          </w:r>
          <w:hyperlink w:anchor="_Toc225256998" w:history="1">
            <w:r w:rsidR="00A07122" w:rsidRPr="00A07122">
              <w:rPr>
                <w:rStyle w:val="Hyperlink"/>
                <w:rFonts w:ascii="Arial" w:hAnsi="Arial" w:cs="Arial"/>
                <w:noProof/>
                <w:lang w:val="en-GB"/>
              </w:rPr>
              <w:t>Abstract</w:t>
            </w:r>
            <w:r w:rsidR="00A07122" w:rsidRPr="00A07122">
              <w:rPr>
                <w:rFonts w:ascii="Arial" w:hAnsi="Arial" w:cs="Arial"/>
                <w:noProof/>
                <w:webHidden/>
              </w:rPr>
              <w:tab/>
            </w:r>
            <w:r w:rsidR="00A07122" w:rsidRPr="00A07122">
              <w:rPr>
                <w:rFonts w:ascii="Arial" w:hAnsi="Arial" w:cs="Arial"/>
                <w:noProof/>
                <w:webHidden/>
              </w:rPr>
              <w:fldChar w:fldCharType="begin"/>
            </w:r>
            <w:r w:rsidR="00A07122" w:rsidRPr="00A07122">
              <w:rPr>
                <w:rFonts w:ascii="Arial" w:hAnsi="Arial" w:cs="Arial"/>
                <w:noProof/>
                <w:webHidden/>
              </w:rPr>
              <w:instrText xml:space="preserve"> PAGEREF _Toc225256998 \h </w:instrText>
            </w:r>
            <w:r w:rsidR="00A07122" w:rsidRPr="00A07122">
              <w:rPr>
                <w:rFonts w:ascii="Arial" w:hAnsi="Arial" w:cs="Arial"/>
                <w:noProof/>
                <w:webHidden/>
              </w:rPr>
            </w:r>
            <w:r w:rsidR="00A07122" w:rsidRPr="00A07122">
              <w:rPr>
                <w:rFonts w:ascii="Arial" w:hAnsi="Arial" w:cs="Arial"/>
                <w:noProof/>
                <w:webHidden/>
              </w:rPr>
              <w:fldChar w:fldCharType="separate"/>
            </w:r>
            <w:r w:rsidR="00A07122" w:rsidRPr="00A07122">
              <w:rPr>
                <w:rFonts w:ascii="Arial" w:hAnsi="Arial" w:cs="Arial"/>
                <w:noProof/>
                <w:webHidden/>
              </w:rPr>
              <w:t>2</w:t>
            </w:r>
            <w:r w:rsidR="00A07122" w:rsidRPr="00A07122">
              <w:rPr>
                <w:rFonts w:ascii="Arial" w:hAnsi="Arial" w:cs="Arial"/>
                <w:noProof/>
                <w:webHidden/>
              </w:rPr>
              <w:fldChar w:fldCharType="end"/>
            </w:r>
          </w:hyperlink>
        </w:p>
        <w:p w14:paraId="4117EB8B" w14:textId="469C972F"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6999" w:history="1">
            <w:r w:rsidRPr="00A07122">
              <w:rPr>
                <w:rStyle w:val="Hyperlink"/>
                <w:rFonts w:ascii="Arial" w:hAnsi="Arial" w:cs="Arial"/>
                <w:noProof/>
                <w:lang w:val="en-GB"/>
              </w:rPr>
              <w:t>1. Introduction</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_Toc225256999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4</w:t>
            </w:r>
            <w:r w:rsidRPr="00A07122">
              <w:rPr>
                <w:rFonts w:ascii="Arial" w:hAnsi="Arial" w:cs="Arial"/>
                <w:noProof/>
                <w:webHidden/>
              </w:rPr>
              <w:fldChar w:fldCharType="end"/>
            </w:r>
          </w:hyperlink>
        </w:p>
        <w:p w14:paraId="4DB4095D" w14:textId="5A9371EC"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0" w:history="1">
            <w:r w:rsidRPr="00A07122">
              <w:rPr>
                <w:rStyle w:val="Hyperlink"/>
                <w:rFonts w:ascii="Arial" w:hAnsi="Arial" w:cs="Arial"/>
                <w:noProof/>
                <w:lang w:val="en-GB"/>
              </w:rPr>
              <w:t>1.2 Rationale of the Research</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_Toc225257000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4</w:t>
            </w:r>
            <w:r w:rsidRPr="00A07122">
              <w:rPr>
                <w:rFonts w:ascii="Arial" w:hAnsi="Arial" w:cs="Arial"/>
                <w:noProof/>
                <w:webHidden/>
              </w:rPr>
              <w:fldChar w:fldCharType="end"/>
            </w:r>
          </w:hyperlink>
        </w:p>
        <w:p w14:paraId="0ED814C6" w14:textId="3B9FEECE"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1" w:history="1">
            <w:r w:rsidRPr="00A07122">
              <w:rPr>
                <w:rStyle w:val="Hyperlink"/>
                <w:rFonts w:ascii="Arial" w:hAnsi="Arial" w:cs="Arial"/>
                <w:noProof/>
                <w:lang w:val="en-GB"/>
              </w:rPr>
              <w:t>1.3 Review Question</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_Toc225257001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5</w:t>
            </w:r>
            <w:r w:rsidRPr="00A07122">
              <w:rPr>
                <w:rFonts w:ascii="Arial" w:hAnsi="Arial" w:cs="Arial"/>
                <w:noProof/>
                <w:webHidden/>
              </w:rPr>
              <w:fldChar w:fldCharType="end"/>
            </w:r>
          </w:hyperlink>
        </w:p>
        <w:p w14:paraId="12A19732" w14:textId="492EA83C"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2" w:history="1">
            <w:r w:rsidRPr="00A07122">
              <w:rPr>
                <w:rStyle w:val="Hyperlink"/>
                <w:rFonts w:ascii="Arial" w:hAnsi="Arial" w:cs="Arial"/>
                <w:noProof/>
                <w:lang w:val="en-GB"/>
              </w:rPr>
              <w:t>1.4 Objectives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_Toc225257002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5</w:t>
            </w:r>
            <w:r w:rsidRPr="00A07122">
              <w:rPr>
                <w:rFonts w:ascii="Arial" w:hAnsi="Arial" w:cs="Arial"/>
                <w:noProof/>
                <w:webHidden/>
              </w:rPr>
              <w:fldChar w:fldCharType="end"/>
            </w:r>
          </w:hyperlink>
        </w:p>
        <w:p w14:paraId="5C321388" w14:textId="3282F184"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7003" w:history="1">
            <w:r w:rsidRPr="00A07122">
              <w:rPr>
                <w:rStyle w:val="Hyperlink"/>
                <w:rFonts w:ascii="Arial" w:hAnsi="Arial" w:cs="Arial"/>
                <w:noProof/>
                <w:lang w:val="en-GB"/>
              </w:rPr>
              <w:t>2. Background</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_Toc225257003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5</w:t>
            </w:r>
            <w:r w:rsidRPr="00A07122">
              <w:rPr>
                <w:rFonts w:ascii="Arial" w:hAnsi="Arial" w:cs="Arial"/>
                <w:noProof/>
                <w:webHidden/>
              </w:rPr>
              <w:fldChar w:fldCharType="end"/>
            </w:r>
          </w:hyperlink>
        </w:p>
        <w:p w14:paraId="0824355B" w14:textId="33CAFF62"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4" w:history="1">
            <w:r w:rsidRPr="00A07122">
              <w:rPr>
                <w:rStyle w:val="Hyperlink"/>
                <w:rFonts w:ascii="Arial" w:hAnsi="Arial" w:cs="Arial"/>
                <w:noProof/>
                <w:lang w:val="en-GB"/>
              </w:rPr>
              <w:t>2.1 The UK Social Care Context</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_Toc225257004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5</w:t>
            </w:r>
            <w:r w:rsidRPr="00A07122">
              <w:rPr>
                <w:rFonts w:ascii="Arial" w:hAnsi="Arial" w:cs="Arial"/>
                <w:noProof/>
                <w:webHidden/>
              </w:rPr>
              <w:fldChar w:fldCharType="end"/>
            </w:r>
          </w:hyperlink>
        </w:p>
        <w:p w14:paraId="701F9B94" w14:textId="13DE2212"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5" w:history="1">
            <w:r w:rsidRPr="00A07122">
              <w:rPr>
                <w:rStyle w:val="Hyperlink"/>
                <w:rFonts w:ascii="Arial" w:hAnsi="Arial" w:cs="Arial"/>
                <w:noProof/>
                <w:lang w:val="en-GB"/>
              </w:rPr>
              <w:t>2.2 Policy Landscape and Workforce Challenges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_Toc225257005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6</w:t>
            </w:r>
            <w:r w:rsidRPr="00A07122">
              <w:rPr>
                <w:rFonts w:ascii="Arial" w:hAnsi="Arial" w:cs="Arial"/>
                <w:noProof/>
                <w:webHidden/>
              </w:rPr>
              <w:fldChar w:fldCharType="end"/>
            </w:r>
          </w:hyperlink>
        </w:p>
        <w:p w14:paraId="07A06D76" w14:textId="52C27852"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6" w:history="1">
            <w:r w:rsidRPr="00A07122">
              <w:rPr>
                <w:rStyle w:val="Hyperlink"/>
                <w:rFonts w:ascii="Arial" w:hAnsi="Arial" w:cs="Arial"/>
                <w:noProof/>
                <w:lang w:val="en-GB"/>
              </w:rPr>
              <w:t>2.3 Theoretical Framework: Emotional Labour</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_Toc225257006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6</w:t>
            </w:r>
            <w:r w:rsidRPr="00A07122">
              <w:rPr>
                <w:rFonts w:ascii="Arial" w:hAnsi="Arial" w:cs="Arial"/>
                <w:noProof/>
                <w:webHidden/>
              </w:rPr>
              <w:fldChar w:fldCharType="end"/>
            </w:r>
          </w:hyperlink>
        </w:p>
        <w:p w14:paraId="3094028A" w14:textId="207113B9"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7007" w:history="1">
            <w:r w:rsidRPr="00A07122">
              <w:rPr>
                <w:rStyle w:val="Hyperlink"/>
                <w:rFonts w:ascii="Arial" w:hAnsi="Arial" w:cs="Arial"/>
                <w:noProof/>
                <w:lang w:val="en-GB"/>
              </w:rPr>
              <w:t>3. Methods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_Toc225257007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7</w:t>
            </w:r>
            <w:r w:rsidRPr="00A07122">
              <w:rPr>
                <w:rFonts w:ascii="Arial" w:hAnsi="Arial" w:cs="Arial"/>
                <w:noProof/>
                <w:webHidden/>
              </w:rPr>
              <w:fldChar w:fldCharType="end"/>
            </w:r>
          </w:hyperlink>
        </w:p>
        <w:p w14:paraId="3932243A" w14:textId="4F1ED96E"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8" w:history="1">
            <w:r w:rsidRPr="00A07122">
              <w:rPr>
                <w:rStyle w:val="Hyperlink"/>
                <w:rFonts w:ascii="Arial" w:hAnsi="Arial" w:cs="Arial"/>
                <w:noProof/>
                <w:lang w:val="en-GB"/>
              </w:rPr>
              <w:t>3.1 Scoping Review Framework</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_Toc225257008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7</w:t>
            </w:r>
            <w:r w:rsidRPr="00A07122">
              <w:rPr>
                <w:rFonts w:ascii="Arial" w:hAnsi="Arial" w:cs="Arial"/>
                <w:noProof/>
                <w:webHidden/>
              </w:rPr>
              <w:fldChar w:fldCharType="end"/>
            </w:r>
          </w:hyperlink>
        </w:p>
        <w:p w14:paraId="53A49278" w14:textId="37A4057D"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09" w:history="1">
            <w:r w:rsidRPr="00A07122">
              <w:rPr>
                <w:rStyle w:val="Hyperlink"/>
                <w:rFonts w:ascii="Arial" w:hAnsi="Arial" w:cs="Arial"/>
                <w:noProof/>
                <w:lang w:val="en-GB"/>
              </w:rPr>
              <w:t>3.2 Search Strategy</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_Toc225257009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7</w:t>
            </w:r>
            <w:r w:rsidRPr="00A07122">
              <w:rPr>
                <w:rFonts w:ascii="Arial" w:hAnsi="Arial" w:cs="Arial"/>
                <w:noProof/>
                <w:webHidden/>
              </w:rPr>
              <w:fldChar w:fldCharType="end"/>
            </w:r>
          </w:hyperlink>
        </w:p>
        <w:p w14:paraId="6B93F7C8" w14:textId="35CA8F5A"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0" w:history="1">
            <w:r w:rsidRPr="00A07122">
              <w:rPr>
                <w:rStyle w:val="Hyperlink"/>
                <w:rFonts w:ascii="Arial" w:hAnsi="Arial" w:cs="Arial"/>
                <w:noProof/>
                <w:lang w:val="en-GB"/>
              </w:rPr>
              <w:t>3.3 Inclusion and Exclusion Criteria</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_Toc225257010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8</w:t>
            </w:r>
            <w:r w:rsidRPr="00A07122">
              <w:rPr>
                <w:rFonts w:ascii="Arial" w:hAnsi="Arial" w:cs="Arial"/>
                <w:noProof/>
                <w:webHidden/>
              </w:rPr>
              <w:fldChar w:fldCharType="end"/>
            </w:r>
          </w:hyperlink>
        </w:p>
        <w:p w14:paraId="2695ACF8" w14:textId="56E24490"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1" w:history="1">
            <w:r w:rsidRPr="00A07122">
              <w:rPr>
                <w:rStyle w:val="Hyperlink"/>
                <w:rFonts w:ascii="Arial" w:hAnsi="Arial" w:cs="Arial"/>
                <w:noProof/>
                <w:lang w:val="en-GB"/>
              </w:rPr>
              <w:t>3.4 Data Analysis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_Toc225257011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8</w:t>
            </w:r>
            <w:r w:rsidRPr="00A07122">
              <w:rPr>
                <w:rFonts w:ascii="Arial" w:hAnsi="Arial" w:cs="Arial"/>
                <w:noProof/>
                <w:webHidden/>
              </w:rPr>
              <w:fldChar w:fldCharType="end"/>
            </w:r>
          </w:hyperlink>
        </w:p>
        <w:p w14:paraId="57195C91" w14:textId="30020214"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2" w:history="1">
            <w:r w:rsidRPr="00A07122">
              <w:rPr>
                <w:rStyle w:val="Hyperlink"/>
                <w:rFonts w:ascii="Arial" w:hAnsi="Arial" w:cs="Arial"/>
                <w:noProof/>
                <w:lang w:val="en-GB"/>
              </w:rPr>
              <w:t>3.5 Ethical Considerations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_Toc225257012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9</w:t>
            </w:r>
            <w:r w:rsidRPr="00A07122">
              <w:rPr>
                <w:rFonts w:ascii="Arial" w:hAnsi="Arial" w:cs="Arial"/>
                <w:noProof/>
                <w:webHidden/>
              </w:rPr>
              <w:fldChar w:fldCharType="end"/>
            </w:r>
          </w:hyperlink>
        </w:p>
        <w:p w14:paraId="0301028B" w14:textId="78BD56E7"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7013" w:history="1">
            <w:r w:rsidRPr="00A07122">
              <w:rPr>
                <w:rStyle w:val="Hyperlink"/>
                <w:rFonts w:ascii="Arial" w:hAnsi="Arial" w:cs="Arial"/>
                <w:noProof/>
                <w:lang w:val="en-GB"/>
              </w:rPr>
              <w:t>4. Results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_Toc225257013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9</w:t>
            </w:r>
            <w:r w:rsidRPr="00A07122">
              <w:rPr>
                <w:rFonts w:ascii="Arial" w:hAnsi="Arial" w:cs="Arial"/>
                <w:noProof/>
                <w:webHidden/>
              </w:rPr>
              <w:fldChar w:fldCharType="end"/>
            </w:r>
          </w:hyperlink>
        </w:p>
        <w:p w14:paraId="58CB3622" w14:textId="03478F26"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4" w:history="1">
            <w:r w:rsidRPr="00A07122">
              <w:rPr>
                <w:rStyle w:val="Hyperlink"/>
                <w:rFonts w:ascii="Arial" w:hAnsi="Arial" w:cs="Arial"/>
                <w:noProof/>
                <w:lang w:val="en-GB"/>
              </w:rPr>
              <w:t>4.1 Summary of Selected Studies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_Toc225257014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9</w:t>
            </w:r>
            <w:r w:rsidRPr="00A07122">
              <w:rPr>
                <w:rFonts w:ascii="Arial" w:hAnsi="Arial" w:cs="Arial"/>
                <w:noProof/>
                <w:webHidden/>
              </w:rPr>
              <w:fldChar w:fldCharType="end"/>
            </w:r>
          </w:hyperlink>
        </w:p>
        <w:p w14:paraId="06E89392" w14:textId="42711EC5"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5" w:history="1">
            <w:r w:rsidRPr="00A07122">
              <w:rPr>
                <w:rStyle w:val="Hyperlink"/>
                <w:rFonts w:ascii="Arial" w:hAnsi="Arial" w:cs="Arial"/>
                <w:noProof/>
                <w:lang w:val="en-GB"/>
              </w:rPr>
              <w:t>4.2 Thematic Analysis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_Toc225257015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11</w:t>
            </w:r>
            <w:r w:rsidRPr="00A07122">
              <w:rPr>
                <w:rFonts w:ascii="Arial" w:hAnsi="Arial" w:cs="Arial"/>
                <w:noProof/>
                <w:webHidden/>
              </w:rPr>
              <w:fldChar w:fldCharType="end"/>
            </w:r>
          </w:hyperlink>
        </w:p>
        <w:p w14:paraId="2371EAA8" w14:textId="186864F6"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7016" w:history="1">
            <w:r w:rsidRPr="00A07122">
              <w:rPr>
                <w:rStyle w:val="Hyperlink"/>
                <w:rFonts w:ascii="Arial" w:hAnsi="Arial" w:cs="Arial"/>
                <w:noProof/>
                <w:lang w:val="en-GB"/>
              </w:rPr>
              <w:t>5. Discussion</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_Toc225257016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12</w:t>
            </w:r>
            <w:r w:rsidRPr="00A07122">
              <w:rPr>
                <w:rFonts w:ascii="Arial" w:hAnsi="Arial" w:cs="Arial"/>
                <w:noProof/>
                <w:webHidden/>
              </w:rPr>
              <w:fldChar w:fldCharType="end"/>
            </w:r>
          </w:hyperlink>
        </w:p>
        <w:p w14:paraId="644405B9" w14:textId="63B2A4AD"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7" w:history="1">
            <w:r w:rsidRPr="00A07122">
              <w:rPr>
                <w:rStyle w:val="Hyperlink"/>
                <w:rFonts w:ascii="Arial" w:hAnsi="Arial" w:cs="Arial"/>
                <w:noProof/>
                <w:lang w:val="en-GB"/>
              </w:rPr>
              <w:t>5.1 Interpretation of Findings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_Toc225257017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12</w:t>
            </w:r>
            <w:r w:rsidRPr="00A07122">
              <w:rPr>
                <w:rFonts w:ascii="Arial" w:hAnsi="Arial" w:cs="Arial"/>
                <w:noProof/>
                <w:webHidden/>
              </w:rPr>
              <w:fldChar w:fldCharType="end"/>
            </w:r>
          </w:hyperlink>
        </w:p>
        <w:p w14:paraId="209C6A1E" w14:textId="64B805FC"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8" w:history="1">
            <w:r w:rsidRPr="00A07122">
              <w:rPr>
                <w:rStyle w:val="Hyperlink"/>
                <w:rFonts w:ascii="Arial" w:hAnsi="Arial" w:cs="Arial"/>
                <w:noProof/>
                <w:lang w:val="en-GB"/>
              </w:rPr>
              <w:t>5.2 Relevance to Health and Social Care</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_Toc225257018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13</w:t>
            </w:r>
            <w:r w:rsidRPr="00A07122">
              <w:rPr>
                <w:rFonts w:ascii="Arial" w:hAnsi="Arial" w:cs="Arial"/>
                <w:noProof/>
                <w:webHidden/>
              </w:rPr>
              <w:fldChar w:fldCharType="end"/>
            </w:r>
          </w:hyperlink>
        </w:p>
        <w:p w14:paraId="2B9FC78F" w14:textId="44A4DB2E"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19" w:history="1">
            <w:r w:rsidRPr="00A07122">
              <w:rPr>
                <w:rStyle w:val="Hyperlink"/>
                <w:rFonts w:ascii="Arial" w:hAnsi="Arial" w:cs="Arial"/>
                <w:noProof/>
                <w:lang w:val="en-GB"/>
              </w:rPr>
              <w:t>5.3 Limitations of the Research</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_Toc225257019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13</w:t>
            </w:r>
            <w:r w:rsidRPr="00A07122">
              <w:rPr>
                <w:rFonts w:ascii="Arial" w:hAnsi="Arial" w:cs="Arial"/>
                <w:noProof/>
                <w:webHidden/>
              </w:rPr>
              <w:fldChar w:fldCharType="end"/>
            </w:r>
          </w:hyperlink>
        </w:p>
        <w:p w14:paraId="2BB77771" w14:textId="0C6BCAC5"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7020" w:history="1">
            <w:r w:rsidRPr="00A07122">
              <w:rPr>
                <w:rStyle w:val="Hyperlink"/>
                <w:rFonts w:ascii="Arial" w:hAnsi="Arial" w:cs="Arial"/>
                <w:noProof/>
                <w:lang w:val="en-GB"/>
              </w:rPr>
              <w:t>6. Conclusion and Recommendations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_Toc225257020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14</w:t>
            </w:r>
            <w:r w:rsidRPr="00A07122">
              <w:rPr>
                <w:rFonts w:ascii="Arial" w:hAnsi="Arial" w:cs="Arial"/>
                <w:noProof/>
                <w:webHidden/>
              </w:rPr>
              <w:fldChar w:fldCharType="end"/>
            </w:r>
          </w:hyperlink>
        </w:p>
        <w:p w14:paraId="386DF042" w14:textId="6AE45865"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21" w:history="1">
            <w:r w:rsidRPr="00A07122">
              <w:rPr>
                <w:rStyle w:val="Hyperlink"/>
                <w:rFonts w:ascii="Arial" w:hAnsi="Arial" w:cs="Arial"/>
                <w:noProof/>
                <w:lang w:val="en-GB"/>
              </w:rPr>
              <w:t>6.1 Summary of Main Points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_Toc225257021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14</w:t>
            </w:r>
            <w:r w:rsidRPr="00A07122">
              <w:rPr>
                <w:rFonts w:ascii="Arial" w:hAnsi="Arial" w:cs="Arial"/>
                <w:noProof/>
                <w:webHidden/>
              </w:rPr>
              <w:fldChar w:fldCharType="end"/>
            </w:r>
          </w:hyperlink>
        </w:p>
        <w:p w14:paraId="6CA6F562" w14:textId="014FFAF5" w:rsidR="00A07122" w:rsidRPr="00A07122" w:rsidRDefault="00A07122" w:rsidP="00876E91">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225257022" w:history="1">
            <w:r w:rsidRPr="00A07122">
              <w:rPr>
                <w:rStyle w:val="Hyperlink"/>
                <w:rFonts w:ascii="Arial" w:hAnsi="Arial" w:cs="Arial"/>
                <w:noProof/>
                <w:lang w:val="en-GB"/>
              </w:rPr>
              <w:t>6.2 Recommendations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_Toc225257022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14</w:t>
            </w:r>
            <w:r w:rsidRPr="00A07122">
              <w:rPr>
                <w:rFonts w:ascii="Arial" w:hAnsi="Arial" w:cs="Arial"/>
                <w:noProof/>
                <w:webHidden/>
              </w:rPr>
              <w:fldChar w:fldCharType="end"/>
            </w:r>
          </w:hyperlink>
        </w:p>
        <w:p w14:paraId="5C208F89" w14:textId="13E2E3FD" w:rsidR="00A07122" w:rsidRPr="00A07122" w:rsidRDefault="00A07122" w:rsidP="00876E91">
          <w:pPr>
            <w:pStyle w:val="TOC1"/>
            <w:tabs>
              <w:tab w:val="right" w:leader="dot" w:pos="9350"/>
            </w:tabs>
            <w:rPr>
              <w:rFonts w:ascii="Arial" w:eastAsiaTheme="minorEastAsia" w:hAnsi="Arial" w:cs="Arial"/>
              <w:noProof/>
              <w:kern w:val="2"/>
              <w:sz w:val="24"/>
              <w:szCs w:val="24"/>
              <w:lang w:val="en-GB" w:eastAsia="en-GB"/>
              <w14:ligatures w14:val="standardContextual"/>
            </w:rPr>
          </w:pPr>
          <w:hyperlink w:anchor="_Toc225257023" w:history="1">
            <w:r w:rsidRPr="00A07122">
              <w:rPr>
                <w:rStyle w:val="Hyperlink"/>
                <w:rFonts w:ascii="Arial" w:hAnsi="Arial" w:cs="Arial"/>
                <w:noProof/>
                <w:lang w:val="en-GB"/>
              </w:rPr>
              <w:t>7. References</w:t>
            </w:r>
            <w:r w:rsidRPr="00A07122">
              <w:rPr>
                <w:rFonts w:ascii="Arial" w:hAnsi="Arial" w:cs="Arial"/>
                <w:noProof/>
                <w:webHidden/>
              </w:rPr>
              <w:tab/>
            </w:r>
            <w:r w:rsidRPr="00A07122">
              <w:rPr>
                <w:rFonts w:ascii="Arial" w:hAnsi="Arial" w:cs="Arial"/>
                <w:noProof/>
                <w:webHidden/>
              </w:rPr>
              <w:fldChar w:fldCharType="begin"/>
            </w:r>
            <w:r w:rsidRPr="00A07122">
              <w:rPr>
                <w:rFonts w:ascii="Arial" w:hAnsi="Arial" w:cs="Arial"/>
                <w:noProof/>
                <w:webHidden/>
              </w:rPr>
              <w:instrText xml:space="preserve"> PAGEREF _Toc225257023 \h </w:instrText>
            </w:r>
            <w:r w:rsidRPr="00A07122">
              <w:rPr>
                <w:rFonts w:ascii="Arial" w:hAnsi="Arial" w:cs="Arial"/>
                <w:noProof/>
                <w:webHidden/>
              </w:rPr>
            </w:r>
            <w:r w:rsidRPr="00A07122">
              <w:rPr>
                <w:rFonts w:ascii="Arial" w:hAnsi="Arial" w:cs="Arial"/>
                <w:noProof/>
                <w:webHidden/>
              </w:rPr>
              <w:fldChar w:fldCharType="separate"/>
            </w:r>
            <w:r w:rsidRPr="00A07122">
              <w:rPr>
                <w:rFonts w:ascii="Arial" w:hAnsi="Arial" w:cs="Arial"/>
                <w:noProof/>
                <w:webHidden/>
              </w:rPr>
              <w:t>16</w:t>
            </w:r>
            <w:r w:rsidRPr="00A07122">
              <w:rPr>
                <w:rFonts w:ascii="Arial" w:hAnsi="Arial" w:cs="Arial"/>
                <w:noProof/>
                <w:webHidden/>
              </w:rPr>
              <w:fldChar w:fldCharType="end"/>
            </w:r>
          </w:hyperlink>
        </w:p>
        <w:p w14:paraId="47F8243E" w14:textId="682F5A00" w:rsidR="00B85209" w:rsidRPr="00A07122" w:rsidRDefault="00B85209" w:rsidP="00876E91">
          <w:pPr>
            <w:rPr>
              <w:rFonts w:ascii="Arial" w:hAnsi="Arial" w:cs="Arial"/>
            </w:rPr>
          </w:pPr>
          <w:r w:rsidRPr="00A07122">
            <w:rPr>
              <w:rFonts w:ascii="Arial" w:hAnsi="Arial" w:cs="Arial"/>
              <w:noProof/>
            </w:rPr>
            <w:fldChar w:fldCharType="end"/>
          </w:r>
        </w:p>
      </w:sdtContent>
    </w:sdt>
    <w:p w14:paraId="7FC008D6" w14:textId="77777777" w:rsidR="00B85209" w:rsidRPr="00A07122" w:rsidRDefault="00B85209" w:rsidP="00876E91">
      <w:pPr>
        <w:pStyle w:val="ds-markdown-paragraph"/>
        <w:shd w:val="clear" w:color="auto" w:fill="FFFFFF"/>
        <w:spacing w:before="240" w:beforeAutospacing="0" w:after="240" w:afterAutospacing="0" w:line="360" w:lineRule="auto"/>
        <w:rPr>
          <w:rFonts w:ascii="Arial" w:hAnsi="Arial" w:cs="Arial"/>
          <w:b/>
          <w:bCs/>
          <w:sz w:val="22"/>
          <w:szCs w:val="22"/>
          <w:lang w:val="en-GB"/>
        </w:rPr>
      </w:pPr>
    </w:p>
    <w:p w14:paraId="5C90FFE6" w14:textId="33CECAF6" w:rsidR="00852445" w:rsidRPr="00A07122" w:rsidRDefault="00852445" w:rsidP="00876E91">
      <w:pPr>
        <w:spacing w:before="480" w:after="480" w:line="360" w:lineRule="auto"/>
        <w:rPr>
          <w:rFonts w:ascii="Arial" w:hAnsi="Arial" w:cs="Arial"/>
          <w:lang w:val="en-GB"/>
        </w:rPr>
      </w:pPr>
    </w:p>
    <w:p w14:paraId="4E89DAA7" w14:textId="2BCB50B4" w:rsidR="004D6F30" w:rsidRPr="00A07122" w:rsidRDefault="00852445" w:rsidP="00876E91">
      <w:pPr>
        <w:pStyle w:val="Heading1"/>
        <w:spacing w:line="360" w:lineRule="auto"/>
        <w:rPr>
          <w:rFonts w:ascii="Arial" w:hAnsi="Arial" w:cs="Arial"/>
          <w:sz w:val="22"/>
          <w:szCs w:val="22"/>
          <w:lang w:val="en-GB"/>
        </w:rPr>
      </w:pPr>
      <w:bookmarkStart w:id="1" w:name="_Toc225256999"/>
      <w:r w:rsidRPr="00A07122">
        <w:rPr>
          <w:rFonts w:ascii="Arial" w:hAnsi="Arial" w:cs="Arial"/>
          <w:sz w:val="22"/>
          <w:szCs w:val="22"/>
          <w:lang w:val="en-GB"/>
        </w:rPr>
        <w:t>1. Introduction</w:t>
      </w:r>
      <w:bookmarkEnd w:id="1"/>
    </w:p>
    <w:p w14:paraId="2E2E2CF1" w14:textId="46790540" w:rsidR="004D6F30" w:rsidRPr="00A07122" w:rsidRDefault="004D6F30"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Staff burnout is a major issue in modern health and social care systems across the world. The concept, originally conceptualised by Maslach and colleagues is understood as a psychological syndrome characterised by three core dimensions: emotional exhaustion, depersonalisation (or cynicism) and reduced personal accomplishment (Maslach, Jackson and Leiter, 2016). Emotional exhaustion is a feeling of being emotionally over-taxed and exhausted of one's emotional resources. Through depersonalisation, negative and cynical attitudes are formed towards recipients of care. Reduced personal accomplishment shows feelings of incompetence and lack of achievement in one's work. This multidimensional conceptualisation has been used to dominate the understanding of burnout in the caring professions.</w:t>
      </w:r>
    </w:p>
    <w:p w14:paraId="6BAB47C0" w14:textId="605B0D6C" w:rsidR="004D6F30" w:rsidRPr="00A07122" w:rsidRDefault="004D6F30"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In the context of social care, burnout has been defined more specifically as a work-related state of physical and emotional depletion caused by prolonged exposure to the demanding interpersonal circumstances (Eltaybani et al., 2021). The distinctiveness of social care work, in the form of intimate personal care, emotional engagement with vulnerable populations and the </w:t>
      </w:r>
      <w:r w:rsidR="00FC76E2" w:rsidRPr="00A07122">
        <w:rPr>
          <w:rFonts w:ascii="Arial" w:hAnsi="Arial" w:cs="Arial"/>
          <w:sz w:val="22"/>
          <w:szCs w:val="22"/>
          <w:lang w:val="en-GB"/>
        </w:rPr>
        <w:t>often-difficult</w:t>
      </w:r>
      <w:r w:rsidRPr="00A07122">
        <w:rPr>
          <w:rFonts w:ascii="Arial" w:hAnsi="Arial" w:cs="Arial"/>
          <w:sz w:val="22"/>
          <w:szCs w:val="22"/>
          <w:lang w:val="en-GB"/>
        </w:rPr>
        <w:t xml:space="preserve"> working conditions, make staff especially vulnerable to burnout. As Su et al. (2024) note in their systematic review protocol, care workers in long-</w:t>
      </w:r>
      <w:r w:rsidR="007819D5" w:rsidRPr="00A07122">
        <w:rPr>
          <w:rFonts w:ascii="Arial" w:hAnsi="Arial" w:cs="Arial"/>
          <w:sz w:val="22"/>
          <w:szCs w:val="22"/>
          <w:lang w:val="en-GB"/>
        </w:rPr>
        <w:t>term</w:t>
      </w:r>
      <w:r w:rsidRPr="00A07122">
        <w:rPr>
          <w:rFonts w:ascii="Arial" w:hAnsi="Arial" w:cs="Arial"/>
          <w:sz w:val="22"/>
          <w:szCs w:val="22"/>
          <w:lang w:val="en-GB"/>
        </w:rPr>
        <w:t xml:space="preserve"> care institutions are faced with unique pressures that both distinguish and separate their experience from other healthcare professionals.</w:t>
      </w:r>
    </w:p>
    <w:p w14:paraId="24EC803F" w14:textId="11871FE8" w:rsidR="004D6F30" w:rsidRPr="00A07122" w:rsidRDefault="004D6F30"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Quality of care is a complex concept that needs thorough operationalisation in social care setting. The Care Quality Commission (CQC, 2024) has a set of five domains for quality: safety, effectiveness, caring, responsive, and well-led. Within the research literature, quality of care is often operationalised using objective indicators such as medication errors, falls, pressure ulcers and restraint use (Eltaybani et al., 2021). Also, </w:t>
      </w:r>
      <w:r w:rsidR="00FC76E2" w:rsidRPr="00A07122">
        <w:rPr>
          <w:rFonts w:ascii="Arial" w:hAnsi="Arial" w:cs="Arial"/>
          <w:sz w:val="22"/>
          <w:szCs w:val="22"/>
          <w:lang w:val="en-GB"/>
        </w:rPr>
        <w:t>person-centred</w:t>
      </w:r>
      <w:r w:rsidRPr="00A07122">
        <w:rPr>
          <w:rFonts w:ascii="Arial" w:hAnsi="Arial" w:cs="Arial"/>
          <w:sz w:val="22"/>
          <w:szCs w:val="22"/>
          <w:lang w:val="en-GB"/>
        </w:rPr>
        <w:t xml:space="preserve"> care, communication quality, and therapeutic relationship between staff and care recipients are important aspects of care quality (Happell, Platania-Phung and Scholz, 2021). Understanding the link between burnout and these varied quality indicators is essential in addressing workforce wellbeing as a patient safety imperative.</w:t>
      </w:r>
    </w:p>
    <w:p w14:paraId="2AC45240" w14:textId="65C0B44E" w:rsidR="005C3A14" w:rsidRPr="00A07122" w:rsidRDefault="00852445" w:rsidP="00876E91">
      <w:pPr>
        <w:pStyle w:val="Heading2"/>
        <w:spacing w:line="360" w:lineRule="auto"/>
        <w:rPr>
          <w:rFonts w:ascii="Arial" w:hAnsi="Arial" w:cs="Arial"/>
          <w:b/>
          <w:bCs/>
          <w:color w:val="auto"/>
          <w:sz w:val="22"/>
          <w:szCs w:val="22"/>
          <w:lang w:val="en-GB"/>
        </w:rPr>
      </w:pPr>
      <w:bookmarkStart w:id="2" w:name="_Toc225257000"/>
      <w:r w:rsidRPr="00A07122">
        <w:rPr>
          <w:rFonts w:ascii="Arial" w:hAnsi="Arial" w:cs="Arial"/>
          <w:b/>
          <w:bCs/>
          <w:color w:val="auto"/>
          <w:sz w:val="22"/>
          <w:szCs w:val="22"/>
          <w:lang w:val="en-GB"/>
        </w:rPr>
        <w:lastRenderedPageBreak/>
        <w:t>1.2 Rationale of the Research</w:t>
      </w:r>
      <w:bookmarkEnd w:id="2"/>
    </w:p>
    <w:p w14:paraId="1B93CE51" w14:textId="6AA6A98F"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rationale for this investigation comes from critical pressures faced by the UK social care sector such as increased levels of demand, long term staff shortages and the high retention challenges. Skills for Care (2025) identify stress and burnout as key drivers of staff intent to leave, while the Care Quality Commission (2024) identifies the impact of operating under significant strain on the sustainability of the sector, with wellbeing of the workplace workforce identified as key. Despite much work on burnout within the healthcare setting, the expression of burnout in social care settings within the UK is under-researched. </w:t>
      </w:r>
      <w:r w:rsidR="00363039" w:rsidRPr="00A07122">
        <w:rPr>
          <w:rFonts w:ascii="Arial" w:hAnsi="Arial" w:cs="Arial"/>
          <w:sz w:val="22"/>
          <w:szCs w:val="22"/>
          <w:lang w:val="en-GB"/>
        </w:rPr>
        <w:t xml:space="preserve">Schnitzler and Borgstrom (2022) observed that the COVID-19 pandemic intensified existing workforce pressures and highlighted the vulnerability of long-term care staff. </w:t>
      </w:r>
      <w:r w:rsidRPr="00A07122">
        <w:rPr>
          <w:rFonts w:ascii="Arial" w:hAnsi="Arial" w:cs="Arial"/>
          <w:sz w:val="22"/>
          <w:szCs w:val="22"/>
          <w:lang w:val="en-GB"/>
        </w:rPr>
        <w:t>A scoping review methodology (Arksey and O'Malley, 2005) is suitable for mapping current evidence and to identify research gaps (Munn et al., 2018).</w:t>
      </w:r>
    </w:p>
    <w:p w14:paraId="779AAF73"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3" w:name="_Toc225257001"/>
      <w:r w:rsidRPr="00A07122">
        <w:rPr>
          <w:rFonts w:ascii="Arial" w:hAnsi="Arial" w:cs="Arial"/>
          <w:b/>
          <w:bCs/>
          <w:color w:val="auto"/>
          <w:sz w:val="22"/>
          <w:szCs w:val="22"/>
          <w:lang w:val="en-GB"/>
        </w:rPr>
        <w:t>1.3 Review Question</w:t>
      </w:r>
      <w:bookmarkEnd w:id="3"/>
    </w:p>
    <w:p w14:paraId="1B070E01" w14:textId="77777777" w:rsidR="00852445" w:rsidRPr="00A07122" w:rsidRDefault="00852445"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Style w:val="Strong"/>
          <w:rFonts w:ascii="Arial" w:hAnsi="Arial" w:cs="Arial"/>
          <w:sz w:val="22"/>
          <w:szCs w:val="22"/>
          <w:lang w:val="en-GB"/>
        </w:rPr>
        <w:t>How does staff burnout affect the quality of care in UK social care settings?</w:t>
      </w:r>
    </w:p>
    <w:p w14:paraId="78B0FF59"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4" w:name="_Toc225257002"/>
      <w:r w:rsidRPr="00A07122">
        <w:rPr>
          <w:rFonts w:ascii="Arial" w:hAnsi="Arial" w:cs="Arial"/>
          <w:b/>
          <w:bCs/>
          <w:color w:val="auto"/>
          <w:sz w:val="22"/>
          <w:szCs w:val="22"/>
          <w:lang w:val="en-GB"/>
        </w:rPr>
        <w:t>1.4 Objectives</w:t>
      </w:r>
      <w:bookmarkEnd w:id="4"/>
    </w:p>
    <w:p w14:paraId="3940E202" w14:textId="77777777" w:rsidR="00852445" w:rsidRPr="00A07122" w:rsidRDefault="00852445"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Fonts w:ascii="Arial" w:hAnsi="Arial" w:cs="Arial"/>
          <w:sz w:val="22"/>
          <w:szCs w:val="22"/>
          <w:lang w:val="en-GB"/>
        </w:rPr>
        <w:t>The objectives of this scoping review are:</w:t>
      </w:r>
    </w:p>
    <w:p w14:paraId="617E2063" w14:textId="77777777" w:rsidR="004D6F30" w:rsidRPr="00A07122" w:rsidRDefault="004D6F30" w:rsidP="00876E91">
      <w:pPr>
        <w:pStyle w:val="ds-markdown-paragraph"/>
        <w:numPr>
          <w:ilvl w:val="0"/>
          <w:numId w:val="5"/>
        </w:numPr>
        <w:shd w:val="clear" w:color="auto" w:fill="FFFFFF"/>
        <w:spacing w:before="0" w:beforeAutospacing="0" w:after="0" w:afterAutospacing="0" w:line="360" w:lineRule="auto"/>
        <w:rPr>
          <w:rFonts w:ascii="Arial" w:hAnsi="Arial" w:cs="Arial"/>
          <w:sz w:val="22"/>
          <w:szCs w:val="22"/>
          <w:lang w:val="en-GB"/>
        </w:rPr>
      </w:pPr>
      <w:r w:rsidRPr="00A07122">
        <w:rPr>
          <w:rFonts w:ascii="Arial" w:hAnsi="Arial" w:cs="Arial"/>
          <w:sz w:val="22"/>
          <w:szCs w:val="22"/>
          <w:lang w:val="en-GB"/>
        </w:rPr>
        <w:t xml:space="preserve">To identify how burnout is defined and measured; </w:t>
      </w:r>
    </w:p>
    <w:p w14:paraId="23778AAB" w14:textId="77777777" w:rsidR="004D6F30" w:rsidRPr="00A07122" w:rsidRDefault="004D6F30" w:rsidP="00876E91">
      <w:pPr>
        <w:pStyle w:val="ds-markdown-paragraph"/>
        <w:numPr>
          <w:ilvl w:val="0"/>
          <w:numId w:val="5"/>
        </w:numPr>
        <w:shd w:val="clear" w:color="auto" w:fill="FFFFFF"/>
        <w:spacing w:before="0" w:beforeAutospacing="0" w:after="0" w:afterAutospacing="0" w:line="360" w:lineRule="auto"/>
        <w:rPr>
          <w:rFonts w:ascii="Arial" w:hAnsi="Arial" w:cs="Arial"/>
          <w:sz w:val="22"/>
          <w:szCs w:val="22"/>
          <w:lang w:val="en-GB"/>
        </w:rPr>
      </w:pPr>
      <w:r w:rsidRPr="00A07122">
        <w:rPr>
          <w:rFonts w:ascii="Arial" w:hAnsi="Arial" w:cs="Arial"/>
          <w:sz w:val="22"/>
          <w:szCs w:val="22"/>
          <w:lang w:val="en-GB"/>
        </w:rPr>
        <w:t>To explore the effects of burnout on care quality, like safety, communication and continuity of care.</w:t>
      </w:r>
    </w:p>
    <w:p w14:paraId="20F08647" w14:textId="3C0F84E2" w:rsidR="004D6F30" w:rsidRPr="00A07122" w:rsidRDefault="004D6F30" w:rsidP="00876E91">
      <w:pPr>
        <w:pStyle w:val="ds-markdown-paragraph"/>
        <w:numPr>
          <w:ilvl w:val="0"/>
          <w:numId w:val="5"/>
        </w:numPr>
        <w:shd w:val="clear" w:color="auto" w:fill="FFFFFF"/>
        <w:spacing w:before="0" w:beforeAutospacing="0" w:after="0" w:afterAutospacing="0" w:line="360" w:lineRule="auto"/>
        <w:rPr>
          <w:rFonts w:ascii="Arial" w:hAnsi="Arial" w:cs="Arial"/>
          <w:sz w:val="22"/>
          <w:szCs w:val="22"/>
          <w:lang w:val="en-GB"/>
        </w:rPr>
      </w:pPr>
      <w:r w:rsidRPr="00A07122">
        <w:rPr>
          <w:rFonts w:ascii="Arial" w:hAnsi="Arial" w:cs="Arial"/>
          <w:sz w:val="22"/>
          <w:szCs w:val="22"/>
          <w:lang w:val="en-GB"/>
        </w:rPr>
        <w:t>To find gaps in the UK-based evidence which may be used to help future policy and workforce support.</w:t>
      </w:r>
    </w:p>
    <w:p w14:paraId="33145B96" w14:textId="77777777" w:rsidR="00852445" w:rsidRPr="00A07122" w:rsidRDefault="00852445" w:rsidP="00876E91">
      <w:pPr>
        <w:pStyle w:val="Heading1"/>
        <w:spacing w:line="360" w:lineRule="auto"/>
        <w:rPr>
          <w:rFonts w:ascii="Arial" w:hAnsi="Arial" w:cs="Arial"/>
          <w:sz w:val="22"/>
          <w:szCs w:val="22"/>
          <w:lang w:val="en-GB"/>
        </w:rPr>
      </w:pPr>
      <w:bookmarkStart w:id="5" w:name="_Toc225257003"/>
      <w:r w:rsidRPr="00A07122">
        <w:rPr>
          <w:rFonts w:ascii="Arial" w:hAnsi="Arial" w:cs="Arial"/>
          <w:sz w:val="22"/>
          <w:szCs w:val="22"/>
          <w:lang w:val="en-GB"/>
        </w:rPr>
        <w:t>2. Background</w:t>
      </w:r>
      <w:bookmarkEnd w:id="5"/>
    </w:p>
    <w:p w14:paraId="05A8FB2D" w14:textId="127CBE28" w:rsidR="005C3A14" w:rsidRPr="00A07122" w:rsidRDefault="00852445" w:rsidP="00876E91">
      <w:pPr>
        <w:pStyle w:val="Heading2"/>
        <w:spacing w:line="360" w:lineRule="auto"/>
        <w:rPr>
          <w:rFonts w:ascii="Arial" w:hAnsi="Arial" w:cs="Arial"/>
          <w:b/>
          <w:bCs/>
          <w:color w:val="auto"/>
          <w:sz w:val="22"/>
          <w:szCs w:val="22"/>
          <w:lang w:val="en-GB"/>
        </w:rPr>
      </w:pPr>
      <w:bookmarkStart w:id="6" w:name="_Toc225257004"/>
      <w:r w:rsidRPr="00A07122">
        <w:rPr>
          <w:rFonts w:ascii="Arial" w:hAnsi="Arial" w:cs="Arial"/>
          <w:b/>
          <w:bCs/>
          <w:color w:val="auto"/>
          <w:sz w:val="22"/>
          <w:szCs w:val="22"/>
          <w:lang w:val="en-GB"/>
        </w:rPr>
        <w:t>2.1 The UK Social Care Context</w:t>
      </w:r>
      <w:bookmarkEnd w:id="6"/>
    </w:p>
    <w:p w14:paraId="4C4C2CD5" w14:textId="5697D288"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Adult social care in the United Kingdom makes up an extensive band of services to individuals with physical disabilities, learning disabilities, mental health conditions and age-related frailty. The sector itself is characterised by a complex mixed economy of provision comprising local authority-commissioned services, the private sector and voluntary organisations. Care homes </w:t>
      </w:r>
      <w:r w:rsidRPr="00A07122">
        <w:rPr>
          <w:rFonts w:ascii="Arial" w:hAnsi="Arial" w:cs="Arial"/>
          <w:sz w:val="22"/>
          <w:szCs w:val="22"/>
          <w:lang w:val="en-GB"/>
        </w:rPr>
        <w:lastRenderedPageBreak/>
        <w:t>and domiciliary care services are the largest parts of formal social care services and employ hundreds of thousands of people throughout the country.</w:t>
      </w:r>
    </w:p>
    <w:p w14:paraId="2160C498" w14:textId="77777777"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The workforce itself is diverse and includes registered nurses, care assistants, support workers and managers. As Hussein (2017) observes, the social care workforce has traditionally been characterised by low wages, low potential for career progression and challenging working conditions. These factors contribute to enduring problems with recruitment and retention with turnover constantly higher than other comparable sectors of healthcare. Skills for Care (2025) states that for social care for adults, vacancy rates are still high, with specific issues with domiciliary care, where workers are often dealing with unpredictable working hours and travelling between multiple service user homes.</w:t>
      </w:r>
    </w:p>
    <w:p w14:paraId="6B06589D" w14:textId="6EBD1E75" w:rsidR="005C3A14" w:rsidRPr="00A07122" w:rsidRDefault="00852445" w:rsidP="00876E91">
      <w:pPr>
        <w:pStyle w:val="Heading2"/>
        <w:spacing w:line="360" w:lineRule="auto"/>
        <w:rPr>
          <w:rFonts w:ascii="Arial" w:hAnsi="Arial" w:cs="Arial"/>
          <w:b/>
          <w:bCs/>
          <w:color w:val="auto"/>
          <w:sz w:val="22"/>
          <w:szCs w:val="22"/>
          <w:lang w:val="en-GB"/>
        </w:rPr>
      </w:pPr>
      <w:bookmarkStart w:id="7" w:name="_Toc225257005"/>
      <w:r w:rsidRPr="00A07122">
        <w:rPr>
          <w:rFonts w:ascii="Arial" w:hAnsi="Arial" w:cs="Arial"/>
          <w:b/>
          <w:bCs/>
          <w:color w:val="auto"/>
          <w:sz w:val="22"/>
          <w:szCs w:val="22"/>
          <w:lang w:val="en-GB"/>
        </w:rPr>
        <w:t>2.2 Policy Landscape and Workforce Challenges</w:t>
      </w:r>
      <w:bookmarkEnd w:id="7"/>
    </w:p>
    <w:p w14:paraId="41A300FB" w14:textId="4058EB89"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Recent policy developments have tried to address systemic issues in adult social care. The People at the Heart of Care White Paper (Department of Health and Social Care, 2021) set out a vision for a reformed social care system and workforce development was identified as a priority area. Key commitments were on improved training opportunities, better career pathways and recognizing the value of care work. However, implementation of these commitments has been inconsistent, and the sector is still faced with significant funding pressures.</w:t>
      </w:r>
    </w:p>
    <w:p w14:paraId="58A382E3" w14:textId="3D378A54"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The Care Quality Commission (2024) has underlined the importance of workforce wellbeing and revealed this as a key deciding factor when evaluating the quality of services. Their State of Care report points out that providers who are faced with significant staffing issues find it difficult to provide safe and effective care in a responsive manner. The focus of the regulator has been increasingly to look at the experiences of staff as indicators of organisational health - recognising that organisational workforce wellbeing is intrinsically linked to the quality of care provided.</w:t>
      </w:r>
    </w:p>
    <w:p w14:paraId="70455A5C" w14:textId="14DABEAD"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coronavirus pandemic, or simply the pandemic, worked to magnify existing flaws in the workforce. Jones, Schnitzler and Borgstrom (2022) found that long term care staff experienced increased levels of anxiety, moral distress and exhaustion during the pandemic. </w:t>
      </w:r>
      <w:r w:rsidR="00A84704" w:rsidRPr="00A07122">
        <w:rPr>
          <w:rFonts w:ascii="Arial" w:hAnsi="Arial" w:cs="Arial"/>
          <w:sz w:val="22"/>
          <w:szCs w:val="22"/>
          <w:lang w:val="en-GB"/>
        </w:rPr>
        <w:t xml:space="preserve">The rapid implementation of infection control measures and the pressure of managing outbreaks created unprecedented demands. National Institute for Health and Care Excellence (NICE, 2020) guidance highlighted the importance of supporting staff wellbeing as integral to pandemic </w:t>
      </w:r>
      <w:r w:rsidR="00A84704" w:rsidRPr="00A07122">
        <w:rPr>
          <w:rFonts w:ascii="Arial" w:hAnsi="Arial" w:cs="Arial"/>
          <w:sz w:val="22"/>
          <w:szCs w:val="22"/>
          <w:lang w:val="en-GB"/>
        </w:rPr>
        <w:lastRenderedPageBreak/>
        <w:t xml:space="preserve">response. </w:t>
      </w:r>
      <w:r w:rsidRPr="00A07122">
        <w:rPr>
          <w:rFonts w:ascii="Arial" w:hAnsi="Arial" w:cs="Arial"/>
          <w:sz w:val="22"/>
          <w:szCs w:val="22"/>
          <w:lang w:val="en-GB"/>
        </w:rPr>
        <w:t>National Institute for Health and Care Excellence (NICE, 2020) guidance found the importance of supporting staff wellbeing as part of pandemic response.</w:t>
      </w:r>
    </w:p>
    <w:p w14:paraId="669246EC" w14:textId="214080CD" w:rsidR="005C3A14" w:rsidRPr="00A07122" w:rsidRDefault="00852445" w:rsidP="00876E91">
      <w:pPr>
        <w:pStyle w:val="Heading2"/>
        <w:spacing w:line="360" w:lineRule="auto"/>
        <w:rPr>
          <w:rFonts w:ascii="Arial" w:hAnsi="Arial" w:cs="Arial"/>
          <w:b/>
          <w:bCs/>
          <w:color w:val="auto"/>
          <w:sz w:val="22"/>
          <w:szCs w:val="22"/>
          <w:lang w:val="en-GB"/>
        </w:rPr>
      </w:pPr>
      <w:bookmarkStart w:id="8" w:name="_Toc225257006"/>
      <w:r w:rsidRPr="00A07122">
        <w:rPr>
          <w:rFonts w:ascii="Arial" w:hAnsi="Arial" w:cs="Arial"/>
          <w:b/>
          <w:bCs/>
          <w:color w:val="auto"/>
          <w:sz w:val="22"/>
          <w:szCs w:val="22"/>
          <w:lang w:val="en-GB"/>
        </w:rPr>
        <w:t>2.3 Theoretical Framework: Emotional Labour</w:t>
      </w:r>
      <w:bookmarkEnd w:id="8"/>
    </w:p>
    <w:p w14:paraId="660CB66A" w14:textId="0896EE4C" w:rsidR="005C3A14" w:rsidRPr="00A07122" w:rsidRDefault="005C3A14"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The notion of emotional labour, first conceptualised by Hochschild (2012), is a useful theoretical framework for understanding burnout in care settings. Emotional labour is the process of managing feeling to produce visible (public) facial and bodily display. In care work, for example, staff must be able to control their emotions to convey that they are compassionate, patient, and caring, whatever their state of being is internally. This emotional regulation if sustained for a long time and not supported sufficiently can lead to a significant contribution to emotional exhaustion.</w:t>
      </w:r>
    </w:p>
    <w:p w14:paraId="10BEF3AD" w14:textId="77777777" w:rsidR="005C3A14" w:rsidRPr="00A07122" w:rsidRDefault="005C3A14"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Fonts w:ascii="Arial" w:hAnsi="Arial" w:cs="Arial"/>
          <w:sz w:val="22"/>
          <w:szCs w:val="22"/>
          <w:lang w:val="en-GB"/>
        </w:rPr>
        <w:t>Research has shown that care workers are often tense with them, on one hand, between their true emotional responses and on the other hand between the emotions they are required to perform in the role. Prudenzi (2021) discussed the role of psychological flexibility in reducing the burden of burnout of healthcare professionals and found driving strictly emotional display rules without adequate processing mechanisms was linked to higher risk for burnout. Understanding burnout from this theoretical perspective gives insight into why workload reduction interventions alone may not be enough to reduce burnout if they also do not address emotional demands and offer sufficient support for emotional processing.</w:t>
      </w:r>
    </w:p>
    <w:p w14:paraId="15AA855B" w14:textId="77777777" w:rsidR="005C3A14" w:rsidRPr="00A07122" w:rsidRDefault="005C3A14"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20575EB2" w14:textId="77777777" w:rsidR="00852445" w:rsidRPr="00A07122" w:rsidRDefault="00852445" w:rsidP="00876E91">
      <w:pPr>
        <w:pStyle w:val="Heading1"/>
        <w:spacing w:line="360" w:lineRule="auto"/>
        <w:rPr>
          <w:rFonts w:ascii="Arial" w:hAnsi="Arial" w:cs="Arial"/>
          <w:sz w:val="22"/>
          <w:szCs w:val="22"/>
          <w:lang w:val="en-GB"/>
        </w:rPr>
      </w:pPr>
      <w:bookmarkStart w:id="9" w:name="_Toc225257007"/>
      <w:r w:rsidRPr="00A07122">
        <w:rPr>
          <w:rFonts w:ascii="Arial" w:hAnsi="Arial" w:cs="Arial"/>
          <w:sz w:val="22"/>
          <w:szCs w:val="22"/>
          <w:lang w:val="en-GB"/>
        </w:rPr>
        <w:t>3. Methods</w:t>
      </w:r>
      <w:bookmarkEnd w:id="9"/>
    </w:p>
    <w:p w14:paraId="52D8956D"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10" w:name="_Toc225257008"/>
      <w:r w:rsidRPr="00A07122">
        <w:rPr>
          <w:rFonts w:ascii="Arial" w:hAnsi="Arial" w:cs="Arial"/>
          <w:b/>
          <w:bCs/>
          <w:color w:val="auto"/>
          <w:sz w:val="22"/>
          <w:szCs w:val="22"/>
          <w:lang w:val="en-GB"/>
        </w:rPr>
        <w:t>3.1 Scoping Review Framework</w:t>
      </w:r>
      <w:bookmarkEnd w:id="10"/>
    </w:p>
    <w:p w14:paraId="4BC7642B" w14:textId="6DFDD45A"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In this study, we used a scoping review methodology as per the framework developed by Arksey and O'Malley (2005). The framework includes five different stages: (1) identification of the research question; (2) identification of relevant studies; (3) selection of studies; (4) charting of the data; (5) collating, summarising and reporting of results. Its choice was driven by its tested adequacy to map current literature, define major ideas and highlight areas of research gaps (goals in line with the purposes of the current inquiry).  </w:t>
      </w:r>
    </w:p>
    <w:p w14:paraId="1E4E076C" w14:textId="0E2C2337"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lastRenderedPageBreak/>
        <w:t xml:space="preserve">The conduct of this scoping review is based on the PRISMA extension for scoping reviews (PRISMA-ScR) checklist (Tricco et al., 2018), and so provides a transparent reporting of the review process and complete. In order to do this, this guidance informed the structure of the methods section and ensured that all the necessary elements of the methodology were properly documented.  </w:t>
      </w:r>
    </w:p>
    <w:p w14:paraId="7DAFE3AA"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11" w:name="_Toc225257009"/>
      <w:r w:rsidRPr="00A07122">
        <w:rPr>
          <w:rFonts w:ascii="Arial" w:hAnsi="Arial" w:cs="Arial"/>
          <w:b/>
          <w:bCs/>
          <w:color w:val="auto"/>
          <w:sz w:val="22"/>
          <w:szCs w:val="22"/>
          <w:lang w:val="en-GB"/>
        </w:rPr>
        <w:t>3.2 Search Strategy</w:t>
      </w:r>
      <w:bookmarkEnd w:id="11"/>
    </w:p>
    <w:p w14:paraId="1EAABC42" w14:textId="0FF7625E"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A systematic search of academic databases was performed between January and March 2026. Databases interrogated were Pubmed, CINAHL, PsycInfo and Scopus. The search strategy was developed iteratively combining terms relating to burnout, social care settings together with terms relating to quality outcomes.  </w:t>
      </w:r>
    </w:p>
    <w:p w14:paraId="5FCDAFE2" w14:textId="55D3F901"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Search terms were: ("burnout" OR "emotional exhaustion" OR "compassion fatigue") AND ("social care" OR "care home" OR "long - term care" OR "nursing home" OR "residential care" OR "domiciliary care" OR "home care") AND ("quality of care" OR "patient safety" OR "care quality" OR "outcomes") AND ("UK" OR "United Kingdom" OR "England" OR "Scotland" OR "Wales" OR "Northern Ireland").  </w:t>
      </w:r>
    </w:p>
    <w:p w14:paraId="0BDC8091"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12" w:name="_Toc225257010"/>
      <w:r w:rsidRPr="00A07122">
        <w:rPr>
          <w:rFonts w:ascii="Arial" w:hAnsi="Arial" w:cs="Arial"/>
          <w:b/>
          <w:bCs/>
          <w:color w:val="auto"/>
          <w:sz w:val="22"/>
          <w:szCs w:val="22"/>
          <w:lang w:val="en-GB"/>
        </w:rPr>
        <w:t>3.3 Inclusion and Exclusion Criteria</w:t>
      </w:r>
      <w:bookmarkEnd w:id="12"/>
    </w:p>
    <w:p w14:paraId="12403441" w14:textId="77777777"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Studies were included if they fulfilled the following criteria:  </w:t>
      </w:r>
    </w:p>
    <w:p w14:paraId="4421692B" w14:textId="191D07B0"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w:t>
      </w:r>
      <w:r w:rsidRPr="00A07122">
        <w:rPr>
          <w:rFonts w:ascii="Arial" w:hAnsi="Arial" w:cs="Arial"/>
          <w:sz w:val="22"/>
          <w:szCs w:val="22"/>
          <w:lang w:val="en-GB"/>
        </w:rPr>
        <w:t xml:space="preserve">i)  Peer reviewed primary research or systematic reviews studying burnout of care staff in long term care or social care settings;  </w:t>
      </w:r>
    </w:p>
    <w:p w14:paraId="50CC825E" w14:textId="68B0D377"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w:t>
      </w:r>
      <w:r w:rsidRPr="00A07122">
        <w:rPr>
          <w:rFonts w:ascii="Arial" w:hAnsi="Arial" w:cs="Arial"/>
          <w:sz w:val="22"/>
          <w:szCs w:val="22"/>
          <w:lang w:val="en-GB"/>
        </w:rPr>
        <w:t xml:space="preserve">ii) Outcome Measures (those directly related to quality of care, patient safety, or quality of care measures);  </w:t>
      </w:r>
    </w:p>
    <w:p w14:paraId="0C3C66BF" w14:textId="77777777" w:rsidR="00F36D97" w:rsidRPr="00A07122" w:rsidRDefault="00F36D97" w:rsidP="00876E91">
      <w:pPr>
        <w:pStyle w:val="ds-markdown-paragraph"/>
        <w:numPr>
          <w:ilvl w:val="0"/>
          <w:numId w:val="11"/>
        </w:numPr>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 Publication in the English language;  </w:t>
      </w:r>
    </w:p>
    <w:p w14:paraId="6F887E5D" w14:textId="4941E1AE" w:rsidR="00F36D97" w:rsidRPr="00A07122" w:rsidRDefault="00F36D97" w:rsidP="00876E91">
      <w:pPr>
        <w:pStyle w:val="ds-markdown-paragraph"/>
        <w:numPr>
          <w:ilvl w:val="0"/>
          <w:numId w:val="11"/>
        </w:numPr>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Publication date between 2016 and 2026 (to ensure currency but capture of pre pandemic and pandemic periods).  </w:t>
      </w:r>
    </w:p>
    <w:p w14:paraId="6264AA39" w14:textId="77777777"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Studies were excluded if they:  </w:t>
      </w:r>
    </w:p>
    <w:p w14:paraId="6D71841D" w14:textId="77777777" w:rsidR="0078366E" w:rsidRPr="00A07122" w:rsidRDefault="00F36D97" w:rsidP="00876E91">
      <w:pPr>
        <w:pStyle w:val="ds-markdown-paragraph"/>
        <w:numPr>
          <w:ilvl w:val="0"/>
          <w:numId w:val="12"/>
        </w:numPr>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  Limited to the acute hospital setting and not relevant for social care;  </w:t>
      </w:r>
    </w:p>
    <w:p w14:paraId="772FF9D6" w14:textId="77777777" w:rsidR="0078366E" w:rsidRPr="00A07122" w:rsidRDefault="00F36D97" w:rsidP="00876E91">
      <w:pPr>
        <w:pStyle w:val="ds-markdown-paragraph"/>
        <w:numPr>
          <w:ilvl w:val="0"/>
          <w:numId w:val="12"/>
        </w:numPr>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lastRenderedPageBreak/>
        <w:t xml:space="preserve">Abstracts and commentaries were excluded ('only' editorials and commentary papers were consulted for background context), so;  </w:t>
      </w:r>
    </w:p>
    <w:p w14:paraId="65DA38B8" w14:textId="519228EB" w:rsidR="00F36D97" w:rsidRPr="00A07122" w:rsidRDefault="00F36D97" w:rsidP="00876E91">
      <w:pPr>
        <w:pStyle w:val="ds-markdown-paragraph"/>
        <w:numPr>
          <w:ilvl w:val="0"/>
          <w:numId w:val="12"/>
        </w:numPr>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Original findings were not reported and there was no systematic synthesis of evidence;   </w:t>
      </w:r>
    </w:p>
    <w:p w14:paraId="08A63FD2" w14:textId="77777777" w:rsidR="00F36D97" w:rsidRPr="00A07122" w:rsidRDefault="00F36D97"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1B744F65"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13" w:name="_Toc225257011"/>
      <w:r w:rsidRPr="00A07122">
        <w:rPr>
          <w:rFonts w:ascii="Arial" w:hAnsi="Arial" w:cs="Arial"/>
          <w:b/>
          <w:bCs/>
          <w:color w:val="auto"/>
          <w:sz w:val="22"/>
          <w:szCs w:val="22"/>
          <w:lang w:val="en-GB"/>
        </w:rPr>
        <w:t>3.4 Data Analysis</w:t>
      </w:r>
      <w:bookmarkEnd w:id="13"/>
    </w:p>
    <w:p w14:paraId="5BE67150" w14:textId="2296F8B4"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Data analysis used thematic analysis to synthesise findings from the selected core studies. This approach is based on identifying, analysing and reporting patterns (themes) in qualitative and quantitative data. The process followed the stages outlined by Arksey and O'Malley (2005); reading and re-reading studies, identifying beginning codes, grouping codes into possible themes, and defining and naming final themes.  A data charting table was developed for the purpose of extracting relevant information from each core study, including author(s), year, aim, study design, setting, important findings on burnout and important findings on quality of care. This table helped to compare between studies and to identify patterns in the evidence.  </w:t>
      </w:r>
    </w:p>
    <w:p w14:paraId="1F61E755"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14" w:name="_Toc225257012"/>
      <w:r w:rsidRPr="00A07122">
        <w:rPr>
          <w:rFonts w:ascii="Arial" w:hAnsi="Arial" w:cs="Arial"/>
          <w:b/>
          <w:bCs/>
          <w:color w:val="auto"/>
          <w:sz w:val="22"/>
          <w:szCs w:val="22"/>
          <w:lang w:val="en-GB"/>
        </w:rPr>
        <w:t>3.5 Ethical Considerations</w:t>
      </w:r>
      <w:bookmarkEnd w:id="14"/>
    </w:p>
    <w:p w14:paraId="0CEBAC73" w14:textId="6946F529"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As this study was a secondary analysis of published literature, the need for formal ethical approval was not present. No primary data collection was done with human participants. Nevertheless, ethical research principles were maintained throughout, such as representing findings accurately, being open about the review process, and being subjectively aware of potential biases. The risk of publication bias (i.e., studies yielding positive results are more likely to be published) was identified as a limitation.  </w:t>
      </w:r>
    </w:p>
    <w:p w14:paraId="2361869C" w14:textId="77777777" w:rsidR="00852445" w:rsidRPr="00A07122" w:rsidRDefault="00852445" w:rsidP="00876E91">
      <w:pPr>
        <w:pStyle w:val="Heading1"/>
        <w:spacing w:line="360" w:lineRule="auto"/>
        <w:rPr>
          <w:rFonts w:ascii="Arial" w:hAnsi="Arial" w:cs="Arial"/>
          <w:sz w:val="22"/>
          <w:szCs w:val="22"/>
          <w:lang w:val="en-GB"/>
        </w:rPr>
      </w:pPr>
      <w:bookmarkStart w:id="15" w:name="_Toc225257013"/>
      <w:r w:rsidRPr="00A07122">
        <w:rPr>
          <w:rFonts w:ascii="Arial" w:hAnsi="Arial" w:cs="Arial"/>
          <w:sz w:val="22"/>
          <w:szCs w:val="22"/>
          <w:lang w:val="en-GB"/>
        </w:rPr>
        <w:t>4. Results</w:t>
      </w:r>
      <w:bookmarkEnd w:id="15"/>
    </w:p>
    <w:p w14:paraId="6F75C358" w14:textId="623826FF" w:rsidR="00852445" w:rsidRPr="00A07122" w:rsidRDefault="00852445" w:rsidP="00876E91">
      <w:pPr>
        <w:pStyle w:val="Heading2"/>
        <w:spacing w:line="360" w:lineRule="auto"/>
        <w:rPr>
          <w:rFonts w:ascii="Arial" w:hAnsi="Arial" w:cs="Arial"/>
          <w:b/>
          <w:bCs/>
          <w:color w:val="auto"/>
          <w:sz w:val="22"/>
          <w:szCs w:val="22"/>
          <w:lang w:val="en-GB"/>
        </w:rPr>
      </w:pPr>
      <w:bookmarkStart w:id="16" w:name="_Toc225257014"/>
      <w:r w:rsidRPr="00A07122">
        <w:rPr>
          <w:rFonts w:ascii="Arial" w:hAnsi="Arial" w:cs="Arial"/>
          <w:b/>
          <w:bCs/>
          <w:color w:val="auto"/>
          <w:sz w:val="22"/>
          <w:szCs w:val="22"/>
          <w:lang w:val="en-GB"/>
        </w:rPr>
        <w:t>4.1 Summary of Selected Studies</w:t>
      </w:r>
      <w:bookmarkEnd w:id="16"/>
    </w:p>
    <w:p w14:paraId="1F3CDD34" w14:textId="174AAC94"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Following the application of inclusion and exclusion criteria, </w:t>
      </w:r>
      <w:r w:rsidR="00B55152" w:rsidRPr="00A07122">
        <w:rPr>
          <w:rFonts w:ascii="Arial" w:hAnsi="Arial" w:cs="Arial"/>
          <w:sz w:val="22"/>
          <w:szCs w:val="22"/>
          <w:lang w:val="en-GB"/>
        </w:rPr>
        <w:t>six</w:t>
      </w:r>
      <w:r w:rsidRPr="00A07122">
        <w:rPr>
          <w:rFonts w:ascii="Arial" w:hAnsi="Arial" w:cs="Arial"/>
          <w:sz w:val="22"/>
          <w:szCs w:val="22"/>
          <w:lang w:val="en-GB"/>
        </w:rPr>
        <w:t xml:space="preserve"> studies were chosen for deep analysis in this scoping review. These included systematic reviews, systematic review protocol, cross-sectional survey, scoping review protocol, scoping review and qualitative study. The key characteristics of each of the included studies are summarised in Table 1.  </w:t>
      </w:r>
    </w:p>
    <w:p w14:paraId="4660A91C" w14:textId="77777777" w:rsidR="00852445" w:rsidRPr="00A07122" w:rsidRDefault="00852445" w:rsidP="00D96189">
      <w:pPr>
        <w:spacing w:line="360" w:lineRule="auto"/>
        <w:rPr>
          <w:rFonts w:ascii="Arial" w:hAnsi="Arial" w:cs="Arial"/>
          <w:lang w:val="en-GB"/>
        </w:rPr>
      </w:pPr>
      <w:r w:rsidRPr="00A07122">
        <w:rPr>
          <w:rStyle w:val="Strong"/>
          <w:rFonts w:ascii="Arial" w:hAnsi="Arial" w:cs="Arial"/>
          <w:lang w:val="en-GB"/>
        </w:rPr>
        <w:t>Table 1: Summary of Selected Core Studies</w:t>
      </w:r>
    </w:p>
    <w:tbl>
      <w:tblPr>
        <w:tblStyle w:val="TableGrid"/>
        <w:tblW w:w="0" w:type="auto"/>
        <w:tblLook w:val="04A0" w:firstRow="1" w:lastRow="0" w:firstColumn="1" w:lastColumn="0" w:noHBand="0" w:noVBand="1"/>
      </w:tblPr>
      <w:tblGrid>
        <w:gridCol w:w="1356"/>
        <w:gridCol w:w="1502"/>
        <w:gridCol w:w="1335"/>
        <w:gridCol w:w="1793"/>
        <w:gridCol w:w="1794"/>
        <w:gridCol w:w="1570"/>
      </w:tblGrid>
      <w:tr w:rsidR="00D36B19" w:rsidRPr="00A07122" w14:paraId="43E2D2AF" w14:textId="77777777" w:rsidTr="004B2F55">
        <w:tc>
          <w:tcPr>
            <w:tcW w:w="0" w:type="auto"/>
            <w:hideMark/>
          </w:tcPr>
          <w:p w14:paraId="05447955" w14:textId="77777777" w:rsidR="00852445" w:rsidRPr="00A07122" w:rsidRDefault="00852445" w:rsidP="00D96189">
            <w:pPr>
              <w:spacing w:line="276" w:lineRule="auto"/>
              <w:rPr>
                <w:rFonts w:ascii="Arial" w:hAnsi="Arial" w:cs="Arial"/>
                <w:b/>
                <w:bCs/>
                <w:i/>
                <w:iCs/>
                <w:lang w:val="en-GB"/>
              </w:rPr>
            </w:pPr>
            <w:r w:rsidRPr="00A07122">
              <w:rPr>
                <w:rFonts w:ascii="Arial" w:hAnsi="Arial" w:cs="Arial"/>
                <w:b/>
                <w:bCs/>
                <w:i/>
                <w:iCs/>
                <w:lang w:val="en-GB"/>
              </w:rPr>
              <w:lastRenderedPageBreak/>
              <w:t>Author(s), Year</w:t>
            </w:r>
          </w:p>
        </w:tc>
        <w:tc>
          <w:tcPr>
            <w:tcW w:w="0" w:type="auto"/>
            <w:hideMark/>
          </w:tcPr>
          <w:p w14:paraId="2EEF6368" w14:textId="77777777" w:rsidR="00852445" w:rsidRPr="00A07122" w:rsidRDefault="00852445" w:rsidP="00D96189">
            <w:pPr>
              <w:spacing w:line="276" w:lineRule="auto"/>
              <w:rPr>
                <w:rFonts w:ascii="Arial" w:hAnsi="Arial" w:cs="Arial"/>
                <w:b/>
                <w:bCs/>
                <w:i/>
                <w:iCs/>
                <w:lang w:val="en-GB"/>
              </w:rPr>
            </w:pPr>
            <w:r w:rsidRPr="00A07122">
              <w:rPr>
                <w:rFonts w:ascii="Arial" w:hAnsi="Arial" w:cs="Arial"/>
                <w:b/>
                <w:bCs/>
                <w:i/>
                <w:iCs/>
                <w:lang w:val="en-GB"/>
              </w:rPr>
              <w:t>Aim</w:t>
            </w:r>
          </w:p>
        </w:tc>
        <w:tc>
          <w:tcPr>
            <w:tcW w:w="0" w:type="auto"/>
            <w:hideMark/>
          </w:tcPr>
          <w:p w14:paraId="30C56918" w14:textId="77777777" w:rsidR="00852445" w:rsidRPr="00A07122" w:rsidRDefault="00852445" w:rsidP="00D96189">
            <w:pPr>
              <w:spacing w:line="276" w:lineRule="auto"/>
              <w:rPr>
                <w:rFonts w:ascii="Arial" w:hAnsi="Arial" w:cs="Arial"/>
                <w:b/>
                <w:bCs/>
                <w:i/>
                <w:iCs/>
                <w:lang w:val="en-GB"/>
              </w:rPr>
            </w:pPr>
            <w:r w:rsidRPr="00A07122">
              <w:rPr>
                <w:rFonts w:ascii="Arial" w:hAnsi="Arial" w:cs="Arial"/>
                <w:b/>
                <w:bCs/>
                <w:i/>
                <w:iCs/>
                <w:lang w:val="en-GB"/>
              </w:rPr>
              <w:t>Study Design</w:t>
            </w:r>
          </w:p>
        </w:tc>
        <w:tc>
          <w:tcPr>
            <w:tcW w:w="0" w:type="auto"/>
            <w:hideMark/>
          </w:tcPr>
          <w:p w14:paraId="205D8F2B" w14:textId="77777777" w:rsidR="00852445" w:rsidRPr="00A07122" w:rsidRDefault="00852445" w:rsidP="00D96189">
            <w:pPr>
              <w:spacing w:line="276" w:lineRule="auto"/>
              <w:rPr>
                <w:rFonts w:ascii="Arial" w:hAnsi="Arial" w:cs="Arial"/>
                <w:b/>
                <w:bCs/>
                <w:i/>
                <w:iCs/>
                <w:lang w:val="en-GB"/>
              </w:rPr>
            </w:pPr>
            <w:r w:rsidRPr="00A07122">
              <w:rPr>
                <w:rFonts w:ascii="Arial" w:hAnsi="Arial" w:cs="Arial"/>
                <w:b/>
                <w:bCs/>
                <w:i/>
                <w:iCs/>
                <w:lang w:val="en-GB"/>
              </w:rPr>
              <w:t>Setting/Location</w:t>
            </w:r>
          </w:p>
        </w:tc>
        <w:tc>
          <w:tcPr>
            <w:tcW w:w="0" w:type="auto"/>
            <w:hideMark/>
          </w:tcPr>
          <w:p w14:paraId="404A291B" w14:textId="77777777" w:rsidR="00852445" w:rsidRPr="00A07122" w:rsidRDefault="00852445" w:rsidP="00D96189">
            <w:pPr>
              <w:spacing w:line="276" w:lineRule="auto"/>
              <w:rPr>
                <w:rFonts w:ascii="Arial" w:hAnsi="Arial" w:cs="Arial"/>
                <w:b/>
                <w:bCs/>
                <w:i/>
                <w:iCs/>
                <w:lang w:val="en-GB"/>
              </w:rPr>
            </w:pPr>
            <w:r w:rsidRPr="00A07122">
              <w:rPr>
                <w:rFonts w:ascii="Arial" w:hAnsi="Arial" w:cs="Arial"/>
                <w:b/>
                <w:bCs/>
                <w:i/>
                <w:iCs/>
                <w:lang w:val="en-GB"/>
              </w:rPr>
              <w:t>Key Findings on Burnout</w:t>
            </w:r>
          </w:p>
        </w:tc>
        <w:tc>
          <w:tcPr>
            <w:tcW w:w="0" w:type="auto"/>
            <w:hideMark/>
          </w:tcPr>
          <w:p w14:paraId="7817CB65" w14:textId="77777777" w:rsidR="00852445" w:rsidRPr="00A07122" w:rsidRDefault="00852445" w:rsidP="00D96189">
            <w:pPr>
              <w:spacing w:line="276" w:lineRule="auto"/>
              <w:rPr>
                <w:rFonts w:ascii="Arial" w:hAnsi="Arial" w:cs="Arial"/>
                <w:b/>
                <w:bCs/>
                <w:i/>
                <w:iCs/>
                <w:lang w:val="en-GB"/>
              </w:rPr>
            </w:pPr>
            <w:r w:rsidRPr="00A07122">
              <w:rPr>
                <w:rFonts w:ascii="Arial" w:hAnsi="Arial" w:cs="Arial"/>
                <w:b/>
                <w:bCs/>
                <w:i/>
                <w:iCs/>
                <w:lang w:val="en-GB"/>
              </w:rPr>
              <w:t>Key Findings on Quality of Care</w:t>
            </w:r>
          </w:p>
        </w:tc>
      </w:tr>
      <w:tr w:rsidR="00D36B19" w:rsidRPr="00A07122" w14:paraId="1695EF8B" w14:textId="77777777" w:rsidTr="004B2F55">
        <w:tc>
          <w:tcPr>
            <w:tcW w:w="0" w:type="auto"/>
            <w:hideMark/>
          </w:tcPr>
          <w:p w14:paraId="6FB95A1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Su et al. (2024)</w:t>
            </w:r>
          </w:p>
        </w:tc>
        <w:tc>
          <w:tcPr>
            <w:tcW w:w="0" w:type="auto"/>
            <w:hideMark/>
          </w:tcPr>
          <w:p w14:paraId="34C302DF"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To synthesise evidence on burnout prevalence and risk factors among care workers in long-term care institutions</w:t>
            </w:r>
          </w:p>
        </w:tc>
        <w:tc>
          <w:tcPr>
            <w:tcW w:w="0" w:type="auto"/>
            <w:hideMark/>
          </w:tcPr>
          <w:p w14:paraId="3851F410"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Systematic review protocol (preliminary)</w:t>
            </w:r>
          </w:p>
        </w:tc>
        <w:tc>
          <w:tcPr>
            <w:tcW w:w="0" w:type="auto"/>
            <w:hideMark/>
          </w:tcPr>
          <w:p w14:paraId="3B0CD57E"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International</w:t>
            </w:r>
          </w:p>
        </w:tc>
        <w:tc>
          <w:tcPr>
            <w:tcW w:w="0" w:type="auto"/>
            <w:hideMark/>
          </w:tcPr>
          <w:p w14:paraId="766707C8"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High prevalence of burnout anticipated; protocol outlines standardised measurement approaches</w:t>
            </w:r>
          </w:p>
        </w:tc>
        <w:tc>
          <w:tcPr>
            <w:tcW w:w="0" w:type="auto"/>
            <w:hideMark/>
          </w:tcPr>
          <w:p w14:paraId="69A268A8"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Protocol identifies need to examine association between burnout and care quality as key outcome</w:t>
            </w:r>
          </w:p>
        </w:tc>
      </w:tr>
      <w:tr w:rsidR="00D36B19" w:rsidRPr="00A07122" w14:paraId="6C43792B" w14:textId="77777777" w:rsidTr="004B2F55">
        <w:tc>
          <w:tcPr>
            <w:tcW w:w="0" w:type="auto"/>
            <w:hideMark/>
          </w:tcPr>
          <w:p w14:paraId="11135A4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Eltaybani et al. (2021)</w:t>
            </w:r>
          </w:p>
        </w:tc>
        <w:tc>
          <w:tcPr>
            <w:tcW w:w="0" w:type="auto"/>
            <w:hideMark/>
          </w:tcPr>
          <w:p w14:paraId="2E7BF54B"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To examine association between nurse burnout and objective care quality indicators</w:t>
            </w:r>
          </w:p>
        </w:tc>
        <w:tc>
          <w:tcPr>
            <w:tcW w:w="0" w:type="auto"/>
            <w:hideMark/>
          </w:tcPr>
          <w:p w14:paraId="647E165C"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Cross-sectional survey</w:t>
            </w:r>
          </w:p>
        </w:tc>
        <w:tc>
          <w:tcPr>
            <w:tcW w:w="0" w:type="auto"/>
            <w:hideMark/>
          </w:tcPr>
          <w:p w14:paraId="542CB8A3"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Long-term care wards, Japan</w:t>
            </w:r>
          </w:p>
        </w:tc>
        <w:tc>
          <w:tcPr>
            <w:tcW w:w="0" w:type="auto"/>
            <w:hideMark/>
          </w:tcPr>
          <w:p w14:paraId="52B430A9"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Moderate levels of emotional exhaustion and depersonalisation reported</w:t>
            </w:r>
          </w:p>
        </w:tc>
        <w:tc>
          <w:tcPr>
            <w:tcW w:w="0" w:type="auto"/>
            <w:hideMark/>
          </w:tcPr>
          <w:p w14:paraId="65BBAF5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Burnout significantly associated with missed care, pressure ulcers, and restraint use</w:t>
            </w:r>
          </w:p>
        </w:tc>
      </w:tr>
      <w:tr w:rsidR="00D36B19" w:rsidRPr="00A07122" w14:paraId="7DB3ECB5" w14:textId="77777777" w:rsidTr="004B2F55">
        <w:tc>
          <w:tcPr>
            <w:tcW w:w="0" w:type="auto"/>
            <w:hideMark/>
          </w:tcPr>
          <w:p w14:paraId="738C6685"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Costello et al. (2019)</w:t>
            </w:r>
          </w:p>
        </w:tc>
        <w:tc>
          <w:tcPr>
            <w:tcW w:w="0" w:type="auto"/>
            <w:hideMark/>
          </w:tcPr>
          <w:p w14:paraId="6C45FEEA"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To examine prevalence and associations of stress and burnout in long-term care staff for people with dementia</w:t>
            </w:r>
          </w:p>
        </w:tc>
        <w:tc>
          <w:tcPr>
            <w:tcW w:w="0" w:type="auto"/>
            <w:hideMark/>
          </w:tcPr>
          <w:p w14:paraId="545147E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Systematic review and meta-analysis</w:t>
            </w:r>
          </w:p>
        </w:tc>
        <w:tc>
          <w:tcPr>
            <w:tcW w:w="0" w:type="auto"/>
            <w:hideMark/>
          </w:tcPr>
          <w:p w14:paraId="4D411EBF"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International</w:t>
            </w:r>
          </w:p>
        </w:tc>
        <w:tc>
          <w:tcPr>
            <w:tcW w:w="0" w:type="auto"/>
            <w:hideMark/>
          </w:tcPr>
          <w:p w14:paraId="56456272"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Pooled prevalence of burnout 11-27%; consistent association with job demands</w:t>
            </w:r>
          </w:p>
        </w:tc>
        <w:tc>
          <w:tcPr>
            <w:tcW w:w="0" w:type="auto"/>
            <w:hideMark/>
          </w:tcPr>
          <w:p w14:paraId="3EDEA02E"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Burnout associated with reduced quality of life for residents and increased staff turnover</w:t>
            </w:r>
          </w:p>
        </w:tc>
      </w:tr>
      <w:tr w:rsidR="00D36B19" w:rsidRPr="00A07122" w14:paraId="4078B6B7" w14:textId="77777777" w:rsidTr="004B2F55">
        <w:tc>
          <w:tcPr>
            <w:tcW w:w="0" w:type="auto"/>
            <w:hideMark/>
          </w:tcPr>
          <w:p w14:paraId="7A8CE073"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Haritos et al. (2025)</w:t>
            </w:r>
          </w:p>
        </w:tc>
        <w:tc>
          <w:tcPr>
            <w:tcW w:w="0" w:type="auto"/>
            <w:hideMark/>
          </w:tcPr>
          <w:p w14:paraId="098B8FFF"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To map evidence on burnout and its impact on quality of care in long-term care nursing occupations</w:t>
            </w:r>
          </w:p>
        </w:tc>
        <w:tc>
          <w:tcPr>
            <w:tcW w:w="0" w:type="auto"/>
            <w:hideMark/>
          </w:tcPr>
          <w:p w14:paraId="4A1FD29F"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Scoping review protocol</w:t>
            </w:r>
          </w:p>
        </w:tc>
        <w:tc>
          <w:tcPr>
            <w:tcW w:w="0" w:type="auto"/>
            <w:hideMark/>
          </w:tcPr>
          <w:p w14:paraId="41E00550"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International</w:t>
            </w:r>
          </w:p>
        </w:tc>
        <w:tc>
          <w:tcPr>
            <w:tcW w:w="0" w:type="auto"/>
            <w:hideMark/>
          </w:tcPr>
          <w:p w14:paraId="4A38A8F3"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Protocol outlines comprehensive mapping approach across settings</w:t>
            </w:r>
          </w:p>
        </w:tc>
        <w:tc>
          <w:tcPr>
            <w:tcW w:w="0" w:type="auto"/>
            <w:hideMark/>
          </w:tcPr>
          <w:p w14:paraId="7AB658C7"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Will examine multiple quality indicators including safety, effectiveness, and patient experience</w:t>
            </w:r>
          </w:p>
        </w:tc>
      </w:tr>
      <w:tr w:rsidR="00D36B19" w:rsidRPr="00A07122" w14:paraId="244E71B0" w14:textId="77777777" w:rsidTr="004B2F55">
        <w:tc>
          <w:tcPr>
            <w:tcW w:w="0" w:type="auto"/>
            <w:hideMark/>
          </w:tcPr>
          <w:p w14:paraId="72065E06"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lastRenderedPageBreak/>
              <w:t>Chamberlain et al. (2019)</w:t>
            </w:r>
          </w:p>
        </w:tc>
        <w:tc>
          <w:tcPr>
            <w:tcW w:w="0" w:type="auto"/>
            <w:hideMark/>
          </w:tcPr>
          <w:p w14:paraId="7951FA52"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To examine characteristics of care aide workforce in nursing homes</w:t>
            </w:r>
          </w:p>
        </w:tc>
        <w:tc>
          <w:tcPr>
            <w:tcW w:w="0" w:type="auto"/>
            <w:hideMark/>
          </w:tcPr>
          <w:p w14:paraId="58FD1C97"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Cross-sectional survey</w:t>
            </w:r>
          </w:p>
        </w:tc>
        <w:tc>
          <w:tcPr>
            <w:tcW w:w="0" w:type="auto"/>
            <w:hideMark/>
          </w:tcPr>
          <w:p w14:paraId="013EAFF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Canadian nursing homes</w:t>
            </w:r>
          </w:p>
        </w:tc>
        <w:tc>
          <w:tcPr>
            <w:tcW w:w="0" w:type="auto"/>
            <w:hideMark/>
          </w:tcPr>
          <w:p w14:paraId="5CF23C4C"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High levels of emotional exhaustion reported; workload and lack of support associated with burnout</w:t>
            </w:r>
          </w:p>
        </w:tc>
        <w:tc>
          <w:tcPr>
            <w:tcW w:w="0" w:type="auto"/>
            <w:hideMark/>
          </w:tcPr>
          <w:p w14:paraId="54002313"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Burnout associated with intention to leave; turnover implications for continuity of care</w:t>
            </w:r>
          </w:p>
        </w:tc>
      </w:tr>
      <w:tr w:rsidR="00D36B19" w:rsidRPr="00A07122" w14:paraId="6A6A83AE" w14:textId="77777777" w:rsidTr="004B2F55">
        <w:tc>
          <w:tcPr>
            <w:tcW w:w="0" w:type="auto"/>
            <w:hideMark/>
          </w:tcPr>
          <w:p w14:paraId="73ACA98A"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White et al. (2022)</w:t>
            </w:r>
          </w:p>
        </w:tc>
        <w:tc>
          <w:tcPr>
            <w:tcW w:w="0" w:type="auto"/>
            <w:hideMark/>
          </w:tcPr>
          <w:p w14:paraId="41F11462"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To examine impact of COVID-19 pandemic on mental health and wellbeing of UK adult social care workforce</w:t>
            </w:r>
          </w:p>
        </w:tc>
        <w:tc>
          <w:tcPr>
            <w:tcW w:w="0" w:type="auto"/>
            <w:hideMark/>
          </w:tcPr>
          <w:p w14:paraId="58A7DA2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Qualitative study</w:t>
            </w:r>
          </w:p>
        </w:tc>
        <w:tc>
          <w:tcPr>
            <w:tcW w:w="0" w:type="auto"/>
            <w:hideMark/>
          </w:tcPr>
          <w:p w14:paraId="3A69E3BD"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UK social care settings</w:t>
            </w:r>
          </w:p>
        </w:tc>
        <w:tc>
          <w:tcPr>
            <w:tcW w:w="0" w:type="auto"/>
            <w:hideMark/>
          </w:tcPr>
          <w:p w14:paraId="0B529903"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Severe burnout reported; contributory factors included inadequate PPE, moral distress, and public perception</w:t>
            </w:r>
          </w:p>
        </w:tc>
        <w:tc>
          <w:tcPr>
            <w:tcW w:w="0" w:type="auto"/>
            <w:hideMark/>
          </w:tcPr>
          <w:p w14:paraId="7AC4C946" w14:textId="77777777" w:rsidR="00852445" w:rsidRPr="00A07122" w:rsidRDefault="00852445" w:rsidP="00D96189">
            <w:pPr>
              <w:spacing w:line="276" w:lineRule="auto"/>
              <w:rPr>
                <w:rFonts w:ascii="Arial" w:hAnsi="Arial" w:cs="Arial"/>
                <w:lang w:val="en-GB"/>
              </w:rPr>
            </w:pPr>
            <w:r w:rsidRPr="00A07122">
              <w:rPr>
                <w:rFonts w:ascii="Arial" w:hAnsi="Arial" w:cs="Arial"/>
                <w:lang w:val="en-GB"/>
              </w:rPr>
              <w:t>Burnout affected ability to provide compassionate care; staff described delivering "basic care only"</w:t>
            </w:r>
          </w:p>
        </w:tc>
      </w:tr>
    </w:tbl>
    <w:p w14:paraId="485C116E" w14:textId="0F15978F" w:rsidR="00276D17" w:rsidRPr="00A07122" w:rsidRDefault="00852445" w:rsidP="00876E91">
      <w:pPr>
        <w:pStyle w:val="Heading2"/>
        <w:spacing w:line="360" w:lineRule="auto"/>
        <w:rPr>
          <w:rFonts w:ascii="Arial" w:hAnsi="Arial" w:cs="Arial"/>
          <w:b/>
          <w:bCs/>
          <w:color w:val="auto"/>
          <w:sz w:val="22"/>
          <w:szCs w:val="22"/>
          <w:lang w:val="en-GB"/>
        </w:rPr>
      </w:pPr>
      <w:bookmarkStart w:id="17" w:name="_Toc225257015"/>
      <w:bookmarkStart w:id="18" w:name="_Hlk225019161"/>
      <w:r w:rsidRPr="00A07122">
        <w:rPr>
          <w:rFonts w:ascii="Arial" w:hAnsi="Arial" w:cs="Arial"/>
          <w:b/>
          <w:bCs/>
          <w:color w:val="auto"/>
          <w:sz w:val="22"/>
          <w:szCs w:val="22"/>
          <w:lang w:val="en-GB"/>
        </w:rPr>
        <w:t>4.2 Thematic Analysis</w:t>
      </w:r>
      <w:bookmarkEnd w:id="17"/>
    </w:p>
    <w:p w14:paraId="412AFFE2" w14:textId="4D4D22BC"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thematic analysis of the selected studies resulted in three general themes which characterise the relationship between staff burnout and quality of care in social care settings.  </w:t>
      </w:r>
    </w:p>
    <w:p w14:paraId="29A75B8B" w14:textId="77777777" w:rsidR="00F36D97" w:rsidRPr="00A07122" w:rsidRDefault="00F36D97" w:rsidP="00876E91">
      <w:pPr>
        <w:pStyle w:val="ds-markdown-paragraph"/>
        <w:shd w:val="clear" w:color="auto" w:fill="FFFFFF"/>
        <w:spacing w:before="240" w:after="240" w:line="360" w:lineRule="auto"/>
        <w:rPr>
          <w:rFonts w:ascii="Arial" w:hAnsi="Arial" w:cs="Arial"/>
          <w:b/>
          <w:bCs/>
          <w:sz w:val="22"/>
          <w:szCs w:val="22"/>
          <w:lang w:val="en-GB"/>
        </w:rPr>
      </w:pPr>
      <w:r w:rsidRPr="00A07122">
        <w:rPr>
          <w:rFonts w:ascii="Arial" w:hAnsi="Arial" w:cs="Arial"/>
          <w:b/>
          <w:bCs/>
          <w:sz w:val="22"/>
          <w:szCs w:val="22"/>
          <w:lang w:val="en-GB"/>
        </w:rPr>
        <w:t xml:space="preserve">Theme 1: Burnout as a Multidimensional Concept that Needs Standardised Measurement  </w:t>
      </w:r>
    </w:p>
    <w:p w14:paraId="19613039" w14:textId="47CE3828"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Across the included studies, burnout was consistently conceptualised in accordance with the Maslach framework with emotional exhaustion being identified as the most prevalent dimension. Su et al. (2024) emphasised the importance of the standardised approach to measurement using validated instruments, specifically the Maslach Burnout Inventory. Eltaybani et al. (2021) found that emotional exhaustion scores were significantly high amongst nurses reporting to high workloads, which is consistent with the work conducted by Costello et al. (2019), which suggested that emotional exhaustion dimension was most consistent with negative outcomes. However, Haritos et al (2025) point out that inconsistent operationalisation poses a major challenge to evidence synthesis and where some research only examine the scope of emotional exhaustion, while others explore all three dimensions, it limits comparability.  </w:t>
      </w:r>
    </w:p>
    <w:p w14:paraId="4083CBEE" w14:textId="77777777" w:rsidR="00F36D97" w:rsidRPr="00A07122" w:rsidRDefault="00F36D97" w:rsidP="00876E91">
      <w:pPr>
        <w:pStyle w:val="ds-markdown-paragraph"/>
        <w:shd w:val="clear" w:color="auto" w:fill="FFFFFF"/>
        <w:spacing w:before="240" w:after="240" w:line="360" w:lineRule="auto"/>
        <w:rPr>
          <w:rFonts w:ascii="Arial" w:hAnsi="Arial" w:cs="Arial"/>
          <w:b/>
          <w:bCs/>
          <w:sz w:val="22"/>
          <w:szCs w:val="22"/>
          <w:lang w:val="en-GB"/>
        </w:rPr>
      </w:pPr>
      <w:r w:rsidRPr="00A07122">
        <w:rPr>
          <w:rFonts w:ascii="Arial" w:hAnsi="Arial" w:cs="Arial"/>
          <w:b/>
          <w:bCs/>
          <w:sz w:val="22"/>
          <w:szCs w:val="22"/>
          <w:lang w:val="en-GB"/>
        </w:rPr>
        <w:t xml:space="preserve">Theme 2: The Link between Burnout and Poor Care Quality Indicators  </w:t>
      </w:r>
    </w:p>
    <w:p w14:paraId="1814395F" w14:textId="64B67C5F" w:rsidR="00F36D97" w:rsidRPr="00A07122" w:rsidRDefault="00F36D9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lastRenderedPageBreak/>
        <w:t xml:space="preserve">The evidence is consistent in showing an inverse relationship between staff burnout and quality of care. Eltaybani et al. (2021) provide quantitative evidence that higher levels of burnout scores are significantly associated with higher levels of missed care, pressure ulcers, and physical restraints. White et al 2022 provide qualitative knowledge which has shown that fatigued UK staff report their inability to deliver compassion based, person-centred care, delivering 'basic care only' and feeling moral distress. Costello et  al. (2019) concludes that burnout is associated with lower quality of life for residents and Chamberlain et  al. (2019) associate burnout with staff turnover, implying loss of continuity of care.  </w:t>
      </w:r>
    </w:p>
    <w:p w14:paraId="5AE9BB04" w14:textId="77777777" w:rsidR="00F36D97" w:rsidRPr="00A07122" w:rsidRDefault="00F36D97" w:rsidP="00876E91">
      <w:pPr>
        <w:pStyle w:val="ds-markdown-paragraph"/>
        <w:shd w:val="clear" w:color="auto" w:fill="FFFFFF"/>
        <w:spacing w:before="240" w:after="240" w:line="360" w:lineRule="auto"/>
        <w:rPr>
          <w:rFonts w:ascii="Arial" w:hAnsi="Arial" w:cs="Arial"/>
          <w:b/>
          <w:bCs/>
          <w:sz w:val="22"/>
          <w:szCs w:val="22"/>
          <w:lang w:val="en-GB"/>
        </w:rPr>
      </w:pPr>
      <w:r w:rsidRPr="00A07122">
        <w:rPr>
          <w:rFonts w:ascii="Arial" w:hAnsi="Arial" w:cs="Arial"/>
          <w:b/>
          <w:bCs/>
          <w:sz w:val="22"/>
          <w:szCs w:val="22"/>
          <w:lang w:val="en-GB"/>
        </w:rPr>
        <w:t xml:space="preserve">Theme 3: Systemic and Contextual Influencing Factors for Prevalence of Burnout  </w:t>
      </w:r>
    </w:p>
    <w:p w14:paraId="2E32FBA4" w14:textId="2780A6B0" w:rsidR="00F36D97" w:rsidRPr="00A07122" w:rsidRDefault="00F36D97"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Fonts w:ascii="Arial" w:hAnsi="Arial" w:cs="Arial"/>
          <w:sz w:val="22"/>
          <w:szCs w:val="22"/>
          <w:lang w:val="en-GB"/>
        </w:rPr>
        <w:t xml:space="preserve">The studies included generally highlight the impact of systemic factors that affect the risk of burnout. Chamberlain et al. (2019) also find that workload, lack of management support and lack of resources are significant predictors of burnout, implying that these factors can be managed through better working conditions in order to decrease burnout. </w:t>
      </w:r>
      <w:r w:rsidR="00637F75" w:rsidRPr="00A07122">
        <w:rPr>
          <w:rFonts w:ascii="Arial" w:hAnsi="Arial" w:cs="Arial"/>
          <w:sz w:val="22"/>
          <w:szCs w:val="22"/>
          <w:lang w:val="en-GB"/>
        </w:rPr>
        <w:t xml:space="preserve">White et al. (2022) highlighted how the COVID-19 pandemic exposed pre-existing vulnerabilities, with participants describing inadequate personal protective equipment and experiencing public perception that undervalued their contribution. </w:t>
      </w:r>
      <w:r w:rsidRPr="00A07122">
        <w:rPr>
          <w:rFonts w:ascii="Arial" w:hAnsi="Arial" w:cs="Arial"/>
          <w:sz w:val="22"/>
          <w:szCs w:val="22"/>
          <w:lang w:val="en-GB"/>
        </w:rPr>
        <w:t>Haritos et al (2025) suggest that to map the relationship between burnout and quality of care account for contextual factors on the individual, interpersonal, organisational, and system levels to determine targeted intervention development.</w:t>
      </w:r>
    </w:p>
    <w:p w14:paraId="4A1478A8" w14:textId="77777777" w:rsidR="00852445" w:rsidRPr="00A07122" w:rsidRDefault="00852445" w:rsidP="00876E91">
      <w:pPr>
        <w:pStyle w:val="Heading1"/>
        <w:spacing w:line="360" w:lineRule="auto"/>
        <w:rPr>
          <w:rFonts w:ascii="Arial" w:hAnsi="Arial" w:cs="Arial"/>
          <w:sz w:val="22"/>
          <w:szCs w:val="22"/>
          <w:lang w:val="en-GB"/>
        </w:rPr>
      </w:pPr>
      <w:bookmarkStart w:id="19" w:name="_Toc225257016"/>
      <w:bookmarkEnd w:id="18"/>
      <w:r w:rsidRPr="00A07122">
        <w:rPr>
          <w:rFonts w:ascii="Arial" w:hAnsi="Arial" w:cs="Arial"/>
          <w:sz w:val="22"/>
          <w:szCs w:val="22"/>
          <w:lang w:val="en-GB"/>
        </w:rPr>
        <w:t>5. Discussion</w:t>
      </w:r>
      <w:bookmarkEnd w:id="19"/>
    </w:p>
    <w:p w14:paraId="0E659DAD"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20" w:name="_Toc225257017"/>
      <w:r w:rsidRPr="00A07122">
        <w:rPr>
          <w:rFonts w:ascii="Arial" w:hAnsi="Arial" w:cs="Arial"/>
          <w:b/>
          <w:bCs/>
          <w:color w:val="auto"/>
          <w:sz w:val="22"/>
          <w:szCs w:val="22"/>
          <w:lang w:val="en-GB"/>
        </w:rPr>
        <w:t>5.1 Interpretation of Findings</w:t>
      </w:r>
      <w:bookmarkEnd w:id="20"/>
    </w:p>
    <w:p w14:paraId="351B1906" w14:textId="77777777"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objectives of the scoping review were to determine the effect of staff burnout on quality of care in social care settings across the UK. The findings present strong evidence that burnout has a significant negative impact on the quality of care provided, including impacts on safety, communication, and the quality of relationships which are the cornerstones of social care practice.  </w:t>
      </w:r>
    </w:p>
    <w:p w14:paraId="6B9BC9DB" w14:textId="77777777"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This multidimensional construct of burnout, with emotional exhaustion being the most consistently implicated dimension, has important implications for the design of interventions. Emotional exhaustion, where there is a depletion of emotional resources, is especially prominent in a care context where staff is required to perform emotional labour (Hochschild, 2012). When these resources have been depleted, however, staff may have difficulty staying </w:t>
      </w:r>
      <w:r w:rsidRPr="00A07122">
        <w:rPr>
          <w:rFonts w:ascii="Arial" w:hAnsi="Arial" w:cs="Arial"/>
          <w:sz w:val="22"/>
          <w:szCs w:val="22"/>
          <w:lang w:val="en-GB"/>
        </w:rPr>
        <w:lastRenderedPageBreak/>
        <w:t xml:space="preserve">consistent with the compassionate, person-centred approach which characterizes good quality of care. This observation would agree with the analysis of Prudenzi (2021) on psychological flexibility, which would indicate that interventions that help in processing emotional demands might be more efficacious than those aimed at reducing workload.  </w:t>
      </w:r>
    </w:p>
    <w:p w14:paraId="529BBCC3" w14:textId="77777777"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link between burnout and objective measures of care quality found by Eltaybani et al. (2021) goes beyond previous evidence of links between burnout and subjective reports of care quality. Missed care, pressure ulcers and restraint use are all quantifiable outcomes with direct consequences for service user safety and wellbeing. This evidence provides further reason to make the wellbeing of the workforce a patient safety priority, not one which is relegated to the subject of a 'my staff are going crazy' staff welfare initiative.  </w:t>
      </w:r>
    </w:p>
    <w:p w14:paraId="3BA55563" w14:textId="77777777"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Qualitative findings by White et al. 2022 shed light on mechanisms of the conversion from burnout to lower quality of care. Staff reported being unable to provide the care which they valued thus reported moral distress. This finding resonates with the findings of the review of burnout in mental health services done by Morse et al. (2012), which found that a discrepancy between expectations for the levels of care and the resource availability is a key factor for burnout. Where staff are unable to meet their own standards, burnout is compounded to form a self-perpetuating cycle.  </w:t>
      </w:r>
    </w:p>
    <w:p w14:paraId="18BBA26A" w14:textId="2FDDFD21" w:rsidR="00276D17" w:rsidRPr="00A07122" w:rsidRDefault="00852445" w:rsidP="00876E91">
      <w:pPr>
        <w:pStyle w:val="Heading2"/>
        <w:spacing w:line="360" w:lineRule="auto"/>
        <w:rPr>
          <w:rFonts w:ascii="Arial" w:hAnsi="Arial" w:cs="Arial"/>
          <w:b/>
          <w:bCs/>
          <w:color w:val="auto"/>
          <w:sz w:val="22"/>
          <w:szCs w:val="22"/>
          <w:lang w:val="en-GB"/>
        </w:rPr>
      </w:pPr>
      <w:bookmarkStart w:id="21" w:name="_Toc225257018"/>
      <w:r w:rsidRPr="00A07122">
        <w:rPr>
          <w:rFonts w:ascii="Arial" w:hAnsi="Arial" w:cs="Arial"/>
          <w:b/>
          <w:bCs/>
          <w:color w:val="auto"/>
          <w:sz w:val="22"/>
          <w:szCs w:val="22"/>
          <w:lang w:val="en-GB"/>
        </w:rPr>
        <w:t xml:space="preserve">5.2 </w:t>
      </w:r>
      <w:r w:rsidR="00276D17" w:rsidRPr="00A07122">
        <w:rPr>
          <w:rFonts w:ascii="Arial" w:hAnsi="Arial" w:cs="Arial"/>
          <w:b/>
          <w:bCs/>
          <w:color w:val="auto"/>
          <w:sz w:val="22"/>
          <w:szCs w:val="22"/>
          <w:lang w:val="en-GB"/>
        </w:rPr>
        <w:t>Relevance to</w:t>
      </w:r>
      <w:r w:rsidRPr="00A07122">
        <w:rPr>
          <w:rFonts w:ascii="Arial" w:hAnsi="Arial" w:cs="Arial"/>
          <w:b/>
          <w:bCs/>
          <w:color w:val="auto"/>
          <w:sz w:val="22"/>
          <w:szCs w:val="22"/>
          <w:lang w:val="en-GB"/>
        </w:rPr>
        <w:t xml:space="preserve"> Health and Social Care</w:t>
      </w:r>
      <w:bookmarkEnd w:id="21"/>
    </w:p>
    <w:p w14:paraId="1366D285" w14:textId="67AC01A4"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findings of this review have significant implications in terms of health and social care policy, practice and research. At the policy level, the findings support the priorities contained in the People at the Heart of Care White Paper (DHSC, 2021). Nevertheless, the </w:t>
      </w:r>
      <w:r w:rsidR="00363039" w:rsidRPr="00A07122">
        <w:rPr>
          <w:rFonts w:ascii="Arial" w:hAnsi="Arial" w:cs="Arial"/>
          <w:sz w:val="22"/>
          <w:szCs w:val="22"/>
          <w:lang w:val="en-GB"/>
        </w:rPr>
        <w:t>persistence</w:t>
      </w:r>
      <w:r w:rsidRPr="00A07122">
        <w:rPr>
          <w:rFonts w:ascii="Arial" w:hAnsi="Arial" w:cs="Arial"/>
          <w:sz w:val="22"/>
          <w:szCs w:val="22"/>
          <w:lang w:val="en-GB"/>
        </w:rPr>
        <w:t xml:space="preserve"> of workforce challenges indicates that implementation has not been sufficient. The Care Quality Commission (2024) has an important responsibility in </w:t>
      </w:r>
      <w:r w:rsidR="00FC76E2" w:rsidRPr="00A07122">
        <w:rPr>
          <w:rFonts w:ascii="Arial" w:hAnsi="Arial" w:cs="Arial"/>
          <w:sz w:val="22"/>
          <w:szCs w:val="22"/>
          <w:lang w:val="en-GB"/>
        </w:rPr>
        <w:t>this regard</w:t>
      </w:r>
      <w:r w:rsidRPr="00A07122">
        <w:rPr>
          <w:rFonts w:ascii="Arial" w:hAnsi="Arial" w:cs="Arial"/>
          <w:sz w:val="22"/>
          <w:szCs w:val="22"/>
          <w:lang w:val="en-GB"/>
        </w:rPr>
        <w:t xml:space="preserve"> in terms of ensuring that the wellbeing of the workforce is considered in the regulatory assessments, recognising that performance of providers cannot be sustained without a healthy supported workforce.  </w:t>
      </w:r>
    </w:p>
    <w:p w14:paraId="6AA6F8E7" w14:textId="77777777"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At the level of practice this means that the findings emphasises the importance of organisational interventions to help deal with systemic factors that contribute to burnout. Chamberlain et al. (2019) shared workload, management support and resources as modifiable factors. Fleury, Grenier and Bamvita (2017) stated that the care staff is affected by their perception on organisational support and possibilities to be professionally developed. These observations </w:t>
      </w:r>
      <w:r w:rsidRPr="00A07122">
        <w:rPr>
          <w:rFonts w:ascii="Arial" w:hAnsi="Arial" w:cs="Arial"/>
          <w:sz w:val="22"/>
          <w:szCs w:val="22"/>
          <w:lang w:val="en-GB"/>
        </w:rPr>
        <w:lastRenderedPageBreak/>
        <w:t xml:space="preserve">suggest that investment in supportive management practices, adequate staffing levels and opportunities to gain career progression may be as important as at the individual-level interventions in preventing burnout from occurring.  </w:t>
      </w:r>
    </w:p>
    <w:p w14:paraId="5369B117" w14:textId="0F4CE305"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international nature of many included studies raises important questions in regard to the transferability of findings to the UK context. While Costello et al. (2019) and Su et al. (2024) included studies from a range of countries, the specific nature of the UK social care system, including how it is regulated, how it is commissioned and the composition of the workforce, may play a role in how burnout is manifested and therefore how best it can be addressed. This shows the need for the research to be more UK specific to help inform local policy and practice.  </w:t>
      </w:r>
    </w:p>
    <w:p w14:paraId="4F613E20" w14:textId="7F4C2197" w:rsidR="00852445" w:rsidRPr="00A07122" w:rsidRDefault="00852445" w:rsidP="00876E91">
      <w:pPr>
        <w:pStyle w:val="Heading2"/>
        <w:spacing w:line="360" w:lineRule="auto"/>
        <w:rPr>
          <w:rFonts w:ascii="Arial" w:hAnsi="Arial" w:cs="Arial"/>
          <w:b/>
          <w:bCs/>
          <w:color w:val="auto"/>
          <w:sz w:val="22"/>
          <w:szCs w:val="22"/>
          <w:lang w:val="en-GB"/>
        </w:rPr>
      </w:pPr>
      <w:bookmarkStart w:id="22" w:name="_Toc225257019"/>
      <w:r w:rsidRPr="00A07122">
        <w:rPr>
          <w:rFonts w:ascii="Arial" w:hAnsi="Arial" w:cs="Arial"/>
          <w:b/>
          <w:bCs/>
          <w:color w:val="auto"/>
          <w:sz w:val="22"/>
          <w:szCs w:val="22"/>
          <w:lang w:val="en-GB"/>
        </w:rPr>
        <w:t>5.3 Limitations of the Research</w:t>
      </w:r>
      <w:bookmarkEnd w:id="22"/>
    </w:p>
    <w:p w14:paraId="268F5324" w14:textId="6B02DAEA"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Several limitations of this scoping review need to be acknowledged. First, as a scoping rather than a systematic review, formal quality appraisal was not undertaken prioritising breadth over depth (Arksey and O'Malley, 2005; Munn et al., 2018). Second, the requirement of English only may have added language bias. Third, publication bias is also a concern, although by using systematic reviews, the risk of publication bias is to some extent circumvented. Fourth, the emphasis on peer-reviewed publications did not take into account potentially useful grey literature. Finally, the UK-specific work cannot be said to inform the issue greatly, but it is also an important finding. Although White et al. (2022) presented useful qualitative information in the UK, a lack of quantitative research in the UK means that the robustness of conclusions about the UK sector is limited.  </w:t>
      </w:r>
    </w:p>
    <w:p w14:paraId="5576C9AC" w14:textId="77777777" w:rsidR="00852445" w:rsidRPr="00A07122" w:rsidRDefault="00852445" w:rsidP="00876E91">
      <w:pPr>
        <w:pStyle w:val="Heading1"/>
        <w:spacing w:line="360" w:lineRule="auto"/>
        <w:rPr>
          <w:rFonts w:ascii="Arial" w:hAnsi="Arial" w:cs="Arial"/>
          <w:sz w:val="22"/>
          <w:szCs w:val="22"/>
          <w:lang w:val="en-GB"/>
        </w:rPr>
      </w:pPr>
      <w:bookmarkStart w:id="23" w:name="_Toc225257020"/>
      <w:r w:rsidRPr="00A07122">
        <w:rPr>
          <w:rFonts w:ascii="Arial" w:hAnsi="Arial" w:cs="Arial"/>
          <w:sz w:val="22"/>
          <w:szCs w:val="22"/>
          <w:lang w:val="en-GB"/>
        </w:rPr>
        <w:t>6. Conclusion and Recommendations</w:t>
      </w:r>
      <w:bookmarkEnd w:id="23"/>
    </w:p>
    <w:p w14:paraId="018876D9" w14:textId="77777777" w:rsidR="00276D17" w:rsidRPr="00A07122" w:rsidRDefault="00276D17" w:rsidP="00876E91">
      <w:pPr>
        <w:pStyle w:val="Heading2"/>
        <w:spacing w:line="360" w:lineRule="auto"/>
        <w:rPr>
          <w:rFonts w:ascii="Arial" w:hAnsi="Arial" w:cs="Arial"/>
          <w:b/>
          <w:bCs/>
          <w:color w:val="auto"/>
          <w:sz w:val="22"/>
          <w:szCs w:val="22"/>
          <w:lang w:val="en-GB"/>
        </w:rPr>
      </w:pPr>
      <w:bookmarkStart w:id="24" w:name="_Toc225257021"/>
      <w:r w:rsidRPr="00A07122">
        <w:rPr>
          <w:rFonts w:ascii="Arial" w:hAnsi="Arial" w:cs="Arial"/>
          <w:b/>
          <w:bCs/>
          <w:color w:val="auto"/>
          <w:sz w:val="22"/>
          <w:szCs w:val="22"/>
          <w:lang w:val="en-GB"/>
        </w:rPr>
        <w:t>6.1 Summary of Main Points</w:t>
      </w:r>
      <w:bookmarkEnd w:id="24"/>
      <w:r w:rsidRPr="00A07122">
        <w:rPr>
          <w:rFonts w:ascii="Arial" w:hAnsi="Arial" w:cs="Arial"/>
          <w:b/>
          <w:bCs/>
          <w:color w:val="auto"/>
          <w:sz w:val="22"/>
          <w:szCs w:val="22"/>
          <w:lang w:val="en-GB"/>
        </w:rPr>
        <w:t xml:space="preserve">  </w:t>
      </w:r>
    </w:p>
    <w:p w14:paraId="2CC86C80" w14:textId="56E6A7E9" w:rsidR="00276D17" w:rsidRPr="00A07122" w:rsidRDefault="00276D17"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This scoping review has examined the impact of staff burnout on the quality of care in the social care settings in the UK. The evidence presented after synthesizing </w:t>
      </w:r>
      <w:r w:rsidR="00B55152" w:rsidRPr="00A07122">
        <w:rPr>
          <w:rFonts w:ascii="Arial" w:hAnsi="Arial" w:cs="Arial"/>
          <w:sz w:val="22"/>
          <w:szCs w:val="22"/>
          <w:lang w:val="en-GB"/>
        </w:rPr>
        <w:t>six</w:t>
      </w:r>
      <w:r w:rsidRPr="00A07122">
        <w:rPr>
          <w:rFonts w:ascii="Arial" w:hAnsi="Arial" w:cs="Arial"/>
          <w:sz w:val="22"/>
          <w:szCs w:val="22"/>
          <w:lang w:val="en-GB"/>
        </w:rPr>
        <w:t xml:space="preserve"> core studies shows a consistent link between burnout and poor quality of care. Burnout, which is conceptualized using the Maslach concept of burnout with emotional exhaustion being the most prominent dimension, is linked to missed care, greater adverse events, reduced therapeutic relationships and staff turnover which all mean disruptions in continuity of care.  The review identified certain systemic factors, such as workload, management support, and availability of resources to be significant contributors to the risk of burnout. These findings indicate that burnout is not merely an </w:t>
      </w:r>
      <w:r w:rsidRPr="00A07122">
        <w:rPr>
          <w:rFonts w:ascii="Arial" w:hAnsi="Arial" w:cs="Arial"/>
          <w:sz w:val="22"/>
          <w:szCs w:val="22"/>
          <w:lang w:val="en-GB"/>
        </w:rPr>
        <w:lastRenderedPageBreak/>
        <w:t xml:space="preserve">individual issue that can be fixed by resilience training, but that the issue itself is fundamentally determined by organisational and policy contexts. The vulnerabilities that already existed have been exacerbated during the Covid-19 pandemic to highlight the fragility of the social care workforce and the immediate need to sustainably invest in workforce wellbeing.  </w:t>
      </w:r>
    </w:p>
    <w:p w14:paraId="1FF73D99" w14:textId="77777777" w:rsidR="00276D17" w:rsidRPr="00A07122" w:rsidRDefault="00276D17"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Fonts w:ascii="Arial" w:hAnsi="Arial" w:cs="Arial"/>
          <w:sz w:val="22"/>
          <w:szCs w:val="22"/>
          <w:lang w:val="en-GB"/>
        </w:rPr>
        <w:t>There were large gaps in the evidence base, notably a lack of UK specific longitudinal studies which look at causal pathways between burnout and the care quality outcomes. Reliance on cross-sectional studies restricts our knowledge about directionality as well as identification of bi-directional relationships of burnout and care quality.</w:t>
      </w:r>
    </w:p>
    <w:p w14:paraId="51C5E61C" w14:textId="77777777" w:rsidR="00852445" w:rsidRPr="00A07122" w:rsidRDefault="00852445" w:rsidP="00876E91">
      <w:pPr>
        <w:pStyle w:val="Heading2"/>
        <w:spacing w:line="360" w:lineRule="auto"/>
        <w:rPr>
          <w:rFonts w:ascii="Arial" w:hAnsi="Arial" w:cs="Arial"/>
          <w:b/>
          <w:bCs/>
          <w:color w:val="auto"/>
          <w:sz w:val="22"/>
          <w:szCs w:val="22"/>
          <w:lang w:val="en-GB"/>
        </w:rPr>
      </w:pPr>
      <w:bookmarkStart w:id="25" w:name="_Toc225257022"/>
      <w:bookmarkStart w:id="26" w:name="_Hlk225021209"/>
      <w:r w:rsidRPr="00A07122">
        <w:rPr>
          <w:rFonts w:ascii="Arial" w:hAnsi="Arial" w:cs="Arial"/>
          <w:b/>
          <w:bCs/>
          <w:color w:val="auto"/>
          <w:sz w:val="22"/>
          <w:szCs w:val="22"/>
          <w:lang w:val="en-GB"/>
        </w:rPr>
        <w:t>6.2 Recommendations</w:t>
      </w:r>
      <w:bookmarkEnd w:id="25"/>
    </w:p>
    <w:p w14:paraId="748AF86B" w14:textId="1FCDA0D2" w:rsidR="00FD5F4F" w:rsidRPr="00A07122" w:rsidRDefault="00FD5F4F"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Informed by some of the insights derived from this scoping inquiry, it is recommended that:</w:t>
      </w:r>
    </w:p>
    <w:p w14:paraId="12691444" w14:textId="77777777" w:rsidR="00FD5F4F" w:rsidRPr="00A07122" w:rsidRDefault="00FD5F4F" w:rsidP="00876E91">
      <w:pPr>
        <w:pStyle w:val="ds-markdown-paragraph"/>
        <w:shd w:val="clear" w:color="auto" w:fill="FFFFFF"/>
        <w:spacing w:before="240" w:after="240" w:line="360" w:lineRule="auto"/>
        <w:rPr>
          <w:rFonts w:ascii="Arial" w:hAnsi="Arial" w:cs="Arial"/>
          <w:b/>
          <w:bCs/>
          <w:i/>
          <w:iCs/>
          <w:sz w:val="22"/>
          <w:szCs w:val="22"/>
          <w:lang w:val="en-GB"/>
        </w:rPr>
      </w:pPr>
      <w:r w:rsidRPr="00A07122">
        <w:rPr>
          <w:rFonts w:ascii="Arial" w:hAnsi="Arial" w:cs="Arial"/>
          <w:b/>
          <w:bCs/>
          <w:i/>
          <w:iCs/>
          <w:sz w:val="22"/>
          <w:szCs w:val="22"/>
          <w:lang w:val="en-GB"/>
        </w:rPr>
        <w:t xml:space="preserve">For Practice  </w:t>
      </w:r>
    </w:p>
    <w:p w14:paraId="4AEED07D" w14:textId="12238152" w:rsidR="00FD5F4F" w:rsidRPr="00A07122" w:rsidRDefault="00FD5F4F"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Organisations should institute periodic and structured programmes of staff wellbeing and supervision that afford opportunity for emotional processing and peer support. These programmes should be incorporated into routine practices rather than add-on routines. Management approaches need to focus on supportive leadership, adequate staffing ratios and the recognition of the inherent value of care work. Addressing the systemic determinants identified by Chamberlain et al. 2019 is important in maintaining wellbeing of the healthcare workforce. Interventions should address emotional exhaustion - the dimension that has consistently been associated with deficits in care quality - and may prove more efficacious when they assist staff in dealing with the demands of emotional labour - as opposed to a single focus on reducing workload.</w:t>
      </w:r>
    </w:p>
    <w:p w14:paraId="46C1264C" w14:textId="77777777" w:rsidR="00FD5F4F" w:rsidRPr="00A07122" w:rsidRDefault="00FD5F4F" w:rsidP="00876E91">
      <w:pPr>
        <w:pStyle w:val="ds-markdown-paragraph"/>
        <w:shd w:val="clear" w:color="auto" w:fill="FFFFFF"/>
        <w:spacing w:before="240" w:after="240" w:line="360" w:lineRule="auto"/>
        <w:rPr>
          <w:rFonts w:ascii="Arial" w:hAnsi="Arial" w:cs="Arial"/>
          <w:b/>
          <w:bCs/>
          <w:i/>
          <w:iCs/>
          <w:sz w:val="22"/>
          <w:szCs w:val="22"/>
          <w:lang w:val="en-GB"/>
        </w:rPr>
      </w:pPr>
      <w:r w:rsidRPr="00A07122">
        <w:rPr>
          <w:rFonts w:ascii="Arial" w:hAnsi="Arial" w:cs="Arial"/>
          <w:b/>
          <w:bCs/>
          <w:i/>
          <w:iCs/>
          <w:sz w:val="22"/>
          <w:szCs w:val="22"/>
          <w:lang w:val="en-GB"/>
        </w:rPr>
        <w:t xml:space="preserve">For Policy  </w:t>
      </w:r>
    </w:p>
    <w:p w14:paraId="0E94D699" w14:textId="7724EA12" w:rsidR="00FD5F4F" w:rsidRPr="00A07122" w:rsidRDefault="00FD5F4F" w:rsidP="00876E91">
      <w:pPr>
        <w:pStyle w:val="ds-markdown-paragraph"/>
        <w:shd w:val="clear" w:color="auto" w:fill="FFFFFF"/>
        <w:spacing w:before="240" w:after="240" w:line="360" w:lineRule="auto"/>
        <w:rPr>
          <w:rFonts w:ascii="Arial" w:hAnsi="Arial" w:cs="Arial"/>
          <w:sz w:val="22"/>
          <w:szCs w:val="22"/>
          <w:lang w:val="en-GB"/>
        </w:rPr>
      </w:pPr>
      <w:r w:rsidRPr="00A07122">
        <w:rPr>
          <w:rFonts w:ascii="Arial" w:hAnsi="Arial" w:cs="Arial"/>
          <w:sz w:val="22"/>
          <w:szCs w:val="22"/>
          <w:lang w:val="en-GB"/>
        </w:rPr>
        <w:t xml:space="preserve">The UK government should invest resources into workforce retention strategies which include competitive remuneration, opportunities for career development and funding for staff - support mechanisms. The commitments contained within People at the Heart of Care White Paper (DHSC, 2021) are headline commitments that need to be realised with sufficient resourcing and explicit accountability. The Care Quality Commission should include workforce wellbeing measures in regulatory appraisals, as they are an integral part of service quality and safety. </w:t>
      </w:r>
      <w:r w:rsidRPr="00A07122">
        <w:rPr>
          <w:rFonts w:ascii="Arial" w:hAnsi="Arial" w:cs="Arial"/>
          <w:sz w:val="22"/>
          <w:szCs w:val="22"/>
          <w:lang w:val="en-GB"/>
        </w:rPr>
        <w:lastRenderedPageBreak/>
        <w:t>National workforce planning should include continued monitoring of the wellbeing of staff members, with mechanisms to provide information about and mitigate risk arising.</w:t>
      </w:r>
    </w:p>
    <w:p w14:paraId="7EF958C3" w14:textId="77777777" w:rsidR="00FD5F4F" w:rsidRPr="00A07122" w:rsidRDefault="00FD5F4F" w:rsidP="00876E91">
      <w:pPr>
        <w:pStyle w:val="ds-markdown-paragraph"/>
        <w:shd w:val="clear" w:color="auto" w:fill="FFFFFF"/>
        <w:spacing w:before="240" w:after="240" w:line="360" w:lineRule="auto"/>
        <w:rPr>
          <w:rFonts w:ascii="Arial" w:hAnsi="Arial" w:cs="Arial"/>
          <w:b/>
          <w:bCs/>
          <w:i/>
          <w:iCs/>
          <w:sz w:val="22"/>
          <w:szCs w:val="22"/>
          <w:lang w:val="en-GB"/>
        </w:rPr>
      </w:pPr>
      <w:r w:rsidRPr="00A07122">
        <w:rPr>
          <w:rFonts w:ascii="Arial" w:hAnsi="Arial" w:cs="Arial"/>
          <w:b/>
          <w:bCs/>
          <w:i/>
          <w:iCs/>
          <w:sz w:val="22"/>
          <w:szCs w:val="22"/>
          <w:lang w:val="en-GB"/>
        </w:rPr>
        <w:t xml:space="preserve">For Future Research  </w:t>
      </w:r>
    </w:p>
    <w:p w14:paraId="4213F2FC" w14:textId="4B292160" w:rsidR="00852445" w:rsidRPr="00A07122" w:rsidRDefault="00FD5F4F" w:rsidP="00876E91">
      <w:pPr>
        <w:pStyle w:val="ds-markdown-paragraph"/>
        <w:shd w:val="clear" w:color="auto" w:fill="FFFFFF"/>
        <w:spacing w:before="240" w:beforeAutospacing="0" w:after="240" w:afterAutospacing="0" w:line="360" w:lineRule="auto"/>
        <w:rPr>
          <w:rFonts w:ascii="Arial" w:hAnsi="Arial" w:cs="Arial"/>
          <w:sz w:val="22"/>
          <w:szCs w:val="22"/>
          <w:lang w:val="en-GB"/>
        </w:rPr>
      </w:pPr>
      <w:r w:rsidRPr="00A07122">
        <w:rPr>
          <w:rFonts w:ascii="Arial" w:hAnsi="Arial" w:cs="Arial"/>
          <w:sz w:val="22"/>
          <w:szCs w:val="22"/>
          <w:lang w:val="en-GB"/>
        </w:rPr>
        <w:t>Priority should converge on UK-specific longitudinal studies explaining the causal relationship between burnout and outcomes on care quality. Such investigations would clarify the issue of directionality and pinpoint the areas of modifiable factors amenable for intervention. Experimental studies on the effectiveness of burnout-reduction strategies on quality of care in social care settings in the UK are currently urgently needed, the protocol by Haritos et al. (2025) provides a basic schema for mapping and for systematically appraising the evidence base that needs to be expanded. Research work should also address the unique experiences of diverse occupational cohorts within the social care workforce including care assistants, nurses and managers as role diversity may require specific support strategies.</w:t>
      </w:r>
      <w:bookmarkEnd w:id="26"/>
    </w:p>
    <w:p w14:paraId="03F2348C" w14:textId="7DD69C13"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2D2E6E1A" w14:textId="6942B62E"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3F5401A4" w14:textId="14CFBEE2"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00DA9077" w14:textId="5BE4C6B9"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72A88876" w14:textId="69D8CDFB"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3D62F438" w14:textId="183FE09D"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65989976" w14:textId="2A442713"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139BCA43" w14:textId="5AAB3552"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7529617A" w14:textId="46AD6469" w:rsidR="00D96189" w:rsidRPr="00A07122" w:rsidRDefault="00D96189"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04F1DFB9" w14:textId="4E206BF0" w:rsidR="00192000" w:rsidRPr="00A07122" w:rsidRDefault="00192000"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4CD9A4B6" w14:textId="5490C1BE" w:rsidR="00192000" w:rsidRPr="00A07122" w:rsidRDefault="00192000" w:rsidP="00876E91">
      <w:pPr>
        <w:pStyle w:val="ds-markdown-paragraph"/>
        <w:shd w:val="clear" w:color="auto" w:fill="FFFFFF"/>
        <w:spacing w:before="240" w:beforeAutospacing="0" w:after="240" w:afterAutospacing="0" w:line="360" w:lineRule="auto"/>
        <w:rPr>
          <w:rFonts w:ascii="Arial" w:hAnsi="Arial" w:cs="Arial"/>
          <w:sz w:val="22"/>
          <w:szCs w:val="22"/>
          <w:lang w:val="en-GB"/>
        </w:rPr>
      </w:pPr>
    </w:p>
    <w:p w14:paraId="21865629" w14:textId="77777777" w:rsidR="00876E91" w:rsidRDefault="00876E91" w:rsidP="00876E91">
      <w:pPr>
        <w:pStyle w:val="Heading1"/>
        <w:spacing w:line="360" w:lineRule="auto"/>
        <w:rPr>
          <w:rFonts w:ascii="Arial" w:hAnsi="Arial" w:cs="Arial"/>
          <w:sz w:val="22"/>
          <w:szCs w:val="22"/>
          <w:lang w:val="en-GB"/>
        </w:rPr>
      </w:pPr>
      <w:bookmarkStart w:id="27" w:name="_Toc225257023"/>
    </w:p>
    <w:p w14:paraId="409095A3" w14:textId="4DBE8879" w:rsidR="00852445" w:rsidRPr="00A07122" w:rsidRDefault="00D36B19" w:rsidP="00876E91">
      <w:pPr>
        <w:pStyle w:val="Heading1"/>
        <w:spacing w:line="360" w:lineRule="auto"/>
        <w:rPr>
          <w:rFonts w:ascii="Arial" w:hAnsi="Arial" w:cs="Arial"/>
          <w:sz w:val="22"/>
          <w:szCs w:val="22"/>
          <w:lang w:val="en-GB"/>
        </w:rPr>
      </w:pPr>
      <w:r w:rsidRPr="00A07122">
        <w:rPr>
          <w:rFonts w:ascii="Arial" w:hAnsi="Arial" w:cs="Arial"/>
          <w:sz w:val="22"/>
          <w:szCs w:val="22"/>
          <w:lang w:val="en-GB"/>
        </w:rPr>
        <w:lastRenderedPageBreak/>
        <w:t xml:space="preserve">7. </w:t>
      </w:r>
      <w:r w:rsidR="00FD5F4F" w:rsidRPr="00A07122">
        <w:rPr>
          <w:rFonts w:ascii="Arial" w:hAnsi="Arial" w:cs="Arial"/>
          <w:sz w:val="22"/>
          <w:szCs w:val="22"/>
          <w:lang w:val="en-GB"/>
        </w:rPr>
        <w:t>References</w:t>
      </w:r>
      <w:bookmarkEnd w:id="27"/>
    </w:p>
    <w:p w14:paraId="0412A3BF"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Aicken, C., Hodgson, L., De Vries, K., Wilkinson, I., Aldridge, Z., and Galvin, K. (2021) ‘This Adds Another Perspective’: Qualitative Descriptive Study Evaluating Simulation-Based Training for Health Care Assistants, to Enhance the Quality of Care in Nursing Homes’. </w:t>
      </w:r>
      <w:r w:rsidRPr="00A07122">
        <w:rPr>
          <w:rFonts w:ascii="Arial" w:hAnsi="Arial" w:cs="Arial"/>
          <w:i/>
          <w:iCs/>
          <w:shd w:val="clear" w:color="auto" w:fill="FFFFFF"/>
          <w:lang w:val="en-GB"/>
        </w:rPr>
        <w:t>International journal of environmental research and public health</w:t>
      </w:r>
      <w:r w:rsidRPr="00A07122">
        <w:rPr>
          <w:rFonts w:ascii="Arial" w:hAnsi="Arial" w:cs="Arial"/>
          <w:shd w:val="clear" w:color="auto" w:fill="FFFFFF"/>
          <w:lang w:val="en-GB"/>
        </w:rPr>
        <w:t>, </w:t>
      </w:r>
      <w:r w:rsidRPr="00A07122">
        <w:rPr>
          <w:rFonts w:ascii="Arial" w:hAnsi="Arial" w:cs="Arial"/>
          <w:i/>
          <w:iCs/>
          <w:shd w:val="clear" w:color="auto" w:fill="FFFFFF"/>
          <w:lang w:val="en-GB"/>
        </w:rPr>
        <w:t>18</w:t>
      </w:r>
      <w:r w:rsidRPr="00A07122">
        <w:rPr>
          <w:rFonts w:ascii="Arial" w:hAnsi="Arial" w:cs="Arial"/>
          <w:shd w:val="clear" w:color="auto" w:fill="FFFFFF"/>
          <w:lang w:val="en-GB"/>
        </w:rPr>
        <w:t>(8), 3995.</w:t>
      </w:r>
    </w:p>
    <w:p w14:paraId="5A2081B2"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Arksey, H., and O'malley, L. (2005) ‘Scoping studies: towards a methodological framework’. </w:t>
      </w:r>
      <w:r w:rsidRPr="00A07122">
        <w:rPr>
          <w:rFonts w:ascii="Arial" w:hAnsi="Arial" w:cs="Arial"/>
          <w:i/>
          <w:iCs/>
          <w:shd w:val="clear" w:color="auto" w:fill="FFFFFF"/>
          <w:lang w:val="en-GB"/>
        </w:rPr>
        <w:t>International journal of social research methodology</w:t>
      </w:r>
      <w:r w:rsidRPr="00A07122">
        <w:rPr>
          <w:rFonts w:ascii="Arial" w:hAnsi="Arial" w:cs="Arial"/>
          <w:shd w:val="clear" w:color="auto" w:fill="FFFFFF"/>
          <w:lang w:val="en-GB"/>
        </w:rPr>
        <w:t>, </w:t>
      </w:r>
      <w:r w:rsidRPr="00A07122">
        <w:rPr>
          <w:rFonts w:ascii="Arial" w:hAnsi="Arial" w:cs="Arial"/>
          <w:i/>
          <w:iCs/>
          <w:shd w:val="clear" w:color="auto" w:fill="FFFFFF"/>
          <w:lang w:val="en-GB"/>
        </w:rPr>
        <w:t>8</w:t>
      </w:r>
      <w:r w:rsidRPr="00A07122">
        <w:rPr>
          <w:rFonts w:ascii="Arial" w:hAnsi="Arial" w:cs="Arial"/>
          <w:shd w:val="clear" w:color="auto" w:fill="FFFFFF"/>
          <w:lang w:val="en-GB"/>
        </w:rPr>
        <w:t>(1), 19-32.</w:t>
      </w:r>
    </w:p>
    <w:p w14:paraId="2C1C630E" w14:textId="77777777" w:rsidR="00FD5F4F" w:rsidRPr="00A07122" w:rsidRDefault="00FD5F4F" w:rsidP="00876E91">
      <w:pPr>
        <w:spacing w:line="360" w:lineRule="auto"/>
        <w:ind w:left="810" w:hanging="810"/>
        <w:rPr>
          <w:rFonts w:ascii="Arial" w:hAnsi="Arial" w:cs="Arial"/>
          <w:lang w:val="bg-BG"/>
        </w:rPr>
      </w:pPr>
      <w:r w:rsidRPr="00A07122">
        <w:rPr>
          <w:rFonts w:ascii="Arial" w:hAnsi="Arial" w:cs="Arial"/>
          <w:lang w:val="en-GB"/>
        </w:rPr>
        <w:t>Care Quality Commission (CQC) (2024) The state of health care and adult social care in England 2023/24. [Online] Available at: </w:t>
      </w:r>
      <w:hyperlink r:id="rId9" w:tgtFrame="_blank" w:history="1">
        <w:r w:rsidRPr="00A07122">
          <w:rPr>
            <w:rStyle w:val="Hyperlink"/>
            <w:rFonts w:ascii="Arial" w:hAnsi="Arial" w:cs="Arial"/>
            <w:color w:val="auto"/>
            <w:lang w:val="en-GB"/>
          </w:rPr>
          <w:t>https://www.cqc.org.uk/publications/major-report/state-care/2023-2024</w:t>
        </w:r>
      </w:hyperlink>
      <w:r w:rsidRPr="00A07122">
        <w:rPr>
          <w:rFonts w:ascii="Arial" w:hAnsi="Arial" w:cs="Arial"/>
          <w:lang w:val="en-GB"/>
        </w:rPr>
        <w:t> (Accessed: 21 March 2026).</w:t>
      </w:r>
    </w:p>
    <w:p w14:paraId="6D6F7B93" w14:textId="77777777" w:rsidR="00A07122" w:rsidRPr="00A07122" w:rsidRDefault="00A07122" w:rsidP="00876E91">
      <w:pPr>
        <w:spacing w:line="360" w:lineRule="auto"/>
        <w:ind w:left="900" w:hanging="900"/>
        <w:rPr>
          <w:rFonts w:ascii="Arial" w:hAnsi="Arial" w:cs="Arial"/>
          <w:lang w:val="en-GB"/>
        </w:rPr>
      </w:pPr>
      <w:r w:rsidRPr="00A07122">
        <w:rPr>
          <w:rFonts w:ascii="Arial" w:hAnsi="Arial" w:cs="Arial"/>
          <w:lang w:val="en-GB"/>
        </w:rPr>
        <w:t>Chamberlain, S.A., Hoben, M., Squires, J.E., et al. (2019) 'Who is (still) looking after mum and dad? A cross-sectional study of the care aide workforce in Canadian nursing homes', </w:t>
      </w:r>
      <w:r w:rsidRPr="00A07122">
        <w:rPr>
          <w:rFonts w:ascii="Arial" w:hAnsi="Arial" w:cs="Arial"/>
          <w:i/>
          <w:iCs/>
          <w:lang w:val="en-GB"/>
        </w:rPr>
        <w:t>BMJ Open</w:t>
      </w:r>
      <w:r w:rsidRPr="00A07122">
        <w:rPr>
          <w:rFonts w:ascii="Arial" w:hAnsi="Arial" w:cs="Arial"/>
          <w:lang w:val="en-GB"/>
        </w:rPr>
        <w:t>, 9(2), p. e024896.</w:t>
      </w:r>
    </w:p>
    <w:p w14:paraId="164197F6" w14:textId="0191B0C8" w:rsidR="00A07122" w:rsidRPr="00A07122" w:rsidRDefault="00A07122" w:rsidP="00876E91">
      <w:pPr>
        <w:spacing w:line="360" w:lineRule="auto"/>
        <w:ind w:left="900" w:hanging="900"/>
        <w:rPr>
          <w:rFonts w:ascii="Arial" w:hAnsi="Arial" w:cs="Arial"/>
          <w:lang w:val="bg-BG"/>
        </w:rPr>
      </w:pPr>
      <w:r w:rsidRPr="00A07122">
        <w:rPr>
          <w:rFonts w:ascii="Arial" w:hAnsi="Arial" w:cs="Arial"/>
          <w:lang w:val="en-GB"/>
        </w:rPr>
        <w:t>Costello, H., Walsh, S., Cooper, C. and Livingston, G. (2019) 'A systematic review and meta-analysis of the prevalence and associations of stress and burnout among staff in long-term care facilities for people with dementia', </w:t>
      </w:r>
      <w:r w:rsidRPr="00A07122">
        <w:rPr>
          <w:rFonts w:ascii="Arial" w:hAnsi="Arial" w:cs="Arial"/>
          <w:i/>
          <w:iCs/>
          <w:lang w:val="en-GB"/>
        </w:rPr>
        <w:t>International Psychogeriatrics</w:t>
      </w:r>
      <w:r w:rsidRPr="00A07122">
        <w:rPr>
          <w:rFonts w:ascii="Arial" w:hAnsi="Arial" w:cs="Arial"/>
          <w:lang w:val="en-GB"/>
        </w:rPr>
        <w:t>, 31(8), pp. 1203-1216.</w:t>
      </w:r>
    </w:p>
    <w:p w14:paraId="5810DE4F" w14:textId="77777777" w:rsidR="00FD5F4F" w:rsidRPr="00A07122" w:rsidRDefault="00FD5F4F" w:rsidP="00876E91">
      <w:pPr>
        <w:spacing w:line="360" w:lineRule="auto"/>
        <w:ind w:left="810" w:hanging="810"/>
        <w:rPr>
          <w:rFonts w:ascii="Arial" w:hAnsi="Arial" w:cs="Arial"/>
          <w:lang w:val="bg-BG"/>
        </w:rPr>
      </w:pPr>
      <w:r w:rsidRPr="00A07122">
        <w:rPr>
          <w:rFonts w:ascii="Arial" w:hAnsi="Arial" w:cs="Arial"/>
          <w:lang w:val="en-GB"/>
        </w:rPr>
        <w:t>Department of Health and Social Care (DHSC) (2021) </w:t>
      </w:r>
      <w:r w:rsidRPr="00A07122">
        <w:rPr>
          <w:rFonts w:ascii="Arial" w:hAnsi="Arial" w:cs="Arial"/>
          <w:i/>
          <w:iCs/>
          <w:lang w:val="en-GB"/>
        </w:rPr>
        <w:t>People at the Heart of Care: Adult Social Care Reform White Paper</w:t>
      </w:r>
      <w:r w:rsidRPr="00A07122">
        <w:rPr>
          <w:rFonts w:ascii="Arial" w:hAnsi="Arial" w:cs="Arial"/>
          <w:lang w:val="en-GB"/>
        </w:rPr>
        <w:t>. London: HMSO.</w:t>
      </w:r>
    </w:p>
    <w:p w14:paraId="666858D0" w14:textId="56C419AC" w:rsidR="00A07122" w:rsidRPr="00A07122" w:rsidRDefault="00A07122" w:rsidP="00876E91">
      <w:pPr>
        <w:spacing w:line="360" w:lineRule="auto"/>
        <w:ind w:left="900" w:hanging="900"/>
        <w:rPr>
          <w:rFonts w:ascii="Arial" w:hAnsi="Arial" w:cs="Arial"/>
          <w:shd w:val="clear" w:color="auto" w:fill="FFFFFF"/>
          <w:lang w:val="bg-BG"/>
        </w:rPr>
      </w:pPr>
      <w:r w:rsidRPr="00A07122">
        <w:rPr>
          <w:rFonts w:ascii="Arial" w:hAnsi="Arial" w:cs="Arial"/>
          <w:shd w:val="clear" w:color="auto" w:fill="FFFFFF"/>
          <w:lang w:val="en-GB"/>
        </w:rPr>
        <w:t>Eltaybani, S., Yamamoto-Mitani, N., Ninomiya, A., and Igarashi, A. (2021) ‘The association between nurses’ burnout and objective care quality indicators: a cross-sectional survey in long-term care wards’. </w:t>
      </w:r>
      <w:r w:rsidRPr="00A07122">
        <w:rPr>
          <w:rFonts w:ascii="Arial" w:hAnsi="Arial" w:cs="Arial"/>
          <w:i/>
          <w:iCs/>
          <w:shd w:val="clear" w:color="auto" w:fill="FFFFFF"/>
          <w:lang w:val="en-GB"/>
        </w:rPr>
        <w:t>BMC nursing</w:t>
      </w:r>
      <w:r w:rsidRPr="00A07122">
        <w:rPr>
          <w:rFonts w:ascii="Arial" w:hAnsi="Arial" w:cs="Arial"/>
          <w:shd w:val="clear" w:color="auto" w:fill="FFFFFF"/>
          <w:lang w:val="en-GB"/>
        </w:rPr>
        <w:t>, </w:t>
      </w:r>
      <w:r w:rsidRPr="00A07122">
        <w:rPr>
          <w:rFonts w:ascii="Arial" w:hAnsi="Arial" w:cs="Arial"/>
          <w:i/>
          <w:iCs/>
          <w:shd w:val="clear" w:color="auto" w:fill="FFFFFF"/>
          <w:lang w:val="en-GB"/>
        </w:rPr>
        <w:t>20</w:t>
      </w:r>
      <w:r w:rsidRPr="00A07122">
        <w:rPr>
          <w:rFonts w:ascii="Arial" w:hAnsi="Arial" w:cs="Arial"/>
          <w:shd w:val="clear" w:color="auto" w:fill="FFFFFF"/>
          <w:lang w:val="en-GB"/>
        </w:rPr>
        <w:t>(1), pp-34.</w:t>
      </w:r>
    </w:p>
    <w:p w14:paraId="1A2D6ED1"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Fleury, M. J., Grenier, G., and Bamvita, J. M. (2017) ‘A comparative study of job satisfaction among nurses, psychologists/psychotherapists and social workers working in Quebec mental health teams’. </w:t>
      </w:r>
      <w:r w:rsidRPr="00A07122">
        <w:rPr>
          <w:rFonts w:ascii="Arial" w:hAnsi="Arial" w:cs="Arial"/>
          <w:i/>
          <w:iCs/>
          <w:shd w:val="clear" w:color="auto" w:fill="FFFFFF"/>
          <w:lang w:val="en-GB"/>
        </w:rPr>
        <w:t>BMC nursing</w:t>
      </w:r>
      <w:r w:rsidRPr="00A07122">
        <w:rPr>
          <w:rFonts w:ascii="Arial" w:hAnsi="Arial" w:cs="Arial"/>
          <w:shd w:val="clear" w:color="auto" w:fill="FFFFFF"/>
          <w:lang w:val="en-GB"/>
        </w:rPr>
        <w:t>, </w:t>
      </w:r>
      <w:r w:rsidRPr="00A07122">
        <w:rPr>
          <w:rFonts w:ascii="Arial" w:hAnsi="Arial" w:cs="Arial"/>
          <w:i/>
          <w:iCs/>
          <w:shd w:val="clear" w:color="auto" w:fill="FFFFFF"/>
          <w:lang w:val="en-GB"/>
        </w:rPr>
        <w:t>16</w:t>
      </w:r>
      <w:r w:rsidRPr="00A07122">
        <w:rPr>
          <w:rFonts w:ascii="Arial" w:hAnsi="Arial" w:cs="Arial"/>
          <w:shd w:val="clear" w:color="auto" w:fill="FFFFFF"/>
          <w:lang w:val="en-GB"/>
        </w:rPr>
        <w:t>(1), 62.</w:t>
      </w:r>
    </w:p>
    <w:p w14:paraId="5C0113E7" w14:textId="77777777" w:rsidR="00FD5F4F" w:rsidRPr="00A07122" w:rsidRDefault="00FD5F4F" w:rsidP="00876E91">
      <w:pPr>
        <w:spacing w:line="360" w:lineRule="auto"/>
        <w:ind w:left="810" w:hanging="810"/>
        <w:rPr>
          <w:rFonts w:ascii="Arial" w:hAnsi="Arial" w:cs="Arial"/>
          <w:lang w:val="en-GB"/>
        </w:rPr>
      </w:pPr>
      <w:r w:rsidRPr="00A07122">
        <w:rPr>
          <w:rFonts w:ascii="Arial" w:hAnsi="Arial" w:cs="Arial"/>
          <w:shd w:val="clear" w:color="auto" w:fill="FFFFFF"/>
          <w:lang w:val="en-GB"/>
        </w:rPr>
        <w:t>Griffiths, P., Ball, J., Bloor, K., Böhning, D., Briggs, J., Dall’Ora, C., and Smith, G. (2018) ‘ Nurse staffing levels, missed vital signs and mortality in hospitals: retrospective longitudinal observational study’. </w:t>
      </w:r>
      <w:r w:rsidRPr="00A07122">
        <w:rPr>
          <w:rFonts w:ascii="Arial" w:hAnsi="Arial" w:cs="Arial"/>
          <w:i/>
          <w:iCs/>
          <w:shd w:val="clear" w:color="auto" w:fill="FFFFFF"/>
          <w:lang w:val="en-GB"/>
        </w:rPr>
        <w:t>Health Services and Delivery Research</w:t>
      </w:r>
      <w:r w:rsidRPr="00A07122">
        <w:rPr>
          <w:rFonts w:ascii="Arial" w:hAnsi="Arial" w:cs="Arial"/>
          <w:shd w:val="clear" w:color="auto" w:fill="FFFFFF"/>
          <w:lang w:val="en-GB"/>
        </w:rPr>
        <w:t>, </w:t>
      </w:r>
      <w:r w:rsidRPr="00A07122">
        <w:rPr>
          <w:rFonts w:ascii="Arial" w:hAnsi="Arial" w:cs="Arial"/>
          <w:i/>
          <w:iCs/>
          <w:shd w:val="clear" w:color="auto" w:fill="FFFFFF"/>
          <w:lang w:val="en-GB"/>
        </w:rPr>
        <w:t>6</w:t>
      </w:r>
      <w:r w:rsidRPr="00A07122">
        <w:rPr>
          <w:rFonts w:ascii="Arial" w:hAnsi="Arial" w:cs="Arial"/>
          <w:shd w:val="clear" w:color="auto" w:fill="FFFFFF"/>
          <w:lang w:val="en-GB"/>
        </w:rPr>
        <w:t>(38).</w:t>
      </w:r>
    </w:p>
    <w:p w14:paraId="306565CD" w14:textId="77777777" w:rsidR="00FD5F4F" w:rsidRPr="00A07122" w:rsidRDefault="00FD5F4F" w:rsidP="00876E91">
      <w:pPr>
        <w:spacing w:line="360" w:lineRule="auto"/>
        <w:ind w:left="810" w:hanging="810"/>
        <w:rPr>
          <w:rFonts w:ascii="Arial" w:hAnsi="Arial" w:cs="Arial"/>
          <w:lang w:val="bg-BG"/>
        </w:rPr>
      </w:pPr>
      <w:r w:rsidRPr="00A07122">
        <w:rPr>
          <w:rFonts w:ascii="Arial" w:hAnsi="Arial" w:cs="Arial"/>
          <w:lang w:val="en-GB"/>
        </w:rPr>
        <w:lastRenderedPageBreak/>
        <w:t>Happell, B., Platania-Phung, C., and Scholz, B. (2021) 'The importance of the therapeutic relationship in providing care for people with mental illness', </w:t>
      </w:r>
      <w:r w:rsidRPr="00A07122">
        <w:rPr>
          <w:rFonts w:ascii="Arial" w:hAnsi="Arial" w:cs="Arial"/>
          <w:i/>
          <w:iCs/>
          <w:lang w:val="en-GB"/>
        </w:rPr>
        <w:t>Issues in Mental Health Nursing</w:t>
      </w:r>
      <w:r w:rsidRPr="00A07122">
        <w:rPr>
          <w:rFonts w:ascii="Arial" w:hAnsi="Arial" w:cs="Arial"/>
          <w:lang w:val="en-GB"/>
        </w:rPr>
        <w:t>, 42(3), pp. 257-265.</w:t>
      </w:r>
    </w:p>
    <w:p w14:paraId="4153C291" w14:textId="76583EA0" w:rsidR="00A07122" w:rsidRPr="00A07122" w:rsidRDefault="00A07122" w:rsidP="00876E91">
      <w:pPr>
        <w:spacing w:line="360" w:lineRule="auto"/>
        <w:ind w:left="900" w:hanging="900"/>
        <w:rPr>
          <w:rFonts w:ascii="Arial" w:hAnsi="Arial" w:cs="Arial"/>
          <w:lang w:val="bg-BG"/>
        </w:rPr>
      </w:pPr>
      <w:r w:rsidRPr="00A07122">
        <w:rPr>
          <w:rFonts w:ascii="Arial" w:hAnsi="Arial" w:cs="Arial"/>
          <w:shd w:val="clear" w:color="auto" w:fill="FFFFFF"/>
          <w:lang w:val="en-GB"/>
        </w:rPr>
        <w:t>Haritos, A. M., Long, B. Z. S., Bani-Fatemi, A., Howe, A., Li, Y., and Nowrouzi-Kia, B. (2025) ‘Burnout and its subsequent impact on quality of care provided by nursing occupations in the long-term care sector: a scoping review protocol’. </w:t>
      </w:r>
      <w:r w:rsidRPr="00A07122">
        <w:rPr>
          <w:rFonts w:ascii="Arial" w:hAnsi="Arial" w:cs="Arial"/>
          <w:i/>
          <w:iCs/>
          <w:shd w:val="clear" w:color="auto" w:fill="FFFFFF"/>
          <w:lang w:val="en-GB"/>
        </w:rPr>
        <w:t>BMJ Public Health</w:t>
      </w:r>
      <w:r w:rsidRPr="00A07122">
        <w:rPr>
          <w:rFonts w:ascii="Arial" w:hAnsi="Arial" w:cs="Arial"/>
          <w:shd w:val="clear" w:color="auto" w:fill="FFFFFF"/>
          <w:lang w:val="en-GB"/>
        </w:rPr>
        <w:t>, </w:t>
      </w:r>
      <w:r w:rsidRPr="00A07122">
        <w:rPr>
          <w:rFonts w:ascii="Arial" w:hAnsi="Arial" w:cs="Arial"/>
          <w:i/>
          <w:iCs/>
          <w:shd w:val="clear" w:color="auto" w:fill="FFFFFF"/>
          <w:lang w:val="en-GB"/>
        </w:rPr>
        <w:t>3</w:t>
      </w:r>
      <w:r w:rsidRPr="00A07122">
        <w:rPr>
          <w:rFonts w:ascii="Arial" w:hAnsi="Arial" w:cs="Arial"/>
          <w:shd w:val="clear" w:color="auto" w:fill="FFFFFF"/>
          <w:lang w:val="en-GB"/>
        </w:rPr>
        <w:t>(2).</w:t>
      </w:r>
    </w:p>
    <w:p w14:paraId="3CFF3DFE" w14:textId="77777777" w:rsidR="00FD5F4F" w:rsidRPr="00A07122" w:rsidRDefault="00FD5F4F" w:rsidP="00876E91">
      <w:pPr>
        <w:spacing w:line="360" w:lineRule="auto"/>
        <w:ind w:left="810" w:hanging="810"/>
        <w:rPr>
          <w:rFonts w:ascii="Arial" w:hAnsi="Arial" w:cs="Arial"/>
          <w:lang w:val="en-GB"/>
        </w:rPr>
      </w:pPr>
      <w:r w:rsidRPr="00A07122">
        <w:rPr>
          <w:rFonts w:ascii="Arial" w:hAnsi="Arial" w:cs="Arial"/>
          <w:lang w:val="en-GB"/>
        </w:rPr>
        <w:t>Hochschild, A.R. (2012) </w:t>
      </w:r>
      <w:r w:rsidRPr="00A07122">
        <w:rPr>
          <w:rFonts w:ascii="Arial" w:hAnsi="Arial" w:cs="Arial"/>
          <w:i/>
          <w:iCs/>
          <w:lang w:val="en-GB"/>
        </w:rPr>
        <w:t>The Managed Heart: Commercialization of Human Feeling</w:t>
      </w:r>
      <w:r w:rsidRPr="00A07122">
        <w:rPr>
          <w:rFonts w:ascii="Arial" w:hAnsi="Arial" w:cs="Arial"/>
          <w:lang w:val="en-GB"/>
        </w:rPr>
        <w:t>. 3rd edn. Berkeley: University of California Press.</w:t>
      </w:r>
    </w:p>
    <w:p w14:paraId="26FA0EEB"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Hussein, S. (2017) ‘The English social care workforce: the vexed question of low wages and stress’. In </w:t>
      </w:r>
      <w:r w:rsidRPr="00A07122">
        <w:rPr>
          <w:rFonts w:ascii="Arial" w:hAnsi="Arial" w:cs="Arial"/>
          <w:i/>
          <w:iCs/>
          <w:shd w:val="clear" w:color="auto" w:fill="FFFFFF"/>
          <w:lang w:val="en-GB"/>
        </w:rPr>
        <w:t>The Routledge handbook of social care work around the world</w:t>
      </w:r>
      <w:r w:rsidRPr="00A07122">
        <w:rPr>
          <w:rFonts w:ascii="Arial" w:hAnsi="Arial" w:cs="Arial"/>
          <w:shd w:val="clear" w:color="auto" w:fill="FFFFFF"/>
          <w:lang w:val="en-GB"/>
        </w:rPr>
        <w:t> (pp. 74-87). Routledge.</w:t>
      </w:r>
    </w:p>
    <w:p w14:paraId="621B1873"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Jones, K., Schnitzler, K., and Borgstrom, E. (2022) ‘The implications of COVID</w:t>
      </w:r>
      <w:r w:rsidRPr="00A07122">
        <w:rPr>
          <w:rFonts w:ascii="Cambria Math" w:hAnsi="Cambria Math" w:cs="Cambria Math"/>
          <w:shd w:val="clear" w:color="auto" w:fill="FFFFFF"/>
          <w:lang w:val="en-GB"/>
        </w:rPr>
        <w:t>‐</w:t>
      </w:r>
      <w:r w:rsidRPr="00A07122">
        <w:rPr>
          <w:rFonts w:ascii="Arial" w:hAnsi="Arial" w:cs="Arial"/>
          <w:shd w:val="clear" w:color="auto" w:fill="FFFFFF"/>
          <w:lang w:val="en-GB"/>
        </w:rPr>
        <w:t>19 on health and social care personnel in long</w:t>
      </w:r>
      <w:r w:rsidRPr="00A07122">
        <w:rPr>
          <w:rFonts w:ascii="Cambria Math" w:hAnsi="Cambria Math" w:cs="Cambria Math"/>
          <w:shd w:val="clear" w:color="auto" w:fill="FFFFFF"/>
          <w:lang w:val="en-GB"/>
        </w:rPr>
        <w:t>‐</w:t>
      </w:r>
      <w:r w:rsidRPr="00A07122">
        <w:rPr>
          <w:rFonts w:ascii="Arial" w:hAnsi="Arial" w:cs="Arial"/>
          <w:shd w:val="clear" w:color="auto" w:fill="FFFFFF"/>
          <w:lang w:val="en-GB"/>
        </w:rPr>
        <w:t>term care facilities for older people: An international scoping review’. </w:t>
      </w:r>
      <w:r w:rsidRPr="00A07122">
        <w:rPr>
          <w:rFonts w:ascii="Arial" w:hAnsi="Arial" w:cs="Arial"/>
          <w:i/>
          <w:iCs/>
          <w:shd w:val="clear" w:color="auto" w:fill="FFFFFF"/>
          <w:lang w:val="en-GB"/>
        </w:rPr>
        <w:t>Health &amp; Social Care in the Community</w:t>
      </w:r>
      <w:r w:rsidRPr="00A07122">
        <w:rPr>
          <w:rFonts w:ascii="Arial" w:hAnsi="Arial" w:cs="Arial"/>
          <w:shd w:val="clear" w:color="auto" w:fill="FFFFFF"/>
          <w:lang w:val="en-GB"/>
        </w:rPr>
        <w:t>, </w:t>
      </w:r>
      <w:r w:rsidRPr="00A07122">
        <w:rPr>
          <w:rFonts w:ascii="Arial" w:hAnsi="Arial" w:cs="Arial"/>
          <w:i/>
          <w:iCs/>
          <w:shd w:val="clear" w:color="auto" w:fill="FFFFFF"/>
          <w:lang w:val="en-GB"/>
        </w:rPr>
        <w:t>30</w:t>
      </w:r>
      <w:r w:rsidRPr="00A07122">
        <w:rPr>
          <w:rFonts w:ascii="Arial" w:hAnsi="Arial" w:cs="Arial"/>
          <w:shd w:val="clear" w:color="auto" w:fill="FFFFFF"/>
          <w:lang w:val="en-GB"/>
        </w:rPr>
        <w:t>(6), e3493-e3506.</w:t>
      </w:r>
    </w:p>
    <w:p w14:paraId="4485CDC4"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Morse, G., Salyers, M. P., Rollins, A. L., Monroe-DeVita, M., and Pfahler, C. (2012) ‘Burnout in mental health services: A review of the problem and its remediation’. </w:t>
      </w:r>
      <w:r w:rsidRPr="00A07122">
        <w:rPr>
          <w:rFonts w:ascii="Arial" w:hAnsi="Arial" w:cs="Arial"/>
          <w:i/>
          <w:iCs/>
          <w:shd w:val="clear" w:color="auto" w:fill="FFFFFF"/>
          <w:lang w:val="en-GB"/>
        </w:rPr>
        <w:t>Administration and policy in mental health and mental health services research</w:t>
      </w:r>
      <w:r w:rsidRPr="00A07122">
        <w:rPr>
          <w:rFonts w:ascii="Arial" w:hAnsi="Arial" w:cs="Arial"/>
          <w:shd w:val="clear" w:color="auto" w:fill="FFFFFF"/>
          <w:lang w:val="en-GB"/>
        </w:rPr>
        <w:t>, </w:t>
      </w:r>
      <w:r w:rsidRPr="00A07122">
        <w:rPr>
          <w:rFonts w:ascii="Arial" w:hAnsi="Arial" w:cs="Arial"/>
          <w:i/>
          <w:iCs/>
          <w:shd w:val="clear" w:color="auto" w:fill="FFFFFF"/>
          <w:lang w:val="en-GB"/>
        </w:rPr>
        <w:t>39</w:t>
      </w:r>
      <w:r w:rsidRPr="00A07122">
        <w:rPr>
          <w:rFonts w:ascii="Arial" w:hAnsi="Arial" w:cs="Arial"/>
          <w:shd w:val="clear" w:color="auto" w:fill="FFFFFF"/>
          <w:lang w:val="en-GB"/>
        </w:rPr>
        <w:t>(5), 341-352.</w:t>
      </w:r>
    </w:p>
    <w:p w14:paraId="5C33B7CF" w14:textId="77777777" w:rsidR="00FD5F4F" w:rsidRPr="00A07122" w:rsidRDefault="00FD5F4F" w:rsidP="00876E91">
      <w:pPr>
        <w:spacing w:line="360" w:lineRule="auto"/>
        <w:ind w:left="810" w:hanging="810"/>
        <w:rPr>
          <w:rFonts w:ascii="Arial" w:hAnsi="Arial" w:cs="Arial"/>
          <w:lang w:val="en-GB"/>
        </w:rPr>
      </w:pPr>
      <w:r w:rsidRPr="00A07122">
        <w:rPr>
          <w:rFonts w:ascii="Arial" w:hAnsi="Arial" w:cs="Arial"/>
          <w:shd w:val="clear" w:color="auto" w:fill="FFFFFF"/>
          <w:lang w:val="en-GB"/>
        </w:rPr>
        <w:t>Munn, Z., Peters, M. D., Stern, C., Tufanaru, C., McArthur, A., and Aromataris, E. (2018) ‘Systematic review or scoping review? Guidance for authors when choosing between a systematic or scoping review approach’. </w:t>
      </w:r>
      <w:r w:rsidRPr="00A07122">
        <w:rPr>
          <w:rFonts w:ascii="Arial" w:hAnsi="Arial" w:cs="Arial"/>
          <w:i/>
          <w:iCs/>
          <w:shd w:val="clear" w:color="auto" w:fill="FFFFFF"/>
          <w:lang w:val="en-GB"/>
        </w:rPr>
        <w:t>BMC medical research methodology</w:t>
      </w:r>
      <w:r w:rsidRPr="00A07122">
        <w:rPr>
          <w:rFonts w:ascii="Arial" w:hAnsi="Arial" w:cs="Arial"/>
          <w:shd w:val="clear" w:color="auto" w:fill="FFFFFF"/>
          <w:lang w:val="en-GB"/>
        </w:rPr>
        <w:t>, </w:t>
      </w:r>
      <w:r w:rsidRPr="00A07122">
        <w:rPr>
          <w:rFonts w:ascii="Arial" w:hAnsi="Arial" w:cs="Arial"/>
          <w:i/>
          <w:iCs/>
          <w:shd w:val="clear" w:color="auto" w:fill="FFFFFF"/>
          <w:lang w:val="en-GB"/>
        </w:rPr>
        <w:t>18</w:t>
      </w:r>
      <w:r w:rsidRPr="00A07122">
        <w:rPr>
          <w:rFonts w:ascii="Arial" w:hAnsi="Arial" w:cs="Arial"/>
          <w:shd w:val="clear" w:color="auto" w:fill="FFFFFF"/>
          <w:lang w:val="en-GB"/>
        </w:rPr>
        <w:t>(1), 143.</w:t>
      </w:r>
    </w:p>
    <w:p w14:paraId="471F77B6" w14:textId="77777777" w:rsidR="00FD5F4F" w:rsidRPr="00A07122" w:rsidRDefault="00FD5F4F" w:rsidP="00876E91">
      <w:pPr>
        <w:spacing w:line="360" w:lineRule="auto"/>
        <w:ind w:left="810" w:hanging="810"/>
        <w:rPr>
          <w:rFonts w:ascii="Arial" w:hAnsi="Arial" w:cs="Arial"/>
          <w:lang w:val="en-GB"/>
        </w:rPr>
      </w:pPr>
      <w:r w:rsidRPr="00A07122">
        <w:rPr>
          <w:rFonts w:ascii="Arial" w:hAnsi="Arial" w:cs="Arial"/>
          <w:lang w:val="en-GB"/>
        </w:rPr>
        <w:t>National Institute for Health and Care Excellence (NICE) (2020) *Managing COVID-19 in care homes*. [Online] Available at: </w:t>
      </w:r>
      <w:hyperlink r:id="rId10" w:tgtFrame="_blank" w:history="1">
        <w:r w:rsidRPr="00A07122">
          <w:rPr>
            <w:rStyle w:val="Hyperlink"/>
            <w:rFonts w:ascii="Arial" w:hAnsi="Arial" w:cs="Arial"/>
            <w:color w:val="auto"/>
            <w:lang w:val="en-GB"/>
          </w:rPr>
          <w:t>https://www.nice.org.uk/guidance/ng159</w:t>
        </w:r>
      </w:hyperlink>
      <w:r w:rsidRPr="00A07122">
        <w:rPr>
          <w:rFonts w:ascii="Arial" w:hAnsi="Arial" w:cs="Arial"/>
          <w:lang w:val="en-GB"/>
        </w:rPr>
        <w:t> (Accessed: 25 February 2026).</w:t>
      </w:r>
    </w:p>
    <w:p w14:paraId="1D405018"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Prudenzi, A. (2021). </w:t>
      </w:r>
      <w:r w:rsidRPr="00A07122">
        <w:rPr>
          <w:rFonts w:ascii="Arial" w:hAnsi="Arial" w:cs="Arial"/>
          <w:i/>
          <w:iCs/>
          <w:shd w:val="clear" w:color="auto" w:fill="FFFFFF"/>
          <w:lang w:val="en-GB"/>
        </w:rPr>
        <w:t>Mental Health and Burnout in Healthcare Professionals: Exploring the Role of Psychological Flexibility</w:t>
      </w:r>
      <w:r w:rsidRPr="00A07122">
        <w:rPr>
          <w:rFonts w:ascii="Arial" w:hAnsi="Arial" w:cs="Arial"/>
          <w:shd w:val="clear" w:color="auto" w:fill="FFFFFF"/>
          <w:lang w:val="en-GB"/>
        </w:rPr>
        <w:t> (Doctoral dissertation, University of Leeds).</w:t>
      </w:r>
    </w:p>
    <w:p w14:paraId="474D6D6E" w14:textId="77777777" w:rsidR="00FD5F4F" w:rsidRPr="00A07122" w:rsidRDefault="00FD5F4F" w:rsidP="00876E91">
      <w:pPr>
        <w:spacing w:line="360" w:lineRule="auto"/>
        <w:ind w:left="810" w:hanging="810"/>
        <w:rPr>
          <w:rFonts w:ascii="Arial" w:hAnsi="Arial" w:cs="Arial"/>
          <w:shd w:val="clear" w:color="auto" w:fill="FFFFFF"/>
          <w:lang w:val="en-GB"/>
        </w:rPr>
      </w:pPr>
      <w:r w:rsidRPr="00A07122">
        <w:rPr>
          <w:rFonts w:ascii="Arial" w:hAnsi="Arial" w:cs="Arial"/>
          <w:shd w:val="clear" w:color="auto" w:fill="FFFFFF"/>
          <w:lang w:val="en-GB"/>
        </w:rPr>
        <w:t>Ree, E., Johannessen, T., and Wiig, S. (2019) ‘How do contextual factors influence quality and safety work in the Norwegian home care and nursing home settings? A qualitative study about managers’ experiences. </w:t>
      </w:r>
      <w:r w:rsidRPr="00A07122">
        <w:rPr>
          <w:rFonts w:ascii="Arial" w:hAnsi="Arial" w:cs="Arial"/>
          <w:i/>
          <w:iCs/>
          <w:shd w:val="clear" w:color="auto" w:fill="FFFFFF"/>
          <w:lang w:val="en-GB"/>
        </w:rPr>
        <w:t>BMJ open</w:t>
      </w:r>
      <w:r w:rsidRPr="00A07122">
        <w:rPr>
          <w:rFonts w:ascii="Arial" w:hAnsi="Arial" w:cs="Arial"/>
          <w:shd w:val="clear" w:color="auto" w:fill="FFFFFF"/>
          <w:lang w:val="en-GB"/>
        </w:rPr>
        <w:t>, </w:t>
      </w:r>
      <w:r w:rsidRPr="00A07122">
        <w:rPr>
          <w:rFonts w:ascii="Arial" w:hAnsi="Arial" w:cs="Arial"/>
          <w:i/>
          <w:iCs/>
          <w:shd w:val="clear" w:color="auto" w:fill="FFFFFF"/>
          <w:lang w:val="en-GB"/>
        </w:rPr>
        <w:t>9</w:t>
      </w:r>
      <w:r w:rsidRPr="00A07122">
        <w:rPr>
          <w:rFonts w:ascii="Arial" w:hAnsi="Arial" w:cs="Arial"/>
          <w:shd w:val="clear" w:color="auto" w:fill="FFFFFF"/>
          <w:lang w:val="en-GB"/>
        </w:rPr>
        <w:t>(7), e025197.</w:t>
      </w:r>
    </w:p>
    <w:p w14:paraId="006BDE18" w14:textId="77777777" w:rsidR="00FD5F4F" w:rsidRPr="00A07122" w:rsidRDefault="00FD5F4F" w:rsidP="00876E91">
      <w:pPr>
        <w:spacing w:line="360" w:lineRule="auto"/>
        <w:ind w:left="810" w:hanging="810"/>
        <w:rPr>
          <w:rFonts w:ascii="Arial" w:hAnsi="Arial" w:cs="Arial"/>
          <w:lang w:val="bg-BG"/>
        </w:rPr>
      </w:pPr>
      <w:r w:rsidRPr="00A07122">
        <w:rPr>
          <w:rFonts w:ascii="Arial" w:hAnsi="Arial" w:cs="Arial"/>
          <w:lang w:val="en-GB"/>
        </w:rPr>
        <w:lastRenderedPageBreak/>
        <w:t>Skills for Care (2025) </w:t>
      </w:r>
      <w:r w:rsidRPr="00A07122">
        <w:rPr>
          <w:rFonts w:ascii="Arial" w:hAnsi="Arial" w:cs="Arial"/>
          <w:i/>
          <w:iCs/>
          <w:lang w:val="en-GB"/>
        </w:rPr>
        <w:t>Adult social care workforce survey: main findings report</w:t>
      </w:r>
      <w:r w:rsidRPr="00A07122">
        <w:rPr>
          <w:rFonts w:ascii="Arial" w:hAnsi="Arial" w:cs="Arial"/>
          <w:lang w:val="en-GB"/>
        </w:rPr>
        <w:t>. [Online] Available at: </w:t>
      </w:r>
      <w:hyperlink r:id="rId11" w:tgtFrame="_blank" w:history="1">
        <w:r w:rsidRPr="00A07122">
          <w:rPr>
            <w:rStyle w:val="Hyperlink"/>
            <w:rFonts w:ascii="Arial" w:hAnsi="Arial" w:cs="Arial"/>
            <w:color w:val="auto"/>
            <w:lang w:val="en-GB"/>
          </w:rPr>
          <w:t>https://www.gov.uk/government/statistics/adult-social-care-workforce-skills-survey-september-2025</w:t>
        </w:r>
      </w:hyperlink>
      <w:r w:rsidRPr="00A07122">
        <w:rPr>
          <w:rFonts w:ascii="Arial" w:hAnsi="Arial" w:cs="Arial"/>
          <w:lang w:val="en-GB"/>
        </w:rPr>
        <w:t> (Accessed: 25 February 2026).</w:t>
      </w:r>
    </w:p>
    <w:p w14:paraId="2FE66DF4" w14:textId="56D7E422" w:rsidR="00A07122" w:rsidRPr="00A07122" w:rsidRDefault="00A07122" w:rsidP="00876E91">
      <w:pPr>
        <w:spacing w:line="360" w:lineRule="auto"/>
        <w:ind w:left="900" w:hanging="900"/>
        <w:rPr>
          <w:rFonts w:ascii="Arial" w:hAnsi="Arial" w:cs="Arial"/>
          <w:shd w:val="clear" w:color="auto" w:fill="FFFFFF"/>
          <w:lang w:val="bg-BG"/>
        </w:rPr>
      </w:pPr>
      <w:r w:rsidRPr="00A07122">
        <w:rPr>
          <w:rFonts w:ascii="Arial" w:hAnsi="Arial" w:cs="Arial"/>
          <w:shd w:val="clear" w:color="auto" w:fill="FFFFFF"/>
          <w:lang w:val="en-GB"/>
        </w:rPr>
        <w:t>Su, Y., Zhao, L., Yu, et al. (2024). Burnout among care workers in long-term care institutions: a systematic review and meta-analysis protocol. </w:t>
      </w:r>
      <w:r w:rsidRPr="00A07122">
        <w:rPr>
          <w:rFonts w:ascii="Arial" w:hAnsi="Arial" w:cs="Arial"/>
          <w:i/>
          <w:iCs/>
          <w:shd w:val="clear" w:color="auto" w:fill="FFFFFF"/>
          <w:lang w:val="en-GB"/>
        </w:rPr>
        <w:t>BMJ open</w:t>
      </w:r>
      <w:r w:rsidRPr="00A07122">
        <w:rPr>
          <w:rFonts w:ascii="Arial" w:hAnsi="Arial" w:cs="Arial"/>
          <w:shd w:val="clear" w:color="auto" w:fill="FFFFFF"/>
          <w:lang w:val="en-GB"/>
        </w:rPr>
        <w:t>, </w:t>
      </w:r>
      <w:r w:rsidRPr="00A07122">
        <w:rPr>
          <w:rFonts w:ascii="Arial" w:hAnsi="Arial" w:cs="Arial"/>
          <w:i/>
          <w:iCs/>
          <w:shd w:val="clear" w:color="auto" w:fill="FFFFFF"/>
          <w:lang w:val="en-GB"/>
        </w:rPr>
        <w:t>14</w:t>
      </w:r>
      <w:r w:rsidRPr="00A07122">
        <w:rPr>
          <w:rFonts w:ascii="Arial" w:hAnsi="Arial" w:cs="Arial"/>
          <w:shd w:val="clear" w:color="auto" w:fill="FFFFFF"/>
          <w:lang w:val="en-GB"/>
        </w:rPr>
        <w:t>(7), e084900.</w:t>
      </w:r>
    </w:p>
    <w:p w14:paraId="4533FCFC" w14:textId="77777777" w:rsidR="00FD5F4F" w:rsidRPr="00A07122" w:rsidRDefault="00FD5F4F" w:rsidP="00876E91">
      <w:pPr>
        <w:spacing w:line="360" w:lineRule="auto"/>
        <w:ind w:left="810" w:hanging="810"/>
        <w:rPr>
          <w:rFonts w:ascii="Arial" w:hAnsi="Arial" w:cs="Arial"/>
          <w:lang w:val="en-GB"/>
        </w:rPr>
      </w:pPr>
      <w:r w:rsidRPr="00A07122">
        <w:rPr>
          <w:rFonts w:ascii="Arial" w:hAnsi="Arial" w:cs="Arial"/>
          <w:lang w:val="en-GB"/>
        </w:rPr>
        <w:t>Tricco, A.C., Lillie, E., Zarin, W., et al. (2018) 'PRISMA extension for scoping reviews (PRISMA-ScR): checklist and explanation', </w:t>
      </w:r>
      <w:r w:rsidRPr="00A07122">
        <w:rPr>
          <w:rFonts w:ascii="Arial" w:hAnsi="Arial" w:cs="Arial"/>
          <w:i/>
          <w:iCs/>
          <w:lang w:val="en-GB"/>
        </w:rPr>
        <w:t>Annals of Internal Medicine</w:t>
      </w:r>
      <w:r w:rsidRPr="00A07122">
        <w:rPr>
          <w:rFonts w:ascii="Arial" w:hAnsi="Arial" w:cs="Arial"/>
          <w:lang w:val="en-GB"/>
        </w:rPr>
        <w:t>, 169(7), pp. 467-473.</w:t>
      </w:r>
    </w:p>
    <w:p w14:paraId="3357E344" w14:textId="77777777" w:rsidR="00A07122" w:rsidRPr="00A07122" w:rsidRDefault="00A07122" w:rsidP="00876E91">
      <w:pPr>
        <w:spacing w:line="360" w:lineRule="auto"/>
        <w:ind w:left="900" w:hanging="900"/>
        <w:rPr>
          <w:rFonts w:ascii="Arial" w:hAnsi="Arial" w:cs="Arial"/>
          <w:lang w:val="en-GB"/>
        </w:rPr>
      </w:pPr>
      <w:r w:rsidRPr="00A07122">
        <w:rPr>
          <w:rFonts w:ascii="Arial" w:hAnsi="Arial" w:cs="Arial"/>
          <w:lang w:val="en-GB"/>
        </w:rPr>
        <w:t>White, M., Wells, J.S.G. and Butterworth, T. (2022) 'The impact of the COVID-19 pandemic on the mental health and well-being of the UK adult social care workforce: a qualitative study', </w:t>
      </w:r>
      <w:r w:rsidRPr="00A07122">
        <w:rPr>
          <w:rFonts w:ascii="Arial" w:hAnsi="Arial" w:cs="Arial"/>
          <w:i/>
          <w:iCs/>
          <w:lang w:val="en-GB"/>
        </w:rPr>
        <w:t>International Journal of Nursing Studies</w:t>
      </w:r>
      <w:r w:rsidRPr="00A07122">
        <w:rPr>
          <w:rFonts w:ascii="Arial" w:hAnsi="Arial" w:cs="Arial"/>
          <w:lang w:val="en-GB"/>
        </w:rPr>
        <w:t>, 126, p. 104114.</w:t>
      </w:r>
    </w:p>
    <w:p w14:paraId="30A2C365" w14:textId="77777777" w:rsidR="003B3CBF" w:rsidRPr="00A07122" w:rsidRDefault="003B3CBF" w:rsidP="00D96189">
      <w:pPr>
        <w:spacing w:line="360" w:lineRule="auto"/>
        <w:rPr>
          <w:rFonts w:ascii="Arial" w:hAnsi="Arial" w:cs="Arial"/>
          <w:lang w:val="en-GB"/>
        </w:rPr>
      </w:pPr>
    </w:p>
    <w:sectPr w:rsidR="003B3CBF" w:rsidRPr="00A071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0E7509" w14:textId="77777777" w:rsidR="004B7BD6" w:rsidRDefault="004B7BD6" w:rsidP="007606E3">
      <w:pPr>
        <w:spacing w:after="0" w:line="240" w:lineRule="auto"/>
      </w:pPr>
      <w:r>
        <w:separator/>
      </w:r>
    </w:p>
  </w:endnote>
  <w:endnote w:type="continuationSeparator" w:id="0">
    <w:p w14:paraId="25E1B5BE" w14:textId="77777777" w:rsidR="004B7BD6" w:rsidRDefault="004B7BD6" w:rsidP="007606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66C2D4" w14:textId="77777777" w:rsidR="004B7BD6" w:rsidRDefault="004B7BD6" w:rsidP="007606E3">
      <w:pPr>
        <w:spacing w:after="0" w:line="240" w:lineRule="auto"/>
      </w:pPr>
      <w:r>
        <w:separator/>
      </w:r>
    </w:p>
  </w:footnote>
  <w:footnote w:type="continuationSeparator" w:id="0">
    <w:p w14:paraId="59B7952B" w14:textId="77777777" w:rsidR="004B7BD6" w:rsidRDefault="004B7BD6" w:rsidP="007606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417ED"/>
    <w:multiLevelType w:val="multilevel"/>
    <w:tmpl w:val="40C89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373F89"/>
    <w:multiLevelType w:val="multilevel"/>
    <w:tmpl w:val="5BF667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1D28A0"/>
    <w:multiLevelType w:val="hybridMultilevel"/>
    <w:tmpl w:val="7E46D9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BA30B9"/>
    <w:multiLevelType w:val="multilevel"/>
    <w:tmpl w:val="BA40E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8DD0E49"/>
    <w:multiLevelType w:val="multilevel"/>
    <w:tmpl w:val="4D344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184307"/>
    <w:multiLevelType w:val="hybridMultilevel"/>
    <w:tmpl w:val="64E666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FB4137"/>
    <w:multiLevelType w:val="multilevel"/>
    <w:tmpl w:val="39501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BC723F"/>
    <w:multiLevelType w:val="multilevel"/>
    <w:tmpl w:val="4BD23C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027C6F"/>
    <w:multiLevelType w:val="hybridMultilevel"/>
    <w:tmpl w:val="16D42A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72929A9"/>
    <w:multiLevelType w:val="multilevel"/>
    <w:tmpl w:val="D422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B30800"/>
    <w:multiLevelType w:val="hybridMultilevel"/>
    <w:tmpl w:val="390E3C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942C4F"/>
    <w:multiLevelType w:val="multilevel"/>
    <w:tmpl w:val="1CB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34834853">
    <w:abstractNumId w:val="3"/>
  </w:num>
  <w:num w:numId="2" w16cid:durableId="1331909873">
    <w:abstractNumId w:val="7"/>
  </w:num>
  <w:num w:numId="3" w16cid:durableId="1564488209">
    <w:abstractNumId w:val="10"/>
  </w:num>
  <w:num w:numId="4" w16cid:durableId="134107922">
    <w:abstractNumId w:val="2"/>
  </w:num>
  <w:num w:numId="5" w16cid:durableId="614409741">
    <w:abstractNumId w:val="1"/>
  </w:num>
  <w:num w:numId="6" w16cid:durableId="191849292">
    <w:abstractNumId w:val="0"/>
  </w:num>
  <w:num w:numId="7" w16cid:durableId="706759818">
    <w:abstractNumId w:val="11"/>
  </w:num>
  <w:num w:numId="8" w16cid:durableId="374618788">
    <w:abstractNumId w:val="6"/>
  </w:num>
  <w:num w:numId="9" w16cid:durableId="1883860060">
    <w:abstractNumId w:val="4"/>
  </w:num>
  <w:num w:numId="10" w16cid:durableId="1123887681">
    <w:abstractNumId w:val="9"/>
  </w:num>
  <w:num w:numId="11" w16cid:durableId="1791976937">
    <w:abstractNumId w:val="8"/>
  </w:num>
  <w:num w:numId="12" w16cid:durableId="15018896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CBF"/>
    <w:rsid w:val="00192000"/>
    <w:rsid w:val="00276D17"/>
    <w:rsid w:val="00296164"/>
    <w:rsid w:val="00363039"/>
    <w:rsid w:val="003B3CBF"/>
    <w:rsid w:val="004B2F55"/>
    <w:rsid w:val="004B7BD6"/>
    <w:rsid w:val="004D6F30"/>
    <w:rsid w:val="005C3A14"/>
    <w:rsid w:val="005C5F93"/>
    <w:rsid w:val="00637F75"/>
    <w:rsid w:val="007606E3"/>
    <w:rsid w:val="007819D5"/>
    <w:rsid w:val="0078366E"/>
    <w:rsid w:val="0081663E"/>
    <w:rsid w:val="00852445"/>
    <w:rsid w:val="0087128D"/>
    <w:rsid w:val="00876E91"/>
    <w:rsid w:val="008F4421"/>
    <w:rsid w:val="00915067"/>
    <w:rsid w:val="00A07122"/>
    <w:rsid w:val="00A84704"/>
    <w:rsid w:val="00AA1A9E"/>
    <w:rsid w:val="00AE4679"/>
    <w:rsid w:val="00B21766"/>
    <w:rsid w:val="00B364AC"/>
    <w:rsid w:val="00B55152"/>
    <w:rsid w:val="00B85209"/>
    <w:rsid w:val="00B853D4"/>
    <w:rsid w:val="00BD4639"/>
    <w:rsid w:val="00BF76FE"/>
    <w:rsid w:val="00C00F59"/>
    <w:rsid w:val="00C60CE8"/>
    <w:rsid w:val="00D36B19"/>
    <w:rsid w:val="00D96189"/>
    <w:rsid w:val="00DB16BB"/>
    <w:rsid w:val="00DE5FF1"/>
    <w:rsid w:val="00E31BDC"/>
    <w:rsid w:val="00ED7532"/>
    <w:rsid w:val="00F36D97"/>
    <w:rsid w:val="00F63606"/>
    <w:rsid w:val="00FC76E2"/>
    <w:rsid w:val="00FD5F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2532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52445"/>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524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524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CBF"/>
    <w:rPr>
      <w:color w:val="0563C1" w:themeColor="hyperlink"/>
      <w:u w:val="single"/>
    </w:rPr>
  </w:style>
  <w:style w:type="character" w:styleId="UnresolvedMention">
    <w:name w:val="Unresolved Mention"/>
    <w:basedOn w:val="DefaultParagraphFont"/>
    <w:uiPriority w:val="99"/>
    <w:semiHidden/>
    <w:unhideWhenUsed/>
    <w:rsid w:val="003B3CBF"/>
    <w:rPr>
      <w:color w:val="605E5C"/>
      <w:shd w:val="clear" w:color="auto" w:fill="E1DFDD"/>
    </w:rPr>
  </w:style>
  <w:style w:type="character" w:styleId="FollowedHyperlink">
    <w:name w:val="FollowedHyperlink"/>
    <w:basedOn w:val="DefaultParagraphFont"/>
    <w:uiPriority w:val="99"/>
    <w:semiHidden/>
    <w:unhideWhenUsed/>
    <w:rsid w:val="00F63606"/>
    <w:rPr>
      <w:color w:val="954F72" w:themeColor="followedHyperlink"/>
      <w:u w:val="single"/>
    </w:rPr>
  </w:style>
  <w:style w:type="paragraph" w:styleId="ListParagraph">
    <w:name w:val="List Paragraph"/>
    <w:basedOn w:val="Normal"/>
    <w:uiPriority w:val="34"/>
    <w:qFormat/>
    <w:rsid w:val="00915067"/>
    <w:pPr>
      <w:ind w:left="720"/>
      <w:contextualSpacing/>
    </w:pPr>
  </w:style>
  <w:style w:type="character" w:customStyle="1" w:styleId="Heading1Char">
    <w:name w:val="Heading 1 Char"/>
    <w:basedOn w:val="DefaultParagraphFont"/>
    <w:link w:val="Heading1"/>
    <w:uiPriority w:val="9"/>
    <w:rsid w:val="00852445"/>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8524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52445"/>
    <w:rPr>
      <w:rFonts w:asciiTheme="majorHAnsi" w:eastAsiaTheme="majorEastAsia" w:hAnsiTheme="majorHAnsi" w:cstheme="majorBidi"/>
      <w:color w:val="1F3763" w:themeColor="accent1" w:themeShade="7F"/>
      <w:sz w:val="24"/>
      <w:szCs w:val="24"/>
    </w:rPr>
  </w:style>
  <w:style w:type="paragraph" w:customStyle="1" w:styleId="ds-markdown-paragraph">
    <w:name w:val="ds-markdown-paragraph"/>
    <w:basedOn w:val="Normal"/>
    <w:rsid w:val="0085244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52445"/>
    <w:rPr>
      <w:b/>
      <w:bCs/>
    </w:rPr>
  </w:style>
  <w:style w:type="character" w:styleId="Emphasis">
    <w:name w:val="Emphasis"/>
    <w:basedOn w:val="DefaultParagraphFont"/>
    <w:uiPriority w:val="20"/>
    <w:qFormat/>
    <w:rsid w:val="00852445"/>
    <w:rPr>
      <w:i/>
      <w:iCs/>
    </w:rPr>
  </w:style>
  <w:style w:type="table" w:styleId="TableGrid">
    <w:name w:val="Table Grid"/>
    <w:basedOn w:val="TableNormal"/>
    <w:uiPriority w:val="39"/>
    <w:rsid w:val="004B2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85209"/>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B85209"/>
    <w:pPr>
      <w:spacing w:after="100"/>
      <w:ind w:left="220"/>
    </w:pPr>
  </w:style>
  <w:style w:type="paragraph" w:styleId="TOC1">
    <w:name w:val="toc 1"/>
    <w:basedOn w:val="Normal"/>
    <w:next w:val="Normal"/>
    <w:autoRedefine/>
    <w:uiPriority w:val="39"/>
    <w:unhideWhenUsed/>
    <w:rsid w:val="00B85209"/>
    <w:pPr>
      <w:spacing w:after="100"/>
    </w:pPr>
  </w:style>
  <w:style w:type="paragraph" w:styleId="Header">
    <w:name w:val="header"/>
    <w:basedOn w:val="Normal"/>
    <w:link w:val="HeaderChar"/>
    <w:uiPriority w:val="99"/>
    <w:unhideWhenUsed/>
    <w:rsid w:val="007606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06E3"/>
  </w:style>
  <w:style w:type="paragraph" w:styleId="Footer">
    <w:name w:val="footer"/>
    <w:basedOn w:val="Normal"/>
    <w:link w:val="FooterChar"/>
    <w:uiPriority w:val="99"/>
    <w:unhideWhenUsed/>
    <w:rsid w:val="007606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06E3"/>
  </w:style>
  <w:style w:type="paragraph" w:styleId="NormalWeb">
    <w:name w:val="Normal (Web)"/>
    <w:basedOn w:val="Normal"/>
    <w:uiPriority w:val="99"/>
    <w:unhideWhenUsed/>
    <w:rsid w:val="00876E91"/>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626162">
      <w:bodyDiv w:val="1"/>
      <w:marLeft w:val="0"/>
      <w:marRight w:val="0"/>
      <w:marTop w:val="0"/>
      <w:marBottom w:val="0"/>
      <w:divBdr>
        <w:top w:val="none" w:sz="0" w:space="0" w:color="auto"/>
        <w:left w:val="none" w:sz="0" w:space="0" w:color="auto"/>
        <w:bottom w:val="none" w:sz="0" w:space="0" w:color="auto"/>
        <w:right w:val="none" w:sz="0" w:space="0" w:color="auto"/>
      </w:divBdr>
      <w:divsChild>
        <w:div w:id="316305750">
          <w:marLeft w:val="0"/>
          <w:marRight w:val="0"/>
          <w:marTop w:val="0"/>
          <w:marBottom w:val="0"/>
          <w:divBdr>
            <w:top w:val="none" w:sz="0" w:space="0" w:color="auto"/>
            <w:left w:val="none" w:sz="0" w:space="0" w:color="auto"/>
            <w:bottom w:val="none" w:sz="0" w:space="0" w:color="auto"/>
            <w:right w:val="none" w:sz="0" w:space="0" w:color="auto"/>
          </w:divBdr>
        </w:div>
      </w:divsChild>
    </w:div>
    <w:div w:id="417019875">
      <w:bodyDiv w:val="1"/>
      <w:marLeft w:val="0"/>
      <w:marRight w:val="0"/>
      <w:marTop w:val="0"/>
      <w:marBottom w:val="0"/>
      <w:divBdr>
        <w:top w:val="none" w:sz="0" w:space="0" w:color="auto"/>
        <w:left w:val="none" w:sz="0" w:space="0" w:color="auto"/>
        <w:bottom w:val="none" w:sz="0" w:space="0" w:color="auto"/>
        <w:right w:val="none" w:sz="0" w:space="0" w:color="auto"/>
      </w:divBdr>
    </w:div>
    <w:div w:id="887568250">
      <w:bodyDiv w:val="1"/>
      <w:marLeft w:val="0"/>
      <w:marRight w:val="0"/>
      <w:marTop w:val="0"/>
      <w:marBottom w:val="0"/>
      <w:divBdr>
        <w:top w:val="none" w:sz="0" w:space="0" w:color="auto"/>
        <w:left w:val="none" w:sz="0" w:space="0" w:color="auto"/>
        <w:bottom w:val="none" w:sz="0" w:space="0" w:color="auto"/>
        <w:right w:val="none" w:sz="0" w:space="0" w:color="auto"/>
      </w:divBdr>
    </w:div>
    <w:div w:id="1319459047">
      <w:bodyDiv w:val="1"/>
      <w:marLeft w:val="0"/>
      <w:marRight w:val="0"/>
      <w:marTop w:val="0"/>
      <w:marBottom w:val="0"/>
      <w:divBdr>
        <w:top w:val="none" w:sz="0" w:space="0" w:color="auto"/>
        <w:left w:val="none" w:sz="0" w:space="0" w:color="auto"/>
        <w:bottom w:val="none" w:sz="0" w:space="0" w:color="auto"/>
        <w:right w:val="none" w:sz="0" w:space="0" w:color="auto"/>
      </w:divBdr>
    </w:div>
    <w:div w:id="1509712883">
      <w:bodyDiv w:val="1"/>
      <w:marLeft w:val="0"/>
      <w:marRight w:val="0"/>
      <w:marTop w:val="0"/>
      <w:marBottom w:val="0"/>
      <w:divBdr>
        <w:top w:val="none" w:sz="0" w:space="0" w:color="auto"/>
        <w:left w:val="none" w:sz="0" w:space="0" w:color="auto"/>
        <w:bottom w:val="none" w:sz="0" w:space="0" w:color="auto"/>
        <w:right w:val="none" w:sz="0" w:space="0" w:color="auto"/>
      </w:divBdr>
      <w:divsChild>
        <w:div w:id="831918401">
          <w:marLeft w:val="0"/>
          <w:marRight w:val="0"/>
          <w:marTop w:val="0"/>
          <w:marBottom w:val="0"/>
          <w:divBdr>
            <w:top w:val="none" w:sz="0" w:space="0" w:color="auto"/>
            <w:left w:val="none" w:sz="0" w:space="0" w:color="auto"/>
            <w:bottom w:val="none" w:sz="0" w:space="0" w:color="auto"/>
            <w:right w:val="none" w:sz="0" w:space="0" w:color="auto"/>
          </w:divBdr>
        </w:div>
      </w:divsChild>
    </w:div>
    <w:div w:id="197578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adult-social-care-workforce-skills-survey-september-2025" TargetMode="External"/><Relationship Id="rId5" Type="http://schemas.openxmlformats.org/officeDocument/2006/relationships/webSettings" Target="webSettings.xml"/><Relationship Id="rId10" Type="http://schemas.openxmlformats.org/officeDocument/2006/relationships/hyperlink" Target="https://www.nice.org.uk/guidance/ng159" TargetMode="External"/><Relationship Id="rId4" Type="http://schemas.openxmlformats.org/officeDocument/2006/relationships/settings" Target="settings.xml"/><Relationship Id="rId9" Type="http://schemas.openxmlformats.org/officeDocument/2006/relationships/hyperlink" Target="https://www.cqc.org.uk/publications/major-report/state-care/2023-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92D169-5610-45DE-90BF-7162202CD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5504</Words>
  <Characters>31379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2026-03-24T13:03:00Z</dcterms:created>
  <dcterms:modified xsi:type="dcterms:W3CDTF">2026-04-16T10:03:00Z</dcterms:modified>
</cp:coreProperties>
</file>