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9200B" w14:textId="7D7DD2FD" w:rsidR="00AD5CA5" w:rsidRDefault="00544B0F">
      <w:pPr>
        <w:rPr>
          <w:rFonts w:ascii="Arial" w:hAnsi="Arial" w:cs="Arial"/>
          <w:b/>
          <w:bCs/>
          <w:sz w:val="22"/>
          <w:szCs w:val="22"/>
        </w:rPr>
      </w:pPr>
      <w:r>
        <w:rPr>
          <w:noProof/>
        </w:rPr>
        <w:drawing>
          <wp:anchor distT="0" distB="0" distL="114300" distR="114300" simplePos="0" relativeHeight="251658240" behindDoc="0" locked="0" layoutInCell="1" allowOverlap="1" wp14:anchorId="5F143FBA" wp14:editId="6FE317F1">
            <wp:simplePos x="0" y="0"/>
            <wp:positionH relativeFrom="page">
              <wp:align>left</wp:align>
            </wp:positionH>
            <wp:positionV relativeFrom="paragraph">
              <wp:posOffset>0</wp:posOffset>
            </wp:positionV>
            <wp:extent cx="3497580" cy="2080260"/>
            <wp:effectExtent l="0" t="0" r="7620" b="0"/>
            <wp:wrapSquare wrapText="bothSides"/>
            <wp:docPr id="1"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97580" cy="2080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1FD6ED" w14:textId="522F567C" w:rsidR="00D00EED" w:rsidRDefault="00D00EED" w:rsidP="00D00EED">
      <w:pPr>
        <w:pStyle w:val="NormalWeb"/>
        <w:spacing w:line="360" w:lineRule="auto"/>
        <w:jc w:val="center"/>
        <w:rPr>
          <w:rFonts w:ascii="Arial" w:hAnsi="Arial" w:cs="Arial"/>
          <w:b/>
          <w:bCs/>
          <w:sz w:val="22"/>
          <w:szCs w:val="22"/>
        </w:rPr>
      </w:pPr>
    </w:p>
    <w:p w14:paraId="3C8DCED5" w14:textId="5B51BDDB" w:rsidR="00D00EED" w:rsidRDefault="00D00EED" w:rsidP="00D00EED">
      <w:pPr>
        <w:pStyle w:val="NormalWeb"/>
        <w:spacing w:line="360" w:lineRule="auto"/>
        <w:jc w:val="center"/>
        <w:rPr>
          <w:rFonts w:ascii="Arial" w:hAnsi="Arial" w:cs="Arial"/>
          <w:b/>
          <w:bCs/>
          <w:sz w:val="22"/>
          <w:szCs w:val="22"/>
        </w:rPr>
      </w:pPr>
    </w:p>
    <w:p w14:paraId="0FFD6E42" w14:textId="77777777" w:rsidR="00D00EED" w:rsidRDefault="00D00EED" w:rsidP="00D00EED">
      <w:pPr>
        <w:pStyle w:val="NormalWeb"/>
        <w:spacing w:line="360" w:lineRule="auto"/>
        <w:jc w:val="center"/>
        <w:rPr>
          <w:rFonts w:ascii="Arial" w:hAnsi="Arial" w:cs="Arial"/>
          <w:b/>
          <w:bCs/>
          <w:sz w:val="22"/>
          <w:szCs w:val="22"/>
        </w:rPr>
      </w:pPr>
    </w:p>
    <w:p w14:paraId="07672762" w14:textId="77777777" w:rsidR="00D00EED" w:rsidRDefault="00D00EED" w:rsidP="00D00EED">
      <w:pPr>
        <w:pStyle w:val="NormalWeb"/>
        <w:spacing w:line="360" w:lineRule="auto"/>
        <w:jc w:val="center"/>
        <w:rPr>
          <w:rFonts w:ascii="Arial" w:hAnsi="Arial" w:cs="Arial"/>
          <w:b/>
          <w:bCs/>
          <w:sz w:val="22"/>
          <w:szCs w:val="22"/>
        </w:rPr>
      </w:pPr>
    </w:p>
    <w:p w14:paraId="6D3E1377" w14:textId="7FEC1B6D" w:rsidR="00D00EED" w:rsidRDefault="00D00EED" w:rsidP="00D00EED">
      <w:pPr>
        <w:pStyle w:val="NormalWeb"/>
        <w:spacing w:line="360" w:lineRule="auto"/>
        <w:jc w:val="center"/>
        <w:rPr>
          <w:rFonts w:ascii="Arial" w:hAnsi="Arial" w:cs="Arial"/>
          <w:b/>
          <w:bCs/>
          <w:sz w:val="22"/>
          <w:szCs w:val="22"/>
        </w:rPr>
      </w:pPr>
    </w:p>
    <w:p w14:paraId="4B4BF2C4" w14:textId="77777777" w:rsidR="00D00EED" w:rsidRDefault="00D00EED" w:rsidP="00D00EED">
      <w:pPr>
        <w:pStyle w:val="NormalWeb"/>
        <w:spacing w:line="360" w:lineRule="auto"/>
        <w:jc w:val="center"/>
        <w:rPr>
          <w:rFonts w:ascii="Arial" w:hAnsi="Arial" w:cs="Arial"/>
          <w:b/>
          <w:bCs/>
          <w:sz w:val="22"/>
          <w:szCs w:val="22"/>
        </w:rPr>
      </w:pPr>
    </w:p>
    <w:p w14:paraId="705AF8A6" w14:textId="77777777" w:rsidR="001E5D61" w:rsidRDefault="001E5D61" w:rsidP="003F008B">
      <w:pPr>
        <w:pStyle w:val="NormalWeb"/>
        <w:spacing w:line="360" w:lineRule="auto"/>
        <w:jc w:val="center"/>
        <w:rPr>
          <w:rFonts w:ascii="Arial" w:hAnsi="Arial" w:cs="Arial"/>
          <w:b/>
          <w:bCs/>
          <w:sz w:val="28"/>
          <w:szCs w:val="28"/>
        </w:rPr>
      </w:pPr>
    </w:p>
    <w:p w14:paraId="7D687ED6" w14:textId="77777777" w:rsidR="001E5D61" w:rsidRDefault="001E5D61" w:rsidP="003F008B">
      <w:pPr>
        <w:pStyle w:val="NormalWeb"/>
        <w:spacing w:line="360" w:lineRule="auto"/>
        <w:jc w:val="center"/>
        <w:rPr>
          <w:rFonts w:ascii="Arial" w:hAnsi="Arial" w:cs="Arial"/>
          <w:b/>
          <w:bCs/>
          <w:sz w:val="28"/>
          <w:szCs w:val="28"/>
        </w:rPr>
      </w:pPr>
    </w:p>
    <w:p w14:paraId="69F73FF9" w14:textId="6D01E985" w:rsidR="00445C35" w:rsidRDefault="00C94970" w:rsidP="003F008B">
      <w:pPr>
        <w:pStyle w:val="NormalWeb"/>
        <w:spacing w:line="360" w:lineRule="auto"/>
        <w:jc w:val="center"/>
        <w:rPr>
          <w:rFonts w:ascii="Arial" w:hAnsi="Arial" w:cs="Arial"/>
          <w:b/>
          <w:bCs/>
          <w:sz w:val="28"/>
          <w:szCs w:val="28"/>
        </w:rPr>
      </w:pPr>
      <w:r w:rsidRPr="00D00EED">
        <w:rPr>
          <w:rFonts w:ascii="Arial" w:hAnsi="Arial" w:cs="Arial"/>
          <w:b/>
          <w:bCs/>
          <w:sz w:val="28"/>
          <w:szCs w:val="28"/>
        </w:rPr>
        <w:t>Principles of Health and Social Care Practice</w:t>
      </w:r>
    </w:p>
    <w:p w14:paraId="37364F9E" w14:textId="2C24F71A" w:rsidR="00946FEA" w:rsidRPr="00D00EED" w:rsidRDefault="00946FEA" w:rsidP="003F008B">
      <w:pPr>
        <w:pStyle w:val="NormalWeb"/>
        <w:spacing w:line="360" w:lineRule="auto"/>
        <w:jc w:val="center"/>
        <w:rPr>
          <w:rFonts w:ascii="Arial" w:hAnsi="Arial" w:cs="Arial"/>
          <w:b/>
          <w:bCs/>
          <w:sz w:val="28"/>
          <w:szCs w:val="28"/>
        </w:rPr>
      </w:pPr>
      <w:r>
        <w:rPr>
          <w:rFonts w:ascii="Arial" w:hAnsi="Arial" w:cs="Arial"/>
          <w:b/>
          <w:bCs/>
          <w:sz w:val="28"/>
          <w:szCs w:val="28"/>
        </w:rPr>
        <w:t>Ref</w:t>
      </w:r>
      <w:r w:rsidR="005319D0">
        <w:rPr>
          <w:rFonts w:ascii="Arial" w:hAnsi="Arial" w:cs="Arial"/>
          <w:b/>
          <w:bCs/>
          <w:sz w:val="28"/>
          <w:szCs w:val="28"/>
        </w:rPr>
        <w:t>lective Report</w:t>
      </w:r>
    </w:p>
    <w:p w14:paraId="6F6813B3" w14:textId="3D96DDA2" w:rsidR="006C1B9B" w:rsidRPr="00D00EED" w:rsidRDefault="00DB7A17" w:rsidP="003F008B">
      <w:pPr>
        <w:pStyle w:val="NormalWeb"/>
        <w:spacing w:line="360" w:lineRule="auto"/>
        <w:jc w:val="center"/>
        <w:rPr>
          <w:rFonts w:ascii="Arial" w:hAnsi="Arial" w:cs="Arial"/>
          <w:b/>
          <w:bCs/>
          <w:sz w:val="28"/>
          <w:szCs w:val="28"/>
        </w:rPr>
      </w:pPr>
      <w:r w:rsidRPr="00D00EED">
        <w:rPr>
          <w:rFonts w:ascii="Arial" w:hAnsi="Arial" w:cs="Arial"/>
          <w:b/>
          <w:bCs/>
          <w:sz w:val="28"/>
          <w:szCs w:val="28"/>
        </w:rPr>
        <w:t>BMHP5016</w:t>
      </w:r>
    </w:p>
    <w:p w14:paraId="19F7DD5D" w14:textId="3E0B09C7" w:rsidR="00DB7A17" w:rsidRPr="00D00EED" w:rsidRDefault="001619D2" w:rsidP="003F008B">
      <w:pPr>
        <w:pStyle w:val="NormalWeb"/>
        <w:spacing w:line="360" w:lineRule="auto"/>
        <w:jc w:val="center"/>
        <w:rPr>
          <w:rFonts w:ascii="Arial" w:hAnsi="Arial" w:cs="Arial"/>
          <w:b/>
          <w:bCs/>
          <w:sz w:val="28"/>
          <w:szCs w:val="28"/>
        </w:rPr>
      </w:pPr>
      <w:r w:rsidRPr="00D00EED">
        <w:rPr>
          <w:rFonts w:ascii="Arial" w:hAnsi="Arial" w:cs="Arial"/>
          <w:b/>
          <w:bCs/>
          <w:sz w:val="28"/>
          <w:szCs w:val="28"/>
        </w:rPr>
        <w:t>Asfia Akhtar</w:t>
      </w:r>
    </w:p>
    <w:p w14:paraId="64522109" w14:textId="245BB471" w:rsidR="001619D2" w:rsidRPr="00D00EED" w:rsidRDefault="001619D2" w:rsidP="003F008B">
      <w:pPr>
        <w:pStyle w:val="NormalWeb"/>
        <w:spacing w:line="360" w:lineRule="auto"/>
        <w:jc w:val="center"/>
        <w:rPr>
          <w:rFonts w:ascii="Arial" w:hAnsi="Arial" w:cs="Arial"/>
          <w:b/>
          <w:bCs/>
          <w:sz w:val="28"/>
          <w:szCs w:val="28"/>
        </w:rPr>
      </w:pPr>
      <w:r w:rsidRPr="00D00EED">
        <w:rPr>
          <w:rFonts w:ascii="Arial" w:hAnsi="Arial" w:cs="Arial"/>
          <w:b/>
          <w:bCs/>
          <w:sz w:val="28"/>
          <w:szCs w:val="28"/>
        </w:rPr>
        <w:t>2432708</w:t>
      </w:r>
    </w:p>
    <w:p w14:paraId="55796F0F" w14:textId="2CB05051" w:rsidR="00AD5CA5" w:rsidRPr="00D00EED" w:rsidRDefault="00C84C62" w:rsidP="003F008B">
      <w:pPr>
        <w:pStyle w:val="NormalWeb"/>
        <w:spacing w:line="360" w:lineRule="auto"/>
        <w:jc w:val="center"/>
        <w:rPr>
          <w:rFonts w:ascii="Arial" w:hAnsi="Arial" w:cs="Arial"/>
          <w:b/>
          <w:bCs/>
          <w:sz w:val="28"/>
          <w:szCs w:val="28"/>
        </w:rPr>
      </w:pPr>
      <w:r w:rsidRPr="00D00EED">
        <w:rPr>
          <w:rFonts w:ascii="Arial" w:hAnsi="Arial" w:cs="Arial"/>
          <w:b/>
          <w:bCs/>
          <w:sz w:val="28"/>
          <w:szCs w:val="28"/>
        </w:rPr>
        <w:t>Azida Zainol</w:t>
      </w:r>
    </w:p>
    <w:p w14:paraId="1849519F" w14:textId="26D62F02" w:rsidR="00C84C62" w:rsidRPr="00D00EED" w:rsidRDefault="00C84C62" w:rsidP="003F008B">
      <w:pPr>
        <w:pStyle w:val="NormalWeb"/>
        <w:spacing w:line="360" w:lineRule="auto"/>
        <w:jc w:val="center"/>
        <w:rPr>
          <w:rFonts w:ascii="Arial" w:hAnsi="Arial" w:cs="Arial"/>
          <w:b/>
          <w:bCs/>
          <w:sz w:val="28"/>
          <w:szCs w:val="28"/>
        </w:rPr>
      </w:pPr>
      <w:r w:rsidRPr="00D00EED">
        <w:rPr>
          <w:rFonts w:ascii="Arial" w:hAnsi="Arial" w:cs="Arial"/>
          <w:b/>
          <w:bCs/>
          <w:sz w:val="28"/>
          <w:szCs w:val="28"/>
        </w:rPr>
        <w:t>25/06/2026</w:t>
      </w:r>
    </w:p>
    <w:p w14:paraId="1FD674A1" w14:textId="77777777" w:rsidR="00D00EED" w:rsidRDefault="00D00EED" w:rsidP="00D92FD4">
      <w:pPr>
        <w:pStyle w:val="NormalWeb"/>
        <w:spacing w:line="360" w:lineRule="auto"/>
        <w:jc w:val="both"/>
        <w:rPr>
          <w:rFonts w:ascii="Arial" w:hAnsi="Arial" w:cs="Arial"/>
          <w:b/>
          <w:bCs/>
          <w:sz w:val="22"/>
          <w:szCs w:val="22"/>
        </w:rPr>
      </w:pPr>
    </w:p>
    <w:p w14:paraId="42C0171B" w14:textId="77777777" w:rsidR="00AD5CA5" w:rsidRDefault="00AD5CA5" w:rsidP="00D92FD4">
      <w:pPr>
        <w:pStyle w:val="NormalWeb"/>
        <w:spacing w:line="360" w:lineRule="auto"/>
        <w:jc w:val="both"/>
        <w:rPr>
          <w:rFonts w:ascii="Arial" w:hAnsi="Arial" w:cs="Arial"/>
          <w:b/>
          <w:bCs/>
          <w:sz w:val="22"/>
          <w:szCs w:val="22"/>
        </w:rPr>
      </w:pPr>
    </w:p>
    <w:p w14:paraId="5405BE22" w14:textId="77777777" w:rsidR="00AD5CA5" w:rsidRDefault="00AD5CA5" w:rsidP="00D92FD4">
      <w:pPr>
        <w:pStyle w:val="NormalWeb"/>
        <w:spacing w:line="360" w:lineRule="auto"/>
        <w:jc w:val="both"/>
        <w:rPr>
          <w:rFonts w:ascii="Arial" w:hAnsi="Arial" w:cs="Arial"/>
          <w:b/>
          <w:bCs/>
          <w:sz w:val="22"/>
          <w:szCs w:val="22"/>
        </w:rPr>
      </w:pPr>
    </w:p>
    <w:p w14:paraId="12CBBBC9" w14:textId="77777777" w:rsidR="00AD5CA5" w:rsidRDefault="00AD5CA5" w:rsidP="00D92FD4">
      <w:pPr>
        <w:pStyle w:val="NormalWeb"/>
        <w:spacing w:line="360" w:lineRule="auto"/>
        <w:jc w:val="both"/>
        <w:rPr>
          <w:rFonts w:ascii="Arial" w:hAnsi="Arial" w:cs="Arial"/>
          <w:b/>
          <w:bCs/>
          <w:sz w:val="22"/>
          <w:szCs w:val="22"/>
        </w:rPr>
      </w:pPr>
    </w:p>
    <w:p w14:paraId="117C2057" w14:textId="206A7B1B" w:rsidR="00AD5CA5" w:rsidRDefault="00AD5CA5" w:rsidP="00D92FD4">
      <w:pPr>
        <w:pStyle w:val="NormalWeb"/>
        <w:spacing w:line="360" w:lineRule="auto"/>
        <w:jc w:val="both"/>
        <w:rPr>
          <w:rFonts w:ascii="Arial" w:hAnsi="Arial" w:cs="Arial"/>
          <w:b/>
          <w:bCs/>
          <w:sz w:val="22"/>
          <w:szCs w:val="22"/>
        </w:rPr>
      </w:pPr>
      <w:r>
        <w:rPr>
          <w:rFonts w:ascii="Arial" w:hAnsi="Arial" w:cs="Arial"/>
          <w:b/>
          <w:bCs/>
          <w:sz w:val="22"/>
          <w:szCs w:val="22"/>
        </w:rPr>
        <w:lastRenderedPageBreak/>
        <w:t>C</w:t>
      </w:r>
      <w:r w:rsidR="00C60033">
        <w:rPr>
          <w:rFonts w:ascii="Arial" w:hAnsi="Arial" w:cs="Arial"/>
          <w:b/>
          <w:bCs/>
          <w:sz w:val="22"/>
          <w:szCs w:val="22"/>
        </w:rPr>
        <w:t>ontents Page</w:t>
      </w:r>
    </w:p>
    <w:p w14:paraId="76C32CE5" w14:textId="4E62A8CF" w:rsidR="00F52FE9" w:rsidRDefault="00F52FE9" w:rsidP="00D92FD4">
      <w:pPr>
        <w:pStyle w:val="NormalWeb"/>
        <w:spacing w:line="360" w:lineRule="auto"/>
        <w:jc w:val="both"/>
        <w:rPr>
          <w:rFonts w:ascii="Arial" w:hAnsi="Arial" w:cs="Arial"/>
          <w:b/>
          <w:bCs/>
          <w:sz w:val="22"/>
          <w:szCs w:val="22"/>
        </w:rPr>
      </w:pPr>
      <w:r>
        <w:rPr>
          <w:rFonts w:ascii="Arial" w:hAnsi="Arial" w:cs="Arial"/>
          <w:b/>
          <w:bCs/>
          <w:sz w:val="22"/>
          <w:szCs w:val="22"/>
        </w:rPr>
        <w:t>Introduction</w:t>
      </w:r>
      <w:r w:rsidR="00265A35">
        <w:rPr>
          <w:rFonts w:ascii="Arial" w:hAnsi="Arial" w:cs="Arial"/>
          <w:b/>
          <w:bCs/>
          <w:sz w:val="22"/>
          <w:szCs w:val="22"/>
        </w:rPr>
        <w:t>………………………………………………………</w:t>
      </w:r>
      <w:r w:rsidR="00C23187">
        <w:rPr>
          <w:rFonts w:ascii="Arial" w:hAnsi="Arial" w:cs="Arial"/>
          <w:b/>
          <w:bCs/>
          <w:sz w:val="22"/>
          <w:szCs w:val="22"/>
        </w:rPr>
        <w:t>...</w:t>
      </w:r>
      <w:r w:rsidR="00647747">
        <w:rPr>
          <w:rFonts w:ascii="Arial" w:hAnsi="Arial" w:cs="Arial"/>
          <w:b/>
          <w:bCs/>
          <w:sz w:val="22"/>
          <w:szCs w:val="22"/>
        </w:rPr>
        <w:t>....................1</w:t>
      </w:r>
    </w:p>
    <w:p w14:paraId="5EDA69FE" w14:textId="7D857AF8" w:rsidR="00F52FE9" w:rsidRDefault="00A54723" w:rsidP="00D92FD4">
      <w:pPr>
        <w:pStyle w:val="NormalWeb"/>
        <w:spacing w:line="360" w:lineRule="auto"/>
        <w:jc w:val="both"/>
        <w:rPr>
          <w:rFonts w:ascii="Arial" w:hAnsi="Arial" w:cs="Arial"/>
          <w:b/>
          <w:bCs/>
          <w:sz w:val="22"/>
          <w:szCs w:val="22"/>
        </w:rPr>
      </w:pPr>
      <w:r>
        <w:rPr>
          <w:rFonts w:ascii="Arial" w:hAnsi="Arial" w:cs="Arial"/>
          <w:b/>
          <w:bCs/>
          <w:sz w:val="22"/>
          <w:szCs w:val="22"/>
        </w:rPr>
        <w:t>Task 1: Reflection on Importance of Principles</w:t>
      </w:r>
      <w:r w:rsidR="00265A35">
        <w:rPr>
          <w:rFonts w:ascii="Arial" w:hAnsi="Arial" w:cs="Arial"/>
          <w:b/>
          <w:bCs/>
          <w:sz w:val="22"/>
          <w:szCs w:val="22"/>
        </w:rPr>
        <w:t>…………</w:t>
      </w:r>
      <w:r w:rsidR="00C23187">
        <w:rPr>
          <w:rFonts w:ascii="Arial" w:hAnsi="Arial" w:cs="Arial"/>
          <w:b/>
          <w:bCs/>
          <w:sz w:val="22"/>
          <w:szCs w:val="22"/>
        </w:rPr>
        <w:t>…</w:t>
      </w:r>
      <w:r w:rsidR="00647747">
        <w:rPr>
          <w:rFonts w:ascii="Arial" w:hAnsi="Arial" w:cs="Arial"/>
          <w:b/>
          <w:bCs/>
          <w:sz w:val="22"/>
          <w:szCs w:val="22"/>
        </w:rPr>
        <w:t>……………….1</w:t>
      </w:r>
    </w:p>
    <w:p w14:paraId="45212AA4" w14:textId="6FB7C57D" w:rsidR="00A54723" w:rsidRDefault="00A54723" w:rsidP="00D92FD4">
      <w:pPr>
        <w:pStyle w:val="NormalWeb"/>
        <w:spacing w:line="360" w:lineRule="auto"/>
        <w:jc w:val="both"/>
        <w:rPr>
          <w:rFonts w:ascii="Arial" w:hAnsi="Arial" w:cs="Arial"/>
          <w:b/>
          <w:bCs/>
          <w:sz w:val="22"/>
          <w:szCs w:val="22"/>
        </w:rPr>
      </w:pPr>
      <w:r>
        <w:rPr>
          <w:rFonts w:ascii="Arial" w:hAnsi="Arial" w:cs="Arial"/>
          <w:b/>
          <w:bCs/>
          <w:sz w:val="22"/>
          <w:szCs w:val="22"/>
        </w:rPr>
        <w:t>Task 2: Practical Example in Practice</w:t>
      </w:r>
      <w:r w:rsidR="00265A35">
        <w:rPr>
          <w:rFonts w:ascii="Arial" w:hAnsi="Arial" w:cs="Arial"/>
          <w:b/>
          <w:bCs/>
          <w:sz w:val="22"/>
          <w:szCs w:val="22"/>
        </w:rPr>
        <w:t>…………………………</w:t>
      </w:r>
      <w:r w:rsidR="00647747">
        <w:rPr>
          <w:rFonts w:ascii="Arial" w:hAnsi="Arial" w:cs="Arial"/>
          <w:b/>
          <w:bCs/>
          <w:sz w:val="22"/>
          <w:szCs w:val="22"/>
        </w:rPr>
        <w:t>……………...3</w:t>
      </w:r>
    </w:p>
    <w:p w14:paraId="26ED6F3A" w14:textId="0E784A61" w:rsidR="000D69D8" w:rsidRDefault="000D69D8" w:rsidP="00D92FD4">
      <w:pPr>
        <w:pStyle w:val="NormalWeb"/>
        <w:spacing w:line="360" w:lineRule="auto"/>
        <w:jc w:val="both"/>
        <w:rPr>
          <w:rFonts w:ascii="Arial" w:hAnsi="Arial" w:cs="Arial"/>
          <w:b/>
          <w:bCs/>
          <w:sz w:val="22"/>
          <w:szCs w:val="22"/>
        </w:rPr>
      </w:pPr>
      <w:r>
        <w:rPr>
          <w:rFonts w:ascii="Arial" w:hAnsi="Arial" w:cs="Arial"/>
          <w:b/>
          <w:bCs/>
          <w:sz w:val="22"/>
          <w:szCs w:val="22"/>
        </w:rPr>
        <w:t>Task 3: Self Reflection</w:t>
      </w:r>
      <w:r w:rsidR="00265A35">
        <w:rPr>
          <w:rFonts w:ascii="Arial" w:hAnsi="Arial" w:cs="Arial"/>
          <w:b/>
          <w:bCs/>
          <w:sz w:val="22"/>
          <w:szCs w:val="22"/>
        </w:rPr>
        <w:t>……………………………………………</w:t>
      </w:r>
      <w:r w:rsidR="00647747">
        <w:rPr>
          <w:rFonts w:ascii="Arial" w:hAnsi="Arial" w:cs="Arial"/>
          <w:b/>
          <w:bCs/>
          <w:sz w:val="22"/>
          <w:szCs w:val="22"/>
        </w:rPr>
        <w:t>……………</w:t>
      </w:r>
      <w:r w:rsidR="00A453A4">
        <w:rPr>
          <w:rFonts w:ascii="Arial" w:hAnsi="Arial" w:cs="Arial"/>
          <w:b/>
          <w:bCs/>
          <w:sz w:val="22"/>
          <w:szCs w:val="22"/>
        </w:rPr>
        <w:t>…</w:t>
      </w:r>
      <w:r w:rsidR="00647747">
        <w:rPr>
          <w:rFonts w:ascii="Arial" w:hAnsi="Arial" w:cs="Arial"/>
          <w:b/>
          <w:bCs/>
          <w:sz w:val="22"/>
          <w:szCs w:val="22"/>
        </w:rPr>
        <w:t>4</w:t>
      </w:r>
    </w:p>
    <w:p w14:paraId="16651C84" w14:textId="37CA2B4E" w:rsidR="000D69D8" w:rsidRDefault="000D69D8" w:rsidP="00D92FD4">
      <w:pPr>
        <w:pStyle w:val="NormalWeb"/>
        <w:spacing w:line="360" w:lineRule="auto"/>
        <w:jc w:val="both"/>
        <w:rPr>
          <w:rFonts w:ascii="Arial" w:hAnsi="Arial" w:cs="Arial"/>
          <w:b/>
          <w:bCs/>
          <w:sz w:val="22"/>
          <w:szCs w:val="22"/>
        </w:rPr>
      </w:pPr>
      <w:r>
        <w:rPr>
          <w:rFonts w:ascii="Arial" w:hAnsi="Arial" w:cs="Arial"/>
          <w:b/>
          <w:bCs/>
          <w:sz w:val="22"/>
          <w:szCs w:val="22"/>
        </w:rPr>
        <w:t>Conclusion</w:t>
      </w:r>
      <w:r w:rsidR="00265A35">
        <w:rPr>
          <w:rFonts w:ascii="Arial" w:hAnsi="Arial" w:cs="Arial"/>
          <w:b/>
          <w:bCs/>
          <w:sz w:val="22"/>
          <w:szCs w:val="22"/>
        </w:rPr>
        <w:t>…………………………………………………………</w:t>
      </w:r>
      <w:r w:rsidR="00647747">
        <w:rPr>
          <w:rFonts w:ascii="Arial" w:hAnsi="Arial" w:cs="Arial"/>
          <w:b/>
          <w:bCs/>
          <w:sz w:val="22"/>
          <w:szCs w:val="22"/>
        </w:rPr>
        <w:t>………………</w:t>
      </w:r>
      <w:r w:rsidR="00A453A4">
        <w:rPr>
          <w:rFonts w:ascii="Arial" w:hAnsi="Arial" w:cs="Arial"/>
          <w:b/>
          <w:bCs/>
          <w:sz w:val="22"/>
          <w:szCs w:val="22"/>
        </w:rPr>
        <w:t>.</w:t>
      </w:r>
      <w:r w:rsidR="00647747">
        <w:rPr>
          <w:rFonts w:ascii="Arial" w:hAnsi="Arial" w:cs="Arial"/>
          <w:b/>
          <w:bCs/>
          <w:sz w:val="22"/>
          <w:szCs w:val="22"/>
        </w:rPr>
        <w:t>6</w:t>
      </w:r>
    </w:p>
    <w:p w14:paraId="50C53B65" w14:textId="12CC910E" w:rsidR="000D69D8" w:rsidRDefault="000D69D8" w:rsidP="00D92FD4">
      <w:pPr>
        <w:pStyle w:val="NormalWeb"/>
        <w:spacing w:line="360" w:lineRule="auto"/>
        <w:jc w:val="both"/>
        <w:rPr>
          <w:rFonts w:ascii="Arial" w:hAnsi="Arial" w:cs="Arial"/>
          <w:b/>
          <w:bCs/>
          <w:sz w:val="22"/>
          <w:szCs w:val="22"/>
        </w:rPr>
      </w:pPr>
      <w:r>
        <w:rPr>
          <w:rFonts w:ascii="Arial" w:hAnsi="Arial" w:cs="Arial"/>
          <w:b/>
          <w:bCs/>
          <w:sz w:val="22"/>
          <w:szCs w:val="22"/>
        </w:rPr>
        <w:t>References</w:t>
      </w:r>
      <w:r w:rsidR="00265A35">
        <w:rPr>
          <w:rFonts w:ascii="Arial" w:hAnsi="Arial" w:cs="Arial"/>
          <w:b/>
          <w:bCs/>
          <w:sz w:val="22"/>
          <w:szCs w:val="22"/>
        </w:rPr>
        <w:t>…………………………………………………………</w:t>
      </w:r>
      <w:r w:rsidR="00647747">
        <w:rPr>
          <w:rFonts w:ascii="Arial" w:hAnsi="Arial" w:cs="Arial"/>
          <w:b/>
          <w:bCs/>
          <w:sz w:val="22"/>
          <w:szCs w:val="22"/>
        </w:rPr>
        <w:t>………………</w:t>
      </w:r>
      <w:r w:rsidR="00D871D0">
        <w:rPr>
          <w:rFonts w:ascii="Arial" w:hAnsi="Arial" w:cs="Arial"/>
          <w:b/>
          <w:bCs/>
          <w:sz w:val="22"/>
          <w:szCs w:val="22"/>
        </w:rPr>
        <w:t>.7</w:t>
      </w:r>
    </w:p>
    <w:p w14:paraId="046FD617" w14:textId="77777777" w:rsidR="00AD5CA5" w:rsidRDefault="00AD5CA5" w:rsidP="00D92FD4">
      <w:pPr>
        <w:pStyle w:val="NormalWeb"/>
        <w:spacing w:line="360" w:lineRule="auto"/>
        <w:jc w:val="both"/>
        <w:rPr>
          <w:rFonts w:ascii="Arial" w:hAnsi="Arial" w:cs="Arial"/>
          <w:b/>
          <w:bCs/>
          <w:sz w:val="22"/>
          <w:szCs w:val="22"/>
        </w:rPr>
      </w:pPr>
    </w:p>
    <w:p w14:paraId="09783508" w14:textId="77777777" w:rsidR="00AD5CA5" w:rsidRDefault="00AD5CA5" w:rsidP="00D92FD4">
      <w:pPr>
        <w:pStyle w:val="NormalWeb"/>
        <w:spacing w:line="360" w:lineRule="auto"/>
        <w:jc w:val="both"/>
        <w:rPr>
          <w:rFonts w:ascii="Arial" w:hAnsi="Arial" w:cs="Arial"/>
          <w:b/>
          <w:bCs/>
          <w:sz w:val="22"/>
          <w:szCs w:val="22"/>
        </w:rPr>
      </w:pPr>
    </w:p>
    <w:p w14:paraId="3AFF330E" w14:textId="5C98707E" w:rsidR="00AD5CA5" w:rsidRDefault="00AD5CA5" w:rsidP="00D92FD4">
      <w:pPr>
        <w:pStyle w:val="NormalWeb"/>
        <w:spacing w:line="360" w:lineRule="auto"/>
        <w:jc w:val="both"/>
        <w:rPr>
          <w:rFonts w:ascii="Arial" w:hAnsi="Arial" w:cs="Arial"/>
          <w:b/>
          <w:bCs/>
          <w:sz w:val="22"/>
          <w:szCs w:val="22"/>
        </w:rPr>
      </w:pPr>
    </w:p>
    <w:p w14:paraId="6DB75934" w14:textId="77777777" w:rsidR="00AD5CA5" w:rsidRDefault="00AD5CA5" w:rsidP="00D92FD4">
      <w:pPr>
        <w:pStyle w:val="NormalWeb"/>
        <w:spacing w:line="360" w:lineRule="auto"/>
        <w:jc w:val="both"/>
        <w:rPr>
          <w:rFonts w:ascii="Arial" w:hAnsi="Arial" w:cs="Arial"/>
          <w:b/>
          <w:bCs/>
          <w:sz w:val="22"/>
          <w:szCs w:val="22"/>
        </w:rPr>
      </w:pPr>
    </w:p>
    <w:p w14:paraId="6CAFB566" w14:textId="77777777" w:rsidR="00AD5CA5" w:rsidRDefault="00AD5CA5" w:rsidP="00D92FD4">
      <w:pPr>
        <w:pStyle w:val="NormalWeb"/>
        <w:spacing w:line="360" w:lineRule="auto"/>
        <w:jc w:val="both"/>
        <w:rPr>
          <w:rFonts w:ascii="Arial" w:hAnsi="Arial" w:cs="Arial"/>
          <w:b/>
          <w:bCs/>
          <w:sz w:val="22"/>
          <w:szCs w:val="22"/>
        </w:rPr>
      </w:pPr>
    </w:p>
    <w:p w14:paraId="3FD502CB" w14:textId="77777777" w:rsidR="00AD5CA5" w:rsidRDefault="00AD5CA5" w:rsidP="00D92FD4">
      <w:pPr>
        <w:pStyle w:val="NormalWeb"/>
        <w:spacing w:line="360" w:lineRule="auto"/>
        <w:jc w:val="both"/>
        <w:rPr>
          <w:rFonts w:ascii="Arial" w:hAnsi="Arial" w:cs="Arial"/>
          <w:b/>
          <w:bCs/>
          <w:sz w:val="22"/>
          <w:szCs w:val="22"/>
        </w:rPr>
      </w:pPr>
    </w:p>
    <w:p w14:paraId="41D83170" w14:textId="77777777" w:rsidR="00AD5CA5" w:rsidRDefault="00AD5CA5" w:rsidP="00D92FD4">
      <w:pPr>
        <w:pStyle w:val="NormalWeb"/>
        <w:spacing w:line="360" w:lineRule="auto"/>
        <w:jc w:val="both"/>
        <w:rPr>
          <w:rFonts w:ascii="Arial" w:hAnsi="Arial" w:cs="Arial"/>
          <w:b/>
          <w:bCs/>
          <w:sz w:val="22"/>
          <w:szCs w:val="22"/>
        </w:rPr>
      </w:pPr>
    </w:p>
    <w:p w14:paraId="35BA63CC" w14:textId="77777777" w:rsidR="00AD5CA5" w:rsidRDefault="00AD5CA5" w:rsidP="00D92FD4">
      <w:pPr>
        <w:pStyle w:val="NormalWeb"/>
        <w:spacing w:line="360" w:lineRule="auto"/>
        <w:jc w:val="both"/>
        <w:rPr>
          <w:rFonts w:ascii="Arial" w:hAnsi="Arial" w:cs="Arial"/>
          <w:b/>
          <w:bCs/>
          <w:sz w:val="22"/>
          <w:szCs w:val="22"/>
        </w:rPr>
      </w:pPr>
    </w:p>
    <w:p w14:paraId="130B78AB" w14:textId="77777777" w:rsidR="00AD5CA5" w:rsidRDefault="00AD5CA5" w:rsidP="00D92FD4">
      <w:pPr>
        <w:pStyle w:val="NormalWeb"/>
        <w:spacing w:line="360" w:lineRule="auto"/>
        <w:jc w:val="both"/>
        <w:rPr>
          <w:rFonts w:ascii="Arial" w:hAnsi="Arial" w:cs="Arial"/>
          <w:b/>
          <w:bCs/>
          <w:sz w:val="22"/>
          <w:szCs w:val="22"/>
        </w:rPr>
      </w:pPr>
    </w:p>
    <w:p w14:paraId="1D626E17" w14:textId="77777777" w:rsidR="00AD5CA5" w:rsidRDefault="00AD5CA5" w:rsidP="00D92FD4">
      <w:pPr>
        <w:pStyle w:val="NormalWeb"/>
        <w:spacing w:line="360" w:lineRule="auto"/>
        <w:jc w:val="both"/>
        <w:rPr>
          <w:rFonts w:ascii="Arial" w:hAnsi="Arial" w:cs="Arial"/>
          <w:b/>
          <w:bCs/>
          <w:sz w:val="22"/>
          <w:szCs w:val="22"/>
        </w:rPr>
      </w:pPr>
    </w:p>
    <w:p w14:paraId="283F86F0" w14:textId="77777777" w:rsidR="00AD5CA5" w:rsidRDefault="00AD5CA5" w:rsidP="00D92FD4">
      <w:pPr>
        <w:pStyle w:val="NormalWeb"/>
        <w:spacing w:line="360" w:lineRule="auto"/>
        <w:jc w:val="both"/>
        <w:rPr>
          <w:rFonts w:ascii="Arial" w:hAnsi="Arial" w:cs="Arial"/>
          <w:b/>
          <w:bCs/>
          <w:sz w:val="22"/>
          <w:szCs w:val="22"/>
        </w:rPr>
      </w:pPr>
    </w:p>
    <w:p w14:paraId="2FC718F5" w14:textId="77777777" w:rsidR="00AD5CA5" w:rsidRDefault="00AD5CA5" w:rsidP="00D92FD4">
      <w:pPr>
        <w:pStyle w:val="NormalWeb"/>
        <w:spacing w:line="360" w:lineRule="auto"/>
        <w:jc w:val="both"/>
        <w:rPr>
          <w:rFonts w:ascii="Arial" w:hAnsi="Arial" w:cs="Arial"/>
          <w:b/>
          <w:bCs/>
          <w:sz w:val="22"/>
          <w:szCs w:val="22"/>
        </w:rPr>
      </w:pPr>
    </w:p>
    <w:p w14:paraId="3B7F2758" w14:textId="77777777" w:rsidR="00AD5CA5" w:rsidRDefault="00AD5CA5" w:rsidP="00D92FD4">
      <w:pPr>
        <w:pStyle w:val="NormalWeb"/>
        <w:spacing w:line="360" w:lineRule="auto"/>
        <w:jc w:val="both"/>
        <w:rPr>
          <w:rFonts w:ascii="Arial" w:hAnsi="Arial" w:cs="Arial"/>
          <w:b/>
          <w:bCs/>
          <w:sz w:val="22"/>
          <w:szCs w:val="22"/>
        </w:rPr>
      </w:pPr>
    </w:p>
    <w:p w14:paraId="0881A40D" w14:textId="77777777" w:rsidR="00F86849" w:rsidRDefault="00F86849" w:rsidP="00D92FD4">
      <w:pPr>
        <w:pStyle w:val="NormalWeb"/>
        <w:spacing w:line="360" w:lineRule="auto"/>
        <w:jc w:val="both"/>
        <w:rPr>
          <w:rFonts w:ascii="Arial" w:hAnsi="Arial" w:cs="Arial"/>
          <w:b/>
          <w:bCs/>
          <w:sz w:val="22"/>
          <w:szCs w:val="22"/>
        </w:rPr>
        <w:sectPr w:rsidR="00F86849" w:rsidSect="00F9782A">
          <w:footerReference w:type="default" r:id="rId7"/>
          <w:pgSz w:w="11906" w:h="16838"/>
          <w:pgMar w:top="1440" w:right="1440" w:bottom="1440" w:left="1440" w:header="708" w:footer="708" w:gutter="0"/>
          <w:pgNumType w:start="1"/>
          <w:cols w:space="708"/>
          <w:docGrid w:linePitch="360"/>
        </w:sectPr>
      </w:pPr>
    </w:p>
    <w:p w14:paraId="31509323" w14:textId="1D5B7A42" w:rsidR="00E74AC0" w:rsidRPr="00CB67C6" w:rsidRDefault="00E74AC0" w:rsidP="00445C35">
      <w:pPr>
        <w:pStyle w:val="NormalWeb"/>
        <w:spacing w:line="360" w:lineRule="auto"/>
        <w:jc w:val="both"/>
        <w:rPr>
          <w:rFonts w:ascii="Arial" w:hAnsi="Arial" w:cs="Arial"/>
          <w:b/>
          <w:bCs/>
          <w:sz w:val="22"/>
          <w:szCs w:val="22"/>
        </w:rPr>
      </w:pPr>
      <w:r w:rsidRPr="00CB67C6">
        <w:rPr>
          <w:rFonts w:ascii="Arial" w:hAnsi="Arial" w:cs="Arial"/>
          <w:b/>
          <w:bCs/>
          <w:sz w:val="22"/>
          <w:szCs w:val="22"/>
        </w:rPr>
        <w:lastRenderedPageBreak/>
        <w:t>Introduction</w:t>
      </w:r>
    </w:p>
    <w:p w14:paraId="2CDCD47B" w14:textId="04D34A09" w:rsidR="004523A7" w:rsidRPr="004523A7" w:rsidRDefault="0077132C" w:rsidP="00445C35">
      <w:pPr>
        <w:pStyle w:val="NormalWeb"/>
        <w:spacing w:line="360" w:lineRule="auto"/>
        <w:jc w:val="both"/>
        <w:rPr>
          <w:rFonts w:ascii="Arial" w:hAnsi="Arial" w:cs="Arial"/>
          <w:sz w:val="22"/>
          <w:szCs w:val="22"/>
        </w:rPr>
      </w:pPr>
      <w:r>
        <w:rPr>
          <w:rFonts w:ascii="Arial" w:hAnsi="Arial" w:cs="Arial"/>
          <w:sz w:val="22"/>
          <w:szCs w:val="22"/>
        </w:rPr>
        <w:t>The purpose of this report is to critically evaluate the importance and application of person-</w:t>
      </w:r>
      <w:r w:rsidR="00900695">
        <w:rPr>
          <w:rFonts w:ascii="Arial" w:hAnsi="Arial" w:cs="Arial"/>
          <w:sz w:val="22"/>
          <w:szCs w:val="22"/>
        </w:rPr>
        <w:t>centred</w:t>
      </w:r>
      <w:r>
        <w:rPr>
          <w:rFonts w:ascii="Arial" w:hAnsi="Arial" w:cs="Arial"/>
          <w:sz w:val="22"/>
          <w:szCs w:val="22"/>
        </w:rPr>
        <w:t xml:space="preserve"> care, partnership working</w:t>
      </w:r>
      <w:r w:rsidR="00900695">
        <w:rPr>
          <w:rFonts w:ascii="Arial" w:hAnsi="Arial" w:cs="Arial"/>
          <w:sz w:val="22"/>
          <w:szCs w:val="22"/>
        </w:rPr>
        <w:t xml:space="preserve"> and ethical practice within contemporary UK health and social care. </w:t>
      </w:r>
      <w:r w:rsidR="004523A7" w:rsidRPr="004523A7">
        <w:rPr>
          <w:rFonts w:ascii="Arial" w:hAnsi="Arial" w:cs="Arial"/>
          <w:sz w:val="22"/>
          <w:szCs w:val="22"/>
        </w:rPr>
        <w:t xml:space="preserve">These principles </w:t>
      </w:r>
      <w:r w:rsidR="0070595B">
        <w:rPr>
          <w:rFonts w:ascii="Arial" w:hAnsi="Arial" w:cs="Arial"/>
          <w:sz w:val="22"/>
          <w:szCs w:val="22"/>
        </w:rPr>
        <w:t xml:space="preserve">underpin </w:t>
      </w:r>
      <w:r w:rsidR="004523A7" w:rsidRPr="004523A7">
        <w:rPr>
          <w:rFonts w:ascii="Arial" w:hAnsi="Arial" w:cs="Arial"/>
          <w:sz w:val="22"/>
          <w:szCs w:val="22"/>
        </w:rPr>
        <w:t xml:space="preserve">high-quality care and </w:t>
      </w:r>
      <w:r w:rsidR="00A5791E">
        <w:rPr>
          <w:rFonts w:ascii="Arial" w:hAnsi="Arial" w:cs="Arial"/>
          <w:sz w:val="22"/>
          <w:szCs w:val="22"/>
        </w:rPr>
        <w:t xml:space="preserve">are supported by </w:t>
      </w:r>
      <w:r w:rsidR="004523A7" w:rsidRPr="004523A7">
        <w:rPr>
          <w:rFonts w:ascii="Arial" w:hAnsi="Arial" w:cs="Arial"/>
          <w:sz w:val="22"/>
          <w:szCs w:val="22"/>
        </w:rPr>
        <w:t>legislation, professional standards, and national policy frameworks, including the Care Act 2014 and the Health and Care Act 2022.</w:t>
      </w:r>
      <w:r w:rsidR="00F24DF6">
        <w:rPr>
          <w:rFonts w:ascii="Arial" w:hAnsi="Arial" w:cs="Arial"/>
          <w:sz w:val="22"/>
          <w:szCs w:val="22"/>
        </w:rPr>
        <w:t xml:space="preserve"> These principles promote wellbeing, </w:t>
      </w:r>
      <w:r w:rsidR="00E07115">
        <w:rPr>
          <w:rFonts w:ascii="Arial" w:hAnsi="Arial" w:cs="Arial"/>
          <w:sz w:val="22"/>
          <w:szCs w:val="22"/>
        </w:rPr>
        <w:t>collaboration and informed decision-making within health and social care.</w:t>
      </w:r>
    </w:p>
    <w:p w14:paraId="57A4B1B3" w14:textId="3A5BE530" w:rsidR="004523A7" w:rsidRPr="004523A7" w:rsidRDefault="004523A7" w:rsidP="00445C35">
      <w:pPr>
        <w:pStyle w:val="NormalWeb"/>
        <w:spacing w:line="360" w:lineRule="auto"/>
        <w:jc w:val="both"/>
        <w:rPr>
          <w:rFonts w:ascii="Arial" w:hAnsi="Arial" w:cs="Arial"/>
          <w:sz w:val="22"/>
          <w:szCs w:val="22"/>
        </w:rPr>
      </w:pPr>
      <w:r w:rsidRPr="004523A7">
        <w:rPr>
          <w:rFonts w:ascii="Arial" w:hAnsi="Arial" w:cs="Arial"/>
          <w:sz w:val="22"/>
          <w:szCs w:val="22"/>
        </w:rPr>
        <w:t>The report is structured into three sections. The first section explores the significance of person-centred care, partnership working, and ethical practice, evaluating their relevance within contemporary practice. The second section applies these principles to Robyn’s case study, analysing how they contributed to improved outcomes and identifying challenges encountered during their application. The final</w:t>
      </w:r>
      <w:r w:rsidR="00AD0F6F">
        <w:rPr>
          <w:rFonts w:ascii="Arial" w:hAnsi="Arial" w:cs="Arial"/>
          <w:sz w:val="22"/>
          <w:szCs w:val="22"/>
        </w:rPr>
        <w:t xml:space="preserve"> section reflects on how these principles have influenced my professional development and future nursing aspirations</w:t>
      </w:r>
      <w:r w:rsidRPr="004523A7">
        <w:rPr>
          <w:rFonts w:ascii="Arial" w:hAnsi="Arial" w:cs="Arial"/>
          <w:sz w:val="22"/>
          <w:szCs w:val="22"/>
        </w:rPr>
        <w:t xml:space="preserve">. </w:t>
      </w:r>
      <w:r w:rsidR="000C5EEE">
        <w:rPr>
          <w:rFonts w:ascii="Arial" w:hAnsi="Arial" w:cs="Arial"/>
          <w:sz w:val="22"/>
          <w:szCs w:val="22"/>
        </w:rPr>
        <w:t>The report highlights the importance of applying these principles</w:t>
      </w:r>
      <w:r w:rsidR="009A661B">
        <w:rPr>
          <w:rFonts w:ascii="Arial" w:hAnsi="Arial" w:cs="Arial"/>
          <w:sz w:val="22"/>
          <w:szCs w:val="22"/>
        </w:rPr>
        <w:t xml:space="preserve"> </w:t>
      </w:r>
      <w:r w:rsidR="005F0915">
        <w:rPr>
          <w:rFonts w:ascii="Arial" w:hAnsi="Arial" w:cs="Arial"/>
          <w:sz w:val="22"/>
          <w:szCs w:val="22"/>
        </w:rPr>
        <w:t>effectively.</w:t>
      </w:r>
    </w:p>
    <w:p w14:paraId="5CE68640" w14:textId="17624DD5" w:rsidR="00960C55" w:rsidRDefault="00960C55" w:rsidP="00445C35">
      <w:pPr>
        <w:pStyle w:val="NormalWeb"/>
        <w:spacing w:line="360" w:lineRule="auto"/>
        <w:jc w:val="both"/>
        <w:rPr>
          <w:rFonts w:ascii="Arial" w:hAnsi="Arial" w:cs="Arial"/>
          <w:b/>
          <w:bCs/>
          <w:sz w:val="22"/>
          <w:szCs w:val="22"/>
        </w:rPr>
      </w:pPr>
      <w:r w:rsidRPr="00960C55">
        <w:rPr>
          <w:rFonts w:ascii="Arial" w:hAnsi="Arial" w:cs="Arial"/>
          <w:b/>
          <w:bCs/>
          <w:sz w:val="22"/>
          <w:szCs w:val="22"/>
        </w:rPr>
        <w:t>Task 1: Reflection on the importance of Principles of Health and Social Care</w:t>
      </w:r>
    </w:p>
    <w:p w14:paraId="4AB0EE72" w14:textId="2FA2399D" w:rsidR="00A10BCA" w:rsidRPr="00A10BCA" w:rsidRDefault="00A10BCA" w:rsidP="00445C35">
      <w:pPr>
        <w:pStyle w:val="NormalWeb"/>
        <w:spacing w:line="360" w:lineRule="auto"/>
        <w:jc w:val="both"/>
        <w:rPr>
          <w:rFonts w:ascii="Arial" w:hAnsi="Arial" w:cs="Arial"/>
          <w:sz w:val="22"/>
          <w:szCs w:val="22"/>
        </w:rPr>
      </w:pPr>
      <w:r w:rsidRPr="00A10BCA">
        <w:rPr>
          <w:rFonts w:ascii="Arial" w:hAnsi="Arial" w:cs="Arial"/>
          <w:sz w:val="22"/>
          <w:szCs w:val="22"/>
        </w:rPr>
        <w:t xml:space="preserve">Person-centred care, partnership working and ethics underpin contemporary health and social care practice in the UK. Embedded within legislation such as the </w:t>
      </w:r>
      <w:r w:rsidRPr="00A10BCA">
        <w:rPr>
          <w:rStyle w:val="Strong"/>
          <w:rFonts w:ascii="Arial" w:hAnsi="Arial" w:cs="Arial"/>
          <w:b w:val="0"/>
          <w:bCs w:val="0"/>
          <w:sz w:val="22"/>
          <w:szCs w:val="22"/>
        </w:rPr>
        <w:t>Care Act 2014</w:t>
      </w:r>
      <w:r w:rsidRPr="00A10BCA">
        <w:rPr>
          <w:rFonts w:ascii="Arial" w:hAnsi="Arial" w:cs="Arial"/>
          <w:sz w:val="22"/>
          <w:szCs w:val="22"/>
        </w:rPr>
        <w:t xml:space="preserve"> and </w:t>
      </w:r>
      <w:r w:rsidRPr="00A10BCA">
        <w:rPr>
          <w:rStyle w:val="Strong"/>
          <w:rFonts w:ascii="Arial" w:hAnsi="Arial" w:cs="Arial"/>
          <w:b w:val="0"/>
          <w:bCs w:val="0"/>
          <w:sz w:val="22"/>
          <w:szCs w:val="22"/>
        </w:rPr>
        <w:t>Health and Care Act 2022</w:t>
      </w:r>
      <w:r w:rsidRPr="00A10BCA">
        <w:rPr>
          <w:rFonts w:ascii="Arial" w:hAnsi="Arial" w:cs="Arial"/>
          <w:sz w:val="22"/>
          <w:szCs w:val="22"/>
        </w:rPr>
        <w:t>, these principles aim to promote wellbeing, collaboration and accountability. However, their implementation is often shaped by organisational pressures and competing priorities.</w:t>
      </w:r>
      <w:r w:rsidR="00712BB1">
        <w:rPr>
          <w:rFonts w:ascii="Arial" w:hAnsi="Arial" w:cs="Arial"/>
          <w:sz w:val="22"/>
          <w:szCs w:val="22"/>
        </w:rPr>
        <w:t xml:space="preserve"> Critical analysis of</w:t>
      </w:r>
      <w:r w:rsidRPr="00A10BCA">
        <w:rPr>
          <w:rFonts w:ascii="Arial" w:hAnsi="Arial" w:cs="Arial"/>
          <w:sz w:val="22"/>
          <w:szCs w:val="22"/>
        </w:rPr>
        <w:t xml:space="preserve"> these principles h</w:t>
      </w:r>
      <w:r w:rsidR="00D418DE">
        <w:rPr>
          <w:rFonts w:ascii="Arial" w:hAnsi="Arial" w:cs="Arial"/>
          <w:sz w:val="22"/>
          <w:szCs w:val="22"/>
        </w:rPr>
        <w:t>ighlights</w:t>
      </w:r>
      <w:r w:rsidRPr="00A10BCA">
        <w:rPr>
          <w:rFonts w:ascii="Arial" w:hAnsi="Arial" w:cs="Arial"/>
          <w:sz w:val="22"/>
          <w:szCs w:val="22"/>
        </w:rPr>
        <w:t xml:space="preserve"> the relationship between policy expectations and practice realities (</w:t>
      </w:r>
      <w:r w:rsidRPr="00A10BCA">
        <w:rPr>
          <w:rStyle w:val="Strong"/>
          <w:rFonts w:ascii="Arial" w:hAnsi="Arial" w:cs="Arial"/>
          <w:b w:val="0"/>
          <w:bCs w:val="0"/>
          <w:sz w:val="22"/>
          <w:szCs w:val="22"/>
        </w:rPr>
        <w:t>Care Act, 2014; Health and Care Act, 2022</w:t>
      </w:r>
      <w:r>
        <w:rPr>
          <w:rFonts w:ascii="Arial" w:hAnsi="Arial" w:cs="Arial"/>
          <w:sz w:val="22"/>
          <w:szCs w:val="22"/>
        </w:rPr>
        <w:t>).</w:t>
      </w:r>
    </w:p>
    <w:p w14:paraId="00B878AA" w14:textId="67C14E73" w:rsidR="00A10BCA" w:rsidRPr="00A10BCA" w:rsidRDefault="00A10BCA" w:rsidP="00445C35">
      <w:pPr>
        <w:pStyle w:val="NormalWeb"/>
        <w:spacing w:line="360" w:lineRule="auto"/>
        <w:jc w:val="both"/>
        <w:rPr>
          <w:rFonts w:ascii="Arial" w:hAnsi="Arial" w:cs="Arial"/>
          <w:sz w:val="22"/>
          <w:szCs w:val="22"/>
        </w:rPr>
      </w:pPr>
      <w:r w:rsidRPr="00A10BCA">
        <w:rPr>
          <w:rFonts w:ascii="Arial" w:hAnsi="Arial" w:cs="Arial"/>
          <w:sz w:val="22"/>
          <w:szCs w:val="22"/>
        </w:rPr>
        <w:t>Person-centred care is</w:t>
      </w:r>
      <w:r w:rsidR="00FD196D">
        <w:rPr>
          <w:rFonts w:ascii="Arial" w:hAnsi="Arial" w:cs="Arial"/>
          <w:sz w:val="22"/>
          <w:szCs w:val="22"/>
        </w:rPr>
        <w:t xml:space="preserve"> </w:t>
      </w:r>
      <w:r w:rsidRPr="00A10BCA">
        <w:rPr>
          <w:rFonts w:ascii="Arial" w:hAnsi="Arial" w:cs="Arial"/>
          <w:sz w:val="22"/>
          <w:szCs w:val="22"/>
        </w:rPr>
        <w:t>recognised as the foundation of effective care, reflecting Rogers’ assertion that individuals should actively participate in decisions impacting their lives (</w:t>
      </w:r>
      <w:r w:rsidRPr="00A10BCA">
        <w:rPr>
          <w:rStyle w:val="Strong"/>
          <w:rFonts w:ascii="Arial" w:hAnsi="Arial" w:cs="Arial"/>
          <w:b w:val="0"/>
          <w:bCs w:val="0"/>
          <w:sz w:val="22"/>
          <w:szCs w:val="22"/>
        </w:rPr>
        <w:t>Rogers, 1951</w:t>
      </w:r>
      <w:r w:rsidRPr="00A10BCA">
        <w:rPr>
          <w:rFonts w:ascii="Arial" w:hAnsi="Arial" w:cs="Arial"/>
          <w:sz w:val="22"/>
          <w:szCs w:val="22"/>
        </w:rPr>
        <w:t>). This approach is central to the Care Act 2014, which prioritises wellbeing, choice and control (</w:t>
      </w:r>
      <w:r w:rsidRPr="00A10BCA">
        <w:rPr>
          <w:rStyle w:val="Strong"/>
          <w:rFonts w:ascii="Arial" w:hAnsi="Arial" w:cs="Arial"/>
          <w:b w:val="0"/>
          <w:bCs w:val="0"/>
          <w:sz w:val="22"/>
          <w:szCs w:val="22"/>
        </w:rPr>
        <w:t>Care Act, 2014</w:t>
      </w:r>
      <w:r w:rsidRPr="0090080F">
        <w:rPr>
          <w:rFonts w:ascii="Arial" w:hAnsi="Arial" w:cs="Arial"/>
          <w:sz w:val="22"/>
          <w:szCs w:val="22"/>
        </w:rPr>
        <w:t>).</w:t>
      </w:r>
      <w:r w:rsidR="0044037C">
        <w:rPr>
          <w:rFonts w:ascii="Arial" w:hAnsi="Arial" w:cs="Arial"/>
          <w:sz w:val="22"/>
          <w:szCs w:val="22"/>
        </w:rPr>
        <w:t xml:space="preserve"> This aligns with Maslow’s (1943) Hier</w:t>
      </w:r>
      <w:r w:rsidR="00237E35">
        <w:rPr>
          <w:rFonts w:ascii="Arial" w:hAnsi="Arial" w:cs="Arial"/>
          <w:sz w:val="22"/>
          <w:szCs w:val="22"/>
        </w:rPr>
        <w:t>archy of Needs, highlight</w:t>
      </w:r>
      <w:r w:rsidR="006F37BB">
        <w:rPr>
          <w:rFonts w:ascii="Arial" w:hAnsi="Arial" w:cs="Arial"/>
          <w:sz w:val="22"/>
          <w:szCs w:val="22"/>
        </w:rPr>
        <w:t>ing</w:t>
      </w:r>
      <w:r w:rsidR="00237E35">
        <w:rPr>
          <w:rFonts w:ascii="Arial" w:hAnsi="Arial" w:cs="Arial"/>
          <w:sz w:val="22"/>
          <w:szCs w:val="22"/>
        </w:rPr>
        <w:t xml:space="preserve"> the importance of meeting physical, psychological and social needs. </w:t>
      </w:r>
      <w:r w:rsidRPr="0090080F">
        <w:rPr>
          <w:rFonts w:ascii="Arial" w:hAnsi="Arial" w:cs="Arial"/>
          <w:sz w:val="22"/>
          <w:szCs w:val="22"/>
        </w:rPr>
        <w:t>Researc</w:t>
      </w:r>
      <w:r w:rsidR="0090080F">
        <w:rPr>
          <w:rFonts w:ascii="Arial" w:hAnsi="Arial" w:cs="Arial"/>
          <w:sz w:val="22"/>
          <w:szCs w:val="22"/>
        </w:rPr>
        <w:t xml:space="preserve">h </w:t>
      </w:r>
      <w:r w:rsidRPr="00A10BCA">
        <w:rPr>
          <w:rFonts w:ascii="Arial" w:hAnsi="Arial" w:cs="Arial"/>
          <w:sz w:val="22"/>
          <w:szCs w:val="22"/>
        </w:rPr>
        <w:t>indicates that person-centred care enhances service-user satisfaction and engagement (</w:t>
      </w:r>
      <w:r w:rsidRPr="00A10BCA">
        <w:rPr>
          <w:rStyle w:val="Strong"/>
          <w:rFonts w:ascii="Arial" w:hAnsi="Arial" w:cs="Arial"/>
          <w:b w:val="0"/>
          <w:bCs w:val="0"/>
          <w:sz w:val="22"/>
          <w:szCs w:val="22"/>
        </w:rPr>
        <w:t>Coulter, 2016</w:t>
      </w:r>
      <w:r w:rsidRPr="00A10BCA">
        <w:rPr>
          <w:rFonts w:ascii="Arial" w:hAnsi="Arial" w:cs="Arial"/>
          <w:sz w:val="22"/>
          <w:szCs w:val="22"/>
        </w:rPr>
        <w:t>). However, the assumption that greater choice automatically leads to empowerment has been increasingly challenged. Needham and Carr (2009) argue that personalisation policies may create the appearance of autonomy whilst failing to address wider structural inequalities that restrict genuine choice.</w:t>
      </w:r>
      <w:r w:rsidR="0057314D">
        <w:rPr>
          <w:rFonts w:ascii="Arial" w:hAnsi="Arial" w:cs="Arial"/>
          <w:sz w:val="22"/>
          <w:szCs w:val="22"/>
        </w:rPr>
        <w:t xml:space="preserve"> </w:t>
      </w:r>
      <w:r w:rsidRPr="0004585F">
        <w:rPr>
          <w:rFonts w:ascii="Arial" w:hAnsi="Arial" w:cs="Arial"/>
          <w:sz w:val="22"/>
          <w:szCs w:val="22"/>
        </w:rPr>
        <w:t>More recently,</w:t>
      </w:r>
      <w:r w:rsidR="00926230" w:rsidRPr="0004585F">
        <w:rPr>
          <w:rFonts w:ascii="Arial" w:hAnsi="Arial" w:cs="Arial"/>
          <w:sz w:val="22"/>
          <w:szCs w:val="22"/>
        </w:rPr>
        <w:t xml:space="preserve"> research</w:t>
      </w:r>
      <w:r w:rsidRPr="0004585F">
        <w:rPr>
          <w:rFonts w:ascii="Arial" w:hAnsi="Arial" w:cs="Arial"/>
          <w:sz w:val="22"/>
          <w:szCs w:val="22"/>
        </w:rPr>
        <w:t xml:space="preserve"> suggest</w:t>
      </w:r>
      <w:r w:rsidR="0057314D" w:rsidRPr="0004585F">
        <w:rPr>
          <w:rFonts w:ascii="Arial" w:hAnsi="Arial" w:cs="Arial"/>
          <w:sz w:val="22"/>
          <w:szCs w:val="22"/>
        </w:rPr>
        <w:t>s</w:t>
      </w:r>
      <w:r w:rsidRPr="0004585F">
        <w:rPr>
          <w:rFonts w:ascii="Arial" w:hAnsi="Arial" w:cs="Arial"/>
          <w:sz w:val="22"/>
          <w:szCs w:val="22"/>
        </w:rPr>
        <w:t xml:space="preserve"> that workforce pressures and resource constraints continue to limit the practical delivery of genuinely person-centred car</w:t>
      </w:r>
      <w:r w:rsidR="001B6D79">
        <w:rPr>
          <w:rFonts w:ascii="Arial" w:hAnsi="Arial" w:cs="Arial"/>
          <w:sz w:val="22"/>
          <w:szCs w:val="22"/>
        </w:rPr>
        <w:t>e</w:t>
      </w:r>
      <w:r w:rsidR="00494C1C">
        <w:rPr>
          <w:rFonts w:ascii="Arial" w:hAnsi="Arial" w:cs="Arial"/>
          <w:sz w:val="22"/>
          <w:szCs w:val="22"/>
        </w:rPr>
        <w:t xml:space="preserve"> </w:t>
      </w:r>
      <w:r w:rsidR="005D42B9" w:rsidRPr="0004585F">
        <w:rPr>
          <w:rFonts w:ascii="Arial" w:hAnsi="Arial" w:cs="Arial"/>
          <w:sz w:val="22"/>
          <w:szCs w:val="22"/>
        </w:rPr>
        <w:lastRenderedPageBreak/>
        <w:t>(The King’s Fund</w:t>
      </w:r>
      <w:r w:rsidR="00CA0D9F">
        <w:rPr>
          <w:rFonts w:ascii="Arial" w:hAnsi="Arial" w:cs="Arial"/>
          <w:sz w:val="22"/>
          <w:szCs w:val="22"/>
        </w:rPr>
        <w:t xml:space="preserve">, </w:t>
      </w:r>
      <w:r w:rsidR="00B13558" w:rsidRPr="0004585F">
        <w:rPr>
          <w:rFonts w:ascii="Arial" w:hAnsi="Arial" w:cs="Arial"/>
          <w:sz w:val="22"/>
          <w:szCs w:val="22"/>
        </w:rPr>
        <w:t>2022).</w:t>
      </w:r>
      <w:r w:rsidRPr="0004585F">
        <w:rPr>
          <w:rFonts w:ascii="Arial" w:hAnsi="Arial" w:cs="Arial"/>
          <w:sz w:val="22"/>
          <w:szCs w:val="22"/>
        </w:rPr>
        <w:t xml:space="preserve"> </w:t>
      </w:r>
      <w:r w:rsidR="00414085" w:rsidRPr="0004585F">
        <w:rPr>
          <w:rFonts w:ascii="Arial" w:hAnsi="Arial" w:cs="Arial"/>
          <w:sz w:val="22"/>
          <w:szCs w:val="22"/>
        </w:rPr>
        <w:t>The literature suggests that empowerment depends on individuals being able to exercise meaningful choice</w:t>
      </w:r>
      <w:r w:rsidR="00CA0D9F">
        <w:rPr>
          <w:rFonts w:ascii="Arial" w:hAnsi="Arial" w:cs="Arial"/>
          <w:sz w:val="22"/>
          <w:szCs w:val="22"/>
        </w:rPr>
        <w:t xml:space="preserve"> (Needham and Carr, 2009</w:t>
      </w:r>
      <w:r w:rsidR="00494C1C">
        <w:rPr>
          <w:rFonts w:ascii="Arial" w:hAnsi="Arial" w:cs="Arial"/>
          <w:sz w:val="22"/>
          <w:szCs w:val="22"/>
        </w:rPr>
        <w:t>; Coulter,</w:t>
      </w:r>
      <w:r w:rsidR="00B22D83">
        <w:rPr>
          <w:rFonts w:ascii="Arial" w:hAnsi="Arial" w:cs="Arial"/>
          <w:sz w:val="22"/>
          <w:szCs w:val="22"/>
        </w:rPr>
        <w:t xml:space="preserve"> 2016</w:t>
      </w:r>
      <w:r w:rsidR="00CA0D9F">
        <w:rPr>
          <w:rFonts w:ascii="Arial" w:hAnsi="Arial" w:cs="Arial"/>
          <w:sz w:val="22"/>
          <w:szCs w:val="22"/>
        </w:rPr>
        <w:t>)</w:t>
      </w:r>
    </w:p>
    <w:p w14:paraId="3FF9BECA" w14:textId="2DA1694E" w:rsidR="00A10BCA" w:rsidRPr="0026728C" w:rsidRDefault="00A10BCA" w:rsidP="00445C35">
      <w:pPr>
        <w:pStyle w:val="NormalWeb"/>
        <w:spacing w:line="360" w:lineRule="auto"/>
        <w:jc w:val="both"/>
        <w:rPr>
          <w:rFonts w:ascii="Arial" w:hAnsi="Arial" w:cs="Arial"/>
          <w:sz w:val="22"/>
          <w:szCs w:val="22"/>
        </w:rPr>
      </w:pPr>
      <w:r w:rsidRPr="00A10BCA">
        <w:rPr>
          <w:rFonts w:ascii="Arial" w:hAnsi="Arial" w:cs="Arial"/>
          <w:sz w:val="22"/>
          <w:szCs w:val="22"/>
        </w:rPr>
        <w:t>Partnership working has become increasingly important as service users often require support from multiple professionals and organisations. The integrated care systems introduced through the Health and Care Act 2022 seek to reduce fragmented care and enhance outcomes through collaboration (</w:t>
      </w:r>
      <w:r w:rsidRPr="00A10BCA">
        <w:rPr>
          <w:rStyle w:val="Strong"/>
          <w:rFonts w:ascii="Arial" w:hAnsi="Arial" w:cs="Arial"/>
          <w:b w:val="0"/>
          <w:bCs w:val="0"/>
          <w:sz w:val="22"/>
          <w:szCs w:val="22"/>
        </w:rPr>
        <w:t>Health and Care Act, 2022</w:t>
      </w:r>
      <w:r w:rsidRPr="00A10BCA">
        <w:rPr>
          <w:rFonts w:ascii="Arial" w:hAnsi="Arial" w:cs="Arial"/>
          <w:sz w:val="22"/>
          <w:szCs w:val="22"/>
        </w:rPr>
        <w:t>). Nevertheless, NHS England (202</w:t>
      </w:r>
      <w:r w:rsidR="00866EBB">
        <w:rPr>
          <w:rFonts w:ascii="Arial" w:hAnsi="Arial" w:cs="Arial"/>
          <w:sz w:val="22"/>
          <w:szCs w:val="22"/>
        </w:rPr>
        <w:t>2</w:t>
      </w:r>
      <w:r w:rsidRPr="00A10BCA">
        <w:rPr>
          <w:rFonts w:ascii="Arial" w:hAnsi="Arial" w:cs="Arial"/>
          <w:sz w:val="22"/>
          <w:szCs w:val="22"/>
        </w:rPr>
        <w:t>) acknowledges that meaningful collaboration requires active engagement with service users and communities, highlighting that structural integration alone does not guarantee effective partnership working. Whilst partnership working has been associated with improved continuity of care and holistic support (</w:t>
      </w:r>
      <w:r w:rsidRPr="00A10BCA">
        <w:rPr>
          <w:rStyle w:val="Strong"/>
          <w:rFonts w:ascii="Arial" w:hAnsi="Arial" w:cs="Arial"/>
          <w:b w:val="0"/>
          <w:bCs w:val="0"/>
          <w:sz w:val="22"/>
          <w:szCs w:val="22"/>
        </w:rPr>
        <w:t>Glasby and Dickinson, 2021</w:t>
      </w:r>
      <w:r w:rsidRPr="00A10BCA">
        <w:rPr>
          <w:rFonts w:ascii="Arial" w:hAnsi="Arial" w:cs="Arial"/>
          <w:sz w:val="22"/>
          <w:szCs w:val="22"/>
        </w:rPr>
        <w:t>), its effectiveness should not be assumed. Reeves, Xyrichis and Zwarenstein (2018) emphasise how professional hierarchies, communication barriers and conflicting organisational priorities can undermine collaborative practice</w:t>
      </w:r>
      <w:r w:rsidR="0026728C">
        <w:rPr>
          <w:rFonts w:ascii="Arial" w:hAnsi="Arial" w:cs="Arial"/>
          <w:sz w:val="22"/>
          <w:szCs w:val="22"/>
        </w:rPr>
        <w:t xml:space="preserve">. </w:t>
      </w:r>
      <w:r w:rsidR="0026728C" w:rsidRPr="0026728C">
        <w:rPr>
          <w:rFonts w:ascii="Arial" w:hAnsi="Arial" w:cs="Arial"/>
          <w:sz w:val="22"/>
          <w:szCs w:val="22"/>
        </w:rPr>
        <w:t>This suggests that partnership working is a complex social process that depends on trust, shared accountability and mutual respect</w:t>
      </w:r>
      <w:r w:rsidR="0026728C" w:rsidRPr="002A67D9">
        <w:rPr>
          <w:rFonts w:ascii="Arial" w:hAnsi="Arial" w:cs="Arial"/>
          <w:sz w:val="22"/>
          <w:szCs w:val="22"/>
        </w:rPr>
        <w:t xml:space="preserve">. </w:t>
      </w:r>
      <w:r w:rsidR="002A67D9" w:rsidRPr="002A67D9">
        <w:rPr>
          <w:rFonts w:ascii="Arial" w:hAnsi="Arial" w:cs="Arial"/>
          <w:sz w:val="22"/>
          <w:szCs w:val="22"/>
        </w:rPr>
        <w:t>Furthermore, Bronfenbrenner's (1979) Ecological Systems Theory highlights that an individual's wellbeing is influenced by interactions between multiple systems, reinforcing the importance of collaborative partnership working</w:t>
      </w:r>
      <w:r w:rsidR="002A67D9" w:rsidRPr="00625BF3">
        <w:rPr>
          <w:rFonts w:ascii="Arial" w:hAnsi="Arial" w:cs="Arial"/>
          <w:sz w:val="22"/>
          <w:szCs w:val="22"/>
        </w:rPr>
        <w:t xml:space="preserve">. </w:t>
      </w:r>
      <w:r w:rsidR="00932075" w:rsidRPr="00932075">
        <w:rPr>
          <w:rFonts w:ascii="Arial" w:hAnsi="Arial" w:cs="Arial"/>
          <w:sz w:val="22"/>
          <w:szCs w:val="22"/>
        </w:rPr>
        <w:t>Effective teamwork is also influenced by professional hierarchies, organisational culture and power dynamics (Reeves, Xyrichis and Zwarenstein, 2018).</w:t>
      </w:r>
    </w:p>
    <w:p w14:paraId="6B192B97" w14:textId="070F0EF9" w:rsidR="00A10BCA" w:rsidRPr="00022808" w:rsidRDefault="00A10BCA" w:rsidP="00445C35">
      <w:pPr>
        <w:pStyle w:val="NormalWeb"/>
        <w:spacing w:line="360" w:lineRule="auto"/>
        <w:jc w:val="both"/>
        <w:rPr>
          <w:rFonts w:ascii="Arial" w:hAnsi="Arial" w:cs="Arial"/>
          <w:b/>
          <w:bCs/>
          <w:sz w:val="22"/>
          <w:szCs w:val="22"/>
        </w:rPr>
      </w:pPr>
      <w:r w:rsidRPr="00A10BCA">
        <w:rPr>
          <w:rFonts w:ascii="Arial" w:hAnsi="Arial" w:cs="Arial"/>
          <w:sz w:val="22"/>
          <w:szCs w:val="22"/>
        </w:rPr>
        <w:t>Ethical considerations underpin both person-centred care and partnership working by providing a framework for decision-making. Beauchamp and Childress (2019) identify autonomy, beneficence, non-maleficence and justice as core ethical principles. However, in practice, these principles often conflict. For instance, respecting an individual’s autonomy may conflict with a professional’s duty to protect them from harm. Whilst the Mental Capacity Act 2005 offers guidance, ethical dilemmas rarely present straightforward solutions (</w:t>
      </w:r>
      <w:r w:rsidRPr="00A10BCA">
        <w:rPr>
          <w:rStyle w:val="Strong"/>
          <w:rFonts w:ascii="Arial" w:hAnsi="Arial" w:cs="Arial"/>
          <w:b w:val="0"/>
          <w:bCs w:val="0"/>
          <w:sz w:val="22"/>
          <w:szCs w:val="22"/>
        </w:rPr>
        <w:t>Mental Capacity Act, 2005</w:t>
      </w:r>
      <w:r w:rsidRPr="00A10BCA">
        <w:rPr>
          <w:rFonts w:ascii="Arial" w:hAnsi="Arial" w:cs="Arial"/>
          <w:sz w:val="22"/>
          <w:szCs w:val="22"/>
        </w:rPr>
        <w:t xml:space="preserve">). </w:t>
      </w:r>
      <w:r w:rsidR="00022808" w:rsidRPr="00022808">
        <w:rPr>
          <w:rFonts w:ascii="Arial" w:hAnsi="Arial" w:cs="Arial"/>
          <w:sz w:val="22"/>
          <w:szCs w:val="22"/>
        </w:rPr>
        <w:t xml:space="preserve">Banks (2021) argues that ethical practice requires critical reflection and professional judgement rather than simple rule adherence. </w:t>
      </w:r>
      <w:r w:rsidR="00022808" w:rsidRPr="00022808">
        <w:rPr>
          <w:rStyle w:val="Strong"/>
          <w:rFonts w:ascii="Arial" w:hAnsi="Arial" w:cs="Arial"/>
          <w:b w:val="0"/>
          <w:bCs w:val="0"/>
          <w:sz w:val="22"/>
          <w:szCs w:val="22"/>
        </w:rPr>
        <w:t>This highlights that ethical care involves navigating uncertainty whilst protecting the rights, dignity and wellbeing of service users.</w:t>
      </w:r>
    </w:p>
    <w:p w14:paraId="3FAA2DDA" w14:textId="40FFA225" w:rsidR="00A10BCA" w:rsidRDefault="00A10BCA" w:rsidP="00445C35">
      <w:pPr>
        <w:pStyle w:val="NormalWeb"/>
        <w:spacing w:line="360" w:lineRule="auto"/>
        <w:jc w:val="both"/>
        <w:rPr>
          <w:rFonts w:ascii="Arial" w:hAnsi="Arial" w:cs="Arial"/>
          <w:sz w:val="22"/>
          <w:szCs w:val="22"/>
        </w:rPr>
      </w:pPr>
      <w:r w:rsidRPr="00A10BCA">
        <w:rPr>
          <w:rFonts w:ascii="Arial" w:hAnsi="Arial" w:cs="Arial"/>
          <w:sz w:val="22"/>
          <w:szCs w:val="22"/>
        </w:rPr>
        <w:t xml:space="preserve">Overall, this </w:t>
      </w:r>
      <w:r w:rsidR="00BE5DAF">
        <w:rPr>
          <w:rFonts w:ascii="Arial" w:hAnsi="Arial" w:cs="Arial"/>
          <w:sz w:val="22"/>
          <w:szCs w:val="22"/>
        </w:rPr>
        <w:t>anaslysis</w:t>
      </w:r>
      <w:r w:rsidRPr="00A10BCA">
        <w:rPr>
          <w:rFonts w:ascii="Arial" w:hAnsi="Arial" w:cs="Arial"/>
          <w:sz w:val="22"/>
          <w:szCs w:val="22"/>
        </w:rPr>
        <w:t xml:space="preserve"> has demonstrated that person-centred care, partnership working and ethics are interconnected principles that support high-quality care. However, their successful implementation depends upon practitioners’ ability to critically navigate organisational, professional and ethical challenges whilst maintaining a commitment to service-user wellbeing.</w:t>
      </w:r>
    </w:p>
    <w:p w14:paraId="37F24331" w14:textId="77777777" w:rsidR="00A453A4" w:rsidRDefault="00A453A4" w:rsidP="00445C35">
      <w:pPr>
        <w:pStyle w:val="NormalWeb"/>
        <w:spacing w:line="360" w:lineRule="auto"/>
        <w:jc w:val="both"/>
        <w:rPr>
          <w:rFonts w:ascii="Arial" w:hAnsi="Arial" w:cs="Arial"/>
          <w:b/>
          <w:bCs/>
          <w:sz w:val="22"/>
          <w:szCs w:val="22"/>
        </w:rPr>
      </w:pPr>
    </w:p>
    <w:p w14:paraId="57DC98EB" w14:textId="61EC0E6C" w:rsidR="00B26E2F" w:rsidRDefault="00B26E2F" w:rsidP="00445C35">
      <w:pPr>
        <w:pStyle w:val="NormalWeb"/>
        <w:spacing w:line="360" w:lineRule="auto"/>
        <w:jc w:val="both"/>
        <w:rPr>
          <w:rFonts w:ascii="Arial" w:hAnsi="Arial" w:cs="Arial"/>
          <w:b/>
          <w:bCs/>
          <w:sz w:val="22"/>
          <w:szCs w:val="22"/>
        </w:rPr>
      </w:pPr>
      <w:r w:rsidRPr="0014664F">
        <w:rPr>
          <w:rFonts w:ascii="Arial" w:hAnsi="Arial" w:cs="Arial"/>
          <w:b/>
          <w:bCs/>
          <w:sz w:val="22"/>
          <w:szCs w:val="22"/>
        </w:rPr>
        <w:lastRenderedPageBreak/>
        <w:t xml:space="preserve">Task 2: </w:t>
      </w:r>
      <w:r w:rsidR="0014664F" w:rsidRPr="0014664F">
        <w:rPr>
          <w:rFonts w:ascii="Arial" w:hAnsi="Arial" w:cs="Arial"/>
          <w:b/>
          <w:bCs/>
          <w:sz w:val="22"/>
          <w:szCs w:val="22"/>
        </w:rPr>
        <w:t>Practical Examples of Concepts in Practice</w:t>
      </w:r>
      <w:r w:rsidR="0014664F">
        <w:rPr>
          <w:rFonts w:ascii="Arial" w:hAnsi="Arial" w:cs="Arial"/>
          <w:b/>
          <w:bCs/>
          <w:sz w:val="22"/>
          <w:szCs w:val="22"/>
        </w:rPr>
        <w:t xml:space="preserve"> (</w:t>
      </w:r>
      <w:r w:rsidR="00B17A50">
        <w:rPr>
          <w:rFonts w:ascii="Arial" w:hAnsi="Arial" w:cs="Arial"/>
          <w:b/>
          <w:bCs/>
          <w:sz w:val="22"/>
          <w:szCs w:val="22"/>
        </w:rPr>
        <w:t>Robyn’s Story)</w:t>
      </w:r>
    </w:p>
    <w:p w14:paraId="5D727F6E" w14:textId="77777777" w:rsidR="00541CF5" w:rsidRPr="00541CF5" w:rsidRDefault="00541CF5" w:rsidP="00445C35">
      <w:pPr>
        <w:pStyle w:val="NormalWeb"/>
        <w:spacing w:line="360" w:lineRule="auto"/>
        <w:jc w:val="both"/>
        <w:rPr>
          <w:rFonts w:ascii="Arial" w:hAnsi="Arial" w:cs="Arial"/>
          <w:sz w:val="22"/>
          <w:szCs w:val="22"/>
        </w:rPr>
      </w:pPr>
      <w:r w:rsidRPr="00541CF5">
        <w:rPr>
          <w:rFonts w:ascii="Arial" w:hAnsi="Arial" w:cs="Arial"/>
          <w:sz w:val="22"/>
          <w:szCs w:val="22"/>
        </w:rPr>
        <w:t>Robyn's case demonstrates how person-centred care, partnership working and ethical practice can improve outcomes for individuals with complex health and social care needs. Following a spinal injury, Robyn required 24-hour support; however, her agency-led care package initially prioritised safety and basic care needs over independence and quality of life. This highlights the importance of adopting approaches that recognise individuals as active participants in decisions affecting their care.</w:t>
      </w:r>
    </w:p>
    <w:p w14:paraId="0C8F8C96" w14:textId="3DE145DC" w:rsidR="00541CF5" w:rsidRPr="001923EE" w:rsidRDefault="00541CF5" w:rsidP="00445C35">
      <w:pPr>
        <w:pStyle w:val="NormalWeb"/>
        <w:spacing w:line="360" w:lineRule="auto"/>
        <w:jc w:val="both"/>
        <w:rPr>
          <w:rFonts w:ascii="Arial" w:hAnsi="Arial" w:cs="Arial"/>
          <w:sz w:val="22"/>
          <w:szCs w:val="22"/>
        </w:rPr>
      </w:pPr>
      <w:r w:rsidRPr="00541CF5">
        <w:rPr>
          <w:rFonts w:ascii="Arial" w:hAnsi="Arial" w:cs="Arial"/>
          <w:sz w:val="22"/>
          <w:szCs w:val="22"/>
        </w:rPr>
        <w:t>Person-centred care became evident when professionals explored Robyn's personal goals and preferences rather than focusing solely on her physical needs. Initially, her care lacked continuity, with 36 different personal assistants supporting her within one year. As a result, she experienced reduced independence and limited control over her daily life. This approach conflicted with Rogers' person-centred theory and the principles of the Care Act 2014, which emphasise autonomy, wellbeing and choice (Rogers, 1951; Care Act, 2014</w:t>
      </w:r>
      <w:r w:rsidRPr="004938C0">
        <w:rPr>
          <w:rFonts w:ascii="Arial" w:hAnsi="Arial" w:cs="Arial"/>
          <w:sz w:val="22"/>
          <w:szCs w:val="22"/>
        </w:rPr>
        <w:t xml:space="preserve">). </w:t>
      </w:r>
      <w:r w:rsidR="00F908C2" w:rsidRPr="00F908C2">
        <w:rPr>
          <w:rFonts w:ascii="Arial" w:hAnsi="Arial" w:cs="Arial"/>
          <w:sz w:val="22"/>
          <w:szCs w:val="22"/>
        </w:rPr>
        <w:t>The situation also contrasts with the Person-Centred Care Framework, which emphasises shared decision-making and respect for individual values (</w:t>
      </w:r>
      <w:r w:rsidR="00A33724" w:rsidRPr="00F908C2">
        <w:rPr>
          <w:rFonts w:ascii="Arial" w:hAnsi="Arial" w:cs="Arial"/>
          <w:sz w:val="22"/>
          <w:szCs w:val="22"/>
        </w:rPr>
        <w:t>McCormack and McCance, 2017)</w:t>
      </w:r>
      <w:r w:rsidR="00CA1AD3" w:rsidRPr="00F908C2">
        <w:rPr>
          <w:rFonts w:ascii="Arial" w:hAnsi="Arial" w:cs="Arial"/>
          <w:sz w:val="22"/>
          <w:szCs w:val="22"/>
        </w:rPr>
        <w:t>.</w:t>
      </w:r>
      <w:r w:rsidR="00CA1AD3">
        <w:t xml:space="preserve"> </w:t>
      </w:r>
      <w:r w:rsidRPr="00541CF5">
        <w:rPr>
          <w:rFonts w:ascii="Arial" w:hAnsi="Arial" w:cs="Arial"/>
          <w:sz w:val="22"/>
          <w:szCs w:val="22"/>
        </w:rPr>
        <w:t xml:space="preserve">The introduction of a Personal Health Budget (PHB) enabled Robyn to recruit personal assistants who reflected her preferences and supported her desired lifestyle. </w:t>
      </w:r>
      <w:r w:rsidR="000E769B">
        <w:rPr>
          <w:rFonts w:ascii="Arial" w:hAnsi="Arial" w:cs="Arial"/>
          <w:sz w:val="22"/>
          <w:szCs w:val="22"/>
        </w:rPr>
        <w:t>S</w:t>
      </w:r>
      <w:r w:rsidRPr="00541CF5">
        <w:rPr>
          <w:rFonts w:ascii="Arial" w:hAnsi="Arial" w:cs="Arial"/>
          <w:sz w:val="22"/>
          <w:szCs w:val="22"/>
        </w:rPr>
        <w:t>he experienced greater independence</w:t>
      </w:r>
      <w:r w:rsidR="00EA6D57">
        <w:rPr>
          <w:rFonts w:ascii="Arial" w:hAnsi="Arial" w:cs="Arial"/>
          <w:sz w:val="22"/>
          <w:szCs w:val="22"/>
        </w:rPr>
        <w:t xml:space="preserve"> and </w:t>
      </w:r>
      <w:r w:rsidRPr="00541CF5">
        <w:rPr>
          <w:rFonts w:ascii="Arial" w:hAnsi="Arial" w:cs="Arial"/>
          <w:sz w:val="22"/>
          <w:szCs w:val="22"/>
        </w:rPr>
        <w:t xml:space="preserve">continuity of care. However, the eighteen-month delay in implementing the PHB demonstrates </w:t>
      </w:r>
      <w:r w:rsidR="00DB6029">
        <w:rPr>
          <w:rFonts w:ascii="Arial" w:hAnsi="Arial" w:cs="Arial"/>
          <w:sz w:val="22"/>
          <w:szCs w:val="22"/>
        </w:rPr>
        <w:t xml:space="preserve">how </w:t>
      </w:r>
      <w:r w:rsidRPr="00541CF5">
        <w:rPr>
          <w:rFonts w:ascii="Arial" w:hAnsi="Arial" w:cs="Arial"/>
          <w:sz w:val="22"/>
          <w:szCs w:val="22"/>
        </w:rPr>
        <w:t xml:space="preserve">organisational processes can restrict genuine choice despite policy commitments to personalisation. </w:t>
      </w:r>
      <w:r w:rsidR="001923EE" w:rsidRPr="001923EE">
        <w:rPr>
          <w:rFonts w:ascii="Arial" w:hAnsi="Arial" w:cs="Arial"/>
          <w:sz w:val="22"/>
          <w:szCs w:val="22"/>
        </w:rPr>
        <w:t xml:space="preserve">This suggests that person-centred care requires more than policy commitments and depends on actively supporting autonomy </w:t>
      </w:r>
      <w:r w:rsidRPr="001923EE">
        <w:rPr>
          <w:rFonts w:ascii="Arial" w:hAnsi="Arial" w:cs="Arial"/>
          <w:sz w:val="22"/>
          <w:szCs w:val="22"/>
        </w:rPr>
        <w:t>(Needham and Carr, 2009).</w:t>
      </w:r>
    </w:p>
    <w:p w14:paraId="7A110000" w14:textId="24519746" w:rsidR="00541CF5" w:rsidRPr="00541CF5" w:rsidRDefault="00541CF5" w:rsidP="00445C35">
      <w:pPr>
        <w:pStyle w:val="NormalWeb"/>
        <w:spacing w:line="360" w:lineRule="auto"/>
        <w:jc w:val="both"/>
        <w:rPr>
          <w:rFonts w:ascii="Arial" w:hAnsi="Arial" w:cs="Arial"/>
          <w:sz w:val="22"/>
          <w:szCs w:val="22"/>
        </w:rPr>
      </w:pPr>
      <w:r w:rsidRPr="00541CF5">
        <w:rPr>
          <w:rFonts w:ascii="Arial" w:hAnsi="Arial" w:cs="Arial"/>
          <w:sz w:val="22"/>
          <w:szCs w:val="22"/>
        </w:rPr>
        <w:t>Partnership working was central to improving Robyn's outcomes. Collaboration between Continuing Healthcare</w:t>
      </w:r>
      <w:r w:rsidR="003A57DC">
        <w:rPr>
          <w:rFonts w:ascii="Arial" w:hAnsi="Arial" w:cs="Arial"/>
          <w:sz w:val="22"/>
          <w:szCs w:val="22"/>
        </w:rPr>
        <w:t>,</w:t>
      </w:r>
      <w:r w:rsidRPr="00541CF5">
        <w:rPr>
          <w:rFonts w:ascii="Arial" w:hAnsi="Arial" w:cs="Arial"/>
          <w:sz w:val="22"/>
          <w:szCs w:val="22"/>
        </w:rPr>
        <w:t xml:space="preserve"> social care, the Personal Budget Support Service and Robyn enabled</w:t>
      </w:r>
      <w:r w:rsidR="00DF7E09">
        <w:rPr>
          <w:rFonts w:ascii="Arial" w:hAnsi="Arial" w:cs="Arial"/>
          <w:sz w:val="22"/>
          <w:szCs w:val="22"/>
        </w:rPr>
        <w:t xml:space="preserve"> </w:t>
      </w:r>
      <w:r w:rsidRPr="00541CF5">
        <w:rPr>
          <w:rFonts w:ascii="Arial" w:hAnsi="Arial" w:cs="Arial"/>
          <w:sz w:val="22"/>
          <w:szCs w:val="22"/>
        </w:rPr>
        <w:t>a personalised care plan</w:t>
      </w:r>
      <w:r w:rsidRPr="001E4394">
        <w:rPr>
          <w:rFonts w:ascii="Arial" w:hAnsi="Arial" w:cs="Arial"/>
          <w:sz w:val="22"/>
          <w:szCs w:val="22"/>
        </w:rPr>
        <w:t xml:space="preserve">. </w:t>
      </w:r>
      <w:r w:rsidR="001E4394" w:rsidRPr="001E4394">
        <w:rPr>
          <w:rFonts w:ascii="Arial" w:hAnsi="Arial" w:cs="Arial"/>
          <w:sz w:val="22"/>
          <w:szCs w:val="22"/>
        </w:rPr>
        <w:t xml:space="preserve">This aligns with NICE </w:t>
      </w:r>
      <w:r w:rsidR="00BB3097" w:rsidRPr="001E4394">
        <w:rPr>
          <w:rFonts w:ascii="Arial" w:hAnsi="Arial" w:cs="Arial"/>
          <w:sz w:val="22"/>
          <w:szCs w:val="22"/>
        </w:rPr>
        <w:t>guidance</w:t>
      </w:r>
      <w:r w:rsidR="00BB3097">
        <w:rPr>
          <w:rFonts w:ascii="Arial" w:hAnsi="Arial" w:cs="Arial"/>
          <w:sz w:val="22"/>
          <w:szCs w:val="22"/>
        </w:rPr>
        <w:t xml:space="preserve"> </w:t>
      </w:r>
      <w:r w:rsidR="00BB3097" w:rsidRPr="001E4394">
        <w:rPr>
          <w:rFonts w:ascii="Arial" w:hAnsi="Arial" w:cs="Arial"/>
          <w:sz w:val="22"/>
          <w:szCs w:val="22"/>
        </w:rPr>
        <w:t>promoting</w:t>
      </w:r>
      <w:r w:rsidR="001E4394" w:rsidRPr="001E4394">
        <w:rPr>
          <w:rFonts w:ascii="Arial" w:hAnsi="Arial" w:cs="Arial"/>
          <w:sz w:val="22"/>
          <w:szCs w:val="22"/>
        </w:rPr>
        <w:t xml:space="preserve"> coordinated and integrated care</w:t>
      </w:r>
      <w:r w:rsidR="006A767D">
        <w:rPr>
          <w:rFonts w:ascii="Arial" w:hAnsi="Arial" w:cs="Arial"/>
          <w:sz w:val="22"/>
          <w:szCs w:val="22"/>
        </w:rPr>
        <w:t xml:space="preserve"> </w:t>
      </w:r>
      <w:r w:rsidR="00140A36">
        <w:rPr>
          <w:rFonts w:ascii="Arial" w:hAnsi="Arial" w:cs="Arial"/>
          <w:sz w:val="22"/>
          <w:szCs w:val="22"/>
        </w:rPr>
        <w:t>and active involvement in decision-making</w:t>
      </w:r>
      <w:r w:rsidR="001E4394" w:rsidRPr="001E4394">
        <w:rPr>
          <w:rFonts w:ascii="Arial" w:hAnsi="Arial" w:cs="Arial"/>
          <w:sz w:val="22"/>
          <w:szCs w:val="22"/>
        </w:rPr>
        <w:t xml:space="preserve"> (NICE, 2021).</w:t>
      </w:r>
      <w:r w:rsidR="001E4394">
        <w:rPr>
          <w:rFonts w:ascii="Arial" w:hAnsi="Arial" w:cs="Arial"/>
          <w:sz w:val="22"/>
          <w:szCs w:val="22"/>
        </w:rPr>
        <w:t xml:space="preserve"> </w:t>
      </w:r>
      <w:r w:rsidRPr="001E4394">
        <w:rPr>
          <w:rFonts w:ascii="Arial" w:hAnsi="Arial" w:cs="Arial"/>
          <w:sz w:val="22"/>
          <w:szCs w:val="22"/>
        </w:rPr>
        <w:t>Thi</w:t>
      </w:r>
      <w:r w:rsidR="001E4394">
        <w:rPr>
          <w:rFonts w:ascii="Arial" w:hAnsi="Arial" w:cs="Arial"/>
          <w:sz w:val="22"/>
          <w:szCs w:val="22"/>
        </w:rPr>
        <w:t>s</w:t>
      </w:r>
      <w:r w:rsidRPr="001E4394">
        <w:rPr>
          <w:rFonts w:ascii="Arial" w:hAnsi="Arial" w:cs="Arial"/>
          <w:sz w:val="22"/>
          <w:szCs w:val="22"/>
        </w:rPr>
        <w:t xml:space="preserve"> reflects the</w:t>
      </w:r>
      <w:r w:rsidRPr="00541CF5">
        <w:rPr>
          <w:rFonts w:ascii="Arial" w:hAnsi="Arial" w:cs="Arial"/>
          <w:sz w:val="22"/>
          <w:szCs w:val="22"/>
        </w:rPr>
        <w:t xml:space="preserve"> integrated approach promoted by the Health and Care Act 2022 (Health and Care Act, 2022). </w:t>
      </w:r>
      <w:r w:rsidR="00A720CA">
        <w:rPr>
          <w:rFonts w:ascii="Arial" w:hAnsi="Arial" w:cs="Arial"/>
          <w:sz w:val="22"/>
          <w:szCs w:val="22"/>
        </w:rPr>
        <w:t>Partnership working</w:t>
      </w:r>
      <w:r w:rsidR="00530798">
        <w:rPr>
          <w:rFonts w:ascii="Arial" w:hAnsi="Arial" w:cs="Arial"/>
          <w:sz w:val="22"/>
          <w:szCs w:val="22"/>
        </w:rPr>
        <w:t xml:space="preserve"> </w:t>
      </w:r>
      <w:r w:rsidRPr="00541CF5">
        <w:rPr>
          <w:rFonts w:ascii="Arial" w:hAnsi="Arial" w:cs="Arial"/>
          <w:sz w:val="22"/>
          <w:szCs w:val="22"/>
        </w:rPr>
        <w:t xml:space="preserve">was not consistently effective. Robyn reported periods of limited communication during the implementation process and felt she would have benefited from contact with other PHB users. This </w:t>
      </w:r>
      <w:r w:rsidR="00D87535">
        <w:rPr>
          <w:rFonts w:ascii="Arial" w:hAnsi="Arial" w:cs="Arial"/>
          <w:sz w:val="22"/>
          <w:szCs w:val="22"/>
        </w:rPr>
        <w:t xml:space="preserve">demonstrates that multiple agencies </w:t>
      </w:r>
      <w:r w:rsidR="006324E0">
        <w:rPr>
          <w:rFonts w:ascii="Arial" w:hAnsi="Arial" w:cs="Arial"/>
          <w:sz w:val="22"/>
          <w:szCs w:val="22"/>
        </w:rPr>
        <w:t>do</w:t>
      </w:r>
      <w:r w:rsidR="00530798">
        <w:rPr>
          <w:rFonts w:ascii="Arial" w:hAnsi="Arial" w:cs="Arial"/>
          <w:sz w:val="22"/>
          <w:szCs w:val="22"/>
        </w:rPr>
        <w:t xml:space="preserve"> </w:t>
      </w:r>
      <w:r w:rsidR="00D87535">
        <w:rPr>
          <w:rFonts w:ascii="Arial" w:hAnsi="Arial" w:cs="Arial"/>
          <w:sz w:val="22"/>
          <w:szCs w:val="22"/>
        </w:rPr>
        <w:t xml:space="preserve">not automatically </w:t>
      </w:r>
      <w:r w:rsidR="001744A3">
        <w:rPr>
          <w:rFonts w:ascii="Arial" w:hAnsi="Arial" w:cs="Arial"/>
          <w:sz w:val="22"/>
          <w:szCs w:val="22"/>
        </w:rPr>
        <w:t>e</w:t>
      </w:r>
      <w:r w:rsidR="00D87535">
        <w:rPr>
          <w:rFonts w:ascii="Arial" w:hAnsi="Arial" w:cs="Arial"/>
          <w:sz w:val="22"/>
          <w:szCs w:val="22"/>
        </w:rPr>
        <w:t xml:space="preserve">nsure </w:t>
      </w:r>
      <w:r w:rsidRPr="00541CF5">
        <w:rPr>
          <w:rFonts w:ascii="Arial" w:hAnsi="Arial" w:cs="Arial"/>
          <w:sz w:val="22"/>
          <w:szCs w:val="22"/>
        </w:rPr>
        <w:t>effective collaboration. Reeves, Xyrichis and Zwarenstein (2018) argue that successful partnership working depends upon communication, trust and shared responsibility.</w:t>
      </w:r>
    </w:p>
    <w:p w14:paraId="7939F1F6" w14:textId="69252C46" w:rsidR="00541CF5" w:rsidRDefault="00541CF5" w:rsidP="00445C35">
      <w:pPr>
        <w:pStyle w:val="NormalWeb"/>
        <w:spacing w:line="360" w:lineRule="auto"/>
        <w:jc w:val="both"/>
        <w:rPr>
          <w:rFonts w:ascii="Arial" w:hAnsi="Arial" w:cs="Arial"/>
          <w:sz w:val="22"/>
          <w:szCs w:val="22"/>
        </w:rPr>
      </w:pPr>
      <w:r w:rsidRPr="00541CF5">
        <w:rPr>
          <w:rFonts w:ascii="Arial" w:hAnsi="Arial" w:cs="Arial"/>
          <w:sz w:val="22"/>
          <w:szCs w:val="22"/>
        </w:rPr>
        <w:t xml:space="preserve">Ethical practice is also evident throughout the case. The original care package prioritised safety, reflecting the ethical principles of beneficence and non-maleficence. However, this </w:t>
      </w:r>
      <w:r w:rsidRPr="00541CF5">
        <w:rPr>
          <w:rFonts w:ascii="Arial" w:hAnsi="Arial" w:cs="Arial"/>
          <w:sz w:val="22"/>
          <w:szCs w:val="22"/>
        </w:rPr>
        <w:lastRenderedPageBreak/>
        <w:t>approach arguably restricted Robyn's autonomy by limiting her ability to influence decisions about her care. Beauchamp and Childress (2019) argue that ethical practice requires balancing autonomy with professional responsibilities. The introduction of the PHB enabled Robyn to regain control over decisions affecting her life</w:t>
      </w:r>
      <w:r w:rsidR="00816C01">
        <w:rPr>
          <w:rFonts w:ascii="Arial" w:hAnsi="Arial" w:cs="Arial"/>
          <w:sz w:val="22"/>
          <w:szCs w:val="22"/>
        </w:rPr>
        <w:t>, reflecting dignity and self-determination</w:t>
      </w:r>
      <w:r w:rsidRPr="00541CF5">
        <w:rPr>
          <w:rFonts w:ascii="Arial" w:hAnsi="Arial" w:cs="Arial"/>
          <w:sz w:val="22"/>
          <w:szCs w:val="22"/>
        </w:rPr>
        <w:t>. Her increased independence</w:t>
      </w:r>
      <w:r w:rsidR="00FE55E7">
        <w:rPr>
          <w:rFonts w:ascii="Arial" w:hAnsi="Arial" w:cs="Arial"/>
          <w:sz w:val="22"/>
          <w:szCs w:val="22"/>
        </w:rPr>
        <w:t xml:space="preserve"> demonstrated the positive impact of this approach</w:t>
      </w:r>
      <w:r w:rsidRPr="00541CF5">
        <w:rPr>
          <w:rFonts w:ascii="Arial" w:hAnsi="Arial" w:cs="Arial"/>
          <w:sz w:val="22"/>
          <w:szCs w:val="22"/>
        </w:rPr>
        <w:t xml:space="preserve">. However, the case also highlights the ethical challenge of balancing risk management with an individual's right to make choices about their own life (Beauchamp and Childress, 2019). </w:t>
      </w:r>
      <w:r w:rsidR="00A23DCE" w:rsidRPr="00A23DCE">
        <w:rPr>
          <w:rStyle w:val="Strong"/>
          <w:rFonts w:ascii="Arial" w:hAnsi="Arial" w:cs="Arial"/>
          <w:b w:val="0"/>
          <w:bCs w:val="0"/>
          <w:sz w:val="22"/>
          <w:szCs w:val="22"/>
        </w:rPr>
        <w:t xml:space="preserve">Furthermore, the support provided reflects the NHS 6Cs values, </w:t>
      </w:r>
      <w:r w:rsidR="00385B7A">
        <w:rPr>
          <w:rStyle w:val="Strong"/>
          <w:rFonts w:ascii="Arial" w:hAnsi="Arial" w:cs="Arial"/>
          <w:b w:val="0"/>
          <w:bCs w:val="0"/>
          <w:sz w:val="22"/>
          <w:szCs w:val="22"/>
        </w:rPr>
        <w:t xml:space="preserve">particularly care, compassion and communication, through the emphasis on respecting </w:t>
      </w:r>
      <w:r w:rsidR="000E6BFD">
        <w:rPr>
          <w:rStyle w:val="Strong"/>
          <w:rFonts w:ascii="Arial" w:hAnsi="Arial" w:cs="Arial"/>
          <w:b w:val="0"/>
          <w:bCs w:val="0"/>
          <w:sz w:val="22"/>
          <w:szCs w:val="22"/>
        </w:rPr>
        <w:t>Robyn’s preferences and promoting independence</w:t>
      </w:r>
      <w:r w:rsidR="00A23DCE" w:rsidRPr="00A23DCE">
        <w:rPr>
          <w:rStyle w:val="Strong"/>
          <w:rFonts w:ascii="Arial" w:hAnsi="Arial" w:cs="Arial"/>
          <w:b w:val="0"/>
          <w:bCs w:val="0"/>
          <w:sz w:val="22"/>
          <w:szCs w:val="22"/>
        </w:rPr>
        <w:t xml:space="preserve"> (NHS England, 2012).</w:t>
      </w:r>
      <w:r w:rsidR="00A23DCE" w:rsidRPr="00A23DCE">
        <w:rPr>
          <w:rFonts w:ascii="Arial" w:hAnsi="Arial" w:cs="Arial"/>
          <w:sz w:val="22"/>
          <w:szCs w:val="22"/>
        </w:rPr>
        <w:t xml:space="preserve"> This </w:t>
      </w:r>
      <w:r w:rsidR="004639D7">
        <w:rPr>
          <w:rFonts w:ascii="Arial" w:hAnsi="Arial" w:cs="Arial"/>
          <w:sz w:val="22"/>
          <w:szCs w:val="22"/>
        </w:rPr>
        <w:t xml:space="preserve">improved </w:t>
      </w:r>
      <w:r w:rsidR="00C60033">
        <w:rPr>
          <w:rFonts w:ascii="Arial" w:hAnsi="Arial" w:cs="Arial"/>
          <w:sz w:val="22"/>
          <w:szCs w:val="22"/>
        </w:rPr>
        <w:t>wellbeing and quality of life.</w:t>
      </w:r>
    </w:p>
    <w:p w14:paraId="7FAC3A82" w14:textId="21628966" w:rsidR="006324E0" w:rsidRPr="006324E0" w:rsidRDefault="006324E0" w:rsidP="00445C35">
      <w:pPr>
        <w:pStyle w:val="NormalWeb"/>
        <w:spacing w:line="360" w:lineRule="auto"/>
        <w:jc w:val="both"/>
        <w:rPr>
          <w:rFonts w:ascii="Arial" w:hAnsi="Arial" w:cs="Arial"/>
          <w:sz w:val="22"/>
          <w:szCs w:val="22"/>
        </w:rPr>
      </w:pPr>
      <w:r w:rsidRPr="006324E0">
        <w:rPr>
          <w:rFonts w:ascii="Arial" w:hAnsi="Arial" w:cs="Arial"/>
          <w:sz w:val="22"/>
          <w:szCs w:val="22"/>
        </w:rPr>
        <w:t>Overall, Robyn's story demonstrates that person-centred care, partnership working and ethical practice can improve wellbeing and independence, although organisational barriers may limit their implementation.</w:t>
      </w:r>
    </w:p>
    <w:p w14:paraId="5EA8E0EB" w14:textId="7DF4B877" w:rsidR="000122B9" w:rsidRDefault="000122B9" w:rsidP="00445C35">
      <w:pPr>
        <w:pStyle w:val="NormalWeb"/>
        <w:spacing w:line="360" w:lineRule="auto"/>
        <w:jc w:val="both"/>
        <w:rPr>
          <w:rFonts w:ascii="Arial" w:hAnsi="Arial" w:cs="Arial"/>
          <w:b/>
          <w:bCs/>
          <w:sz w:val="22"/>
          <w:szCs w:val="22"/>
        </w:rPr>
      </w:pPr>
      <w:r w:rsidRPr="00DD61B6">
        <w:rPr>
          <w:rFonts w:ascii="Arial" w:hAnsi="Arial" w:cs="Arial"/>
          <w:b/>
          <w:bCs/>
          <w:sz w:val="22"/>
          <w:szCs w:val="22"/>
        </w:rPr>
        <w:t>Task 3: Self-</w:t>
      </w:r>
      <w:r w:rsidR="00DD61B6" w:rsidRPr="00DD61B6">
        <w:rPr>
          <w:rFonts w:ascii="Arial" w:hAnsi="Arial" w:cs="Arial"/>
          <w:b/>
          <w:bCs/>
          <w:sz w:val="22"/>
          <w:szCs w:val="22"/>
        </w:rPr>
        <w:t>Reflection</w:t>
      </w:r>
      <w:r w:rsidRPr="00DD61B6">
        <w:rPr>
          <w:rFonts w:ascii="Arial" w:hAnsi="Arial" w:cs="Arial"/>
          <w:b/>
          <w:bCs/>
          <w:sz w:val="22"/>
          <w:szCs w:val="22"/>
        </w:rPr>
        <w:t xml:space="preserve"> as a Health and Social Care Professional</w:t>
      </w:r>
    </w:p>
    <w:p w14:paraId="339F7193" w14:textId="04D5C073" w:rsidR="005B07ED" w:rsidRPr="005B07ED" w:rsidRDefault="005B07ED" w:rsidP="00445C35">
      <w:pPr>
        <w:pStyle w:val="NormalWeb"/>
        <w:spacing w:line="360" w:lineRule="auto"/>
        <w:jc w:val="both"/>
        <w:rPr>
          <w:rFonts w:ascii="Arial" w:hAnsi="Arial" w:cs="Arial"/>
          <w:sz w:val="22"/>
          <w:szCs w:val="22"/>
        </w:rPr>
      </w:pPr>
      <w:r w:rsidRPr="005B07ED">
        <w:rPr>
          <w:rFonts w:ascii="Arial" w:hAnsi="Arial" w:cs="Arial"/>
          <w:sz w:val="22"/>
          <w:szCs w:val="22"/>
        </w:rPr>
        <w:t>Reflection is an important aspect of professional development within health and social care because it enables individuals to evaluate experiences, identify areas for improvement and enhance future practice</w:t>
      </w:r>
      <w:r w:rsidR="00840CBA">
        <w:rPr>
          <w:rFonts w:ascii="Arial" w:hAnsi="Arial" w:cs="Arial"/>
          <w:sz w:val="22"/>
          <w:szCs w:val="22"/>
        </w:rPr>
        <w:t xml:space="preserve">. </w:t>
      </w:r>
      <w:r w:rsidR="00A11A9A">
        <w:rPr>
          <w:rFonts w:ascii="Arial" w:hAnsi="Arial" w:cs="Arial"/>
          <w:sz w:val="22"/>
          <w:szCs w:val="22"/>
        </w:rPr>
        <w:t>This reflection is informed by Gibbs</w:t>
      </w:r>
      <w:r w:rsidR="00781B1E">
        <w:rPr>
          <w:rFonts w:ascii="Arial" w:hAnsi="Arial" w:cs="Arial"/>
          <w:sz w:val="22"/>
          <w:szCs w:val="22"/>
        </w:rPr>
        <w:t>’</w:t>
      </w:r>
      <w:r w:rsidR="00A11A9A">
        <w:rPr>
          <w:rFonts w:ascii="Arial" w:hAnsi="Arial" w:cs="Arial"/>
          <w:sz w:val="22"/>
          <w:szCs w:val="22"/>
        </w:rPr>
        <w:t xml:space="preserve"> Reflective </w:t>
      </w:r>
      <w:r w:rsidR="000E769B">
        <w:rPr>
          <w:rFonts w:ascii="Arial" w:hAnsi="Arial" w:cs="Arial"/>
          <w:sz w:val="22"/>
          <w:szCs w:val="22"/>
        </w:rPr>
        <w:t>Cycle,</w:t>
      </w:r>
      <w:r w:rsidR="00B31314">
        <w:rPr>
          <w:rFonts w:ascii="Arial" w:hAnsi="Arial" w:cs="Arial"/>
          <w:sz w:val="22"/>
          <w:szCs w:val="22"/>
        </w:rPr>
        <w:t xml:space="preserve"> which provides a structured framework for learning </w:t>
      </w:r>
      <w:r w:rsidR="00A45CDA">
        <w:rPr>
          <w:rFonts w:ascii="Arial" w:hAnsi="Arial" w:cs="Arial"/>
          <w:sz w:val="22"/>
          <w:szCs w:val="22"/>
        </w:rPr>
        <w:t>from experience through critical evaluation and action planning (Gibbs, 19</w:t>
      </w:r>
      <w:r w:rsidR="00EA71B6">
        <w:rPr>
          <w:rFonts w:ascii="Arial" w:hAnsi="Arial" w:cs="Arial"/>
          <w:sz w:val="22"/>
          <w:szCs w:val="22"/>
        </w:rPr>
        <w:t>8</w:t>
      </w:r>
      <w:r w:rsidR="00A45CDA">
        <w:rPr>
          <w:rFonts w:ascii="Arial" w:hAnsi="Arial" w:cs="Arial"/>
          <w:sz w:val="22"/>
          <w:szCs w:val="22"/>
        </w:rPr>
        <w:t>8</w:t>
      </w:r>
      <w:r w:rsidR="003D5C68">
        <w:rPr>
          <w:rFonts w:ascii="Arial" w:hAnsi="Arial" w:cs="Arial"/>
          <w:sz w:val="22"/>
          <w:szCs w:val="22"/>
        </w:rPr>
        <w:t xml:space="preserve">). </w:t>
      </w:r>
      <w:r w:rsidRPr="005B07ED">
        <w:rPr>
          <w:rFonts w:ascii="Arial" w:hAnsi="Arial" w:cs="Arial"/>
          <w:sz w:val="22"/>
          <w:szCs w:val="22"/>
        </w:rPr>
        <w:t>This reflection explores how person-centred care, partnership working and ethical practice influence my current role within the NHS and my future aspiration to become a nurse. It also identifies my strengths, areas for development and strategies for improving my knowledge and skills.</w:t>
      </w:r>
    </w:p>
    <w:p w14:paraId="06D4D3F2" w14:textId="09D62FC8" w:rsidR="005B07ED" w:rsidRPr="005B07ED" w:rsidRDefault="005B07ED" w:rsidP="00445C35">
      <w:pPr>
        <w:pStyle w:val="NormalWeb"/>
        <w:spacing w:line="360" w:lineRule="auto"/>
        <w:jc w:val="both"/>
        <w:rPr>
          <w:rFonts w:ascii="Arial" w:hAnsi="Arial" w:cs="Arial"/>
          <w:sz w:val="22"/>
          <w:szCs w:val="22"/>
        </w:rPr>
      </w:pPr>
      <w:r w:rsidRPr="005B07ED">
        <w:rPr>
          <w:rFonts w:ascii="Arial" w:hAnsi="Arial" w:cs="Arial"/>
          <w:sz w:val="22"/>
          <w:szCs w:val="22"/>
        </w:rPr>
        <w:t>Person-centred care is a fundamental principle within health and social care because it promotes dignity, choice and individual wellbeing. Through supporting a family member following a stroke, I observed the importance of involving individuals in decisions regarding their care and recovery. Healthcare professionals discuss</w:t>
      </w:r>
      <w:r w:rsidR="001F4DD6">
        <w:rPr>
          <w:rFonts w:ascii="Arial" w:hAnsi="Arial" w:cs="Arial"/>
          <w:sz w:val="22"/>
          <w:szCs w:val="22"/>
        </w:rPr>
        <w:t>ed</w:t>
      </w:r>
      <w:r w:rsidR="00350FC2">
        <w:rPr>
          <w:rFonts w:ascii="Arial" w:hAnsi="Arial" w:cs="Arial"/>
          <w:sz w:val="22"/>
          <w:szCs w:val="22"/>
        </w:rPr>
        <w:t xml:space="preserve"> </w:t>
      </w:r>
      <w:r w:rsidRPr="005B07ED">
        <w:rPr>
          <w:rFonts w:ascii="Arial" w:hAnsi="Arial" w:cs="Arial"/>
          <w:sz w:val="22"/>
          <w:szCs w:val="22"/>
        </w:rPr>
        <w:t xml:space="preserve">treatment options and rehabilitation goals, ensuring that the individual remained involved in decision-making. </w:t>
      </w:r>
      <w:r w:rsidR="008C6915">
        <w:rPr>
          <w:rFonts w:ascii="Arial" w:hAnsi="Arial" w:cs="Arial"/>
          <w:sz w:val="22"/>
          <w:szCs w:val="22"/>
        </w:rPr>
        <w:t xml:space="preserve">Reflecting on this experience </w:t>
      </w:r>
      <w:r w:rsidR="005C2E61">
        <w:rPr>
          <w:rFonts w:ascii="Arial" w:hAnsi="Arial" w:cs="Arial"/>
          <w:sz w:val="22"/>
          <w:szCs w:val="22"/>
        </w:rPr>
        <w:t>encouraged</w:t>
      </w:r>
      <w:r w:rsidR="008C6915">
        <w:rPr>
          <w:rFonts w:ascii="Arial" w:hAnsi="Arial" w:cs="Arial"/>
          <w:sz w:val="22"/>
          <w:szCs w:val="22"/>
        </w:rPr>
        <w:t xml:space="preserve"> me to </w:t>
      </w:r>
      <w:r w:rsidR="009865DE">
        <w:rPr>
          <w:rFonts w:ascii="Arial" w:hAnsi="Arial" w:cs="Arial"/>
          <w:sz w:val="22"/>
          <w:szCs w:val="22"/>
        </w:rPr>
        <w:t xml:space="preserve">evaluate not only what was effective in practice but also how these observations </w:t>
      </w:r>
      <w:r w:rsidR="005C2E61">
        <w:rPr>
          <w:rFonts w:ascii="Arial" w:hAnsi="Arial" w:cs="Arial"/>
          <w:sz w:val="22"/>
          <w:szCs w:val="22"/>
        </w:rPr>
        <w:t>will influence my future nursing practice</w:t>
      </w:r>
      <w:r w:rsidR="00184A57">
        <w:rPr>
          <w:rFonts w:ascii="Arial" w:hAnsi="Arial" w:cs="Arial"/>
          <w:sz w:val="22"/>
          <w:szCs w:val="22"/>
        </w:rPr>
        <w:t>, consistent with Gibbs</w:t>
      </w:r>
      <w:r w:rsidR="00781B1E">
        <w:rPr>
          <w:rFonts w:ascii="Arial" w:hAnsi="Arial" w:cs="Arial"/>
          <w:sz w:val="22"/>
          <w:szCs w:val="22"/>
        </w:rPr>
        <w:t>’</w:t>
      </w:r>
      <w:r w:rsidR="005F3E92">
        <w:rPr>
          <w:rFonts w:ascii="Arial" w:hAnsi="Arial" w:cs="Arial"/>
          <w:sz w:val="22"/>
          <w:szCs w:val="22"/>
        </w:rPr>
        <w:t xml:space="preserve"> (19</w:t>
      </w:r>
      <w:r w:rsidR="00020F44">
        <w:rPr>
          <w:rFonts w:ascii="Arial" w:hAnsi="Arial" w:cs="Arial"/>
          <w:sz w:val="22"/>
          <w:szCs w:val="22"/>
        </w:rPr>
        <w:t>8</w:t>
      </w:r>
      <w:r w:rsidR="005F3E92">
        <w:rPr>
          <w:rFonts w:ascii="Arial" w:hAnsi="Arial" w:cs="Arial"/>
          <w:sz w:val="22"/>
          <w:szCs w:val="22"/>
        </w:rPr>
        <w:t xml:space="preserve">8) emphasis on learning </w:t>
      </w:r>
      <w:r w:rsidR="00835F95">
        <w:rPr>
          <w:rFonts w:ascii="Arial" w:hAnsi="Arial" w:cs="Arial"/>
          <w:sz w:val="22"/>
          <w:szCs w:val="22"/>
        </w:rPr>
        <w:t>from experience</w:t>
      </w:r>
      <w:r w:rsidR="005F3E92">
        <w:rPr>
          <w:rFonts w:ascii="Arial" w:hAnsi="Arial" w:cs="Arial"/>
          <w:sz w:val="22"/>
          <w:szCs w:val="22"/>
        </w:rPr>
        <w:t xml:space="preserve">. </w:t>
      </w:r>
      <w:r w:rsidR="00E175F3">
        <w:rPr>
          <w:rFonts w:ascii="Arial" w:hAnsi="Arial" w:cs="Arial"/>
          <w:sz w:val="22"/>
          <w:szCs w:val="22"/>
        </w:rPr>
        <w:t>T</w:t>
      </w:r>
      <w:r w:rsidR="007A5272">
        <w:rPr>
          <w:rFonts w:ascii="Arial" w:hAnsi="Arial" w:cs="Arial"/>
          <w:sz w:val="22"/>
          <w:szCs w:val="22"/>
        </w:rPr>
        <w:t>his</w:t>
      </w:r>
      <w:r w:rsidRPr="005B07ED">
        <w:rPr>
          <w:rFonts w:ascii="Arial" w:hAnsi="Arial" w:cs="Arial"/>
          <w:sz w:val="22"/>
          <w:szCs w:val="22"/>
        </w:rPr>
        <w:t xml:space="preserve"> </w:t>
      </w:r>
      <w:r w:rsidR="00835F95">
        <w:rPr>
          <w:rFonts w:ascii="Arial" w:hAnsi="Arial" w:cs="Arial"/>
          <w:sz w:val="22"/>
          <w:szCs w:val="22"/>
        </w:rPr>
        <w:t>experience</w:t>
      </w:r>
      <w:r w:rsidR="00E175F3">
        <w:rPr>
          <w:rFonts w:ascii="Arial" w:hAnsi="Arial" w:cs="Arial"/>
          <w:sz w:val="22"/>
          <w:szCs w:val="22"/>
        </w:rPr>
        <w:t xml:space="preserve"> also</w:t>
      </w:r>
      <w:r w:rsidR="00835F95">
        <w:rPr>
          <w:rFonts w:ascii="Arial" w:hAnsi="Arial" w:cs="Arial"/>
          <w:sz w:val="22"/>
          <w:szCs w:val="22"/>
        </w:rPr>
        <w:t xml:space="preserve"> </w:t>
      </w:r>
      <w:r w:rsidRPr="005B07ED">
        <w:rPr>
          <w:rFonts w:ascii="Arial" w:hAnsi="Arial" w:cs="Arial"/>
          <w:sz w:val="22"/>
          <w:szCs w:val="22"/>
        </w:rPr>
        <w:t xml:space="preserve">reflected Rogers' person-centred approach, which emphasises respect, empathy and individual autonomy (Rogers, 1951). The experience highlighted the positive impact that person-centred care can have on both physical recovery and emotional wellbeing. Furthermore, the Care Act </w:t>
      </w:r>
      <w:r w:rsidRPr="005B07ED">
        <w:rPr>
          <w:rFonts w:ascii="Arial" w:hAnsi="Arial" w:cs="Arial"/>
          <w:sz w:val="22"/>
          <w:szCs w:val="22"/>
        </w:rPr>
        <w:lastRenderedPageBreak/>
        <w:t>2014 emphasises the importance of promoting individual wellbeing, choice and control within care provision (Care Act, 2014).</w:t>
      </w:r>
    </w:p>
    <w:p w14:paraId="2DD39F97" w14:textId="0A3B6E25" w:rsidR="005B07ED" w:rsidRPr="005B07ED" w:rsidRDefault="005B07ED" w:rsidP="00445C35">
      <w:pPr>
        <w:pStyle w:val="NormalWeb"/>
        <w:spacing w:line="360" w:lineRule="auto"/>
        <w:jc w:val="both"/>
        <w:rPr>
          <w:rFonts w:ascii="Arial" w:hAnsi="Arial" w:cs="Arial"/>
          <w:sz w:val="22"/>
          <w:szCs w:val="22"/>
        </w:rPr>
      </w:pPr>
      <w:r w:rsidRPr="005B07ED">
        <w:rPr>
          <w:rFonts w:ascii="Arial" w:hAnsi="Arial" w:cs="Arial"/>
          <w:sz w:val="22"/>
          <w:szCs w:val="22"/>
        </w:rPr>
        <w:t xml:space="preserve">Reflecting on this experience, I recognise communication as one of my strengths. I value listening to others and understanding their perspectives, which I believe is essential for delivering person-centred care. However, I have also become aware that effective communication involves more than providing information. It requires ensuring that individuals fully understand their options and feel empowered to participate in decisions affecting their lives. As someone aspiring to become a nurse, I </w:t>
      </w:r>
      <w:r w:rsidR="00C52DB7">
        <w:rPr>
          <w:rFonts w:ascii="Arial" w:hAnsi="Arial" w:cs="Arial"/>
          <w:sz w:val="22"/>
          <w:szCs w:val="22"/>
        </w:rPr>
        <w:t>aim to further</w:t>
      </w:r>
      <w:r w:rsidRPr="005B07ED">
        <w:rPr>
          <w:rFonts w:ascii="Arial" w:hAnsi="Arial" w:cs="Arial"/>
          <w:sz w:val="22"/>
          <w:szCs w:val="22"/>
        </w:rPr>
        <w:t xml:space="preserve"> develop my communication and interpersonal skills to ensure that I can effectively support patients from diverse backgrounds and with varying needs. This aligns with the Nursing and Midwifery Council (NMC) Code, which emphasises treating people as individuals and upholding their dignity (NMC, 2018).</w:t>
      </w:r>
    </w:p>
    <w:p w14:paraId="2A9E31EF" w14:textId="77777777" w:rsidR="005B07ED" w:rsidRPr="005B07ED" w:rsidRDefault="005B07ED" w:rsidP="00445C35">
      <w:pPr>
        <w:pStyle w:val="NormalWeb"/>
        <w:spacing w:line="360" w:lineRule="auto"/>
        <w:jc w:val="both"/>
        <w:rPr>
          <w:rFonts w:ascii="Arial" w:hAnsi="Arial" w:cs="Arial"/>
          <w:sz w:val="22"/>
          <w:szCs w:val="22"/>
        </w:rPr>
      </w:pPr>
      <w:r w:rsidRPr="005B07ED">
        <w:rPr>
          <w:rFonts w:ascii="Arial" w:hAnsi="Arial" w:cs="Arial"/>
          <w:sz w:val="22"/>
          <w:szCs w:val="22"/>
        </w:rPr>
        <w:t>Partnership working is another key principle within health and social care. Through my role within the NHS, I have observed the importance of effective communication and collaboration between departments and healthcare professionals. Although my role is administrative rather than clinical, I recognise that efficient coordination and information sharing contribute to the smooth delivery of services and positive patient experiences. Effective partnership working is increasingly important within integrated care systems, which aim to improve collaboration between services and professionals (Health and Care Act, 2022). Reeves, Xyrichis and Zwarenstein (2018) argue that successful partnership working depends upon communication, trust and shared responsibility.</w:t>
      </w:r>
    </w:p>
    <w:p w14:paraId="11EE5BA5" w14:textId="77777777" w:rsidR="005B07ED" w:rsidRPr="005B07ED" w:rsidRDefault="005B07ED" w:rsidP="00445C35">
      <w:pPr>
        <w:pStyle w:val="NormalWeb"/>
        <w:spacing w:line="360" w:lineRule="auto"/>
        <w:jc w:val="both"/>
        <w:rPr>
          <w:rFonts w:ascii="Arial" w:hAnsi="Arial" w:cs="Arial"/>
          <w:sz w:val="22"/>
          <w:szCs w:val="22"/>
        </w:rPr>
      </w:pPr>
      <w:r w:rsidRPr="005B07ED">
        <w:rPr>
          <w:rFonts w:ascii="Arial" w:hAnsi="Arial" w:cs="Arial"/>
          <w:sz w:val="22"/>
          <w:szCs w:val="22"/>
        </w:rPr>
        <w:t>One of my strengths is my ability to work cooperatively with colleagues and maintain professional relationships. However, reflection has highlighted that I would benefit from developing a greater understanding of multidisciplinary working and the specific roles of different healthcare professionals. As a future nurse, this knowledge will help me contribute more effectively to collaborative decision-making and advocate for patients within multidisciplinary teams. To achieve this, I plan to seek learning opportunities through training, observation and continued engagement with healthcare practice.</w:t>
      </w:r>
    </w:p>
    <w:p w14:paraId="003E76CD" w14:textId="0E46D698" w:rsidR="005B07ED" w:rsidRPr="005B07ED" w:rsidRDefault="005B07ED" w:rsidP="00445C35">
      <w:pPr>
        <w:pStyle w:val="NormalWeb"/>
        <w:spacing w:line="360" w:lineRule="auto"/>
        <w:jc w:val="both"/>
        <w:rPr>
          <w:rFonts w:ascii="Arial" w:hAnsi="Arial" w:cs="Arial"/>
          <w:sz w:val="22"/>
          <w:szCs w:val="22"/>
        </w:rPr>
      </w:pPr>
      <w:r w:rsidRPr="005B07ED">
        <w:rPr>
          <w:rFonts w:ascii="Arial" w:hAnsi="Arial" w:cs="Arial"/>
          <w:sz w:val="22"/>
          <w:szCs w:val="22"/>
        </w:rPr>
        <w:t xml:space="preserve">Ethical practice is central to both health and social care and has </w:t>
      </w:r>
      <w:r w:rsidR="00A74E9C" w:rsidRPr="005B07ED">
        <w:rPr>
          <w:rFonts w:ascii="Arial" w:hAnsi="Arial" w:cs="Arial"/>
          <w:sz w:val="22"/>
          <w:szCs w:val="22"/>
        </w:rPr>
        <w:t>relevance</w:t>
      </w:r>
      <w:r w:rsidRPr="005B07ED">
        <w:rPr>
          <w:rFonts w:ascii="Arial" w:hAnsi="Arial" w:cs="Arial"/>
          <w:sz w:val="22"/>
          <w:szCs w:val="22"/>
        </w:rPr>
        <w:t xml:space="preserve"> within my current role. Working within the NHS has strengthened my understanding of the importance of confidentiality, professionalism and accountability. Handling sensitive patient information has highlighted the need to respect privacy and comply with professional and legal responsibilities. Maintaining confidentiality is one of my key strengths, as I understand the importance of </w:t>
      </w:r>
      <w:r w:rsidRPr="005B07ED">
        <w:rPr>
          <w:rFonts w:ascii="Arial" w:hAnsi="Arial" w:cs="Arial"/>
          <w:sz w:val="22"/>
          <w:szCs w:val="22"/>
        </w:rPr>
        <w:lastRenderedPageBreak/>
        <w:t>protecting personal information and preserving trust. This reflects the principles outlined within the NMC Code (NMC, 2018).</w:t>
      </w:r>
    </w:p>
    <w:p w14:paraId="7760503D" w14:textId="77777777" w:rsidR="005B07ED" w:rsidRDefault="005B07ED" w:rsidP="00445C35">
      <w:pPr>
        <w:pStyle w:val="NormalWeb"/>
        <w:spacing w:line="360" w:lineRule="auto"/>
        <w:jc w:val="both"/>
        <w:rPr>
          <w:rFonts w:ascii="Arial" w:hAnsi="Arial" w:cs="Arial"/>
          <w:sz w:val="22"/>
          <w:szCs w:val="22"/>
        </w:rPr>
      </w:pPr>
      <w:r w:rsidRPr="005B07ED">
        <w:rPr>
          <w:rFonts w:ascii="Arial" w:hAnsi="Arial" w:cs="Arial"/>
          <w:sz w:val="22"/>
          <w:szCs w:val="22"/>
        </w:rPr>
        <w:t>However, reflection has also highlighted the complexity of ethical decision-making within healthcare. Beauchamp and Childress (2019) identify autonomy, beneficence, non-maleficence and justice as key ethical principles that guide professional practice. As a future nurse, I recognise that ethical dilemmas may arise when these principles conflict. Therefore, I intend to continue developing my ethical awareness through professional development, reflective practice and engagement with current research and guidance. This will support my ability to make informed decisions whilst safeguarding the rights, dignity and wellbeing of patients.</w:t>
      </w:r>
    </w:p>
    <w:p w14:paraId="15518D1B" w14:textId="7189AD34" w:rsidR="00D41394" w:rsidRPr="00D1097D" w:rsidRDefault="00D41394" w:rsidP="00445C35">
      <w:pPr>
        <w:pStyle w:val="NormalWeb"/>
        <w:spacing w:line="360" w:lineRule="auto"/>
        <w:jc w:val="both"/>
        <w:rPr>
          <w:rFonts w:ascii="Arial" w:hAnsi="Arial" w:cs="Arial"/>
          <w:sz w:val="22"/>
          <w:szCs w:val="22"/>
        </w:rPr>
      </w:pPr>
      <w:r w:rsidRPr="00D1097D">
        <w:rPr>
          <w:rFonts w:ascii="Arial" w:hAnsi="Arial" w:cs="Arial"/>
          <w:sz w:val="22"/>
          <w:szCs w:val="22"/>
        </w:rPr>
        <w:t>Overall, this reflection has enhanced my understanding of person-centred care, partnership working and ethical practice. It has highlighted strengths in communication, teamwork and maintaining confidentiality, whilst identifying areas for improvement, including developing a greater understanding of multidisciplinary working, clinical decision-making and ethical reasoning. To address these areas</w:t>
      </w:r>
      <w:r w:rsidR="00382D5A">
        <w:rPr>
          <w:rFonts w:ascii="Arial" w:hAnsi="Arial" w:cs="Arial"/>
          <w:sz w:val="22"/>
          <w:szCs w:val="22"/>
        </w:rPr>
        <w:t>, I will undertake CPD, engage with evidence-based research, observe multidisciplinary practice and reflect</w:t>
      </w:r>
      <w:r w:rsidRPr="00D1097D">
        <w:rPr>
          <w:rFonts w:ascii="Arial" w:hAnsi="Arial" w:cs="Arial"/>
          <w:sz w:val="22"/>
          <w:szCs w:val="22"/>
        </w:rPr>
        <w:t xml:space="preserve"> using Gibbs' Reflective Cycle (Gibbs, 1988). As I progress </w:t>
      </w:r>
      <w:r w:rsidR="007762D4">
        <w:rPr>
          <w:rFonts w:ascii="Arial" w:hAnsi="Arial" w:cs="Arial"/>
          <w:sz w:val="22"/>
          <w:szCs w:val="22"/>
        </w:rPr>
        <w:t>into nursing</w:t>
      </w:r>
      <w:r w:rsidRPr="00D1097D">
        <w:rPr>
          <w:rFonts w:ascii="Arial" w:hAnsi="Arial" w:cs="Arial"/>
          <w:sz w:val="22"/>
          <w:szCs w:val="22"/>
        </w:rPr>
        <w:t>, I will continue to develop my communication, leadership and clinical skills to ensure I can provide safe, compassionate and person-centred care in accordance with the NMC Code (NMC, 2018).</w:t>
      </w:r>
    </w:p>
    <w:p w14:paraId="730A83F0" w14:textId="40C57974" w:rsidR="00CB67C6" w:rsidRDefault="00CB67C6" w:rsidP="00445C35">
      <w:pPr>
        <w:pStyle w:val="NormalWeb"/>
        <w:spacing w:line="360" w:lineRule="auto"/>
        <w:jc w:val="both"/>
        <w:rPr>
          <w:rFonts w:ascii="Arial" w:hAnsi="Arial" w:cs="Arial"/>
          <w:b/>
          <w:bCs/>
          <w:sz w:val="22"/>
          <w:szCs w:val="22"/>
        </w:rPr>
      </w:pPr>
      <w:r w:rsidRPr="00CB67C6">
        <w:rPr>
          <w:rFonts w:ascii="Arial" w:hAnsi="Arial" w:cs="Arial"/>
          <w:b/>
          <w:bCs/>
          <w:sz w:val="22"/>
          <w:szCs w:val="22"/>
        </w:rPr>
        <w:t>Conclusion</w:t>
      </w:r>
    </w:p>
    <w:p w14:paraId="5D2BAC0C" w14:textId="4D011AE2" w:rsidR="00CB67C6" w:rsidRPr="00720AD2" w:rsidRDefault="00720AD2" w:rsidP="00445C35">
      <w:pPr>
        <w:pStyle w:val="NormalWeb"/>
        <w:spacing w:line="360" w:lineRule="auto"/>
        <w:jc w:val="both"/>
        <w:rPr>
          <w:rFonts w:ascii="Arial" w:hAnsi="Arial" w:cs="Arial"/>
          <w:b/>
          <w:bCs/>
          <w:sz w:val="22"/>
          <w:szCs w:val="22"/>
        </w:rPr>
      </w:pPr>
      <w:r w:rsidRPr="00720AD2">
        <w:rPr>
          <w:rFonts w:ascii="Arial" w:hAnsi="Arial" w:cs="Arial"/>
          <w:sz w:val="22"/>
          <w:szCs w:val="22"/>
        </w:rPr>
        <w:t>This report has demonstrated the importance of person-centred care, partnership working and ethical practice in delivering effective health and social care services. Critical analysis highlighted that whilst these principles are strongly supported by legislation and policy, including the Care Act 2014 and Health and Care Act 2022, their successful implementation can be affected by organisational pressures, resource limitations and communication challenges. The analysis of Robyn's case study illustrated how applying these principles can improve independence, wellbeing and quality of life, whilst also highlighting barriers that may limit their effectiveness. Finally, reflection on professional development identified strengths in communication, teamwork and confidentiality, alongside areas for further growth. Overall, the report demonstrates that high-quality care depends upon professionals consistently applying person-centred, collaborative and ethical approaches to support positive outcomes for individuals using health and social care services.</w:t>
      </w:r>
    </w:p>
    <w:p w14:paraId="61A84B8C" w14:textId="77777777" w:rsidR="00A453A4" w:rsidRDefault="00A453A4" w:rsidP="0086690E">
      <w:pPr>
        <w:jc w:val="both"/>
        <w:rPr>
          <w:rFonts w:ascii="Arial" w:hAnsi="Arial" w:cs="Arial"/>
          <w:b/>
          <w:bCs/>
          <w:sz w:val="22"/>
          <w:szCs w:val="22"/>
        </w:rPr>
      </w:pPr>
    </w:p>
    <w:p w14:paraId="08D27EA7" w14:textId="39C8A680" w:rsidR="000E2089" w:rsidRPr="0086690E" w:rsidRDefault="000211D3" w:rsidP="0086690E">
      <w:pPr>
        <w:jc w:val="both"/>
        <w:rPr>
          <w:rFonts w:ascii="Arial" w:eastAsia="Times New Roman" w:hAnsi="Arial" w:cs="Arial"/>
          <w:b/>
          <w:bCs/>
          <w:kern w:val="0"/>
          <w:sz w:val="22"/>
          <w:szCs w:val="22"/>
          <w:lang w:eastAsia="en-GB"/>
          <w14:ligatures w14:val="none"/>
        </w:rPr>
      </w:pPr>
      <w:r w:rsidRPr="00A10BCA">
        <w:rPr>
          <w:rFonts w:ascii="Arial" w:hAnsi="Arial" w:cs="Arial"/>
          <w:b/>
          <w:bCs/>
          <w:sz w:val="22"/>
          <w:szCs w:val="22"/>
        </w:rPr>
        <w:lastRenderedPageBreak/>
        <w:t xml:space="preserve">References </w:t>
      </w:r>
    </w:p>
    <w:p w14:paraId="6E660F5F" w14:textId="77777777" w:rsidR="000211D3" w:rsidRPr="000211D3" w:rsidRDefault="000211D3" w:rsidP="00D92FD4">
      <w:pPr>
        <w:pStyle w:val="NormalWeb"/>
        <w:spacing w:line="360" w:lineRule="auto"/>
        <w:jc w:val="both"/>
        <w:rPr>
          <w:rFonts w:ascii="Arial" w:hAnsi="Arial" w:cs="Arial"/>
          <w:sz w:val="22"/>
          <w:szCs w:val="22"/>
        </w:rPr>
      </w:pPr>
      <w:r w:rsidRPr="000211D3">
        <w:rPr>
          <w:rFonts w:ascii="Arial" w:hAnsi="Arial" w:cs="Arial"/>
          <w:sz w:val="22"/>
          <w:szCs w:val="22"/>
        </w:rPr>
        <w:t xml:space="preserve">Banks, S. (2021) </w:t>
      </w:r>
      <w:r w:rsidRPr="000211D3">
        <w:rPr>
          <w:rStyle w:val="Emphasis"/>
          <w:rFonts w:ascii="Arial" w:hAnsi="Arial" w:cs="Arial"/>
          <w:sz w:val="22"/>
          <w:szCs w:val="22"/>
        </w:rPr>
        <w:t>Ethics and values in social work</w:t>
      </w:r>
      <w:r w:rsidRPr="000211D3">
        <w:rPr>
          <w:rFonts w:ascii="Arial" w:hAnsi="Arial" w:cs="Arial"/>
          <w:sz w:val="22"/>
          <w:szCs w:val="22"/>
        </w:rPr>
        <w:t>. 5th edn. London: Red Globe Press.</w:t>
      </w:r>
    </w:p>
    <w:p w14:paraId="5C68A7D8" w14:textId="77777777" w:rsidR="000211D3" w:rsidRDefault="000211D3" w:rsidP="00D92FD4">
      <w:pPr>
        <w:pStyle w:val="NormalWeb"/>
        <w:spacing w:line="360" w:lineRule="auto"/>
        <w:jc w:val="both"/>
        <w:rPr>
          <w:rFonts w:ascii="Arial" w:hAnsi="Arial" w:cs="Arial"/>
          <w:sz w:val="22"/>
          <w:szCs w:val="22"/>
        </w:rPr>
      </w:pPr>
      <w:r w:rsidRPr="000211D3">
        <w:rPr>
          <w:rFonts w:ascii="Arial" w:hAnsi="Arial" w:cs="Arial"/>
          <w:sz w:val="22"/>
          <w:szCs w:val="22"/>
        </w:rPr>
        <w:t xml:space="preserve">Beauchamp, T.L. and Childress, J.F. (2019) </w:t>
      </w:r>
      <w:r w:rsidRPr="000211D3">
        <w:rPr>
          <w:rStyle w:val="Emphasis"/>
          <w:rFonts w:ascii="Arial" w:hAnsi="Arial" w:cs="Arial"/>
          <w:sz w:val="22"/>
          <w:szCs w:val="22"/>
        </w:rPr>
        <w:t>Principles of biomedical ethics</w:t>
      </w:r>
      <w:r w:rsidRPr="000211D3">
        <w:rPr>
          <w:rFonts w:ascii="Arial" w:hAnsi="Arial" w:cs="Arial"/>
          <w:sz w:val="22"/>
          <w:szCs w:val="22"/>
        </w:rPr>
        <w:t>. 8th edn. New York: Oxford University Press.</w:t>
      </w:r>
    </w:p>
    <w:p w14:paraId="1FF9BEF1" w14:textId="673C2C42" w:rsidR="000769CB" w:rsidRPr="000769CB" w:rsidRDefault="000769CB" w:rsidP="00D92FD4">
      <w:pPr>
        <w:pStyle w:val="NormalWeb"/>
        <w:spacing w:line="360" w:lineRule="auto"/>
        <w:jc w:val="both"/>
        <w:rPr>
          <w:rFonts w:ascii="Arial" w:hAnsi="Arial" w:cs="Arial"/>
          <w:sz w:val="22"/>
          <w:szCs w:val="22"/>
        </w:rPr>
      </w:pPr>
      <w:r w:rsidRPr="000769CB">
        <w:rPr>
          <w:rFonts w:ascii="Arial" w:hAnsi="Arial" w:cs="Arial"/>
          <w:sz w:val="22"/>
          <w:szCs w:val="22"/>
        </w:rPr>
        <w:t xml:space="preserve">Bronfenbrenner, U. (1979) </w:t>
      </w:r>
      <w:r w:rsidRPr="000769CB">
        <w:rPr>
          <w:rStyle w:val="Emphasis"/>
          <w:rFonts w:ascii="Arial" w:hAnsi="Arial" w:cs="Arial"/>
          <w:sz w:val="22"/>
          <w:szCs w:val="22"/>
        </w:rPr>
        <w:t>The ecology of human development: experiments by nature and design</w:t>
      </w:r>
      <w:r w:rsidRPr="000769CB">
        <w:rPr>
          <w:rFonts w:ascii="Arial" w:hAnsi="Arial" w:cs="Arial"/>
          <w:sz w:val="22"/>
          <w:szCs w:val="22"/>
        </w:rPr>
        <w:t>. Cambridge, MA: Harvard University Press.</w:t>
      </w:r>
    </w:p>
    <w:p w14:paraId="35FBFEE2" w14:textId="3F78DE24" w:rsidR="000211D3" w:rsidRPr="007D0C0B" w:rsidRDefault="000211D3" w:rsidP="00D92FD4">
      <w:pPr>
        <w:pStyle w:val="NormalWeb"/>
        <w:spacing w:line="360" w:lineRule="auto"/>
        <w:jc w:val="both"/>
        <w:rPr>
          <w:rFonts w:ascii="Arial" w:hAnsi="Arial" w:cs="Arial"/>
          <w:sz w:val="22"/>
          <w:szCs w:val="22"/>
        </w:rPr>
      </w:pPr>
      <w:r w:rsidRPr="007D0C0B">
        <w:rPr>
          <w:rFonts w:ascii="Arial" w:hAnsi="Arial" w:cs="Arial"/>
          <w:sz w:val="22"/>
          <w:szCs w:val="22"/>
        </w:rPr>
        <w:t>Care</w:t>
      </w:r>
      <w:r w:rsidR="007D0C0B" w:rsidRPr="007D0C0B">
        <w:rPr>
          <w:rFonts w:ascii="Arial" w:hAnsi="Arial" w:cs="Arial"/>
          <w:sz w:val="22"/>
          <w:szCs w:val="22"/>
        </w:rPr>
        <w:t xml:space="preserve"> </w:t>
      </w:r>
      <w:r w:rsidRPr="007D0C0B">
        <w:rPr>
          <w:rFonts w:ascii="Arial" w:hAnsi="Arial" w:cs="Arial"/>
          <w:sz w:val="22"/>
          <w:szCs w:val="22"/>
        </w:rPr>
        <w:t xml:space="preserve">Act 2014. (c.23). London: The Stationery Office. Available at: </w:t>
      </w:r>
      <w:hyperlink r:id="rId8" w:tgtFrame="_new" w:history="1">
        <w:r w:rsidRPr="007D0C0B">
          <w:rPr>
            <w:rStyle w:val="Hyperlink"/>
            <w:rFonts w:ascii="Arial" w:hAnsi="Arial" w:cs="Arial"/>
            <w:sz w:val="22"/>
            <w:szCs w:val="22"/>
          </w:rPr>
          <w:t>https://www.legislation.gov.uk/ukpga/2014/23/contents</w:t>
        </w:r>
      </w:hyperlink>
      <w:r w:rsidRPr="007D0C0B">
        <w:rPr>
          <w:rFonts w:ascii="Arial" w:hAnsi="Arial" w:cs="Arial"/>
          <w:sz w:val="22"/>
          <w:szCs w:val="22"/>
        </w:rPr>
        <w:t xml:space="preserve"> (Accessed: 30 May 2026).</w:t>
      </w:r>
    </w:p>
    <w:p w14:paraId="1F6DEFC8" w14:textId="77777777" w:rsidR="000211D3" w:rsidRDefault="000211D3" w:rsidP="00D92FD4">
      <w:pPr>
        <w:pStyle w:val="NormalWeb"/>
        <w:spacing w:line="360" w:lineRule="auto"/>
        <w:jc w:val="both"/>
        <w:rPr>
          <w:rFonts w:ascii="Arial" w:hAnsi="Arial" w:cs="Arial"/>
          <w:sz w:val="22"/>
          <w:szCs w:val="22"/>
        </w:rPr>
      </w:pPr>
      <w:r w:rsidRPr="000211D3">
        <w:rPr>
          <w:rFonts w:ascii="Arial" w:hAnsi="Arial" w:cs="Arial"/>
          <w:sz w:val="22"/>
          <w:szCs w:val="22"/>
        </w:rPr>
        <w:t xml:space="preserve">Coulter, A. (2016) ‘Person-centred care: what is it and how do we get there?’, </w:t>
      </w:r>
      <w:r w:rsidRPr="000211D3">
        <w:rPr>
          <w:rStyle w:val="Emphasis"/>
          <w:rFonts w:ascii="Arial" w:hAnsi="Arial" w:cs="Arial"/>
          <w:sz w:val="22"/>
          <w:szCs w:val="22"/>
        </w:rPr>
        <w:t>Eurohealth</w:t>
      </w:r>
      <w:r w:rsidRPr="000211D3">
        <w:rPr>
          <w:rFonts w:ascii="Arial" w:hAnsi="Arial" w:cs="Arial"/>
          <w:sz w:val="22"/>
          <w:szCs w:val="22"/>
        </w:rPr>
        <w:t>, 22(2), pp. 29–31.</w:t>
      </w:r>
    </w:p>
    <w:p w14:paraId="564960EF" w14:textId="0D1EDB52" w:rsidR="00AD5465" w:rsidRPr="00AD5465" w:rsidRDefault="00AD5465" w:rsidP="00D92FD4">
      <w:pPr>
        <w:pStyle w:val="NormalWeb"/>
        <w:spacing w:line="360" w:lineRule="auto"/>
        <w:jc w:val="both"/>
        <w:rPr>
          <w:rFonts w:ascii="Arial" w:hAnsi="Arial" w:cs="Arial"/>
          <w:sz w:val="22"/>
          <w:szCs w:val="22"/>
        </w:rPr>
      </w:pPr>
      <w:r w:rsidRPr="00AD5465">
        <w:rPr>
          <w:rFonts w:ascii="Arial" w:hAnsi="Arial" w:cs="Arial"/>
          <w:sz w:val="22"/>
          <w:szCs w:val="22"/>
        </w:rPr>
        <w:t xml:space="preserve">Gibbs, G. (1988) </w:t>
      </w:r>
      <w:r w:rsidRPr="00AD5465">
        <w:rPr>
          <w:rStyle w:val="Emphasis"/>
          <w:rFonts w:ascii="Arial" w:hAnsi="Arial" w:cs="Arial"/>
          <w:sz w:val="22"/>
          <w:szCs w:val="22"/>
        </w:rPr>
        <w:t>Learning by doing: a guide to teaching and learning methods</w:t>
      </w:r>
      <w:r w:rsidRPr="00AD5465">
        <w:rPr>
          <w:rFonts w:ascii="Arial" w:hAnsi="Arial" w:cs="Arial"/>
          <w:sz w:val="22"/>
          <w:szCs w:val="22"/>
        </w:rPr>
        <w:t>. Oxford: Oxford Polytechnic.</w:t>
      </w:r>
    </w:p>
    <w:p w14:paraId="579490AA" w14:textId="25FE5B87" w:rsidR="000211D3" w:rsidRPr="000211D3" w:rsidRDefault="000211D3" w:rsidP="00D92FD4">
      <w:pPr>
        <w:pStyle w:val="NormalWeb"/>
        <w:spacing w:line="360" w:lineRule="auto"/>
        <w:jc w:val="both"/>
        <w:rPr>
          <w:rFonts w:ascii="Arial" w:hAnsi="Arial" w:cs="Arial"/>
          <w:sz w:val="22"/>
          <w:szCs w:val="22"/>
        </w:rPr>
      </w:pPr>
      <w:r w:rsidRPr="000211D3">
        <w:rPr>
          <w:rFonts w:ascii="Arial" w:hAnsi="Arial" w:cs="Arial"/>
          <w:sz w:val="22"/>
          <w:szCs w:val="22"/>
        </w:rPr>
        <w:t xml:space="preserve">Glasby, J. and Dickinson, H. (2021) </w:t>
      </w:r>
      <w:r w:rsidRPr="000211D3">
        <w:rPr>
          <w:rStyle w:val="Emphasis"/>
          <w:rFonts w:ascii="Arial" w:hAnsi="Arial" w:cs="Arial"/>
          <w:sz w:val="22"/>
          <w:szCs w:val="22"/>
        </w:rPr>
        <w:t>Partnership working in health and social care</w:t>
      </w:r>
      <w:r w:rsidRPr="000211D3">
        <w:rPr>
          <w:rFonts w:ascii="Arial" w:hAnsi="Arial" w:cs="Arial"/>
          <w:sz w:val="22"/>
          <w:szCs w:val="22"/>
        </w:rPr>
        <w:t>. 3rd edn. Brist</w:t>
      </w:r>
      <w:r w:rsidR="0022529E">
        <w:rPr>
          <w:rFonts w:ascii="Arial" w:hAnsi="Arial" w:cs="Arial"/>
          <w:sz w:val="22"/>
          <w:szCs w:val="22"/>
        </w:rPr>
        <w:t>ol</w:t>
      </w:r>
      <w:r w:rsidRPr="000211D3">
        <w:rPr>
          <w:rFonts w:ascii="Arial" w:hAnsi="Arial" w:cs="Arial"/>
          <w:sz w:val="22"/>
          <w:szCs w:val="22"/>
        </w:rPr>
        <w:t>: Policy Press.</w:t>
      </w:r>
    </w:p>
    <w:p w14:paraId="797EAEC2" w14:textId="77777777" w:rsidR="000211D3" w:rsidRDefault="000211D3" w:rsidP="00D92FD4">
      <w:pPr>
        <w:pStyle w:val="NormalWeb"/>
        <w:spacing w:line="360" w:lineRule="auto"/>
        <w:jc w:val="both"/>
        <w:rPr>
          <w:rFonts w:ascii="Arial" w:hAnsi="Arial" w:cs="Arial"/>
          <w:sz w:val="22"/>
          <w:szCs w:val="22"/>
        </w:rPr>
      </w:pPr>
      <w:r w:rsidRPr="000211D3">
        <w:rPr>
          <w:rFonts w:ascii="Arial" w:hAnsi="Arial" w:cs="Arial"/>
          <w:sz w:val="22"/>
          <w:szCs w:val="22"/>
        </w:rPr>
        <w:t xml:space="preserve">Health and Care Act 2022. (c.31). London: The Stationery Office. Available at: </w:t>
      </w:r>
      <w:hyperlink r:id="rId9" w:tgtFrame="_new" w:history="1">
        <w:r w:rsidRPr="000211D3">
          <w:rPr>
            <w:rStyle w:val="Hyperlink"/>
            <w:rFonts w:ascii="Arial" w:hAnsi="Arial" w:cs="Arial"/>
            <w:sz w:val="22"/>
            <w:szCs w:val="22"/>
          </w:rPr>
          <w:t>https://www.legislation.gov.uk/ukpga/2022/31/contents</w:t>
        </w:r>
      </w:hyperlink>
      <w:r w:rsidRPr="000211D3">
        <w:rPr>
          <w:rFonts w:ascii="Arial" w:hAnsi="Arial" w:cs="Arial"/>
          <w:sz w:val="22"/>
          <w:szCs w:val="22"/>
        </w:rPr>
        <w:t xml:space="preserve"> (Accessed: 30 May 2026).</w:t>
      </w:r>
    </w:p>
    <w:p w14:paraId="21C2BA3E" w14:textId="579D4AF0" w:rsidR="00F30E48" w:rsidRPr="00F30E48" w:rsidRDefault="00F30E48" w:rsidP="00D92FD4">
      <w:pPr>
        <w:pStyle w:val="NormalWeb"/>
        <w:spacing w:line="360" w:lineRule="auto"/>
        <w:jc w:val="both"/>
        <w:rPr>
          <w:rFonts w:ascii="Arial" w:hAnsi="Arial" w:cs="Arial"/>
          <w:sz w:val="22"/>
          <w:szCs w:val="22"/>
        </w:rPr>
      </w:pPr>
      <w:r w:rsidRPr="00F30E48">
        <w:rPr>
          <w:rFonts w:ascii="Arial" w:hAnsi="Arial" w:cs="Arial"/>
          <w:sz w:val="22"/>
          <w:szCs w:val="22"/>
        </w:rPr>
        <w:t xml:space="preserve">Maslow, A.H. (1943) 'A theory of human motivation', </w:t>
      </w:r>
      <w:r w:rsidRPr="00F30E48">
        <w:rPr>
          <w:rStyle w:val="Emphasis"/>
          <w:rFonts w:ascii="Arial" w:hAnsi="Arial" w:cs="Arial"/>
          <w:sz w:val="22"/>
          <w:szCs w:val="22"/>
        </w:rPr>
        <w:t>Psychological Review</w:t>
      </w:r>
      <w:r w:rsidRPr="00F30E48">
        <w:rPr>
          <w:rFonts w:ascii="Arial" w:hAnsi="Arial" w:cs="Arial"/>
          <w:sz w:val="22"/>
          <w:szCs w:val="22"/>
        </w:rPr>
        <w:t>, 50(4), pp. 370–396.</w:t>
      </w:r>
    </w:p>
    <w:p w14:paraId="171BE868" w14:textId="2CB6221E" w:rsidR="00325034" w:rsidRPr="000211D3" w:rsidRDefault="00325034" w:rsidP="00D92FD4">
      <w:pPr>
        <w:pStyle w:val="NormalWeb"/>
        <w:spacing w:line="360" w:lineRule="auto"/>
        <w:jc w:val="both"/>
        <w:rPr>
          <w:rFonts w:ascii="Arial" w:hAnsi="Arial" w:cs="Arial"/>
          <w:sz w:val="22"/>
          <w:szCs w:val="22"/>
        </w:rPr>
      </w:pPr>
      <w:r w:rsidRPr="00325034">
        <w:rPr>
          <w:rFonts w:ascii="Arial" w:hAnsi="Arial" w:cs="Arial"/>
          <w:sz w:val="22"/>
          <w:szCs w:val="22"/>
        </w:rPr>
        <w:t xml:space="preserve">McCormack, B. and McCance, T. (2017) </w:t>
      </w:r>
      <w:r w:rsidRPr="00325034">
        <w:rPr>
          <w:rStyle w:val="Emphasis"/>
          <w:rFonts w:ascii="Arial" w:hAnsi="Arial" w:cs="Arial"/>
          <w:sz w:val="22"/>
          <w:szCs w:val="22"/>
        </w:rPr>
        <w:t>Person-centred practice in nursing and health care: theory and practice</w:t>
      </w:r>
      <w:r w:rsidRPr="00325034">
        <w:rPr>
          <w:rFonts w:ascii="Arial" w:hAnsi="Arial" w:cs="Arial"/>
          <w:sz w:val="22"/>
          <w:szCs w:val="22"/>
        </w:rPr>
        <w:t>. 2nd edn. Oxford: Wiley-Blackwell</w:t>
      </w:r>
      <w:r>
        <w:t>.</w:t>
      </w:r>
    </w:p>
    <w:p w14:paraId="742D96C9" w14:textId="77777777" w:rsidR="000211D3" w:rsidRDefault="000211D3" w:rsidP="00D92FD4">
      <w:pPr>
        <w:pStyle w:val="NormalWeb"/>
        <w:spacing w:line="360" w:lineRule="auto"/>
        <w:jc w:val="both"/>
        <w:rPr>
          <w:rFonts w:ascii="Arial" w:hAnsi="Arial" w:cs="Arial"/>
          <w:sz w:val="22"/>
          <w:szCs w:val="22"/>
        </w:rPr>
      </w:pPr>
      <w:r w:rsidRPr="000211D3">
        <w:rPr>
          <w:rFonts w:ascii="Arial" w:hAnsi="Arial" w:cs="Arial"/>
          <w:sz w:val="22"/>
          <w:szCs w:val="22"/>
        </w:rPr>
        <w:t xml:space="preserve">Mental Capacity Act 2005. (c.9). London: The Stationery Office. Available at: </w:t>
      </w:r>
      <w:hyperlink r:id="rId10" w:tgtFrame="_new" w:history="1">
        <w:r w:rsidRPr="000211D3">
          <w:rPr>
            <w:rStyle w:val="Hyperlink"/>
            <w:rFonts w:ascii="Arial" w:hAnsi="Arial" w:cs="Arial"/>
            <w:sz w:val="22"/>
            <w:szCs w:val="22"/>
          </w:rPr>
          <w:t>https://www.legislation.gov.uk/ukpga/2005/9/contents</w:t>
        </w:r>
      </w:hyperlink>
      <w:r w:rsidRPr="000211D3">
        <w:rPr>
          <w:rFonts w:ascii="Arial" w:hAnsi="Arial" w:cs="Arial"/>
          <w:sz w:val="22"/>
          <w:szCs w:val="22"/>
        </w:rPr>
        <w:t xml:space="preserve"> (Accessed: 30 May 2026).</w:t>
      </w:r>
    </w:p>
    <w:p w14:paraId="38AB91C8" w14:textId="6179E0B4" w:rsidR="00134B33" w:rsidRPr="00134B33" w:rsidRDefault="00134B33" w:rsidP="00D92FD4">
      <w:pPr>
        <w:pStyle w:val="NormalWeb"/>
        <w:spacing w:line="360" w:lineRule="auto"/>
        <w:jc w:val="both"/>
        <w:rPr>
          <w:rFonts w:ascii="Arial" w:eastAsiaTheme="minorHAnsi" w:hAnsi="Arial" w:cs="Arial"/>
          <w:kern w:val="2"/>
          <w:sz w:val="22"/>
          <w:szCs w:val="22"/>
          <w:lang w:eastAsia="en-US"/>
          <w14:ligatures w14:val="standardContextual"/>
        </w:rPr>
      </w:pPr>
      <w:r w:rsidRPr="00134B33">
        <w:rPr>
          <w:rFonts w:ascii="Arial" w:eastAsiaTheme="minorHAnsi" w:hAnsi="Arial" w:cs="Arial"/>
          <w:kern w:val="2"/>
          <w:sz w:val="22"/>
          <w:szCs w:val="22"/>
          <w:lang w:eastAsia="en-US"/>
          <w14:ligatures w14:val="standardContextual"/>
        </w:rPr>
        <w:t xml:space="preserve">National Institute for Health and Care Excellence (2021) </w:t>
      </w:r>
      <w:r w:rsidRPr="00134B33">
        <w:rPr>
          <w:rFonts w:ascii="Arial" w:eastAsiaTheme="minorHAnsi" w:hAnsi="Arial" w:cs="Arial"/>
          <w:i/>
          <w:iCs/>
          <w:kern w:val="2"/>
          <w:sz w:val="22"/>
          <w:szCs w:val="22"/>
          <w:lang w:eastAsia="en-US"/>
          <w14:ligatures w14:val="standardContextual"/>
        </w:rPr>
        <w:t>Shared decision making (NG197).</w:t>
      </w:r>
      <w:r w:rsidRPr="00134B33">
        <w:rPr>
          <w:rFonts w:ascii="Arial" w:eastAsiaTheme="minorHAnsi" w:hAnsi="Arial" w:cs="Arial"/>
          <w:kern w:val="2"/>
          <w:sz w:val="22"/>
          <w:szCs w:val="22"/>
          <w:lang w:eastAsia="en-US"/>
          <w14:ligatures w14:val="standardContextual"/>
        </w:rPr>
        <w:t xml:space="preserve"> Available at: </w:t>
      </w:r>
      <w:hyperlink r:id="rId11" w:tgtFrame="_new" w:history="1">
        <w:r w:rsidRPr="00134B33">
          <w:rPr>
            <w:rFonts w:ascii="Arial" w:eastAsiaTheme="minorHAnsi" w:hAnsi="Arial" w:cs="Arial"/>
            <w:color w:val="0000FF"/>
            <w:kern w:val="2"/>
            <w:sz w:val="22"/>
            <w:szCs w:val="22"/>
            <w:u w:val="single"/>
            <w:lang w:eastAsia="en-US"/>
            <w14:ligatures w14:val="standardContextual"/>
          </w:rPr>
          <w:t>https://www.nice.org.uk/guidance/ng197</w:t>
        </w:r>
      </w:hyperlink>
      <w:r w:rsidRPr="00134B33">
        <w:rPr>
          <w:rFonts w:ascii="Arial" w:eastAsiaTheme="minorHAnsi" w:hAnsi="Arial" w:cs="Arial"/>
          <w:kern w:val="2"/>
          <w:sz w:val="22"/>
          <w:szCs w:val="22"/>
          <w:lang w:eastAsia="en-US"/>
          <w14:ligatures w14:val="standardContextual"/>
        </w:rPr>
        <w:t xml:space="preserve"> (Accessed: </w:t>
      </w:r>
      <w:r>
        <w:rPr>
          <w:rFonts w:ascii="Arial" w:eastAsiaTheme="minorHAnsi" w:hAnsi="Arial" w:cs="Arial"/>
          <w:kern w:val="2"/>
          <w:sz w:val="22"/>
          <w:szCs w:val="22"/>
          <w:lang w:eastAsia="en-US"/>
          <w14:ligatures w14:val="standardContextual"/>
        </w:rPr>
        <w:t>12</w:t>
      </w:r>
      <w:r w:rsidRPr="00134B33">
        <w:rPr>
          <w:rFonts w:ascii="Arial" w:eastAsiaTheme="minorHAnsi" w:hAnsi="Arial" w:cs="Arial"/>
          <w:kern w:val="2"/>
          <w:sz w:val="22"/>
          <w:szCs w:val="22"/>
          <w:lang w:eastAsia="en-US"/>
          <w14:ligatures w14:val="standardContextual"/>
        </w:rPr>
        <w:t xml:space="preserve"> </w:t>
      </w:r>
      <w:r>
        <w:rPr>
          <w:rFonts w:ascii="Arial" w:eastAsiaTheme="minorHAnsi" w:hAnsi="Arial" w:cs="Arial"/>
          <w:kern w:val="2"/>
          <w:sz w:val="22"/>
          <w:szCs w:val="22"/>
          <w:lang w:eastAsia="en-US"/>
          <w14:ligatures w14:val="standardContextual"/>
        </w:rPr>
        <w:t>June</w:t>
      </w:r>
      <w:r w:rsidRPr="00134B33">
        <w:rPr>
          <w:rFonts w:ascii="Arial" w:eastAsiaTheme="minorHAnsi" w:hAnsi="Arial" w:cs="Arial"/>
          <w:kern w:val="2"/>
          <w:sz w:val="22"/>
          <w:szCs w:val="22"/>
          <w:lang w:eastAsia="en-US"/>
          <w14:ligatures w14:val="standardContextual"/>
        </w:rPr>
        <w:t xml:space="preserve"> 2026).</w:t>
      </w:r>
    </w:p>
    <w:p w14:paraId="13FE83AD" w14:textId="56FCBB55" w:rsidR="000211D3" w:rsidRDefault="000211D3" w:rsidP="00D92FD4">
      <w:pPr>
        <w:pStyle w:val="NormalWeb"/>
        <w:spacing w:line="360" w:lineRule="auto"/>
        <w:jc w:val="both"/>
        <w:rPr>
          <w:rFonts w:ascii="Arial" w:hAnsi="Arial" w:cs="Arial"/>
          <w:sz w:val="22"/>
          <w:szCs w:val="22"/>
        </w:rPr>
      </w:pPr>
      <w:r w:rsidRPr="000211D3">
        <w:rPr>
          <w:rFonts w:ascii="Arial" w:hAnsi="Arial" w:cs="Arial"/>
          <w:sz w:val="22"/>
          <w:szCs w:val="22"/>
        </w:rPr>
        <w:t xml:space="preserve">Needham, C. and Carr, S. (2009) </w:t>
      </w:r>
      <w:r w:rsidRPr="000211D3">
        <w:rPr>
          <w:rStyle w:val="Emphasis"/>
          <w:rFonts w:ascii="Arial" w:hAnsi="Arial" w:cs="Arial"/>
          <w:sz w:val="22"/>
          <w:szCs w:val="22"/>
        </w:rPr>
        <w:t>Co-production: an emerging evidence base for adult social care transformation</w:t>
      </w:r>
      <w:r w:rsidRPr="000211D3">
        <w:rPr>
          <w:rFonts w:ascii="Arial" w:hAnsi="Arial" w:cs="Arial"/>
          <w:sz w:val="22"/>
          <w:szCs w:val="22"/>
        </w:rPr>
        <w:t>. London: Social Care Institute for Excellence.</w:t>
      </w:r>
    </w:p>
    <w:p w14:paraId="53DB754D" w14:textId="359435B8" w:rsidR="00731727" w:rsidRPr="00731727" w:rsidRDefault="00731727" w:rsidP="00D92FD4">
      <w:pPr>
        <w:pStyle w:val="NormalWeb"/>
        <w:spacing w:line="360" w:lineRule="auto"/>
        <w:jc w:val="both"/>
        <w:rPr>
          <w:rFonts w:ascii="Arial" w:hAnsi="Arial" w:cs="Arial"/>
          <w:sz w:val="22"/>
          <w:szCs w:val="22"/>
        </w:rPr>
      </w:pPr>
      <w:r w:rsidRPr="00731727">
        <w:rPr>
          <w:rFonts w:ascii="Arial" w:hAnsi="Arial" w:cs="Arial"/>
          <w:sz w:val="22"/>
          <w:szCs w:val="22"/>
        </w:rPr>
        <w:lastRenderedPageBreak/>
        <w:t xml:space="preserve">NHS England (2012) </w:t>
      </w:r>
      <w:r w:rsidRPr="00731727">
        <w:rPr>
          <w:rStyle w:val="Emphasis"/>
          <w:rFonts w:ascii="Arial" w:hAnsi="Arial" w:cs="Arial"/>
          <w:sz w:val="22"/>
          <w:szCs w:val="22"/>
        </w:rPr>
        <w:t>Compassion in practice: nursing, midwifery and care staff – our vision and strategy</w:t>
      </w:r>
      <w:r w:rsidRPr="00731727">
        <w:rPr>
          <w:rFonts w:ascii="Arial" w:hAnsi="Arial" w:cs="Arial"/>
          <w:sz w:val="22"/>
          <w:szCs w:val="22"/>
        </w:rPr>
        <w:t>. London: NHS England.</w:t>
      </w:r>
    </w:p>
    <w:p w14:paraId="52214EA5" w14:textId="77617D21" w:rsidR="00926230" w:rsidRDefault="00926230" w:rsidP="00D92FD4">
      <w:pPr>
        <w:pStyle w:val="NormalWeb"/>
        <w:spacing w:line="360" w:lineRule="auto"/>
        <w:jc w:val="both"/>
        <w:rPr>
          <w:rFonts w:ascii="Arial" w:hAnsi="Arial" w:cs="Arial"/>
          <w:sz w:val="22"/>
          <w:szCs w:val="22"/>
        </w:rPr>
      </w:pPr>
      <w:r w:rsidRPr="00926230">
        <w:rPr>
          <w:rFonts w:ascii="Arial" w:hAnsi="Arial" w:cs="Arial"/>
          <w:sz w:val="22"/>
          <w:szCs w:val="22"/>
        </w:rPr>
        <w:t xml:space="preserve">NHS England (2022) </w:t>
      </w:r>
      <w:r w:rsidRPr="00926230">
        <w:rPr>
          <w:rStyle w:val="Emphasis"/>
          <w:rFonts w:ascii="Arial" w:hAnsi="Arial" w:cs="Arial"/>
          <w:sz w:val="22"/>
          <w:szCs w:val="22"/>
        </w:rPr>
        <w:t>Working in partnership with people and communities: statutory guidance</w:t>
      </w:r>
      <w:r w:rsidRPr="00926230">
        <w:rPr>
          <w:rFonts w:ascii="Arial" w:hAnsi="Arial" w:cs="Arial"/>
          <w:sz w:val="22"/>
          <w:szCs w:val="22"/>
        </w:rPr>
        <w:t xml:space="preserve">. Available at: </w:t>
      </w:r>
      <w:hyperlink r:id="rId12" w:tgtFrame="_new" w:history="1">
        <w:r w:rsidRPr="00926230">
          <w:rPr>
            <w:rStyle w:val="Hyperlink"/>
            <w:rFonts w:ascii="Arial" w:hAnsi="Arial" w:cs="Arial"/>
            <w:sz w:val="22"/>
            <w:szCs w:val="22"/>
          </w:rPr>
          <w:t>https://www.england.nhs.uk/long-read/working-in-partnership-with-people-and-communities-statutory-guidance/</w:t>
        </w:r>
      </w:hyperlink>
      <w:r w:rsidRPr="00926230">
        <w:rPr>
          <w:rFonts w:ascii="Arial" w:hAnsi="Arial" w:cs="Arial"/>
          <w:sz w:val="22"/>
          <w:szCs w:val="22"/>
        </w:rPr>
        <w:t xml:space="preserve"> (Accessed: 30 May 2026).</w:t>
      </w:r>
    </w:p>
    <w:p w14:paraId="61562DB0" w14:textId="208D842A" w:rsidR="00F2413A" w:rsidRPr="00F2413A" w:rsidRDefault="00F2413A" w:rsidP="00D92FD4">
      <w:pPr>
        <w:pStyle w:val="NormalWeb"/>
        <w:spacing w:line="360" w:lineRule="auto"/>
        <w:jc w:val="both"/>
        <w:rPr>
          <w:rFonts w:ascii="Arial" w:hAnsi="Arial" w:cs="Arial"/>
          <w:sz w:val="22"/>
          <w:szCs w:val="22"/>
        </w:rPr>
      </w:pPr>
      <w:r w:rsidRPr="00F2413A">
        <w:rPr>
          <w:rFonts w:ascii="Arial" w:hAnsi="Arial" w:cs="Arial"/>
          <w:sz w:val="22"/>
          <w:szCs w:val="22"/>
        </w:rPr>
        <w:t xml:space="preserve">Nursing and Midwifery Council (2018) </w:t>
      </w:r>
      <w:r w:rsidRPr="00F2413A">
        <w:rPr>
          <w:rStyle w:val="Emphasis"/>
          <w:rFonts w:ascii="Arial" w:hAnsi="Arial" w:cs="Arial"/>
          <w:sz w:val="22"/>
          <w:szCs w:val="22"/>
        </w:rPr>
        <w:t>The Code: Professional standards of practice and behaviour for nurses, midwives and nursing associates</w:t>
      </w:r>
      <w:r w:rsidRPr="00F2413A">
        <w:rPr>
          <w:rFonts w:ascii="Arial" w:hAnsi="Arial" w:cs="Arial"/>
          <w:sz w:val="22"/>
          <w:szCs w:val="22"/>
        </w:rPr>
        <w:t>. London: NMC.</w:t>
      </w:r>
    </w:p>
    <w:p w14:paraId="0992C6A8" w14:textId="77777777" w:rsidR="000211D3" w:rsidRPr="000211D3" w:rsidRDefault="000211D3" w:rsidP="00D92FD4">
      <w:pPr>
        <w:pStyle w:val="NormalWeb"/>
        <w:spacing w:line="360" w:lineRule="auto"/>
        <w:jc w:val="both"/>
        <w:rPr>
          <w:rFonts w:ascii="Arial" w:hAnsi="Arial" w:cs="Arial"/>
          <w:sz w:val="22"/>
          <w:szCs w:val="22"/>
        </w:rPr>
      </w:pPr>
      <w:r w:rsidRPr="000211D3">
        <w:rPr>
          <w:rFonts w:ascii="Arial" w:hAnsi="Arial" w:cs="Arial"/>
          <w:sz w:val="22"/>
          <w:szCs w:val="22"/>
        </w:rPr>
        <w:t xml:space="preserve">Reeves, S., Xyrichis, A. and Zwarenstein, M. (2018) </w:t>
      </w:r>
      <w:r w:rsidRPr="000211D3">
        <w:rPr>
          <w:rStyle w:val="Emphasis"/>
          <w:rFonts w:ascii="Arial" w:hAnsi="Arial" w:cs="Arial"/>
          <w:sz w:val="22"/>
          <w:szCs w:val="22"/>
        </w:rPr>
        <w:t>Interprofessional teamwork for health and social care</w:t>
      </w:r>
      <w:r w:rsidRPr="000211D3">
        <w:rPr>
          <w:rFonts w:ascii="Arial" w:hAnsi="Arial" w:cs="Arial"/>
          <w:sz w:val="22"/>
          <w:szCs w:val="22"/>
        </w:rPr>
        <w:t>. Oxford: Wiley-Blackwell.</w:t>
      </w:r>
    </w:p>
    <w:p w14:paraId="5EDBD45A" w14:textId="77777777" w:rsidR="000211D3" w:rsidRDefault="000211D3" w:rsidP="00D92FD4">
      <w:pPr>
        <w:pStyle w:val="NormalWeb"/>
        <w:spacing w:line="360" w:lineRule="auto"/>
        <w:jc w:val="both"/>
        <w:rPr>
          <w:rFonts w:ascii="Arial" w:hAnsi="Arial" w:cs="Arial"/>
          <w:sz w:val="22"/>
          <w:szCs w:val="22"/>
        </w:rPr>
      </w:pPr>
      <w:r w:rsidRPr="000211D3">
        <w:rPr>
          <w:rFonts w:ascii="Arial" w:hAnsi="Arial" w:cs="Arial"/>
          <w:sz w:val="22"/>
          <w:szCs w:val="22"/>
        </w:rPr>
        <w:t xml:space="preserve">Rogers, C.R. (1951) </w:t>
      </w:r>
      <w:r w:rsidRPr="000211D3">
        <w:rPr>
          <w:rStyle w:val="Emphasis"/>
          <w:rFonts w:ascii="Arial" w:hAnsi="Arial" w:cs="Arial"/>
          <w:sz w:val="22"/>
          <w:szCs w:val="22"/>
        </w:rPr>
        <w:t>Client-centered therapy: its current practice, implications and theory</w:t>
      </w:r>
      <w:r w:rsidRPr="000211D3">
        <w:rPr>
          <w:rFonts w:ascii="Arial" w:hAnsi="Arial" w:cs="Arial"/>
          <w:sz w:val="22"/>
          <w:szCs w:val="22"/>
        </w:rPr>
        <w:t>. Boston: Houghton Mifflin.</w:t>
      </w:r>
    </w:p>
    <w:p w14:paraId="5A502C60" w14:textId="0D240F05" w:rsidR="009E5E76" w:rsidRPr="00EA00C5" w:rsidRDefault="009E5E76" w:rsidP="00D92FD4">
      <w:pPr>
        <w:pStyle w:val="NormalWeb"/>
        <w:spacing w:line="360" w:lineRule="auto"/>
        <w:jc w:val="both"/>
        <w:rPr>
          <w:rFonts w:ascii="Arial" w:hAnsi="Arial" w:cs="Arial"/>
          <w:sz w:val="22"/>
          <w:szCs w:val="22"/>
        </w:rPr>
      </w:pPr>
      <w:r w:rsidRPr="00EA00C5">
        <w:rPr>
          <w:rFonts w:ascii="Arial" w:hAnsi="Arial" w:cs="Arial"/>
          <w:sz w:val="22"/>
          <w:szCs w:val="22"/>
        </w:rPr>
        <w:t xml:space="preserve">The King's Fund (2022) </w:t>
      </w:r>
      <w:r w:rsidRPr="00EA00C5">
        <w:rPr>
          <w:rStyle w:val="Emphasis"/>
          <w:rFonts w:ascii="Arial" w:hAnsi="Arial" w:cs="Arial"/>
          <w:sz w:val="22"/>
          <w:szCs w:val="22"/>
        </w:rPr>
        <w:t>The health and care workforce in England</w:t>
      </w:r>
      <w:r w:rsidRPr="00EA00C5">
        <w:rPr>
          <w:rFonts w:ascii="Arial" w:hAnsi="Arial" w:cs="Arial"/>
          <w:sz w:val="22"/>
          <w:szCs w:val="22"/>
        </w:rPr>
        <w:t>. London: The King's Fund.</w:t>
      </w:r>
    </w:p>
    <w:p w14:paraId="74B4E6CB" w14:textId="77777777" w:rsidR="000211D3" w:rsidRPr="000211D3" w:rsidRDefault="000211D3" w:rsidP="00D92FD4">
      <w:pPr>
        <w:pStyle w:val="NormalWeb"/>
        <w:spacing w:line="360" w:lineRule="auto"/>
        <w:jc w:val="both"/>
        <w:rPr>
          <w:rFonts w:ascii="Arial" w:hAnsi="Arial" w:cs="Arial"/>
          <w:sz w:val="22"/>
          <w:szCs w:val="22"/>
        </w:rPr>
      </w:pPr>
    </w:p>
    <w:sectPr w:rsidR="000211D3" w:rsidRPr="000211D3" w:rsidSect="00134AE2">
      <w:headerReference w:type="default" r:id="rId13"/>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79E76" w14:textId="77777777" w:rsidR="0034000C" w:rsidRDefault="0034000C" w:rsidP="007905FB">
      <w:pPr>
        <w:spacing w:after="0" w:line="240" w:lineRule="auto"/>
      </w:pPr>
      <w:r>
        <w:separator/>
      </w:r>
    </w:p>
  </w:endnote>
  <w:endnote w:type="continuationSeparator" w:id="0">
    <w:p w14:paraId="51638DC3" w14:textId="77777777" w:rsidR="0034000C" w:rsidRDefault="0034000C" w:rsidP="00790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44F2C2" w14:textId="749ED08F" w:rsidR="007F74FE" w:rsidRDefault="007F74FE">
    <w:pPr>
      <w:pStyle w:val="Footer"/>
      <w:jc w:val="right"/>
    </w:pPr>
  </w:p>
  <w:p w14:paraId="5E4F20EE" w14:textId="77777777" w:rsidR="007905FB" w:rsidRDefault="007905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9635088"/>
      <w:docPartObj>
        <w:docPartGallery w:val="Page Numbers (Bottom of Page)"/>
        <w:docPartUnique/>
      </w:docPartObj>
    </w:sdtPr>
    <w:sdtContent>
      <w:p w14:paraId="0CF3097B" w14:textId="77777777" w:rsidR="00F30FF5" w:rsidRDefault="00F30FF5">
        <w:pPr>
          <w:pStyle w:val="Footer"/>
          <w:jc w:val="right"/>
        </w:pPr>
        <w:r>
          <w:fldChar w:fldCharType="begin"/>
        </w:r>
        <w:r>
          <w:instrText>PAGE   \* MERGEFORMAT</w:instrText>
        </w:r>
        <w:r>
          <w:fldChar w:fldCharType="separate"/>
        </w:r>
        <w:r>
          <w:t>2</w:t>
        </w:r>
        <w:r>
          <w:fldChar w:fldCharType="end"/>
        </w:r>
      </w:p>
    </w:sdtContent>
  </w:sdt>
  <w:p w14:paraId="62BF5A1F" w14:textId="77777777" w:rsidR="00F30FF5" w:rsidRDefault="00F30F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7AD1F" w14:textId="77777777" w:rsidR="0034000C" w:rsidRDefault="0034000C" w:rsidP="007905FB">
      <w:pPr>
        <w:spacing w:after="0" w:line="240" w:lineRule="auto"/>
      </w:pPr>
      <w:r>
        <w:separator/>
      </w:r>
    </w:p>
  </w:footnote>
  <w:footnote w:type="continuationSeparator" w:id="0">
    <w:p w14:paraId="19AE2ADC" w14:textId="77777777" w:rsidR="0034000C" w:rsidRDefault="0034000C" w:rsidP="00790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917DC7" w14:textId="77777777" w:rsidR="00324068" w:rsidRDefault="003240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AB9"/>
    <w:rsid w:val="000122B9"/>
    <w:rsid w:val="00020F44"/>
    <w:rsid w:val="000211D3"/>
    <w:rsid w:val="00022808"/>
    <w:rsid w:val="00023C85"/>
    <w:rsid w:val="000250B7"/>
    <w:rsid w:val="000348B0"/>
    <w:rsid w:val="0004585F"/>
    <w:rsid w:val="000769CB"/>
    <w:rsid w:val="00082B68"/>
    <w:rsid w:val="000875E9"/>
    <w:rsid w:val="000C5EEE"/>
    <w:rsid w:val="000D69D8"/>
    <w:rsid w:val="000D7871"/>
    <w:rsid w:val="000E2089"/>
    <w:rsid w:val="000E6BFD"/>
    <w:rsid w:val="000E769B"/>
    <w:rsid w:val="00134AE2"/>
    <w:rsid w:val="00134B33"/>
    <w:rsid w:val="00140A36"/>
    <w:rsid w:val="0014664F"/>
    <w:rsid w:val="001619D2"/>
    <w:rsid w:val="001744A3"/>
    <w:rsid w:val="00184A57"/>
    <w:rsid w:val="001923EE"/>
    <w:rsid w:val="001B6D79"/>
    <w:rsid w:val="001E4394"/>
    <w:rsid w:val="001E5D61"/>
    <w:rsid w:val="001E759D"/>
    <w:rsid w:val="001F4DD6"/>
    <w:rsid w:val="0022529E"/>
    <w:rsid w:val="0022678A"/>
    <w:rsid w:val="00231181"/>
    <w:rsid w:val="00236BBE"/>
    <w:rsid w:val="00237E35"/>
    <w:rsid w:val="002574A9"/>
    <w:rsid w:val="00265A35"/>
    <w:rsid w:val="0026728C"/>
    <w:rsid w:val="0027022E"/>
    <w:rsid w:val="00295570"/>
    <w:rsid w:val="002A67D9"/>
    <w:rsid w:val="002F29CF"/>
    <w:rsid w:val="00324068"/>
    <w:rsid w:val="00325034"/>
    <w:rsid w:val="00336915"/>
    <w:rsid w:val="0034000C"/>
    <w:rsid w:val="00350FC2"/>
    <w:rsid w:val="00382D5A"/>
    <w:rsid w:val="00385B7A"/>
    <w:rsid w:val="003A57DC"/>
    <w:rsid w:val="003B6D95"/>
    <w:rsid w:val="003C5F8E"/>
    <w:rsid w:val="003C6455"/>
    <w:rsid w:val="003D21BE"/>
    <w:rsid w:val="003D5C68"/>
    <w:rsid w:val="003F008B"/>
    <w:rsid w:val="00414085"/>
    <w:rsid w:val="0044037C"/>
    <w:rsid w:val="00440953"/>
    <w:rsid w:val="00445C35"/>
    <w:rsid w:val="0045016F"/>
    <w:rsid w:val="004523A7"/>
    <w:rsid w:val="004639D7"/>
    <w:rsid w:val="0046422D"/>
    <w:rsid w:val="00471F1A"/>
    <w:rsid w:val="004938C0"/>
    <w:rsid w:val="00494C1C"/>
    <w:rsid w:val="004A270D"/>
    <w:rsid w:val="004C400D"/>
    <w:rsid w:val="004E221B"/>
    <w:rsid w:val="004E6534"/>
    <w:rsid w:val="00525128"/>
    <w:rsid w:val="00530798"/>
    <w:rsid w:val="005319D0"/>
    <w:rsid w:val="00541CF5"/>
    <w:rsid w:val="00544B0F"/>
    <w:rsid w:val="0057314D"/>
    <w:rsid w:val="00576EC5"/>
    <w:rsid w:val="00586C5D"/>
    <w:rsid w:val="005A5297"/>
    <w:rsid w:val="005B07ED"/>
    <w:rsid w:val="005B3B38"/>
    <w:rsid w:val="005B4E14"/>
    <w:rsid w:val="005C2E61"/>
    <w:rsid w:val="005D42B9"/>
    <w:rsid w:val="005F0915"/>
    <w:rsid w:val="005F2658"/>
    <w:rsid w:val="005F3E92"/>
    <w:rsid w:val="00625BF3"/>
    <w:rsid w:val="006324E0"/>
    <w:rsid w:val="00647747"/>
    <w:rsid w:val="00695FC0"/>
    <w:rsid w:val="006A767D"/>
    <w:rsid w:val="006C1B9B"/>
    <w:rsid w:val="006E2B2F"/>
    <w:rsid w:val="006F37BB"/>
    <w:rsid w:val="006F4594"/>
    <w:rsid w:val="0070595B"/>
    <w:rsid w:val="00712BB1"/>
    <w:rsid w:val="00720AD2"/>
    <w:rsid w:val="00722FE1"/>
    <w:rsid w:val="00731727"/>
    <w:rsid w:val="007375E9"/>
    <w:rsid w:val="00744394"/>
    <w:rsid w:val="0074675C"/>
    <w:rsid w:val="00753F02"/>
    <w:rsid w:val="0077132C"/>
    <w:rsid w:val="007762D4"/>
    <w:rsid w:val="00781B1E"/>
    <w:rsid w:val="007905FB"/>
    <w:rsid w:val="007A5272"/>
    <w:rsid w:val="007D0C0B"/>
    <w:rsid w:val="007D3DF6"/>
    <w:rsid w:val="007F74FE"/>
    <w:rsid w:val="00816C01"/>
    <w:rsid w:val="00820195"/>
    <w:rsid w:val="00820623"/>
    <w:rsid w:val="00835F95"/>
    <w:rsid w:val="00840709"/>
    <w:rsid w:val="00840CBA"/>
    <w:rsid w:val="00866582"/>
    <w:rsid w:val="0086690E"/>
    <w:rsid w:val="00866EBB"/>
    <w:rsid w:val="00894DE3"/>
    <w:rsid w:val="008C6915"/>
    <w:rsid w:val="008D6CAB"/>
    <w:rsid w:val="008E7756"/>
    <w:rsid w:val="008F36BD"/>
    <w:rsid w:val="00900695"/>
    <w:rsid w:val="0090080F"/>
    <w:rsid w:val="00926230"/>
    <w:rsid w:val="00932075"/>
    <w:rsid w:val="009429F7"/>
    <w:rsid w:val="00946FEA"/>
    <w:rsid w:val="00947B1E"/>
    <w:rsid w:val="00952FE9"/>
    <w:rsid w:val="00953126"/>
    <w:rsid w:val="00960C55"/>
    <w:rsid w:val="009865DE"/>
    <w:rsid w:val="009A661B"/>
    <w:rsid w:val="009B4137"/>
    <w:rsid w:val="009D24A3"/>
    <w:rsid w:val="009D5427"/>
    <w:rsid w:val="009E5E76"/>
    <w:rsid w:val="00A10BCA"/>
    <w:rsid w:val="00A11A9A"/>
    <w:rsid w:val="00A23DCE"/>
    <w:rsid w:val="00A33724"/>
    <w:rsid w:val="00A453A4"/>
    <w:rsid w:val="00A45CDA"/>
    <w:rsid w:val="00A54723"/>
    <w:rsid w:val="00A5791E"/>
    <w:rsid w:val="00A64871"/>
    <w:rsid w:val="00A720CA"/>
    <w:rsid w:val="00A74E9C"/>
    <w:rsid w:val="00AA253A"/>
    <w:rsid w:val="00AD0F6F"/>
    <w:rsid w:val="00AD5465"/>
    <w:rsid w:val="00AD5CA5"/>
    <w:rsid w:val="00B13558"/>
    <w:rsid w:val="00B14EC6"/>
    <w:rsid w:val="00B17A50"/>
    <w:rsid w:val="00B22D83"/>
    <w:rsid w:val="00B26E2F"/>
    <w:rsid w:val="00B31314"/>
    <w:rsid w:val="00B62D66"/>
    <w:rsid w:val="00B972AA"/>
    <w:rsid w:val="00BB3097"/>
    <w:rsid w:val="00BC625C"/>
    <w:rsid w:val="00BE5DAF"/>
    <w:rsid w:val="00C23187"/>
    <w:rsid w:val="00C42AB9"/>
    <w:rsid w:val="00C42E14"/>
    <w:rsid w:val="00C52DB7"/>
    <w:rsid w:val="00C53B73"/>
    <w:rsid w:val="00C60033"/>
    <w:rsid w:val="00C70F8F"/>
    <w:rsid w:val="00C84C62"/>
    <w:rsid w:val="00C94970"/>
    <w:rsid w:val="00CA0D9F"/>
    <w:rsid w:val="00CA1AD3"/>
    <w:rsid w:val="00CB67C6"/>
    <w:rsid w:val="00CF1B3D"/>
    <w:rsid w:val="00CF3313"/>
    <w:rsid w:val="00D00EED"/>
    <w:rsid w:val="00D1097D"/>
    <w:rsid w:val="00D41394"/>
    <w:rsid w:val="00D418DE"/>
    <w:rsid w:val="00D871D0"/>
    <w:rsid w:val="00D87535"/>
    <w:rsid w:val="00D92FD4"/>
    <w:rsid w:val="00DB078F"/>
    <w:rsid w:val="00DB1DDA"/>
    <w:rsid w:val="00DB492F"/>
    <w:rsid w:val="00DB6029"/>
    <w:rsid w:val="00DB7A17"/>
    <w:rsid w:val="00DD61B6"/>
    <w:rsid w:val="00DF7E09"/>
    <w:rsid w:val="00E07115"/>
    <w:rsid w:val="00E117CA"/>
    <w:rsid w:val="00E175F3"/>
    <w:rsid w:val="00E41942"/>
    <w:rsid w:val="00E45B09"/>
    <w:rsid w:val="00E74AC0"/>
    <w:rsid w:val="00E766BB"/>
    <w:rsid w:val="00EA00C5"/>
    <w:rsid w:val="00EA6D57"/>
    <w:rsid w:val="00EA71B6"/>
    <w:rsid w:val="00EA7AAE"/>
    <w:rsid w:val="00EC416E"/>
    <w:rsid w:val="00ED6FFB"/>
    <w:rsid w:val="00F027F8"/>
    <w:rsid w:val="00F2413A"/>
    <w:rsid w:val="00F24DF6"/>
    <w:rsid w:val="00F30E48"/>
    <w:rsid w:val="00F30FF5"/>
    <w:rsid w:val="00F52FE9"/>
    <w:rsid w:val="00F66793"/>
    <w:rsid w:val="00F86849"/>
    <w:rsid w:val="00F908C2"/>
    <w:rsid w:val="00F9782A"/>
    <w:rsid w:val="00FA79C4"/>
    <w:rsid w:val="00FD196D"/>
    <w:rsid w:val="00FE55E7"/>
    <w:rsid w:val="00FF0242"/>
    <w:rsid w:val="00FF5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D6952"/>
  <w15:chartTrackingRefBased/>
  <w15:docId w15:val="{5004333F-2822-4129-AE03-2427BD660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A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42A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42A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2A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2A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2A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A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A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A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A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42A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42A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2A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2A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2A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A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A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AB9"/>
    <w:rPr>
      <w:rFonts w:eastAsiaTheme="majorEastAsia" w:cstheme="majorBidi"/>
      <w:color w:val="272727" w:themeColor="text1" w:themeTint="D8"/>
    </w:rPr>
  </w:style>
  <w:style w:type="paragraph" w:styleId="Title">
    <w:name w:val="Title"/>
    <w:basedOn w:val="Normal"/>
    <w:next w:val="Normal"/>
    <w:link w:val="TitleChar"/>
    <w:uiPriority w:val="10"/>
    <w:qFormat/>
    <w:rsid w:val="00C42A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A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A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A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AB9"/>
    <w:pPr>
      <w:spacing w:before="160"/>
      <w:jc w:val="center"/>
    </w:pPr>
    <w:rPr>
      <w:i/>
      <w:iCs/>
      <w:color w:val="404040" w:themeColor="text1" w:themeTint="BF"/>
    </w:rPr>
  </w:style>
  <w:style w:type="character" w:customStyle="1" w:styleId="QuoteChar">
    <w:name w:val="Quote Char"/>
    <w:basedOn w:val="DefaultParagraphFont"/>
    <w:link w:val="Quote"/>
    <w:uiPriority w:val="29"/>
    <w:rsid w:val="00C42AB9"/>
    <w:rPr>
      <w:i/>
      <w:iCs/>
      <w:color w:val="404040" w:themeColor="text1" w:themeTint="BF"/>
    </w:rPr>
  </w:style>
  <w:style w:type="paragraph" w:styleId="ListParagraph">
    <w:name w:val="List Paragraph"/>
    <w:basedOn w:val="Normal"/>
    <w:uiPriority w:val="34"/>
    <w:qFormat/>
    <w:rsid w:val="00C42AB9"/>
    <w:pPr>
      <w:ind w:left="720"/>
      <w:contextualSpacing/>
    </w:pPr>
  </w:style>
  <w:style w:type="character" w:styleId="IntenseEmphasis">
    <w:name w:val="Intense Emphasis"/>
    <w:basedOn w:val="DefaultParagraphFont"/>
    <w:uiPriority w:val="21"/>
    <w:qFormat/>
    <w:rsid w:val="00C42AB9"/>
    <w:rPr>
      <w:i/>
      <w:iCs/>
      <w:color w:val="2F5496" w:themeColor="accent1" w:themeShade="BF"/>
    </w:rPr>
  </w:style>
  <w:style w:type="paragraph" w:styleId="IntenseQuote">
    <w:name w:val="Intense Quote"/>
    <w:basedOn w:val="Normal"/>
    <w:next w:val="Normal"/>
    <w:link w:val="IntenseQuoteChar"/>
    <w:uiPriority w:val="30"/>
    <w:qFormat/>
    <w:rsid w:val="00C42A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2AB9"/>
    <w:rPr>
      <w:i/>
      <w:iCs/>
      <w:color w:val="2F5496" w:themeColor="accent1" w:themeShade="BF"/>
    </w:rPr>
  </w:style>
  <w:style w:type="character" w:styleId="IntenseReference">
    <w:name w:val="Intense Reference"/>
    <w:basedOn w:val="DefaultParagraphFont"/>
    <w:uiPriority w:val="32"/>
    <w:qFormat/>
    <w:rsid w:val="00C42AB9"/>
    <w:rPr>
      <w:b/>
      <w:bCs/>
      <w:smallCaps/>
      <w:color w:val="2F5496" w:themeColor="accent1" w:themeShade="BF"/>
      <w:spacing w:val="5"/>
    </w:rPr>
  </w:style>
  <w:style w:type="paragraph" w:styleId="NormalWeb">
    <w:name w:val="Normal (Web)"/>
    <w:basedOn w:val="Normal"/>
    <w:uiPriority w:val="99"/>
    <w:unhideWhenUsed/>
    <w:rsid w:val="00C42AB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E2089"/>
    <w:rPr>
      <w:i/>
      <w:iCs/>
    </w:rPr>
  </w:style>
  <w:style w:type="character" w:styleId="Hyperlink">
    <w:name w:val="Hyperlink"/>
    <w:basedOn w:val="DefaultParagraphFont"/>
    <w:uiPriority w:val="99"/>
    <w:semiHidden/>
    <w:unhideWhenUsed/>
    <w:rsid w:val="000E2089"/>
    <w:rPr>
      <w:color w:val="0000FF"/>
      <w:u w:val="single"/>
    </w:rPr>
  </w:style>
  <w:style w:type="character" w:styleId="Strong">
    <w:name w:val="Strong"/>
    <w:basedOn w:val="DefaultParagraphFont"/>
    <w:uiPriority w:val="22"/>
    <w:qFormat/>
    <w:rsid w:val="008F36BD"/>
    <w:rPr>
      <w:b/>
      <w:bCs/>
    </w:rPr>
  </w:style>
  <w:style w:type="paragraph" w:styleId="Header">
    <w:name w:val="header"/>
    <w:basedOn w:val="Normal"/>
    <w:link w:val="HeaderChar"/>
    <w:uiPriority w:val="99"/>
    <w:unhideWhenUsed/>
    <w:rsid w:val="00790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5FB"/>
  </w:style>
  <w:style w:type="paragraph" w:styleId="Footer">
    <w:name w:val="footer"/>
    <w:basedOn w:val="Normal"/>
    <w:link w:val="FooterChar"/>
    <w:uiPriority w:val="99"/>
    <w:unhideWhenUsed/>
    <w:rsid w:val="00790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5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england.nhs.uk/long-read/working-in-partnership-with-people-and-communities-statutory-guidance/?utm_source=chatgpt.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nice.org.uk/guidance/ng197"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legislation.gov.uk/ukpga/2005/9/contents" TargetMode="External"/><Relationship Id="rId4" Type="http://schemas.openxmlformats.org/officeDocument/2006/relationships/footnotes" Target="footnotes.xml"/><Relationship Id="rId9" Type="http://schemas.openxmlformats.org/officeDocument/2006/relationships/hyperlink" Target="https://www.legislation.gov.uk/ukpga/2022/31/content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768</TotalTime>
  <Pages>10</Pages>
  <Words>2997</Words>
  <Characters>17086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asfia akhtar</dc:creator>
  <cp:keywords/>
  <dc:description/>
  <cp:lastModifiedBy>asfia akhtar</cp:lastModifiedBy>
  <cp:revision>125</cp:revision>
  <dcterms:created xsi:type="dcterms:W3CDTF">2026-05-30T20:51:00Z</dcterms:created>
  <dcterms:modified xsi:type="dcterms:W3CDTF">2026-06-25T21:54:00Z</dcterms:modified>
</cp:coreProperties>
</file>